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DA4" w:rsidRPr="002F415C" w:rsidRDefault="00116DA4" w:rsidP="00633656">
      <w:pPr>
        <w:jc w:val="both"/>
        <w:rPr>
          <w:rFonts w:ascii="Arial" w:hAnsi="Arial" w:cs="Arial"/>
          <w:sz w:val="16"/>
          <w:szCs w:val="16"/>
          <w:lang w:val="en-GB"/>
        </w:rPr>
      </w:pPr>
      <w:bookmarkStart w:id="0" w:name="_GoBack"/>
      <w:bookmarkEnd w:id="0"/>
    </w:p>
    <w:tbl>
      <w:tblPr>
        <w:tblW w:w="9468" w:type="dxa"/>
        <w:tblLayout w:type="fixed"/>
        <w:tblCellMar>
          <w:left w:w="0" w:type="dxa"/>
          <w:right w:w="0" w:type="dxa"/>
        </w:tblCellMar>
        <w:tblLook w:val="0000" w:firstRow="0" w:lastRow="0" w:firstColumn="0" w:lastColumn="0" w:noHBand="0" w:noVBand="0"/>
      </w:tblPr>
      <w:tblGrid>
        <w:gridCol w:w="2381"/>
        <w:gridCol w:w="7087"/>
      </w:tblGrid>
      <w:tr w:rsidR="002F415C" w:rsidTr="00610CD3">
        <w:tblPrEx>
          <w:tblCellMar>
            <w:top w:w="0" w:type="dxa"/>
            <w:left w:w="0" w:type="dxa"/>
            <w:bottom w:w="0" w:type="dxa"/>
            <w:right w:w="0" w:type="dxa"/>
          </w:tblCellMar>
        </w:tblPrEx>
        <w:trPr>
          <w:trHeight w:val="1440"/>
        </w:trPr>
        <w:tc>
          <w:tcPr>
            <w:tcW w:w="2381" w:type="dxa"/>
            <w:tcBorders>
              <w:top w:val="nil"/>
              <w:left w:val="nil"/>
              <w:bottom w:val="nil"/>
              <w:right w:val="nil"/>
            </w:tcBorders>
          </w:tcPr>
          <w:p w:rsidR="002F415C" w:rsidRPr="00546CD1" w:rsidRDefault="002F415C" w:rsidP="00610CD3">
            <w:pPr>
              <w:pStyle w:val="ZCom"/>
            </w:pPr>
            <w:r>
              <w:rPr>
                <w:noProof/>
                <w:sz w:val="20"/>
                <w:szCs w:val="20"/>
              </w:rPr>
              <w:drawing>
                <wp:inline distT="0" distB="0" distL="0" distR="0">
                  <wp:extent cx="1367790" cy="675640"/>
                  <wp:effectExtent l="0" t="0" r="3810" b="0"/>
                  <wp:docPr id="3" name="Picture 3"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_ec_17_colors_300dp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67790" cy="675640"/>
                          </a:xfrm>
                          <a:prstGeom prst="rect">
                            <a:avLst/>
                          </a:prstGeom>
                          <a:noFill/>
                          <a:ln>
                            <a:noFill/>
                          </a:ln>
                        </pic:spPr>
                      </pic:pic>
                    </a:graphicData>
                  </a:graphic>
                </wp:inline>
              </w:drawing>
            </w:r>
          </w:p>
        </w:tc>
        <w:tc>
          <w:tcPr>
            <w:tcW w:w="7087" w:type="dxa"/>
            <w:tcBorders>
              <w:top w:val="nil"/>
              <w:left w:val="nil"/>
              <w:bottom w:val="nil"/>
              <w:right w:val="nil"/>
            </w:tcBorders>
          </w:tcPr>
          <w:p w:rsidR="002F415C" w:rsidRPr="00546CD1" w:rsidRDefault="002F415C" w:rsidP="00610CD3">
            <w:pPr>
              <w:pStyle w:val="ZCom"/>
              <w:spacing w:before="90"/>
            </w:pPr>
            <w:r w:rsidRPr="00546CD1">
              <w:t>EUROPEAN COMMISSION</w:t>
            </w:r>
          </w:p>
          <w:p w:rsidR="002F415C" w:rsidRPr="00546CD1" w:rsidRDefault="002F415C" w:rsidP="00610CD3">
            <w:pPr>
              <w:pStyle w:val="ZDGName"/>
            </w:pPr>
          </w:p>
        </w:tc>
      </w:tr>
    </w:tbl>
    <w:p w:rsidR="00116DA4" w:rsidRDefault="00116DA4" w:rsidP="002F0FC3">
      <w:pPr>
        <w:widowControl w:val="0"/>
        <w:tabs>
          <w:tab w:val="right" w:pos="8789"/>
        </w:tabs>
        <w:rPr>
          <w:color w:val="000000"/>
          <w:lang w:val="en-US" w:eastAsia="en-US"/>
        </w:rPr>
      </w:pPr>
    </w:p>
    <w:p w:rsidR="002F0FC3" w:rsidRDefault="002F0FC3" w:rsidP="002F0FC3">
      <w:pPr>
        <w:widowControl w:val="0"/>
        <w:tabs>
          <w:tab w:val="right" w:pos="8789"/>
        </w:tabs>
        <w:rPr>
          <w:b/>
          <w:lang w:val="en-GB"/>
        </w:rPr>
      </w:pPr>
    </w:p>
    <w:p w:rsidR="00116DA4" w:rsidRDefault="00116DA4" w:rsidP="00633656">
      <w:pPr>
        <w:jc w:val="both"/>
        <w:rPr>
          <w:b/>
          <w:lang w:val="en-GB"/>
        </w:rPr>
      </w:pPr>
    </w:p>
    <w:p w:rsidR="00116DA4" w:rsidRDefault="00116DA4" w:rsidP="00633656">
      <w:pPr>
        <w:jc w:val="both"/>
        <w:rPr>
          <w:b/>
          <w:lang w:val="en-GB"/>
        </w:rPr>
      </w:pPr>
    </w:p>
    <w:p w:rsidR="00116DA4" w:rsidRDefault="00116DA4" w:rsidP="00633656">
      <w:pPr>
        <w:jc w:val="both"/>
        <w:rPr>
          <w:b/>
          <w:lang w:val="en-GB"/>
        </w:rPr>
      </w:pPr>
    </w:p>
    <w:p w:rsidR="00116DA4" w:rsidRPr="002F0FC3" w:rsidRDefault="00FD2335" w:rsidP="0011765A">
      <w:pPr>
        <w:jc w:val="center"/>
        <w:rPr>
          <w:u w:val="single"/>
          <w:lang w:val="en-GB"/>
        </w:rPr>
      </w:pPr>
      <w:r w:rsidRPr="002F0FC3">
        <w:rPr>
          <w:u w:val="single"/>
          <w:lang w:val="en-GB"/>
        </w:rPr>
        <w:t xml:space="preserve">European Structural and </w:t>
      </w:r>
      <w:proofErr w:type="spellStart"/>
      <w:r w:rsidRPr="002F0FC3">
        <w:rPr>
          <w:u w:val="single"/>
          <w:lang w:val="en-GB"/>
        </w:rPr>
        <w:t>Investement</w:t>
      </w:r>
      <w:proofErr w:type="spellEnd"/>
      <w:r w:rsidRPr="002F0FC3">
        <w:rPr>
          <w:u w:val="single"/>
          <w:lang w:val="en-GB"/>
        </w:rPr>
        <w:t xml:space="preserve"> Funds</w:t>
      </w:r>
    </w:p>
    <w:p w:rsidR="00FD2335" w:rsidRPr="0011765A" w:rsidRDefault="00FD2335" w:rsidP="0011765A">
      <w:pPr>
        <w:jc w:val="center"/>
        <w:rPr>
          <w:lang w:val="en-GB"/>
        </w:rPr>
      </w:pPr>
    </w:p>
    <w:p w:rsidR="00F357A5" w:rsidRDefault="00662EC7" w:rsidP="00F41281">
      <w:pPr>
        <w:spacing w:after="200" w:line="276" w:lineRule="auto"/>
        <w:jc w:val="center"/>
        <w:rPr>
          <w:rFonts w:eastAsia="Calibri"/>
          <w:b/>
          <w:sz w:val="44"/>
          <w:szCs w:val="44"/>
          <w:lang w:val="en-GB" w:eastAsia="en-US"/>
        </w:rPr>
      </w:pPr>
      <w:r w:rsidRPr="00662EC7">
        <w:rPr>
          <w:rFonts w:eastAsia="Calibri"/>
          <w:b/>
          <w:sz w:val="44"/>
          <w:szCs w:val="44"/>
          <w:lang w:val="en-GB" w:eastAsia="en-US"/>
        </w:rPr>
        <w:t xml:space="preserve">Guidance </w:t>
      </w:r>
      <w:r w:rsidR="00F357A5">
        <w:rPr>
          <w:rFonts w:eastAsia="Calibri"/>
          <w:b/>
          <w:sz w:val="44"/>
          <w:szCs w:val="44"/>
          <w:lang w:val="en-GB" w:eastAsia="en-US"/>
        </w:rPr>
        <w:t xml:space="preserve">on the drawing of </w:t>
      </w:r>
    </w:p>
    <w:p w:rsidR="00F41281" w:rsidRPr="00662EC7" w:rsidRDefault="00F41281" w:rsidP="00F41281">
      <w:pPr>
        <w:spacing w:after="200" w:line="276" w:lineRule="auto"/>
        <w:jc w:val="center"/>
        <w:rPr>
          <w:rFonts w:eastAsia="Calibri"/>
          <w:b/>
          <w:sz w:val="44"/>
          <w:szCs w:val="44"/>
          <w:lang w:val="en-GB" w:eastAsia="en-US"/>
        </w:rPr>
      </w:pPr>
      <w:r>
        <w:rPr>
          <w:rFonts w:eastAsia="Calibri"/>
          <w:b/>
          <w:sz w:val="44"/>
          <w:szCs w:val="44"/>
          <w:lang w:val="en-GB" w:eastAsia="en-US"/>
        </w:rPr>
        <w:t>Management declaration and Annual Summary</w:t>
      </w:r>
    </w:p>
    <w:p w:rsidR="002F0FC3" w:rsidRDefault="002F0FC3" w:rsidP="00662EC7">
      <w:pPr>
        <w:spacing w:after="200" w:line="276" w:lineRule="auto"/>
        <w:jc w:val="center"/>
        <w:rPr>
          <w:rFonts w:eastAsia="Calibri"/>
          <w:b/>
          <w:sz w:val="44"/>
          <w:szCs w:val="44"/>
          <w:lang w:val="en-GB" w:eastAsia="en-US"/>
        </w:rPr>
      </w:pPr>
      <w:proofErr w:type="gramStart"/>
      <w:r>
        <w:rPr>
          <w:rFonts w:eastAsia="Calibri"/>
          <w:b/>
          <w:sz w:val="44"/>
          <w:szCs w:val="44"/>
          <w:lang w:val="en-GB" w:eastAsia="en-US"/>
        </w:rPr>
        <w:t>for</w:t>
      </w:r>
      <w:proofErr w:type="gramEnd"/>
      <w:r>
        <w:rPr>
          <w:rFonts w:eastAsia="Calibri"/>
          <w:b/>
          <w:sz w:val="44"/>
          <w:szCs w:val="44"/>
          <w:lang w:val="en-GB" w:eastAsia="en-US"/>
        </w:rPr>
        <w:t xml:space="preserve"> Member States </w:t>
      </w:r>
    </w:p>
    <w:p w:rsidR="00F41281" w:rsidRPr="00607845" w:rsidRDefault="00F41281" w:rsidP="00F41281">
      <w:pPr>
        <w:jc w:val="center"/>
        <w:rPr>
          <w:u w:val="single"/>
        </w:rPr>
      </w:pPr>
      <w:r w:rsidRPr="00607845">
        <w:rPr>
          <w:u w:val="single"/>
        </w:rPr>
        <w:t>Programming period 2014-2020</w:t>
      </w:r>
    </w:p>
    <w:p w:rsidR="007824AE" w:rsidRPr="00144E53" w:rsidRDefault="007824AE" w:rsidP="00E874A4">
      <w:pPr>
        <w:rPr>
          <w:b/>
          <w:sz w:val="32"/>
          <w:szCs w:val="32"/>
          <w:lang w:val="en-GB"/>
        </w:rPr>
      </w:pPr>
    </w:p>
    <w:p w:rsidR="007824AE" w:rsidRDefault="007824AE" w:rsidP="00E874A4">
      <w:pPr>
        <w:rPr>
          <w:b/>
          <w:sz w:val="32"/>
          <w:szCs w:val="32"/>
        </w:rPr>
      </w:pPr>
    </w:p>
    <w:p w:rsidR="002F0FC3" w:rsidRPr="00662EC7" w:rsidRDefault="002F0FC3" w:rsidP="002F0FC3">
      <w:pPr>
        <w:widowControl w:val="0"/>
        <w:shd w:val="clear" w:color="auto" w:fill="FFFFFF"/>
        <w:autoSpaceDE w:val="0"/>
        <w:autoSpaceDN w:val="0"/>
        <w:adjustRightInd w:val="0"/>
        <w:spacing w:after="120"/>
        <w:ind w:left="3552"/>
        <w:rPr>
          <w:rFonts w:ascii="Calibri" w:hAnsi="Calibri"/>
          <w:b/>
          <w:bCs/>
          <w:color w:val="000000"/>
          <w:spacing w:val="-3"/>
          <w:sz w:val="22"/>
          <w:lang w:val="en-US" w:eastAsia="en-US"/>
        </w:rPr>
      </w:pPr>
    </w:p>
    <w:p w:rsidR="007824AE" w:rsidRDefault="007824AE" w:rsidP="00E874A4">
      <w:pPr>
        <w:rPr>
          <w:b/>
          <w:sz w:val="32"/>
          <w:szCs w:val="32"/>
          <w:lang w:val="en-US"/>
        </w:rPr>
      </w:pPr>
    </w:p>
    <w:p w:rsidR="002F0FC3" w:rsidRDefault="002F0FC3" w:rsidP="00E874A4">
      <w:pPr>
        <w:rPr>
          <w:b/>
          <w:sz w:val="32"/>
          <w:szCs w:val="32"/>
          <w:lang w:val="en-US"/>
        </w:rPr>
      </w:pPr>
    </w:p>
    <w:p w:rsidR="002F0FC3" w:rsidRDefault="002F0FC3" w:rsidP="00E874A4">
      <w:pPr>
        <w:rPr>
          <w:b/>
          <w:sz w:val="32"/>
          <w:szCs w:val="32"/>
          <w:lang w:val="en-US"/>
        </w:rPr>
      </w:pPr>
    </w:p>
    <w:p w:rsidR="002F0FC3" w:rsidRDefault="002F0FC3" w:rsidP="00E874A4">
      <w:pPr>
        <w:rPr>
          <w:b/>
          <w:sz w:val="32"/>
          <w:szCs w:val="32"/>
          <w:lang w:val="en-US"/>
        </w:rPr>
      </w:pPr>
    </w:p>
    <w:p w:rsidR="002F0FC3" w:rsidRDefault="002F0FC3" w:rsidP="00E874A4">
      <w:pPr>
        <w:rPr>
          <w:b/>
          <w:sz w:val="32"/>
          <w:szCs w:val="32"/>
          <w:lang w:val="en-US"/>
        </w:rPr>
      </w:pPr>
    </w:p>
    <w:p w:rsidR="002F0FC3" w:rsidRDefault="002F0FC3" w:rsidP="00E874A4">
      <w:pPr>
        <w:rPr>
          <w:b/>
          <w:sz w:val="32"/>
          <w:szCs w:val="32"/>
          <w:lang w:val="en-US"/>
        </w:rPr>
      </w:pPr>
    </w:p>
    <w:p w:rsidR="002F0FC3" w:rsidRPr="002F0FC3" w:rsidRDefault="002F0FC3" w:rsidP="00E874A4">
      <w:pPr>
        <w:rPr>
          <w:b/>
          <w:sz w:val="32"/>
          <w:szCs w:val="32"/>
          <w:lang w:val="en-US"/>
        </w:rPr>
      </w:pPr>
    </w:p>
    <w:p w:rsidR="00B7546D" w:rsidRPr="00662EC7" w:rsidRDefault="00B7546D" w:rsidP="00B7546D">
      <w:pPr>
        <w:widowControl w:val="0"/>
        <w:shd w:val="clear" w:color="auto" w:fill="FFFFFF"/>
        <w:autoSpaceDE w:val="0"/>
        <w:autoSpaceDN w:val="0"/>
        <w:adjustRightInd w:val="0"/>
        <w:spacing w:after="120"/>
        <w:ind w:left="3552"/>
        <w:rPr>
          <w:rFonts w:ascii="Calibri" w:hAnsi="Calibri"/>
          <w:b/>
          <w:bCs/>
          <w:color w:val="000000"/>
          <w:spacing w:val="-3"/>
          <w:sz w:val="22"/>
          <w:lang w:val="en-US" w:eastAsia="en-US"/>
        </w:rPr>
      </w:pPr>
    </w:p>
    <w:p w:rsidR="007824AE" w:rsidRPr="00EE617E" w:rsidRDefault="00B7546D" w:rsidP="00EE617E">
      <w:pPr>
        <w:widowControl w:val="0"/>
        <w:pBdr>
          <w:top w:val="single" w:sz="4" w:space="0" w:color="auto"/>
          <w:left w:val="single" w:sz="4" w:space="4" w:color="auto"/>
          <w:bottom w:val="single" w:sz="4" w:space="1" w:color="auto"/>
          <w:right w:val="single" w:sz="4" w:space="4" w:color="auto"/>
        </w:pBdr>
        <w:autoSpaceDE w:val="0"/>
        <w:autoSpaceDN w:val="0"/>
        <w:adjustRightInd w:val="0"/>
        <w:spacing w:after="120"/>
        <w:jc w:val="both"/>
        <w:rPr>
          <w:i/>
          <w:iCs/>
          <w:sz w:val="23"/>
          <w:szCs w:val="23"/>
          <w:lang w:eastAsia="en-GB"/>
        </w:rPr>
      </w:pPr>
      <w:r w:rsidRPr="005C62AC">
        <w:rPr>
          <w:bCs/>
          <w:i/>
          <w:iCs/>
          <w:sz w:val="20"/>
          <w:szCs w:val="20"/>
          <w:lang w:val="en-GB" w:eastAsia="en-GB"/>
        </w:rPr>
        <w:t>DISCLAIMER:</w:t>
      </w:r>
      <w:r w:rsidRPr="005C62AC">
        <w:rPr>
          <w:b/>
          <w:bCs/>
          <w:i/>
          <w:iCs/>
          <w:sz w:val="20"/>
          <w:szCs w:val="20"/>
          <w:lang w:val="en-GB" w:eastAsia="en-GB"/>
        </w:rPr>
        <w:t xml:space="preserve"> </w:t>
      </w:r>
      <w:r w:rsidR="00EE617E" w:rsidRPr="00B318A4">
        <w:rPr>
          <w:i/>
          <w:sz w:val="20"/>
          <w:szCs w:val="20"/>
          <w:lang w:eastAsia="en-GB"/>
        </w:rPr>
        <w:t>"</w:t>
      </w:r>
      <w:proofErr w:type="spellStart"/>
      <w:r w:rsidR="00EE617E" w:rsidRPr="00B318A4">
        <w:rPr>
          <w:i/>
          <w:sz w:val="20"/>
          <w:szCs w:val="20"/>
          <w:lang w:eastAsia="en-GB"/>
        </w:rPr>
        <w:t>This</w:t>
      </w:r>
      <w:proofErr w:type="spellEnd"/>
      <w:r w:rsidR="00EE617E" w:rsidRPr="00B318A4">
        <w:rPr>
          <w:i/>
          <w:sz w:val="20"/>
          <w:szCs w:val="20"/>
          <w:lang w:eastAsia="en-GB"/>
        </w:rPr>
        <w:t xml:space="preserve"> </w:t>
      </w:r>
      <w:proofErr w:type="spellStart"/>
      <w:r w:rsidR="00EE617E" w:rsidRPr="00B318A4">
        <w:rPr>
          <w:i/>
          <w:sz w:val="20"/>
          <w:szCs w:val="20"/>
          <w:lang w:eastAsia="en-GB"/>
        </w:rPr>
        <w:t>is</w:t>
      </w:r>
      <w:proofErr w:type="spellEnd"/>
      <w:r w:rsidR="00EE617E" w:rsidRPr="00B318A4">
        <w:rPr>
          <w:i/>
          <w:sz w:val="20"/>
          <w:szCs w:val="20"/>
          <w:lang w:eastAsia="en-GB"/>
        </w:rPr>
        <w:t xml:space="preserve"> a </w:t>
      </w:r>
      <w:proofErr w:type="spellStart"/>
      <w:r w:rsidR="00EE617E" w:rsidRPr="00B318A4">
        <w:rPr>
          <w:i/>
          <w:sz w:val="20"/>
          <w:szCs w:val="20"/>
          <w:lang w:eastAsia="en-GB"/>
        </w:rPr>
        <w:t>working</w:t>
      </w:r>
      <w:proofErr w:type="spellEnd"/>
      <w:r w:rsidR="00EE617E" w:rsidRPr="00B318A4">
        <w:rPr>
          <w:i/>
          <w:sz w:val="20"/>
          <w:szCs w:val="20"/>
          <w:lang w:eastAsia="en-GB"/>
        </w:rPr>
        <w:t xml:space="preserve"> </w:t>
      </w:r>
      <w:proofErr w:type="spellStart"/>
      <w:r w:rsidR="00EE617E" w:rsidRPr="00B318A4">
        <w:rPr>
          <w:i/>
          <w:sz w:val="20"/>
          <w:szCs w:val="20"/>
          <w:lang w:eastAsia="en-GB"/>
        </w:rPr>
        <w:t>document</w:t>
      </w:r>
      <w:proofErr w:type="spellEnd"/>
      <w:r w:rsidR="00EE617E" w:rsidRPr="00B318A4">
        <w:rPr>
          <w:i/>
          <w:sz w:val="20"/>
          <w:szCs w:val="20"/>
          <w:lang w:eastAsia="en-GB"/>
        </w:rPr>
        <w:t xml:space="preserve"> </w:t>
      </w:r>
      <w:proofErr w:type="spellStart"/>
      <w:r w:rsidR="00EE617E" w:rsidRPr="00B318A4">
        <w:rPr>
          <w:i/>
          <w:sz w:val="20"/>
          <w:szCs w:val="20"/>
          <w:lang w:eastAsia="en-GB"/>
        </w:rPr>
        <w:t>prepared</w:t>
      </w:r>
      <w:proofErr w:type="spellEnd"/>
      <w:r w:rsidR="00EE617E" w:rsidRPr="00B318A4">
        <w:rPr>
          <w:i/>
          <w:sz w:val="20"/>
          <w:szCs w:val="20"/>
          <w:lang w:eastAsia="en-GB"/>
        </w:rPr>
        <w:t xml:space="preserve"> by </w:t>
      </w:r>
      <w:proofErr w:type="spellStart"/>
      <w:r w:rsidR="00EE617E" w:rsidRPr="00B318A4">
        <w:rPr>
          <w:i/>
          <w:sz w:val="20"/>
          <w:szCs w:val="20"/>
          <w:lang w:eastAsia="en-GB"/>
        </w:rPr>
        <w:t>the</w:t>
      </w:r>
      <w:proofErr w:type="spellEnd"/>
      <w:r w:rsidR="00EE617E" w:rsidRPr="00B318A4">
        <w:rPr>
          <w:i/>
          <w:sz w:val="20"/>
          <w:szCs w:val="20"/>
          <w:lang w:eastAsia="en-GB"/>
        </w:rPr>
        <w:t xml:space="preserve"> Commission </w:t>
      </w:r>
      <w:proofErr w:type="spellStart"/>
      <w:r w:rsidR="00EE617E" w:rsidRPr="00B318A4">
        <w:rPr>
          <w:i/>
          <w:sz w:val="20"/>
          <w:szCs w:val="20"/>
          <w:lang w:eastAsia="en-GB"/>
        </w:rPr>
        <w:t>services</w:t>
      </w:r>
      <w:proofErr w:type="spellEnd"/>
      <w:r w:rsidR="00EE617E" w:rsidRPr="00B318A4">
        <w:rPr>
          <w:i/>
          <w:sz w:val="20"/>
          <w:szCs w:val="20"/>
          <w:lang w:eastAsia="en-GB"/>
        </w:rPr>
        <w:t xml:space="preserve">. On </w:t>
      </w:r>
      <w:proofErr w:type="spellStart"/>
      <w:r w:rsidR="00EE617E" w:rsidRPr="00B318A4">
        <w:rPr>
          <w:i/>
          <w:sz w:val="20"/>
          <w:szCs w:val="20"/>
          <w:lang w:eastAsia="en-GB"/>
        </w:rPr>
        <w:t>the</w:t>
      </w:r>
      <w:proofErr w:type="spellEnd"/>
      <w:r w:rsidR="00EE617E" w:rsidRPr="00B318A4">
        <w:rPr>
          <w:i/>
          <w:sz w:val="20"/>
          <w:szCs w:val="20"/>
          <w:lang w:eastAsia="en-GB"/>
        </w:rPr>
        <w:t xml:space="preserve"> </w:t>
      </w:r>
      <w:proofErr w:type="spellStart"/>
      <w:r w:rsidR="00EE617E" w:rsidRPr="00B318A4">
        <w:rPr>
          <w:i/>
          <w:sz w:val="20"/>
          <w:szCs w:val="20"/>
          <w:lang w:eastAsia="en-GB"/>
        </w:rPr>
        <w:t>basis</w:t>
      </w:r>
      <w:proofErr w:type="spellEnd"/>
      <w:r w:rsidR="00EE617E" w:rsidRPr="00B318A4">
        <w:rPr>
          <w:i/>
          <w:sz w:val="20"/>
          <w:szCs w:val="20"/>
          <w:lang w:eastAsia="en-GB"/>
        </w:rPr>
        <w:t xml:space="preserve"> of </w:t>
      </w:r>
      <w:proofErr w:type="spellStart"/>
      <w:r w:rsidR="00EE617E" w:rsidRPr="00B318A4">
        <w:rPr>
          <w:i/>
          <w:sz w:val="20"/>
          <w:szCs w:val="20"/>
          <w:lang w:eastAsia="en-GB"/>
        </w:rPr>
        <w:t>the</w:t>
      </w:r>
      <w:proofErr w:type="spellEnd"/>
      <w:r w:rsidR="00EE617E" w:rsidRPr="00B318A4">
        <w:rPr>
          <w:i/>
          <w:sz w:val="20"/>
          <w:szCs w:val="20"/>
          <w:lang w:eastAsia="en-GB"/>
        </w:rPr>
        <w:t xml:space="preserve"> </w:t>
      </w:r>
      <w:proofErr w:type="spellStart"/>
      <w:r w:rsidR="00EE617E" w:rsidRPr="00B318A4">
        <w:rPr>
          <w:i/>
          <w:sz w:val="20"/>
          <w:szCs w:val="20"/>
          <w:lang w:eastAsia="en-GB"/>
        </w:rPr>
        <w:t>applicable</w:t>
      </w:r>
      <w:proofErr w:type="spellEnd"/>
      <w:r w:rsidR="00EE617E" w:rsidRPr="00B318A4">
        <w:rPr>
          <w:i/>
          <w:sz w:val="20"/>
          <w:szCs w:val="20"/>
          <w:lang w:eastAsia="en-GB"/>
        </w:rPr>
        <w:t xml:space="preserve"> EU </w:t>
      </w:r>
      <w:proofErr w:type="spellStart"/>
      <w:r w:rsidR="00EE617E" w:rsidRPr="00B318A4">
        <w:rPr>
          <w:i/>
          <w:sz w:val="20"/>
          <w:szCs w:val="20"/>
          <w:lang w:eastAsia="en-GB"/>
        </w:rPr>
        <w:t>law</w:t>
      </w:r>
      <w:proofErr w:type="spellEnd"/>
      <w:r w:rsidR="00EE617E" w:rsidRPr="00B318A4">
        <w:rPr>
          <w:i/>
          <w:sz w:val="20"/>
          <w:szCs w:val="20"/>
          <w:lang w:eastAsia="en-GB"/>
        </w:rPr>
        <w:t xml:space="preserve">, </w:t>
      </w:r>
      <w:proofErr w:type="spellStart"/>
      <w:r w:rsidR="00EE617E" w:rsidRPr="00B318A4">
        <w:rPr>
          <w:i/>
          <w:sz w:val="20"/>
          <w:szCs w:val="20"/>
          <w:lang w:eastAsia="en-GB"/>
        </w:rPr>
        <w:t>it</w:t>
      </w:r>
      <w:proofErr w:type="spellEnd"/>
      <w:r w:rsidR="00EE617E" w:rsidRPr="00B318A4">
        <w:rPr>
          <w:i/>
          <w:sz w:val="20"/>
          <w:szCs w:val="20"/>
          <w:lang w:eastAsia="en-GB"/>
        </w:rPr>
        <w:t xml:space="preserve"> </w:t>
      </w:r>
      <w:proofErr w:type="spellStart"/>
      <w:r w:rsidR="00EE617E" w:rsidRPr="00B318A4">
        <w:rPr>
          <w:i/>
          <w:sz w:val="20"/>
          <w:szCs w:val="20"/>
          <w:lang w:eastAsia="en-GB"/>
        </w:rPr>
        <w:t>provides</w:t>
      </w:r>
      <w:proofErr w:type="spellEnd"/>
      <w:r w:rsidR="00EE617E" w:rsidRPr="00B318A4">
        <w:rPr>
          <w:i/>
          <w:sz w:val="20"/>
          <w:szCs w:val="20"/>
          <w:lang w:eastAsia="en-GB"/>
        </w:rPr>
        <w:t xml:space="preserve"> </w:t>
      </w:r>
      <w:proofErr w:type="spellStart"/>
      <w:r w:rsidR="00EE617E" w:rsidRPr="00B318A4">
        <w:rPr>
          <w:i/>
          <w:sz w:val="20"/>
          <w:szCs w:val="20"/>
          <w:lang w:eastAsia="en-GB"/>
        </w:rPr>
        <w:t>technical</w:t>
      </w:r>
      <w:proofErr w:type="spellEnd"/>
      <w:r w:rsidR="00EE617E" w:rsidRPr="00B318A4">
        <w:rPr>
          <w:i/>
          <w:sz w:val="20"/>
          <w:szCs w:val="20"/>
          <w:lang w:eastAsia="en-GB"/>
        </w:rPr>
        <w:t xml:space="preserve"> </w:t>
      </w:r>
      <w:proofErr w:type="spellStart"/>
      <w:r w:rsidR="00EE617E" w:rsidRPr="00B318A4">
        <w:rPr>
          <w:i/>
          <w:sz w:val="20"/>
          <w:szCs w:val="20"/>
          <w:lang w:eastAsia="en-GB"/>
        </w:rPr>
        <w:t>guidance</w:t>
      </w:r>
      <w:proofErr w:type="spellEnd"/>
      <w:r w:rsidR="00EE617E" w:rsidRPr="00B318A4">
        <w:rPr>
          <w:i/>
          <w:sz w:val="20"/>
          <w:szCs w:val="20"/>
          <w:lang w:eastAsia="en-GB"/>
        </w:rPr>
        <w:t xml:space="preserve"> </w:t>
      </w:r>
      <w:proofErr w:type="spellStart"/>
      <w:r w:rsidR="00EE617E">
        <w:rPr>
          <w:i/>
          <w:sz w:val="20"/>
          <w:szCs w:val="20"/>
          <w:lang w:eastAsia="en-GB"/>
        </w:rPr>
        <w:t>for</w:t>
      </w:r>
      <w:proofErr w:type="spellEnd"/>
      <w:r w:rsidR="00EE617E">
        <w:rPr>
          <w:i/>
          <w:sz w:val="20"/>
          <w:szCs w:val="20"/>
          <w:lang w:eastAsia="en-GB"/>
        </w:rPr>
        <w:t xml:space="preserve"> </w:t>
      </w:r>
      <w:proofErr w:type="spellStart"/>
      <w:r w:rsidR="00EE617E">
        <w:rPr>
          <w:i/>
          <w:sz w:val="20"/>
          <w:szCs w:val="20"/>
          <w:lang w:eastAsia="en-GB"/>
        </w:rPr>
        <w:t>colleagues</w:t>
      </w:r>
      <w:proofErr w:type="spellEnd"/>
      <w:r w:rsidR="00EE617E" w:rsidRPr="00B318A4">
        <w:rPr>
          <w:i/>
          <w:sz w:val="20"/>
          <w:szCs w:val="20"/>
          <w:lang w:eastAsia="en-GB"/>
        </w:rPr>
        <w:t xml:space="preserve"> and </w:t>
      </w:r>
      <w:proofErr w:type="spellStart"/>
      <w:r w:rsidR="00EE617E" w:rsidRPr="00B318A4">
        <w:rPr>
          <w:i/>
          <w:sz w:val="20"/>
          <w:szCs w:val="20"/>
          <w:lang w:eastAsia="en-GB"/>
        </w:rPr>
        <w:t>other</w:t>
      </w:r>
      <w:proofErr w:type="spellEnd"/>
      <w:r w:rsidR="00EE617E" w:rsidRPr="00B318A4">
        <w:rPr>
          <w:i/>
          <w:sz w:val="20"/>
          <w:szCs w:val="20"/>
          <w:lang w:eastAsia="en-GB"/>
        </w:rPr>
        <w:t xml:space="preserve"> </w:t>
      </w:r>
      <w:proofErr w:type="spellStart"/>
      <w:r w:rsidR="00EE617E" w:rsidRPr="00B318A4">
        <w:rPr>
          <w:i/>
          <w:sz w:val="20"/>
          <w:szCs w:val="20"/>
          <w:lang w:eastAsia="en-GB"/>
        </w:rPr>
        <w:t>bodies</w:t>
      </w:r>
      <w:proofErr w:type="spellEnd"/>
      <w:r w:rsidR="00EE617E" w:rsidRPr="00B318A4">
        <w:rPr>
          <w:i/>
          <w:sz w:val="20"/>
          <w:szCs w:val="20"/>
          <w:lang w:eastAsia="en-GB"/>
        </w:rPr>
        <w:t xml:space="preserve"> </w:t>
      </w:r>
      <w:proofErr w:type="spellStart"/>
      <w:r w:rsidR="00EE617E" w:rsidRPr="00B318A4">
        <w:rPr>
          <w:i/>
          <w:sz w:val="20"/>
          <w:szCs w:val="20"/>
          <w:lang w:eastAsia="en-GB"/>
        </w:rPr>
        <w:t>involved</w:t>
      </w:r>
      <w:proofErr w:type="spellEnd"/>
      <w:r w:rsidR="00EE617E" w:rsidRPr="00B318A4">
        <w:rPr>
          <w:i/>
          <w:sz w:val="20"/>
          <w:szCs w:val="20"/>
          <w:lang w:eastAsia="en-GB"/>
        </w:rPr>
        <w:t xml:space="preserve"> in </w:t>
      </w:r>
      <w:proofErr w:type="spellStart"/>
      <w:r w:rsidR="00EE617E" w:rsidRPr="00B318A4">
        <w:rPr>
          <w:i/>
          <w:sz w:val="20"/>
          <w:szCs w:val="20"/>
          <w:lang w:eastAsia="en-GB"/>
        </w:rPr>
        <w:t>the</w:t>
      </w:r>
      <w:proofErr w:type="spellEnd"/>
      <w:r w:rsidR="00EE617E" w:rsidRPr="00B318A4">
        <w:rPr>
          <w:i/>
          <w:sz w:val="20"/>
          <w:szCs w:val="20"/>
          <w:lang w:eastAsia="en-GB"/>
        </w:rPr>
        <w:t xml:space="preserve"> monitoring, </w:t>
      </w:r>
      <w:proofErr w:type="spellStart"/>
      <w:r w:rsidR="00EE617E" w:rsidRPr="00B318A4">
        <w:rPr>
          <w:i/>
          <w:sz w:val="20"/>
          <w:szCs w:val="20"/>
          <w:lang w:eastAsia="en-GB"/>
        </w:rPr>
        <w:t>control</w:t>
      </w:r>
      <w:proofErr w:type="spellEnd"/>
      <w:r w:rsidR="00EE617E" w:rsidRPr="00B318A4">
        <w:rPr>
          <w:i/>
          <w:sz w:val="20"/>
          <w:szCs w:val="20"/>
          <w:lang w:eastAsia="en-GB"/>
        </w:rPr>
        <w:t xml:space="preserve"> </w:t>
      </w:r>
      <w:proofErr w:type="spellStart"/>
      <w:r w:rsidR="00EE617E" w:rsidRPr="00B318A4">
        <w:rPr>
          <w:i/>
          <w:sz w:val="20"/>
          <w:szCs w:val="20"/>
          <w:lang w:eastAsia="en-GB"/>
        </w:rPr>
        <w:t>or</w:t>
      </w:r>
      <w:proofErr w:type="spellEnd"/>
      <w:r w:rsidR="00EE617E" w:rsidRPr="00B318A4">
        <w:rPr>
          <w:i/>
          <w:sz w:val="20"/>
          <w:szCs w:val="20"/>
          <w:lang w:eastAsia="en-GB"/>
        </w:rPr>
        <w:t xml:space="preserve"> </w:t>
      </w:r>
      <w:proofErr w:type="spellStart"/>
      <w:r w:rsidR="00EE617E" w:rsidRPr="00B318A4">
        <w:rPr>
          <w:i/>
          <w:sz w:val="20"/>
          <w:szCs w:val="20"/>
          <w:lang w:eastAsia="en-GB"/>
        </w:rPr>
        <w:t>implementation</w:t>
      </w:r>
      <w:proofErr w:type="spellEnd"/>
      <w:r w:rsidR="00EE617E" w:rsidRPr="00B318A4">
        <w:rPr>
          <w:i/>
          <w:sz w:val="20"/>
          <w:szCs w:val="20"/>
          <w:lang w:eastAsia="en-GB"/>
        </w:rPr>
        <w:t xml:space="preserve"> of </w:t>
      </w:r>
      <w:proofErr w:type="spellStart"/>
      <w:r w:rsidR="00EE617E" w:rsidRPr="00B318A4">
        <w:rPr>
          <w:i/>
          <w:sz w:val="20"/>
          <w:szCs w:val="20"/>
          <w:lang w:eastAsia="en-GB"/>
        </w:rPr>
        <w:t>the</w:t>
      </w:r>
      <w:proofErr w:type="spellEnd"/>
      <w:r w:rsidR="00EE617E" w:rsidRPr="00B318A4">
        <w:rPr>
          <w:i/>
          <w:sz w:val="20"/>
          <w:szCs w:val="20"/>
          <w:lang w:eastAsia="en-GB"/>
        </w:rPr>
        <w:t xml:space="preserve"> </w:t>
      </w:r>
      <w:r w:rsidR="00EE617E" w:rsidRPr="003C77C8">
        <w:rPr>
          <w:i/>
          <w:sz w:val="20"/>
        </w:rPr>
        <w:t xml:space="preserve">European </w:t>
      </w:r>
      <w:proofErr w:type="spellStart"/>
      <w:r w:rsidR="00EE617E" w:rsidRPr="003C77C8">
        <w:rPr>
          <w:i/>
          <w:sz w:val="20"/>
        </w:rPr>
        <w:t>Structural</w:t>
      </w:r>
      <w:proofErr w:type="spellEnd"/>
      <w:r w:rsidR="00EE617E" w:rsidRPr="003C77C8">
        <w:rPr>
          <w:i/>
          <w:sz w:val="20"/>
        </w:rPr>
        <w:t xml:space="preserve"> and </w:t>
      </w:r>
      <w:proofErr w:type="spellStart"/>
      <w:r w:rsidR="00EE617E" w:rsidRPr="003C77C8">
        <w:rPr>
          <w:i/>
          <w:sz w:val="20"/>
        </w:rPr>
        <w:t>Investment</w:t>
      </w:r>
      <w:proofErr w:type="spellEnd"/>
      <w:r w:rsidR="00EE617E" w:rsidRPr="003C77C8">
        <w:rPr>
          <w:i/>
          <w:sz w:val="20"/>
        </w:rPr>
        <w:t xml:space="preserve"> Funds</w:t>
      </w:r>
      <w:r w:rsidR="00EE617E" w:rsidRPr="00694FAB">
        <w:rPr>
          <w:i/>
          <w:sz w:val="20"/>
        </w:rPr>
        <w:t xml:space="preserve"> </w:t>
      </w:r>
      <w:r w:rsidR="00EE617E" w:rsidRPr="00B318A4">
        <w:rPr>
          <w:i/>
          <w:sz w:val="20"/>
          <w:szCs w:val="20"/>
          <w:lang w:eastAsia="en-GB"/>
        </w:rPr>
        <w:t xml:space="preserve">on </w:t>
      </w:r>
      <w:proofErr w:type="spellStart"/>
      <w:r w:rsidR="00EE617E" w:rsidRPr="00B318A4">
        <w:rPr>
          <w:i/>
          <w:sz w:val="20"/>
          <w:szCs w:val="20"/>
          <w:lang w:eastAsia="en-GB"/>
        </w:rPr>
        <w:t>how</w:t>
      </w:r>
      <w:proofErr w:type="spellEnd"/>
      <w:r w:rsidR="00EE617E" w:rsidRPr="00B318A4">
        <w:rPr>
          <w:i/>
          <w:sz w:val="20"/>
          <w:szCs w:val="20"/>
          <w:lang w:eastAsia="en-GB"/>
        </w:rPr>
        <w:t xml:space="preserve"> to interpret and </w:t>
      </w:r>
      <w:proofErr w:type="spellStart"/>
      <w:r w:rsidR="00EE617E" w:rsidRPr="00B318A4">
        <w:rPr>
          <w:i/>
          <w:sz w:val="20"/>
          <w:szCs w:val="20"/>
          <w:lang w:eastAsia="en-GB"/>
        </w:rPr>
        <w:t>apply</w:t>
      </w:r>
      <w:proofErr w:type="spellEnd"/>
      <w:r w:rsidR="00EE617E" w:rsidRPr="00B318A4">
        <w:rPr>
          <w:i/>
          <w:sz w:val="20"/>
          <w:szCs w:val="20"/>
          <w:lang w:eastAsia="en-GB"/>
        </w:rPr>
        <w:t xml:space="preserve"> </w:t>
      </w:r>
      <w:proofErr w:type="spellStart"/>
      <w:r w:rsidR="00EE617E" w:rsidRPr="00B318A4">
        <w:rPr>
          <w:i/>
          <w:sz w:val="20"/>
          <w:szCs w:val="20"/>
          <w:lang w:eastAsia="en-GB"/>
        </w:rPr>
        <w:t>the</w:t>
      </w:r>
      <w:proofErr w:type="spellEnd"/>
      <w:r w:rsidR="00EE617E" w:rsidRPr="00B318A4">
        <w:rPr>
          <w:i/>
          <w:sz w:val="20"/>
          <w:szCs w:val="20"/>
          <w:lang w:eastAsia="en-GB"/>
        </w:rPr>
        <w:t xml:space="preserve"> EU </w:t>
      </w:r>
      <w:proofErr w:type="spellStart"/>
      <w:r w:rsidR="00EE617E" w:rsidRPr="00B318A4">
        <w:rPr>
          <w:i/>
          <w:sz w:val="20"/>
          <w:szCs w:val="20"/>
          <w:lang w:eastAsia="en-GB"/>
        </w:rPr>
        <w:t>rules</w:t>
      </w:r>
      <w:proofErr w:type="spellEnd"/>
      <w:r w:rsidR="00EE617E" w:rsidRPr="00B318A4">
        <w:rPr>
          <w:i/>
          <w:sz w:val="20"/>
          <w:szCs w:val="20"/>
          <w:lang w:eastAsia="en-GB"/>
        </w:rPr>
        <w:t xml:space="preserve"> in </w:t>
      </w:r>
      <w:proofErr w:type="spellStart"/>
      <w:r w:rsidR="00EE617E" w:rsidRPr="00B318A4">
        <w:rPr>
          <w:i/>
          <w:sz w:val="20"/>
          <w:szCs w:val="20"/>
          <w:lang w:eastAsia="en-GB"/>
        </w:rPr>
        <w:t>this</w:t>
      </w:r>
      <w:proofErr w:type="spellEnd"/>
      <w:r w:rsidR="00EE617E" w:rsidRPr="00B318A4">
        <w:rPr>
          <w:i/>
          <w:sz w:val="20"/>
          <w:szCs w:val="20"/>
          <w:lang w:eastAsia="en-GB"/>
        </w:rPr>
        <w:t xml:space="preserve"> area. </w:t>
      </w:r>
      <w:proofErr w:type="spellStart"/>
      <w:r w:rsidR="00EE617E" w:rsidRPr="00B318A4">
        <w:rPr>
          <w:i/>
          <w:sz w:val="20"/>
          <w:szCs w:val="20"/>
          <w:lang w:eastAsia="en-GB"/>
        </w:rPr>
        <w:t>The</w:t>
      </w:r>
      <w:proofErr w:type="spellEnd"/>
      <w:r w:rsidR="00EE617E" w:rsidRPr="00B318A4">
        <w:rPr>
          <w:i/>
          <w:sz w:val="20"/>
          <w:szCs w:val="20"/>
          <w:lang w:eastAsia="en-GB"/>
        </w:rPr>
        <w:t xml:space="preserve"> </w:t>
      </w:r>
      <w:proofErr w:type="spellStart"/>
      <w:r w:rsidR="00EE617E" w:rsidRPr="00B318A4">
        <w:rPr>
          <w:i/>
          <w:sz w:val="20"/>
          <w:szCs w:val="20"/>
          <w:lang w:eastAsia="en-GB"/>
        </w:rPr>
        <w:t>aim</w:t>
      </w:r>
      <w:proofErr w:type="spellEnd"/>
      <w:r w:rsidR="00EE617E" w:rsidRPr="00B318A4">
        <w:rPr>
          <w:i/>
          <w:sz w:val="20"/>
          <w:szCs w:val="20"/>
          <w:lang w:eastAsia="en-GB"/>
        </w:rPr>
        <w:t xml:space="preserve"> of </w:t>
      </w:r>
      <w:proofErr w:type="spellStart"/>
      <w:r w:rsidR="00EE617E" w:rsidRPr="00B318A4">
        <w:rPr>
          <w:i/>
          <w:sz w:val="20"/>
          <w:szCs w:val="20"/>
          <w:lang w:eastAsia="en-GB"/>
        </w:rPr>
        <w:t>this</w:t>
      </w:r>
      <w:proofErr w:type="spellEnd"/>
      <w:r w:rsidR="00EE617E" w:rsidRPr="00B318A4">
        <w:rPr>
          <w:i/>
          <w:sz w:val="20"/>
          <w:szCs w:val="20"/>
          <w:lang w:eastAsia="en-GB"/>
        </w:rPr>
        <w:t xml:space="preserve"> </w:t>
      </w:r>
      <w:proofErr w:type="spellStart"/>
      <w:r w:rsidR="00EE617E" w:rsidRPr="00B318A4">
        <w:rPr>
          <w:i/>
          <w:sz w:val="20"/>
          <w:szCs w:val="20"/>
          <w:lang w:eastAsia="en-GB"/>
        </w:rPr>
        <w:t>document</w:t>
      </w:r>
      <w:proofErr w:type="spellEnd"/>
      <w:r w:rsidR="00EE617E" w:rsidRPr="00B318A4">
        <w:rPr>
          <w:i/>
          <w:sz w:val="20"/>
          <w:szCs w:val="20"/>
          <w:lang w:eastAsia="en-GB"/>
        </w:rPr>
        <w:t xml:space="preserve"> </w:t>
      </w:r>
      <w:proofErr w:type="spellStart"/>
      <w:r w:rsidR="00EE617E" w:rsidRPr="00B318A4">
        <w:rPr>
          <w:i/>
          <w:sz w:val="20"/>
          <w:szCs w:val="20"/>
          <w:lang w:eastAsia="en-GB"/>
        </w:rPr>
        <w:t>is</w:t>
      </w:r>
      <w:proofErr w:type="spellEnd"/>
      <w:r w:rsidR="00EE617E" w:rsidRPr="00B318A4">
        <w:rPr>
          <w:i/>
          <w:sz w:val="20"/>
          <w:szCs w:val="20"/>
          <w:lang w:eastAsia="en-GB"/>
        </w:rPr>
        <w:t xml:space="preserve"> to </w:t>
      </w:r>
      <w:proofErr w:type="spellStart"/>
      <w:r w:rsidR="00EE617E" w:rsidRPr="00B318A4">
        <w:rPr>
          <w:i/>
          <w:sz w:val="20"/>
          <w:szCs w:val="20"/>
          <w:lang w:eastAsia="en-GB"/>
        </w:rPr>
        <w:t>provide</w:t>
      </w:r>
      <w:proofErr w:type="spellEnd"/>
      <w:r w:rsidR="00EE617E" w:rsidRPr="00B318A4">
        <w:rPr>
          <w:i/>
          <w:sz w:val="20"/>
          <w:szCs w:val="20"/>
          <w:lang w:eastAsia="en-GB"/>
        </w:rPr>
        <w:t xml:space="preserve"> Commission </w:t>
      </w:r>
      <w:proofErr w:type="spellStart"/>
      <w:r w:rsidR="00EE617E" w:rsidRPr="00B318A4">
        <w:rPr>
          <w:i/>
          <w:sz w:val="20"/>
          <w:szCs w:val="20"/>
          <w:lang w:eastAsia="en-GB"/>
        </w:rPr>
        <w:t>services</w:t>
      </w:r>
      <w:proofErr w:type="spellEnd"/>
      <w:r w:rsidR="00EE617E" w:rsidRPr="00B318A4">
        <w:rPr>
          <w:i/>
          <w:sz w:val="20"/>
          <w:szCs w:val="20"/>
          <w:lang w:eastAsia="en-GB"/>
        </w:rPr>
        <w:t xml:space="preserve">' </w:t>
      </w:r>
      <w:proofErr w:type="spellStart"/>
      <w:r w:rsidR="00EE617E" w:rsidRPr="00B318A4">
        <w:rPr>
          <w:i/>
          <w:sz w:val="20"/>
          <w:szCs w:val="20"/>
          <w:lang w:eastAsia="en-GB"/>
        </w:rPr>
        <w:t>explanations</w:t>
      </w:r>
      <w:proofErr w:type="spellEnd"/>
      <w:r w:rsidR="00EE617E" w:rsidRPr="00B318A4">
        <w:rPr>
          <w:i/>
          <w:sz w:val="20"/>
          <w:szCs w:val="20"/>
          <w:lang w:eastAsia="en-GB"/>
        </w:rPr>
        <w:t xml:space="preserve"> and </w:t>
      </w:r>
      <w:proofErr w:type="spellStart"/>
      <w:r w:rsidR="00EE617E" w:rsidRPr="00B318A4">
        <w:rPr>
          <w:i/>
          <w:sz w:val="20"/>
          <w:szCs w:val="20"/>
          <w:lang w:eastAsia="en-GB"/>
        </w:rPr>
        <w:t>interpretations</w:t>
      </w:r>
      <w:proofErr w:type="spellEnd"/>
      <w:r w:rsidR="00EE617E" w:rsidRPr="00B318A4">
        <w:rPr>
          <w:i/>
          <w:sz w:val="20"/>
          <w:szCs w:val="20"/>
          <w:lang w:eastAsia="en-GB"/>
        </w:rPr>
        <w:t xml:space="preserve"> of </w:t>
      </w:r>
      <w:proofErr w:type="spellStart"/>
      <w:r w:rsidR="00EE617E" w:rsidRPr="00B318A4">
        <w:rPr>
          <w:i/>
          <w:sz w:val="20"/>
          <w:szCs w:val="20"/>
          <w:lang w:eastAsia="en-GB"/>
        </w:rPr>
        <w:t>the</w:t>
      </w:r>
      <w:proofErr w:type="spellEnd"/>
      <w:r w:rsidR="00EE617E" w:rsidRPr="00B318A4">
        <w:rPr>
          <w:i/>
          <w:sz w:val="20"/>
          <w:szCs w:val="20"/>
          <w:lang w:eastAsia="en-GB"/>
        </w:rPr>
        <w:t xml:space="preserve"> </w:t>
      </w:r>
      <w:proofErr w:type="spellStart"/>
      <w:r w:rsidR="00EE617E" w:rsidRPr="00B318A4">
        <w:rPr>
          <w:i/>
          <w:sz w:val="20"/>
          <w:szCs w:val="20"/>
          <w:lang w:eastAsia="en-GB"/>
        </w:rPr>
        <w:t>said</w:t>
      </w:r>
      <w:proofErr w:type="spellEnd"/>
      <w:r w:rsidR="00EE617E" w:rsidRPr="00B318A4">
        <w:rPr>
          <w:i/>
          <w:sz w:val="20"/>
          <w:szCs w:val="20"/>
          <w:lang w:eastAsia="en-GB"/>
        </w:rPr>
        <w:t xml:space="preserve"> </w:t>
      </w:r>
      <w:proofErr w:type="spellStart"/>
      <w:r w:rsidR="00EE617E" w:rsidRPr="00B318A4">
        <w:rPr>
          <w:i/>
          <w:sz w:val="20"/>
          <w:szCs w:val="20"/>
          <w:lang w:eastAsia="en-GB"/>
        </w:rPr>
        <w:t>rules</w:t>
      </w:r>
      <w:proofErr w:type="spellEnd"/>
      <w:r w:rsidR="00EE617E" w:rsidRPr="00B318A4">
        <w:rPr>
          <w:i/>
          <w:sz w:val="20"/>
          <w:szCs w:val="20"/>
          <w:lang w:eastAsia="en-GB"/>
        </w:rPr>
        <w:t xml:space="preserve"> in </w:t>
      </w:r>
      <w:proofErr w:type="spellStart"/>
      <w:r w:rsidR="00EE617E" w:rsidRPr="00B318A4">
        <w:rPr>
          <w:i/>
          <w:sz w:val="20"/>
          <w:szCs w:val="20"/>
          <w:lang w:eastAsia="en-GB"/>
        </w:rPr>
        <w:t>order</w:t>
      </w:r>
      <w:proofErr w:type="spellEnd"/>
      <w:r w:rsidR="00EE617E" w:rsidRPr="00B318A4">
        <w:rPr>
          <w:i/>
          <w:sz w:val="20"/>
          <w:szCs w:val="20"/>
          <w:lang w:eastAsia="en-GB"/>
        </w:rPr>
        <w:t xml:space="preserve"> to </w:t>
      </w:r>
      <w:proofErr w:type="spellStart"/>
      <w:r w:rsidR="00EE617E" w:rsidRPr="00B318A4">
        <w:rPr>
          <w:i/>
          <w:sz w:val="20"/>
          <w:szCs w:val="20"/>
          <w:lang w:eastAsia="en-GB"/>
        </w:rPr>
        <w:t>facilitate</w:t>
      </w:r>
      <w:proofErr w:type="spellEnd"/>
      <w:r w:rsidR="00EE617E" w:rsidRPr="00B318A4">
        <w:rPr>
          <w:i/>
          <w:sz w:val="20"/>
          <w:szCs w:val="20"/>
          <w:lang w:eastAsia="en-GB"/>
        </w:rPr>
        <w:t xml:space="preserve"> </w:t>
      </w:r>
      <w:proofErr w:type="spellStart"/>
      <w:r w:rsidR="00EE617E" w:rsidRPr="00B318A4">
        <w:rPr>
          <w:i/>
          <w:sz w:val="20"/>
          <w:szCs w:val="20"/>
          <w:lang w:eastAsia="en-GB"/>
        </w:rPr>
        <w:t>the</w:t>
      </w:r>
      <w:proofErr w:type="spellEnd"/>
      <w:r w:rsidR="00EE617E" w:rsidRPr="00B318A4">
        <w:rPr>
          <w:i/>
          <w:sz w:val="20"/>
          <w:szCs w:val="20"/>
          <w:lang w:eastAsia="en-GB"/>
        </w:rPr>
        <w:t xml:space="preserve"> </w:t>
      </w:r>
      <w:proofErr w:type="spellStart"/>
      <w:r w:rsidR="00EE617E">
        <w:rPr>
          <w:i/>
          <w:sz w:val="20"/>
          <w:szCs w:val="20"/>
          <w:lang w:eastAsia="en-GB"/>
        </w:rPr>
        <w:t>programmes</w:t>
      </w:r>
      <w:proofErr w:type="spellEnd"/>
      <w:r w:rsidR="00EE617E">
        <w:rPr>
          <w:i/>
          <w:sz w:val="20"/>
          <w:szCs w:val="20"/>
          <w:lang w:eastAsia="en-GB"/>
        </w:rPr>
        <w:t xml:space="preserve">' </w:t>
      </w:r>
      <w:proofErr w:type="spellStart"/>
      <w:r w:rsidR="00EE617E" w:rsidRPr="00B318A4">
        <w:rPr>
          <w:i/>
          <w:sz w:val="20"/>
          <w:szCs w:val="20"/>
          <w:lang w:eastAsia="en-GB"/>
        </w:rPr>
        <w:t>implementation</w:t>
      </w:r>
      <w:proofErr w:type="spellEnd"/>
      <w:r w:rsidR="00EE617E" w:rsidRPr="00B318A4">
        <w:rPr>
          <w:i/>
          <w:sz w:val="20"/>
          <w:szCs w:val="20"/>
          <w:lang w:eastAsia="en-GB"/>
        </w:rPr>
        <w:t xml:space="preserve"> and to </w:t>
      </w:r>
      <w:proofErr w:type="spellStart"/>
      <w:r w:rsidR="00EE617E" w:rsidRPr="00B318A4">
        <w:rPr>
          <w:i/>
          <w:sz w:val="20"/>
          <w:szCs w:val="20"/>
          <w:lang w:eastAsia="en-GB"/>
        </w:rPr>
        <w:t>encourage</w:t>
      </w:r>
      <w:proofErr w:type="spellEnd"/>
      <w:r w:rsidR="00EE617E" w:rsidRPr="00B318A4">
        <w:rPr>
          <w:i/>
          <w:sz w:val="20"/>
          <w:szCs w:val="20"/>
          <w:lang w:eastAsia="en-GB"/>
        </w:rPr>
        <w:t xml:space="preserve"> </w:t>
      </w:r>
      <w:proofErr w:type="spellStart"/>
      <w:r w:rsidR="00EE617E" w:rsidRPr="00B318A4">
        <w:rPr>
          <w:i/>
          <w:sz w:val="20"/>
          <w:szCs w:val="20"/>
          <w:lang w:eastAsia="en-GB"/>
        </w:rPr>
        <w:t>good</w:t>
      </w:r>
      <w:proofErr w:type="spellEnd"/>
      <w:r w:rsidR="00EE617E" w:rsidRPr="00B318A4">
        <w:rPr>
          <w:i/>
          <w:sz w:val="20"/>
          <w:szCs w:val="20"/>
          <w:lang w:eastAsia="en-GB"/>
        </w:rPr>
        <w:t xml:space="preserve"> </w:t>
      </w:r>
      <w:proofErr w:type="spellStart"/>
      <w:r w:rsidR="00EE617E" w:rsidRPr="00B318A4">
        <w:rPr>
          <w:i/>
          <w:sz w:val="20"/>
          <w:szCs w:val="20"/>
          <w:lang w:eastAsia="en-GB"/>
        </w:rPr>
        <w:t>practice</w:t>
      </w:r>
      <w:proofErr w:type="spellEnd"/>
      <w:r w:rsidR="00EE617E" w:rsidRPr="00B318A4">
        <w:rPr>
          <w:i/>
          <w:sz w:val="20"/>
          <w:szCs w:val="20"/>
          <w:lang w:eastAsia="en-GB"/>
        </w:rPr>
        <w:t xml:space="preserve">(s). </w:t>
      </w:r>
      <w:proofErr w:type="spellStart"/>
      <w:r w:rsidR="00EE617E">
        <w:rPr>
          <w:i/>
          <w:sz w:val="20"/>
          <w:szCs w:val="20"/>
          <w:lang w:eastAsia="en-GB"/>
        </w:rPr>
        <w:t>T</w:t>
      </w:r>
      <w:r w:rsidR="00EE617E" w:rsidRPr="00B318A4">
        <w:rPr>
          <w:i/>
          <w:sz w:val="20"/>
          <w:szCs w:val="20"/>
          <w:lang w:eastAsia="en-GB"/>
        </w:rPr>
        <w:t>his</w:t>
      </w:r>
      <w:proofErr w:type="spellEnd"/>
      <w:r w:rsidR="00EE617E" w:rsidRPr="00B318A4">
        <w:rPr>
          <w:i/>
          <w:sz w:val="20"/>
          <w:szCs w:val="20"/>
          <w:lang w:eastAsia="en-GB"/>
        </w:rPr>
        <w:t xml:space="preserve"> </w:t>
      </w:r>
      <w:proofErr w:type="spellStart"/>
      <w:r w:rsidR="00EE617E" w:rsidRPr="00B318A4">
        <w:rPr>
          <w:i/>
          <w:sz w:val="20"/>
          <w:szCs w:val="20"/>
          <w:lang w:eastAsia="en-GB"/>
        </w:rPr>
        <w:t>guidance</w:t>
      </w:r>
      <w:proofErr w:type="spellEnd"/>
      <w:r w:rsidR="00EE617E" w:rsidRPr="00B318A4">
        <w:rPr>
          <w:i/>
          <w:sz w:val="20"/>
          <w:szCs w:val="20"/>
          <w:lang w:eastAsia="en-GB"/>
        </w:rPr>
        <w:t xml:space="preserve"> </w:t>
      </w:r>
      <w:proofErr w:type="spellStart"/>
      <w:r w:rsidR="00EE617E" w:rsidRPr="00B318A4">
        <w:rPr>
          <w:i/>
          <w:sz w:val="20"/>
          <w:szCs w:val="20"/>
          <w:lang w:eastAsia="en-GB"/>
        </w:rPr>
        <w:t>is</w:t>
      </w:r>
      <w:proofErr w:type="spellEnd"/>
      <w:r w:rsidR="00EE617E" w:rsidRPr="00B318A4">
        <w:rPr>
          <w:i/>
          <w:sz w:val="20"/>
          <w:szCs w:val="20"/>
          <w:lang w:eastAsia="en-GB"/>
        </w:rPr>
        <w:t xml:space="preserve"> </w:t>
      </w:r>
      <w:proofErr w:type="spellStart"/>
      <w:r w:rsidR="00EE617E" w:rsidRPr="00B318A4">
        <w:rPr>
          <w:i/>
          <w:sz w:val="20"/>
          <w:szCs w:val="20"/>
          <w:lang w:eastAsia="en-GB"/>
        </w:rPr>
        <w:t>without</w:t>
      </w:r>
      <w:proofErr w:type="spellEnd"/>
      <w:r w:rsidR="00EE617E" w:rsidRPr="00B318A4">
        <w:rPr>
          <w:i/>
          <w:sz w:val="20"/>
          <w:szCs w:val="20"/>
          <w:lang w:eastAsia="en-GB"/>
        </w:rPr>
        <w:t xml:space="preserve"> prejudice to </w:t>
      </w:r>
      <w:proofErr w:type="spellStart"/>
      <w:r w:rsidR="00EE617E" w:rsidRPr="00B318A4">
        <w:rPr>
          <w:i/>
          <w:sz w:val="20"/>
          <w:szCs w:val="20"/>
          <w:lang w:eastAsia="en-GB"/>
        </w:rPr>
        <w:t>the</w:t>
      </w:r>
      <w:proofErr w:type="spellEnd"/>
      <w:r w:rsidR="00EE617E" w:rsidRPr="00B318A4">
        <w:rPr>
          <w:i/>
          <w:sz w:val="20"/>
          <w:szCs w:val="20"/>
          <w:lang w:eastAsia="en-GB"/>
        </w:rPr>
        <w:t xml:space="preserve"> </w:t>
      </w:r>
      <w:proofErr w:type="spellStart"/>
      <w:r w:rsidR="00EE617E" w:rsidRPr="00B318A4">
        <w:rPr>
          <w:i/>
          <w:sz w:val="20"/>
          <w:szCs w:val="20"/>
          <w:lang w:eastAsia="en-GB"/>
        </w:rPr>
        <w:t>interpretation</w:t>
      </w:r>
      <w:proofErr w:type="spellEnd"/>
      <w:r w:rsidR="00EE617E" w:rsidRPr="00B318A4">
        <w:rPr>
          <w:i/>
          <w:sz w:val="20"/>
          <w:szCs w:val="20"/>
          <w:lang w:eastAsia="en-GB"/>
        </w:rPr>
        <w:t xml:space="preserve"> of </w:t>
      </w:r>
      <w:proofErr w:type="spellStart"/>
      <w:r w:rsidR="00EE617E" w:rsidRPr="00B318A4">
        <w:rPr>
          <w:i/>
          <w:sz w:val="20"/>
          <w:szCs w:val="20"/>
          <w:lang w:eastAsia="en-GB"/>
        </w:rPr>
        <w:t>the</w:t>
      </w:r>
      <w:proofErr w:type="spellEnd"/>
      <w:r w:rsidR="00EE617E" w:rsidRPr="00B318A4">
        <w:rPr>
          <w:i/>
          <w:sz w:val="20"/>
          <w:szCs w:val="20"/>
          <w:lang w:eastAsia="en-GB"/>
        </w:rPr>
        <w:t xml:space="preserve"> </w:t>
      </w:r>
      <w:proofErr w:type="spellStart"/>
      <w:r w:rsidR="00EE617E" w:rsidRPr="00B318A4">
        <w:rPr>
          <w:i/>
          <w:sz w:val="20"/>
          <w:szCs w:val="20"/>
          <w:lang w:eastAsia="en-GB"/>
        </w:rPr>
        <w:t>Court</w:t>
      </w:r>
      <w:proofErr w:type="spellEnd"/>
      <w:r w:rsidR="00EE617E" w:rsidRPr="00B318A4">
        <w:rPr>
          <w:i/>
          <w:sz w:val="20"/>
          <w:szCs w:val="20"/>
          <w:lang w:eastAsia="en-GB"/>
        </w:rPr>
        <w:t xml:space="preserve"> of Justice and </w:t>
      </w:r>
      <w:proofErr w:type="spellStart"/>
      <w:r w:rsidR="00EE617E" w:rsidRPr="00B318A4">
        <w:rPr>
          <w:i/>
          <w:sz w:val="20"/>
          <w:szCs w:val="20"/>
          <w:lang w:eastAsia="en-GB"/>
        </w:rPr>
        <w:t>the</w:t>
      </w:r>
      <w:proofErr w:type="spellEnd"/>
      <w:r w:rsidR="00EE617E" w:rsidRPr="00B318A4">
        <w:rPr>
          <w:i/>
          <w:sz w:val="20"/>
          <w:szCs w:val="20"/>
          <w:lang w:eastAsia="en-GB"/>
        </w:rPr>
        <w:t xml:space="preserve"> General </w:t>
      </w:r>
      <w:proofErr w:type="spellStart"/>
      <w:r w:rsidR="00EE617E" w:rsidRPr="00B318A4">
        <w:rPr>
          <w:i/>
          <w:sz w:val="20"/>
          <w:szCs w:val="20"/>
          <w:lang w:eastAsia="en-GB"/>
        </w:rPr>
        <w:t>Court</w:t>
      </w:r>
      <w:proofErr w:type="spellEnd"/>
      <w:r w:rsidR="00EE617E" w:rsidRPr="00B318A4">
        <w:rPr>
          <w:i/>
          <w:sz w:val="20"/>
          <w:szCs w:val="20"/>
          <w:lang w:eastAsia="en-GB"/>
        </w:rPr>
        <w:t xml:space="preserve"> </w:t>
      </w:r>
      <w:proofErr w:type="spellStart"/>
      <w:r w:rsidR="00EE617E" w:rsidRPr="00B318A4">
        <w:rPr>
          <w:i/>
          <w:sz w:val="20"/>
          <w:szCs w:val="20"/>
          <w:lang w:eastAsia="en-GB"/>
        </w:rPr>
        <w:t>or</w:t>
      </w:r>
      <w:proofErr w:type="spellEnd"/>
      <w:r w:rsidR="00EE617E" w:rsidRPr="00B318A4">
        <w:rPr>
          <w:i/>
          <w:sz w:val="20"/>
          <w:szCs w:val="20"/>
          <w:lang w:eastAsia="en-GB"/>
        </w:rPr>
        <w:t xml:space="preserve"> </w:t>
      </w:r>
      <w:proofErr w:type="spellStart"/>
      <w:r w:rsidR="00EE617E" w:rsidRPr="00B318A4">
        <w:rPr>
          <w:i/>
          <w:sz w:val="20"/>
          <w:szCs w:val="20"/>
          <w:lang w:eastAsia="en-GB"/>
        </w:rPr>
        <w:t>decisions</w:t>
      </w:r>
      <w:proofErr w:type="spellEnd"/>
      <w:r w:rsidR="00EE617E" w:rsidRPr="00B318A4">
        <w:rPr>
          <w:i/>
          <w:sz w:val="20"/>
          <w:szCs w:val="20"/>
          <w:lang w:eastAsia="en-GB"/>
        </w:rPr>
        <w:t xml:space="preserve"> of </w:t>
      </w:r>
      <w:proofErr w:type="spellStart"/>
      <w:r w:rsidR="00EE617E" w:rsidRPr="00B318A4">
        <w:rPr>
          <w:i/>
          <w:sz w:val="20"/>
          <w:szCs w:val="20"/>
          <w:lang w:eastAsia="en-GB"/>
        </w:rPr>
        <w:t>the</w:t>
      </w:r>
      <w:proofErr w:type="spellEnd"/>
      <w:r w:rsidR="00EE617E" w:rsidRPr="00B318A4">
        <w:rPr>
          <w:i/>
          <w:sz w:val="20"/>
          <w:szCs w:val="20"/>
          <w:lang w:eastAsia="en-GB"/>
        </w:rPr>
        <w:t xml:space="preserve"> Commission."</w:t>
      </w:r>
    </w:p>
    <w:p w:rsidR="00F357A5" w:rsidRDefault="00EE617E" w:rsidP="00F41281">
      <w:pPr>
        <w:spacing w:line="276" w:lineRule="auto"/>
        <w:jc w:val="center"/>
        <w:rPr>
          <w:noProof/>
        </w:rPr>
      </w:pPr>
      <w:r>
        <w:rPr>
          <w:rFonts w:eastAsia="Calibri"/>
          <w:b/>
          <w:lang w:val="en-GB" w:eastAsia="en-US"/>
        </w:rPr>
        <w:br w:type="page"/>
      </w:r>
      <w:r w:rsidR="00F41281">
        <w:fldChar w:fldCharType="begin"/>
      </w:r>
      <w:r w:rsidR="00F41281">
        <w:instrText xml:space="preserve"> TOC \o "1-3" \h \z \u </w:instrText>
      </w:r>
      <w:r w:rsidR="00F41281">
        <w:fldChar w:fldCharType="separate"/>
      </w:r>
    </w:p>
    <w:p w:rsidR="00F357A5" w:rsidRDefault="00610CD3">
      <w:pPr>
        <w:pStyle w:val="TOC1"/>
        <w:rPr>
          <w:rFonts w:asciiTheme="minorHAnsi" w:eastAsiaTheme="minorEastAsia" w:hAnsiTheme="minorHAnsi" w:cstheme="minorBidi"/>
          <w:b w:val="0"/>
          <w:sz w:val="22"/>
          <w:szCs w:val="22"/>
          <w:lang w:val="en-GB" w:eastAsia="en-GB"/>
        </w:rPr>
      </w:pPr>
      <w:hyperlink w:anchor="_Toc420863605" w:history="1">
        <w:r w:rsidR="00F357A5" w:rsidRPr="00020E77">
          <w:rPr>
            <w:rStyle w:val="Hyperlink"/>
            <w:rFonts w:ascii="Times New Roman Bold" w:hAnsi="Times New Roman Bold"/>
            <w:smallCaps/>
          </w:rPr>
          <w:t>I. Background</w:t>
        </w:r>
        <w:r w:rsidR="00F357A5">
          <w:rPr>
            <w:webHidden/>
          </w:rPr>
          <w:tab/>
        </w:r>
        <w:r w:rsidR="00F357A5">
          <w:rPr>
            <w:webHidden/>
          </w:rPr>
          <w:fldChar w:fldCharType="begin"/>
        </w:r>
        <w:r w:rsidR="00F357A5">
          <w:rPr>
            <w:webHidden/>
          </w:rPr>
          <w:instrText xml:space="preserve"> PAGEREF _Toc420863605 \h </w:instrText>
        </w:r>
        <w:r w:rsidR="00F357A5">
          <w:rPr>
            <w:webHidden/>
          </w:rPr>
        </w:r>
        <w:r w:rsidR="00F357A5">
          <w:rPr>
            <w:webHidden/>
          </w:rPr>
          <w:fldChar w:fldCharType="separate"/>
        </w:r>
        <w:r w:rsidR="0037619F">
          <w:rPr>
            <w:webHidden/>
          </w:rPr>
          <w:t>4</w:t>
        </w:r>
        <w:r w:rsidR="00F357A5">
          <w:rPr>
            <w:webHidden/>
          </w:rPr>
          <w:fldChar w:fldCharType="end"/>
        </w:r>
      </w:hyperlink>
    </w:p>
    <w:p w:rsidR="00F357A5" w:rsidRDefault="00610CD3">
      <w:pPr>
        <w:pStyle w:val="TOC2"/>
        <w:rPr>
          <w:rFonts w:asciiTheme="minorHAnsi" w:eastAsiaTheme="minorEastAsia" w:hAnsiTheme="minorHAnsi" w:cstheme="minorBidi"/>
          <w:noProof/>
          <w:lang w:val="en-GB" w:eastAsia="en-GB"/>
        </w:rPr>
      </w:pPr>
      <w:hyperlink w:anchor="_Toc420863606" w:history="1">
        <w:r w:rsidR="00F357A5" w:rsidRPr="00020E77">
          <w:rPr>
            <w:rStyle w:val="Hyperlink"/>
            <w:rFonts w:ascii="Times New Roman" w:hAnsi="Times New Roman"/>
            <w:noProof/>
          </w:rPr>
          <w:t>1. Regulatory references</w:t>
        </w:r>
        <w:r w:rsidR="00F357A5">
          <w:rPr>
            <w:noProof/>
            <w:webHidden/>
          </w:rPr>
          <w:tab/>
        </w:r>
        <w:r w:rsidR="00F357A5">
          <w:rPr>
            <w:noProof/>
            <w:webHidden/>
          </w:rPr>
          <w:fldChar w:fldCharType="begin"/>
        </w:r>
        <w:r w:rsidR="00F357A5">
          <w:rPr>
            <w:noProof/>
            <w:webHidden/>
          </w:rPr>
          <w:instrText xml:space="preserve"> PAGEREF _Toc420863606 \h </w:instrText>
        </w:r>
        <w:r w:rsidR="00F357A5">
          <w:rPr>
            <w:noProof/>
            <w:webHidden/>
          </w:rPr>
        </w:r>
        <w:r w:rsidR="00F357A5">
          <w:rPr>
            <w:noProof/>
            <w:webHidden/>
          </w:rPr>
          <w:fldChar w:fldCharType="separate"/>
        </w:r>
        <w:r w:rsidR="0037619F">
          <w:rPr>
            <w:noProof/>
            <w:webHidden/>
          </w:rPr>
          <w:t>4</w:t>
        </w:r>
        <w:r w:rsidR="00F357A5">
          <w:rPr>
            <w:noProof/>
            <w:webHidden/>
          </w:rPr>
          <w:fldChar w:fldCharType="end"/>
        </w:r>
      </w:hyperlink>
    </w:p>
    <w:p w:rsidR="00F357A5" w:rsidRDefault="00610CD3">
      <w:pPr>
        <w:pStyle w:val="TOC2"/>
        <w:rPr>
          <w:rFonts w:asciiTheme="minorHAnsi" w:eastAsiaTheme="minorEastAsia" w:hAnsiTheme="minorHAnsi" w:cstheme="minorBidi"/>
          <w:noProof/>
          <w:lang w:val="en-GB" w:eastAsia="en-GB"/>
        </w:rPr>
      </w:pPr>
      <w:hyperlink w:anchor="_Toc420863607" w:history="1">
        <w:r w:rsidR="00F357A5" w:rsidRPr="00020E77">
          <w:rPr>
            <w:rStyle w:val="Hyperlink"/>
            <w:rFonts w:ascii="Times New Roman" w:hAnsi="Times New Roman"/>
            <w:noProof/>
          </w:rPr>
          <w:t>2. Purpose of the guidance</w:t>
        </w:r>
        <w:r w:rsidR="00F357A5">
          <w:rPr>
            <w:noProof/>
            <w:webHidden/>
          </w:rPr>
          <w:tab/>
        </w:r>
        <w:r w:rsidR="00F357A5">
          <w:rPr>
            <w:noProof/>
            <w:webHidden/>
          </w:rPr>
          <w:fldChar w:fldCharType="begin"/>
        </w:r>
        <w:r w:rsidR="00F357A5">
          <w:rPr>
            <w:noProof/>
            <w:webHidden/>
          </w:rPr>
          <w:instrText xml:space="preserve"> PAGEREF _Toc420863607 \h </w:instrText>
        </w:r>
        <w:r w:rsidR="00F357A5">
          <w:rPr>
            <w:noProof/>
            <w:webHidden/>
          </w:rPr>
        </w:r>
        <w:r w:rsidR="00F357A5">
          <w:rPr>
            <w:noProof/>
            <w:webHidden/>
          </w:rPr>
          <w:fldChar w:fldCharType="separate"/>
        </w:r>
        <w:r w:rsidR="0037619F">
          <w:rPr>
            <w:noProof/>
            <w:webHidden/>
          </w:rPr>
          <w:t>4</w:t>
        </w:r>
        <w:r w:rsidR="00F357A5">
          <w:rPr>
            <w:noProof/>
            <w:webHidden/>
          </w:rPr>
          <w:fldChar w:fldCharType="end"/>
        </w:r>
      </w:hyperlink>
    </w:p>
    <w:p w:rsidR="00F357A5" w:rsidRDefault="00610CD3">
      <w:pPr>
        <w:pStyle w:val="TOC1"/>
        <w:rPr>
          <w:rFonts w:asciiTheme="minorHAnsi" w:eastAsiaTheme="minorEastAsia" w:hAnsiTheme="minorHAnsi" w:cstheme="minorBidi"/>
          <w:b w:val="0"/>
          <w:sz w:val="22"/>
          <w:szCs w:val="22"/>
          <w:lang w:val="en-GB" w:eastAsia="en-GB"/>
        </w:rPr>
      </w:pPr>
      <w:hyperlink w:anchor="_Toc420863608" w:history="1">
        <w:r w:rsidR="00F357A5" w:rsidRPr="00020E77">
          <w:rPr>
            <w:rStyle w:val="Hyperlink"/>
            <w:rFonts w:ascii="Times New Roman Bold" w:hAnsi="Times New Roman Bold"/>
            <w:smallCaps/>
          </w:rPr>
          <w:t>II. Guidance</w:t>
        </w:r>
        <w:r w:rsidR="00F357A5">
          <w:rPr>
            <w:webHidden/>
          </w:rPr>
          <w:tab/>
        </w:r>
        <w:r w:rsidR="00F357A5">
          <w:rPr>
            <w:webHidden/>
          </w:rPr>
          <w:fldChar w:fldCharType="begin"/>
        </w:r>
        <w:r w:rsidR="00F357A5">
          <w:rPr>
            <w:webHidden/>
          </w:rPr>
          <w:instrText xml:space="preserve"> PAGEREF _Toc420863608 \h </w:instrText>
        </w:r>
        <w:r w:rsidR="00F357A5">
          <w:rPr>
            <w:webHidden/>
          </w:rPr>
        </w:r>
        <w:r w:rsidR="00F357A5">
          <w:rPr>
            <w:webHidden/>
          </w:rPr>
          <w:fldChar w:fldCharType="separate"/>
        </w:r>
        <w:r w:rsidR="0037619F">
          <w:rPr>
            <w:webHidden/>
          </w:rPr>
          <w:t>4</w:t>
        </w:r>
        <w:r w:rsidR="00F357A5">
          <w:rPr>
            <w:webHidden/>
          </w:rPr>
          <w:fldChar w:fldCharType="end"/>
        </w:r>
      </w:hyperlink>
    </w:p>
    <w:p w:rsidR="00F357A5" w:rsidRDefault="00610CD3">
      <w:pPr>
        <w:pStyle w:val="TOC2"/>
        <w:rPr>
          <w:rFonts w:asciiTheme="minorHAnsi" w:eastAsiaTheme="minorEastAsia" w:hAnsiTheme="minorHAnsi" w:cstheme="minorBidi"/>
          <w:noProof/>
          <w:lang w:val="en-GB" w:eastAsia="en-GB"/>
        </w:rPr>
      </w:pPr>
      <w:hyperlink w:anchor="_Toc420863609" w:history="1">
        <w:r w:rsidR="00F357A5" w:rsidRPr="00020E77">
          <w:rPr>
            <w:rStyle w:val="Hyperlink"/>
            <w:rFonts w:ascii="Times New Roman" w:hAnsi="Times New Roman"/>
            <w:noProof/>
          </w:rPr>
          <w:t>1.</w:t>
        </w:r>
        <w:r w:rsidR="00F357A5">
          <w:rPr>
            <w:rFonts w:asciiTheme="minorHAnsi" w:eastAsiaTheme="minorEastAsia" w:hAnsiTheme="minorHAnsi" w:cstheme="minorBidi"/>
            <w:noProof/>
            <w:lang w:val="en-GB" w:eastAsia="en-GB"/>
          </w:rPr>
          <w:tab/>
        </w:r>
        <w:r w:rsidR="00F357A5" w:rsidRPr="00020E77">
          <w:rPr>
            <w:rStyle w:val="Hyperlink"/>
            <w:rFonts w:ascii="Times New Roman" w:hAnsi="Times New Roman"/>
            <w:noProof/>
          </w:rPr>
          <w:t>The Management Declaration</w:t>
        </w:r>
        <w:r w:rsidR="00F357A5">
          <w:rPr>
            <w:noProof/>
            <w:webHidden/>
          </w:rPr>
          <w:tab/>
        </w:r>
        <w:r w:rsidR="00F357A5">
          <w:rPr>
            <w:noProof/>
            <w:webHidden/>
          </w:rPr>
          <w:fldChar w:fldCharType="begin"/>
        </w:r>
        <w:r w:rsidR="00F357A5">
          <w:rPr>
            <w:noProof/>
            <w:webHidden/>
          </w:rPr>
          <w:instrText xml:space="preserve"> PAGEREF _Toc420863609 \h </w:instrText>
        </w:r>
        <w:r w:rsidR="00F357A5">
          <w:rPr>
            <w:noProof/>
            <w:webHidden/>
          </w:rPr>
        </w:r>
        <w:r w:rsidR="00F357A5">
          <w:rPr>
            <w:noProof/>
            <w:webHidden/>
          </w:rPr>
          <w:fldChar w:fldCharType="separate"/>
        </w:r>
        <w:r w:rsidR="0037619F">
          <w:rPr>
            <w:noProof/>
            <w:webHidden/>
          </w:rPr>
          <w:t>4</w:t>
        </w:r>
        <w:r w:rsidR="00F357A5">
          <w:rPr>
            <w:noProof/>
            <w:webHidden/>
          </w:rPr>
          <w:fldChar w:fldCharType="end"/>
        </w:r>
      </w:hyperlink>
    </w:p>
    <w:p w:rsidR="00F357A5" w:rsidRDefault="00610CD3">
      <w:pPr>
        <w:pStyle w:val="TOC2"/>
        <w:rPr>
          <w:rFonts w:asciiTheme="minorHAnsi" w:eastAsiaTheme="minorEastAsia" w:hAnsiTheme="minorHAnsi" w:cstheme="minorBidi"/>
          <w:noProof/>
          <w:lang w:val="en-GB" w:eastAsia="en-GB"/>
        </w:rPr>
      </w:pPr>
      <w:hyperlink w:anchor="_Toc420863610" w:history="1">
        <w:r w:rsidR="00F357A5" w:rsidRPr="00020E77">
          <w:rPr>
            <w:rStyle w:val="Hyperlink"/>
            <w:rFonts w:ascii="Times New Roman" w:hAnsi="Times New Roman" w:cs="Times New Roman"/>
            <w:noProof/>
            <w:lang w:val="en"/>
          </w:rPr>
          <w:t>1.1 The MA shall draw up a management declaration declaring that:</w:t>
        </w:r>
        <w:r w:rsidR="00F357A5">
          <w:rPr>
            <w:noProof/>
            <w:webHidden/>
          </w:rPr>
          <w:tab/>
        </w:r>
        <w:r w:rsidR="00F357A5">
          <w:rPr>
            <w:noProof/>
            <w:webHidden/>
          </w:rPr>
          <w:fldChar w:fldCharType="begin"/>
        </w:r>
        <w:r w:rsidR="00F357A5">
          <w:rPr>
            <w:noProof/>
            <w:webHidden/>
          </w:rPr>
          <w:instrText xml:space="preserve"> PAGEREF _Toc420863610 \h </w:instrText>
        </w:r>
        <w:r w:rsidR="00F357A5">
          <w:rPr>
            <w:noProof/>
            <w:webHidden/>
          </w:rPr>
        </w:r>
        <w:r w:rsidR="00F357A5">
          <w:rPr>
            <w:noProof/>
            <w:webHidden/>
          </w:rPr>
          <w:fldChar w:fldCharType="separate"/>
        </w:r>
        <w:r w:rsidR="0037619F">
          <w:rPr>
            <w:noProof/>
            <w:webHidden/>
          </w:rPr>
          <w:t>5</w:t>
        </w:r>
        <w:r w:rsidR="00F357A5">
          <w:rPr>
            <w:noProof/>
            <w:webHidden/>
          </w:rPr>
          <w:fldChar w:fldCharType="end"/>
        </w:r>
      </w:hyperlink>
    </w:p>
    <w:p w:rsidR="00F357A5" w:rsidRDefault="00610CD3">
      <w:pPr>
        <w:pStyle w:val="TOC2"/>
        <w:rPr>
          <w:rFonts w:asciiTheme="minorHAnsi" w:eastAsiaTheme="minorEastAsia" w:hAnsiTheme="minorHAnsi" w:cstheme="minorBidi"/>
          <w:noProof/>
          <w:lang w:val="en-GB" w:eastAsia="en-GB"/>
        </w:rPr>
      </w:pPr>
      <w:hyperlink w:anchor="_Toc420863611" w:history="1">
        <w:r w:rsidR="00F357A5" w:rsidRPr="00020E77">
          <w:rPr>
            <w:rStyle w:val="Hyperlink"/>
            <w:rFonts w:ascii="Times New Roman" w:hAnsi="Times New Roman" w:cs="Times New Roman"/>
            <w:noProof/>
            <w:lang w:val="en"/>
          </w:rPr>
          <w:t>1.1</w:t>
        </w:r>
        <w:r w:rsidR="002B63B6">
          <w:rPr>
            <w:rStyle w:val="Hyperlink"/>
            <w:rFonts w:ascii="Times New Roman" w:hAnsi="Times New Roman" w:cs="Times New Roman"/>
            <w:noProof/>
            <w:lang w:val="en"/>
          </w:rPr>
          <w:t>.1</w:t>
        </w:r>
        <w:r w:rsidR="00F357A5" w:rsidRPr="00020E77">
          <w:rPr>
            <w:rStyle w:val="Hyperlink"/>
            <w:rFonts w:ascii="Times New Roman" w:hAnsi="Times New Roman" w:cs="Times New Roman"/>
            <w:noProof/>
            <w:lang w:val="en"/>
          </w:rPr>
          <w:t xml:space="preserve"> </w:t>
        </w:r>
        <w:r w:rsidR="00F357A5" w:rsidRPr="00020E77">
          <w:rPr>
            <w:rStyle w:val="Hyperlink"/>
            <w:rFonts w:ascii="Times New Roman" w:hAnsi="Times New Roman" w:cs="Times New Roman"/>
            <w:noProof/>
            <w:lang w:val="en-GB"/>
          </w:rPr>
          <w:t>The information in the accounts is properly presented, complete and accurate in accordance with Article 137(1) of the CPR</w:t>
        </w:r>
        <w:r w:rsidR="00F357A5">
          <w:rPr>
            <w:noProof/>
            <w:webHidden/>
          </w:rPr>
          <w:tab/>
        </w:r>
        <w:r w:rsidR="00F357A5">
          <w:rPr>
            <w:noProof/>
            <w:webHidden/>
          </w:rPr>
          <w:fldChar w:fldCharType="begin"/>
        </w:r>
        <w:r w:rsidR="00F357A5">
          <w:rPr>
            <w:noProof/>
            <w:webHidden/>
          </w:rPr>
          <w:instrText xml:space="preserve"> PAGEREF _Toc420863611 \h </w:instrText>
        </w:r>
        <w:r w:rsidR="00F357A5">
          <w:rPr>
            <w:noProof/>
            <w:webHidden/>
          </w:rPr>
        </w:r>
        <w:r w:rsidR="00F357A5">
          <w:rPr>
            <w:noProof/>
            <w:webHidden/>
          </w:rPr>
          <w:fldChar w:fldCharType="separate"/>
        </w:r>
        <w:r w:rsidR="0037619F">
          <w:rPr>
            <w:noProof/>
            <w:webHidden/>
          </w:rPr>
          <w:t>5</w:t>
        </w:r>
        <w:r w:rsidR="00F357A5">
          <w:rPr>
            <w:noProof/>
            <w:webHidden/>
          </w:rPr>
          <w:fldChar w:fldCharType="end"/>
        </w:r>
      </w:hyperlink>
    </w:p>
    <w:p w:rsidR="00F357A5" w:rsidRDefault="00610CD3">
      <w:pPr>
        <w:pStyle w:val="TOC2"/>
        <w:rPr>
          <w:rFonts w:asciiTheme="minorHAnsi" w:eastAsiaTheme="minorEastAsia" w:hAnsiTheme="minorHAnsi" w:cstheme="minorBidi"/>
          <w:noProof/>
          <w:lang w:val="en-GB" w:eastAsia="en-GB"/>
        </w:rPr>
      </w:pPr>
      <w:hyperlink w:anchor="_Toc420863612" w:history="1">
        <w:r w:rsidR="00F357A5" w:rsidRPr="00020E77">
          <w:rPr>
            <w:rStyle w:val="Hyperlink"/>
            <w:rFonts w:ascii="Times New Roman" w:hAnsi="Times New Roman" w:cs="Times New Roman"/>
            <w:noProof/>
            <w:lang w:val="en"/>
          </w:rPr>
          <w:t>1.</w:t>
        </w:r>
        <w:r w:rsidR="002B63B6">
          <w:rPr>
            <w:rStyle w:val="Hyperlink"/>
            <w:rFonts w:ascii="Times New Roman" w:hAnsi="Times New Roman" w:cs="Times New Roman"/>
            <w:noProof/>
            <w:lang w:val="en"/>
          </w:rPr>
          <w:t>.1.</w:t>
        </w:r>
        <w:r w:rsidR="00F357A5" w:rsidRPr="00020E77">
          <w:rPr>
            <w:rStyle w:val="Hyperlink"/>
            <w:rFonts w:ascii="Times New Roman" w:hAnsi="Times New Roman" w:cs="Times New Roman"/>
            <w:noProof/>
            <w:lang w:val="en"/>
          </w:rPr>
          <w:t>2 The expenditure entered in the accounts was used for its intended purpose, as defined in the CPR, and in accordance with the principle of sound financial management</w:t>
        </w:r>
        <w:r w:rsidR="00F357A5">
          <w:rPr>
            <w:noProof/>
            <w:webHidden/>
          </w:rPr>
          <w:tab/>
        </w:r>
        <w:r w:rsidR="00F357A5">
          <w:rPr>
            <w:noProof/>
            <w:webHidden/>
          </w:rPr>
          <w:fldChar w:fldCharType="begin"/>
        </w:r>
        <w:r w:rsidR="00F357A5">
          <w:rPr>
            <w:noProof/>
            <w:webHidden/>
          </w:rPr>
          <w:instrText xml:space="preserve"> PAGEREF _Toc420863612 \h </w:instrText>
        </w:r>
        <w:r w:rsidR="00F357A5">
          <w:rPr>
            <w:noProof/>
            <w:webHidden/>
          </w:rPr>
        </w:r>
        <w:r w:rsidR="00F357A5">
          <w:rPr>
            <w:noProof/>
            <w:webHidden/>
          </w:rPr>
          <w:fldChar w:fldCharType="separate"/>
        </w:r>
        <w:r w:rsidR="0037619F">
          <w:rPr>
            <w:noProof/>
            <w:webHidden/>
          </w:rPr>
          <w:t>5</w:t>
        </w:r>
        <w:r w:rsidR="00F357A5">
          <w:rPr>
            <w:noProof/>
            <w:webHidden/>
          </w:rPr>
          <w:fldChar w:fldCharType="end"/>
        </w:r>
      </w:hyperlink>
    </w:p>
    <w:p w:rsidR="00F357A5" w:rsidRDefault="00610CD3">
      <w:pPr>
        <w:pStyle w:val="TOC2"/>
        <w:rPr>
          <w:rFonts w:asciiTheme="minorHAnsi" w:eastAsiaTheme="minorEastAsia" w:hAnsiTheme="minorHAnsi" w:cstheme="minorBidi"/>
          <w:noProof/>
          <w:lang w:val="en-GB" w:eastAsia="en-GB"/>
        </w:rPr>
      </w:pPr>
      <w:hyperlink w:anchor="_Toc420863613" w:history="1">
        <w:r w:rsidR="00F357A5" w:rsidRPr="00020E77">
          <w:rPr>
            <w:rStyle w:val="Hyperlink"/>
            <w:rFonts w:ascii="Times New Roman" w:hAnsi="Times New Roman" w:cs="Times New Roman"/>
            <w:noProof/>
            <w:lang w:val="en"/>
          </w:rPr>
          <w:t>1.</w:t>
        </w:r>
        <w:r w:rsidR="002B63B6">
          <w:rPr>
            <w:rStyle w:val="Hyperlink"/>
            <w:rFonts w:ascii="Times New Roman" w:hAnsi="Times New Roman" w:cs="Times New Roman"/>
            <w:noProof/>
            <w:lang w:val="en"/>
          </w:rPr>
          <w:t>.1.</w:t>
        </w:r>
        <w:r w:rsidR="00F357A5" w:rsidRPr="00020E77">
          <w:rPr>
            <w:rStyle w:val="Hyperlink"/>
            <w:rFonts w:ascii="Times New Roman" w:hAnsi="Times New Roman" w:cs="Times New Roman"/>
            <w:noProof/>
            <w:lang w:val="en"/>
          </w:rPr>
          <w:t>3 The MCS put in place for the operational programme gives the necessary guarantees concerning the legality and regularity of the underlying transactions, in conformity with the applicable law</w:t>
        </w:r>
        <w:r w:rsidR="00F357A5">
          <w:rPr>
            <w:noProof/>
            <w:webHidden/>
          </w:rPr>
          <w:tab/>
        </w:r>
        <w:r w:rsidR="00F357A5">
          <w:rPr>
            <w:noProof/>
            <w:webHidden/>
          </w:rPr>
          <w:fldChar w:fldCharType="begin"/>
        </w:r>
        <w:r w:rsidR="00F357A5">
          <w:rPr>
            <w:noProof/>
            <w:webHidden/>
          </w:rPr>
          <w:instrText xml:space="preserve"> PAGEREF _Toc420863613 \h </w:instrText>
        </w:r>
        <w:r w:rsidR="00F357A5">
          <w:rPr>
            <w:noProof/>
            <w:webHidden/>
          </w:rPr>
        </w:r>
        <w:r w:rsidR="00F357A5">
          <w:rPr>
            <w:noProof/>
            <w:webHidden/>
          </w:rPr>
          <w:fldChar w:fldCharType="separate"/>
        </w:r>
        <w:r w:rsidR="0037619F">
          <w:rPr>
            <w:noProof/>
            <w:webHidden/>
          </w:rPr>
          <w:t>6</w:t>
        </w:r>
        <w:r w:rsidR="00F357A5">
          <w:rPr>
            <w:noProof/>
            <w:webHidden/>
          </w:rPr>
          <w:fldChar w:fldCharType="end"/>
        </w:r>
      </w:hyperlink>
    </w:p>
    <w:p w:rsidR="00F357A5" w:rsidRDefault="00610CD3">
      <w:pPr>
        <w:pStyle w:val="TOC2"/>
        <w:rPr>
          <w:rFonts w:asciiTheme="minorHAnsi" w:eastAsiaTheme="minorEastAsia" w:hAnsiTheme="minorHAnsi" w:cstheme="minorBidi"/>
          <w:noProof/>
          <w:lang w:val="en-GB" w:eastAsia="en-GB"/>
        </w:rPr>
      </w:pPr>
      <w:hyperlink w:anchor="_Toc420863614" w:history="1">
        <w:r w:rsidR="00F357A5" w:rsidRPr="00020E77">
          <w:rPr>
            <w:rStyle w:val="Hyperlink"/>
            <w:rFonts w:ascii="Times New Roman" w:hAnsi="Times New Roman" w:cs="Times New Roman"/>
            <w:noProof/>
            <w:lang w:val="en"/>
          </w:rPr>
          <w:t>1.2 The MA also confirms in the management declaration that:</w:t>
        </w:r>
        <w:r w:rsidR="00F357A5">
          <w:rPr>
            <w:noProof/>
            <w:webHidden/>
          </w:rPr>
          <w:tab/>
        </w:r>
        <w:r w:rsidR="00F357A5">
          <w:rPr>
            <w:noProof/>
            <w:webHidden/>
          </w:rPr>
          <w:fldChar w:fldCharType="begin"/>
        </w:r>
        <w:r w:rsidR="00F357A5">
          <w:rPr>
            <w:noProof/>
            <w:webHidden/>
          </w:rPr>
          <w:instrText xml:space="preserve"> PAGEREF _Toc420863614 \h </w:instrText>
        </w:r>
        <w:r w:rsidR="00F357A5">
          <w:rPr>
            <w:noProof/>
            <w:webHidden/>
          </w:rPr>
        </w:r>
        <w:r w:rsidR="00F357A5">
          <w:rPr>
            <w:noProof/>
            <w:webHidden/>
          </w:rPr>
          <w:fldChar w:fldCharType="separate"/>
        </w:r>
        <w:r w:rsidR="0037619F">
          <w:rPr>
            <w:noProof/>
            <w:webHidden/>
          </w:rPr>
          <w:t>7</w:t>
        </w:r>
        <w:r w:rsidR="00F357A5">
          <w:rPr>
            <w:noProof/>
            <w:webHidden/>
          </w:rPr>
          <w:fldChar w:fldCharType="end"/>
        </w:r>
      </w:hyperlink>
    </w:p>
    <w:p w:rsidR="00F357A5" w:rsidRDefault="00610CD3">
      <w:pPr>
        <w:pStyle w:val="TOC2"/>
        <w:rPr>
          <w:rFonts w:asciiTheme="minorHAnsi" w:eastAsiaTheme="minorEastAsia" w:hAnsiTheme="minorHAnsi" w:cstheme="minorBidi"/>
          <w:noProof/>
          <w:lang w:val="en-GB" w:eastAsia="en-GB"/>
        </w:rPr>
      </w:pPr>
      <w:hyperlink w:anchor="_Toc420863615" w:history="1">
        <w:r w:rsidR="00F357A5" w:rsidRPr="00020E77">
          <w:rPr>
            <w:rStyle w:val="Hyperlink"/>
            <w:rFonts w:ascii="Times New Roman" w:hAnsi="Times New Roman" w:cs="Times New Roman"/>
            <w:noProof/>
            <w:lang w:val="en"/>
          </w:rPr>
          <w:t>1.2.1 Irregularities identified in final audit or control reports in relation to the accounting year and reported in the annual summary attached to the management declaration have been appropriately treated in the accounts</w:t>
        </w:r>
        <w:r w:rsidR="00F357A5">
          <w:rPr>
            <w:noProof/>
            <w:webHidden/>
          </w:rPr>
          <w:tab/>
        </w:r>
        <w:r w:rsidR="00F357A5">
          <w:rPr>
            <w:noProof/>
            <w:webHidden/>
          </w:rPr>
          <w:fldChar w:fldCharType="begin"/>
        </w:r>
        <w:r w:rsidR="00F357A5">
          <w:rPr>
            <w:noProof/>
            <w:webHidden/>
          </w:rPr>
          <w:instrText xml:space="preserve"> PAGEREF _Toc420863615 \h </w:instrText>
        </w:r>
        <w:r w:rsidR="00F357A5">
          <w:rPr>
            <w:noProof/>
            <w:webHidden/>
          </w:rPr>
        </w:r>
        <w:r w:rsidR="00F357A5">
          <w:rPr>
            <w:noProof/>
            <w:webHidden/>
          </w:rPr>
          <w:fldChar w:fldCharType="separate"/>
        </w:r>
        <w:r w:rsidR="0037619F">
          <w:rPr>
            <w:noProof/>
            <w:webHidden/>
          </w:rPr>
          <w:t>7</w:t>
        </w:r>
        <w:r w:rsidR="00F357A5">
          <w:rPr>
            <w:noProof/>
            <w:webHidden/>
          </w:rPr>
          <w:fldChar w:fldCharType="end"/>
        </w:r>
      </w:hyperlink>
    </w:p>
    <w:p w:rsidR="00F357A5" w:rsidRDefault="00610CD3">
      <w:pPr>
        <w:pStyle w:val="TOC2"/>
        <w:rPr>
          <w:rFonts w:asciiTheme="minorHAnsi" w:eastAsiaTheme="minorEastAsia" w:hAnsiTheme="minorHAnsi" w:cstheme="minorBidi"/>
          <w:noProof/>
          <w:lang w:val="en-GB" w:eastAsia="en-GB"/>
        </w:rPr>
      </w:pPr>
      <w:hyperlink w:anchor="_Toc420863616" w:history="1">
        <w:r w:rsidR="00F357A5" w:rsidRPr="00020E77">
          <w:rPr>
            <w:rStyle w:val="Hyperlink"/>
            <w:rFonts w:ascii="Times New Roman" w:hAnsi="Times New Roman" w:cs="Times New Roman"/>
            <w:noProof/>
            <w:lang w:val="en"/>
          </w:rPr>
          <w:t>1.</w:t>
        </w:r>
        <w:r w:rsidR="00C86EEA">
          <w:rPr>
            <w:rStyle w:val="Hyperlink"/>
            <w:rFonts w:ascii="Times New Roman" w:hAnsi="Times New Roman" w:cs="Times New Roman"/>
            <w:noProof/>
            <w:lang w:val="en"/>
          </w:rPr>
          <w:t>3</w:t>
        </w:r>
        <w:r w:rsidR="00F357A5" w:rsidRPr="00020E77">
          <w:rPr>
            <w:rStyle w:val="Hyperlink"/>
            <w:rFonts w:ascii="Times New Roman" w:hAnsi="Times New Roman" w:cs="Times New Roman"/>
            <w:noProof/>
            <w:lang w:val="en"/>
          </w:rPr>
          <w:t xml:space="preserve"> Expenditure which is subject to an ongoing assessment of its legality and regularity has been excluded from the accounts, </w:t>
        </w:r>
        <w:r w:rsidR="00F357A5" w:rsidRPr="00020E77">
          <w:rPr>
            <w:rStyle w:val="Hyperlink"/>
            <w:rFonts w:ascii="Times New Roman" w:hAnsi="Times New Roman" w:cs="Times New Roman"/>
            <w:noProof/>
            <w:lang w:val="en-GB"/>
          </w:rPr>
          <w:t>pending conclusion of the assessment</w:t>
        </w:r>
        <w:r w:rsidR="00F357A5">
          <w:rPr>
            <w:noProof/>
            <w:webHidden/>
          </w:rPr>
          <w:tab/>
        </w:r>
        <w:r w:rsidR="00F357A5">
          <w:rPr>
            <w:noProof/>
            <w:webHidden/>
          </w:rPr>
          <w:fldChar w:fldCharType="begin"/>
        </w:r>
        <w:r w:rsidR="00F357A5">
          <w:rPr>
            <w:noProof/>
            <w:webHidden/>
          </w:rPr>
          <w:instrText xml:space="preserve"> PAGEREF _Toc420863616 \h </w:instrText>
        </w:r>
        <w:r w:rsidR="00F357A5">
          <w:rPr>
            <w:noProof/>
            <w:webHidden/>
          </w:rPr>
        </w:r>
        <w:r w:rsidR="00F357A5">
          <w:rPr>
            <w:noProof/>
            <w:webHidden/>
          </w:rPr>
          <w:fldChar w:fldCharType="separate"/>
        </w:r>
        <w:r w:rsidR="0037619F">
          <w:rPr>
            <w:noProof/>
            <w:webHidden/>
          </w:rPr>
          <w:t>8</w:t>
        </w:r>
        <w:r w:rsidR="00F357A5">
          <w:rPr>
            <w:noProof/>
            <w:webHidden/>
          </w:rPr>
          <w:fldChar w:fldCharType="end"/>
        </w:r>
      </w:hyperlink>
    </w:p>
    <w:p w:rsidR="00F357A5" w:rsidRDefault="00610CD3">
      <w:pPr>
        <w:pStyle w:val="TOC2"/>
        <w:rPr>
          <w:rFonts w:asciiTheme="minorHAnsi" w:eastAsiaTheme="minorEastAsia" w:hAnsiTheme="minorHAnsi" w:cstheme="minorBidi"/>
          <w:noProof/>
          <w:lang w:val="en-GB" w:eastAsia="en-GB"/>
        </w:rPr>
      </w:pPr>
      <w:hyperlink w:anchor="_Toc420863617" w:history="1">
        <w:r w:rsidR="00F357A5" w:rsidRPr="00020E77">
          <w:rPr>
            <w:rStyle w:val="Hyperlink"/>
            <w:rFonts w:ascii="Times New Roman" w:hAnsi="Times New Roman" w:cs="Times New Roman"/>
            <w:noProof/>
            <w:lang w:val="en"/>
          </w:rPr>
          <w:t>1.</w:t>
        </w:r>
        <w:r w:rsidR="00C86EEA">
          <w:rPr>
            <w:rStyle w:val="Hyperlink"/>
            <w:rFonts w:ascii="Times New Roman" w:hAnsi="Times New Roman" w:cs="Times New Roman"/>
            <w:noProof/>
            <w:lang w:val="en"/>
          </w:rPr>
          <w:t>4</w:t>
        </w:r>
        <w:r w:rsidR="00F357A5" w:rsidRPr="00020E77">
          <w:rPr>
            <w:rStyle w:val="Hyperlink"/>
            <w:rFonts w:ascii="Times New Roman" w:hAnsi="Times New Roman" w:cs="Times New Roman"/>
            <w:noProof/>
            <w:lang w:val="en"/>
          </w:rPr>
          <w:t xml:space="preserve"> Data relating to indicators, milestones and the progress of the operational programme required under Article 125(2)(a) is reliable</w:t>
        </w:r>
        <w:r w:rsidR="00F357A5">
          <w:rPr>
            <w:noProof/>
            <w:webHidden/>
          </w:rPr>
          <w:tab/>
        </w:r>
        <w:r w:rsidR="00F357A5">
          <w:rPr>
            <w:noProof/>
            <w:webHidden/>
          </w:rPr>
          <w:fldChar w:fldCharType="begin"/>
        </w:r>
        <w:r w:rsidR="00F357A5">
          <w:rPr>
            <w:noProof/>
            <w:webHidden/>
          </w:rPr>
          <w:instrText xml:space="preserve"> PAGEREF _Toc420863617 \h </w:instrText>
        </w:r>
        <w:r w:rsidR="00F357A5">
          <w:rPr>
            <w:noProof/>
            <w:webHidden/>
          </w:rPr>
        </w:r>
        <w:r w:rsidR="00F357A5">
          <w:rPr>
            <w:noProof/>
            <w:webHidden/>
          </w:rPr>
          <w:fldChar w:fldCharType="separate"/>
        </w:r>
        <w:r w:rsidR="0037619F">
          <w:rPr>
            <w:noProof/>
            <w:webHidden/>
          </w:rPr>
          <w:t>8</w:t>
        </w:r>
        <w:r w:rsidR="00F357A5">
          <w:rPr>
            <w:noProof/>
            <w:webHidden/>
          </w:rPr>
          <w:fldChar w:fldCharType="end"/>
        </w:r>
      </w:hyperlink>
    </w:p>
    <w:p w:rsidR="00F357A5" w:rsidRDefault="00610CD3">
      <w:pPr>
        <w:pStyle w:val="TOC2"/>
        <w:rPr>
          <w:rFonts w:asciiTheme="minorHAnsi" w:eastAsiaTheme="minorEastAsia" w:hAnsiTheme="minorHAnsi" w:cstheme="minorBidi"/>
          <w:noProof/>
          <w:lang w:val="en-GB" w:eastAsia="en-GB"/>
        </w:rPr>
      </w:pPr>
      <w:hyperlink w:anchor="_Toc420863618" w:history="1">
        <w:r w:rsidR="00F357A5" w:rsidRPr="00020E77">
          <w:rPr>
            <w:rStyle w:val="Hyperlink"/>
            <w:rFonts w:ascii="Times New Roman" w:hAnsi="Times New Roman" w:cs="Times New Roman"/>
            <w:noProof/>
            <w:lang w:val="en"/>
          </w:rPr>
          <w:t>1.</w:t>
        </w:r>
        <w:r w:rsidR="00C86EEA">
          <w:rPr>
            <w:rStyle w:val="Hyperlink"/>
            <w:rFonts w:ascii="Times New Roman" w:hAnsi="Times New Roman" w:cs="Times New Roman"/>
            <w:noProof/>
            <w:lang w:val="en"/>
          </w:rPr>
          <w:t>5</w:t>
        </w:r>
        <w:r w:rsidR="00F357A5" w:rsidRPr="00020E77">
          <w:rPr>
            <w:rStyle w:val="Hyperlink"/>
            <w:rFonts w:ascii="Times New Roman" w:hAnsi="Times New Roman" w:cs="Times New Roman"/>
            <w:noProof/>
            <w:lang w:val="en"/>
          </w:rPr>
          <w:t xml:space="preserve"> Effective and proportionate anti-fraud measures are in place and take account of the risks identified</w:t>
        </w:r>
        <w:r w:rsidR="00F357A5">
          <w:rPr>
            <w:noProof/>
            <w:webHidden/>
          </w:rPr>
          <w:tab/>
        </w:r>
        <w:r w:rsidR="00F357A5">
          <w:rPr>
            <w:noProof/>
            <w:webHidden/>
          </w:rPr>
          <w:fldChar w:fldCharType="begin"/>
        </w:r>
        <w:r w:rsidR="00F357A5">
          <w:rPr>
            <w:noProof/>
            <w:webHidden/>
          </w:rPr>
          <w:instrText xml:space="preserve"> PAGEREF _Toc420863618 \h </w:instrText>
        </w:r>
        <w:r w:rsidR="00F357A5">
          <w:rPr>
            <w:noProof/>
            <w:webHidden/>
          </w:rPr>
        </w:r>
        <w:r w:rsidR="00F357A5">
          <w:rPr>
            <w:noProof/>
            <w:webHidden/>
          </w:rPr>
          <w:fldChar w:fldCharType="separate"/>
        </w:r>
        <w:r w:rsidR="0037619F">
          <w:rPr>
            <w:noProof/>
            <w:webHidden/>
          </w:rPr>
          <w:t>9</w:t>
        </w:r>
        <w:r w:rsidR="00F357A5">
          <w:rPr>
            <w:noProof/>
            <w:webHidden/>
          </w:rPr>
          <w:fldChar w:fldCharType="end"/>
        </w:r>
      </w:hyperlink>
    </w:p>
    <w:p w:rsidR="00F357A5" w:rsidRDefault="00610CD3">
      <w:pPr>
        <w:pStyle w:val="TOC2"/>
        <w:rPr>
          <w:rFonts w:asciiTheme="minorHAnsi" w:eastAsiaTheme="minorEastAsia" w:hAnsiTheme="minorHAnsi" w:cstheme="minorBidi"/>
          <w:noProof/>
          <w:lang w:val="en-GB" w:eastAsia="en-GB"/>
        </w:rPr>
      </w:pPr>
      <w:hyperlink w:anchor="_Toc420863619" w:history="1">
        <w:r w:rsidR="00F357A5" w:rsidRPr="00020E77">
          <w:rPr>
            <w:rStyle w:val="Hyperlink"/>
            <w:rFonts w:ascii="Times New Roman" w:hAnsi="Times New Roman" w:cs="Times New Roman"/>
            <w:noProof/>
            <w:lang w:val="en"/>
          </w:rPr>
          <w:t>1.</w:t>
        </w:r>
        <w:r w:rsidR="00C86EEA">
          <w:rPr>
            <w:rStyle w:val="Hyperlink"/>
            <w:rFonts w:ascii="Times New Roman" w:hAnsi="Times New Roman" w:cs="Times New Roman"/>
            <w:noProof/>
            <w:lang w:val="en"/>
          </w:rPr>
          <w:t>6</w:t>
        </w:r>
        <w:r w:rsidR="00F357A5" w:rsidRPr="00020E77">
          <w:rPr>
            <w:rStyle w:val="Hyperlink"/>
            <w:rFonts w:ascii="Times New Roman" w:hAnsi="Times New Roman" w:cs="Times New Roman"/>
            <w:noProof/>
            <w:lang w:val="en"/>
          </w:rPr>
          <w:t xml:space="preserve"> There is no undisclosed matter which could be damaging to the reputation of the cohesion policy</w:t>
        </w:r>
        <w:r w:rsidR="00F357A5">
          <w:rPr>
            <w:noProof/>
            <w:webHidden/>
          </w:rPr>
          <w:tab/>
        </w:r>
        <w:r w:rsidR="00F357A5">
          <w:rPr>
            <w:noProof/>
            <w:webHidden/>
          </w:rPr>
          <w:fldChar w:fldCharType="begin"/>
        </w:r>
        <w:r w:rsidR="00F357A5">
          <w:rPr>
            <w:noProof/>
            <w:webHidden/>
          </w:rPr>
          <w:instrText xml:space="preserve"> PAGEREF _Toc420863619 \h </w:instrText>
        </w:r>
        <w:r w:rsidR="00F357A5">
          <w:rPr>
            <w:noProof/>
            <w:webHidden/>
          </w:rPr>
        </w:r>
        <w:r w:rsidR="00F357A5">
          <w:rPr>
            <w:noProof/>
            <w:webHidden/>
          </w:rPr>
          <w:fldChar w:fldCharType="separate"/>
        </w:r>
        <w:r w:rsidR="0037619F">
          <w:rPr>
            <w:noProof/>
            <w:webHidden/>
          </w:rPr>
          <w:t>9</w:t>
        </w:r>
        <w:r w:rsidR="00F357A5">
          <w:rPr>
            <w:noProof/>
            <w:webHidden/>
          </w:rPr>
          <w:fldChar w:fldCharType="end"/>
        </w:r>
      </w:hyperlink>
    </w:p>
    <w:p w:rsidR="00F357A5" w:rsidRDefault="00610CD3">
      <w:pPr>
        <w:pStyle w:val="TOC2"/>
        <w:rPr>
          <w:rFonts w:asciiTheme="minorHAnsi" w:eastAsiaTheme="minorEastAsia" w:hAnsiTheme="minorHAnsi" w:cstheme="minorBidi"/>
          <w:noProof/>
          <w:lang w:val="en-GB" w:eastAsia="en-GB"/>
        </w:rPr>
      </w:pPr>
      <w:hyperlink w:anchor="_Toc420863620" w:history="1">
        <w:r w:rsidR="00F357A5" w:rsidRPr="00020E77">
          <w:rPr>
            <w:rStyle w:val="Hyperlink"/>
            <w:rFonts w:ascii="Times New Roman" w:hAnsi="Times New Roman"/>
            <w:noProof/>
          </w:rPr>
          <w:t>2.</w:t>
        </w:r>
        <w:r w:rsidR="00F357A5">
          <w:rPr>
            <w:rFonts w:asciiTheme="minorHAnsi" w:eastAsiaTheme="minorEastAsia" w:hAnsiTheme="minorHAnsi" w:cstheme="minorBidi"/>
            <w:noProof/>
            <w:lang w:val="en-GB" w:eastAsia="en-GB"/>
          </w:rPr>
          <w:tab/>
        </w:r>
        <w:r w:rsidR="00F357A5" w:rsidRPr="00020E77">
          <w:rPr>
            <w:rStyle w:val="Hyperlink"/>
            <w:rFonts w:ascii="Times New Roman" w:hAnsi="Times New Roman"/>
            <w:noProof/>
          </w:rPr>
          <w:t>The Annual Summary</w:t>
        </w:r>
        <w:r w:rsidR="00F357A5">
          <w:rPr>
            <w:noProof/>
            <w:webHidden/>
          </w:rPr>
          <w:tab/>
        </w:r>
        <w:r w:rsidR="00F357A5">
          <w:rPr>
            <w:noProof/>
            <w:webHidden/>
          </w:rPr>
          <w:fldChar w:fldCharType="begin"/>
        </w:r>
        <w:r w:rsidR="00F357A5">
          <w:rPr>
            <w:noProof/>
            <w:webHidden/>
          </w:rPr>
          <w:instrText xml:space="preserve"> PAGEREF _Toc420863620 \h </w:instrText>
        </w:r>
        <w:r w:rsidR="00F357A5">
          <w:rPr>
            <w:noProof/>
            <w:webHidden/>
          </w:rPr>
        </w:r>
        <w:r w:rsidR="00F357A5">
          <w:rPr>
            <w:noProof/>
            <w:webHidden/>
          </w:rPr>
          <w:fldChar w:fldCharType="separate"/>
        </w:r>
        <w:r w:rsidR="0037619F">
          <w:rPr>
            <w:noProof/>
            <w:webHidden/>
          </w:rPr>
          <w:t>10</w:t>
        </w:r>
        <w:r w:rsidR="00F357A5">
          <w:rPr>
            <w:noProof/>
            <w:webHidden/>
          </w:rPr>
          <w:fldChar w:fldCharType="end"/>
        </w:r>
      </w:hyperlink>
    </w:p>
    <w:p w:rsidR="00F357A5" w:rsidRDefault="00610CD3">
      <w:pPr>
        <w:pStyle w:val="TOC2"/>
        <w:tabs>
          <w:tab w:val="left" w:pos="1760"/>
        </w:tabs>
        <w:rPr>
          <w:rFonts w:asciiTheme="minorHAnsi" w:eastAsiaTheme="minorEastAsia" w:hAnsiTheme="minorHAnsi" w:cstheme="minorBidi"/>
          <w:noProof/>
          <w:lang w:val="en-GB" w:eastAsia="en-GB"/>
        </w:rPr>
      </w:pPr>
      <w:hyperlink w:anchor="_Toc420863621" w:history="1">
        <w:r w:rsidR="00F357A5" w:rsidRPr="00020E77">
          <w:rPr>
            <w:rStyle w:val="Hyperlink"/>
            <w:rFonts w:ascii="Times New Roman" w:hAnsi="Times New Roman"/>
            <w:noProof/>
          </w:rPr>
          <w:t>2.1 Work to be performed by the MA for drawing up the Annual Summary</w:t>
        </w:r>
        <w:r w:rsidR="00F357A5">
          <w:rPr>
            <w:noProof/>
            <w:webHidden/>
          </w:rPr>
          <w:tab/>
        </w:r>
        <w:r w:rsidR="00F357A5">
          <w:rPr>
            <w:noProof/>
            <w:webHidden/>
          </w:rPr>
          <w:fldChar w:fldCharType="begin"/>
        </w:r>
        <w:r w:rsidR="00F357A5">
          <w:rPr>
            <w:noProof/>
            <w:webHidden/>
          </w:rPr>
          <w:instrText xml:space="preserve"> PAGEREF _Toc420863621 \h </w:instrText>
        </w:r>
        <w:r w:rsidR="00F357A5">
          <w:rPr>
            <w:noProof/>
            <w:webHidden/>
          </w:rPr>
        </w:r>
        <w:r w:rsidR="00F357A5">
          <w:rPr>
            <w:noProof/>
            <w:webHidden/>
          </w:rPr>
          <w:fldChar w:fldCharType="separate"/>
        </w:r>
        <w:r w:rsidR="0037619F">
          <w:rPr>
            <w:noProof/>
            <w:webHidden/>
          </w:rPr>
          <w:t>10</w:t>
        </w:r>
        <w:r w:rsidR="00F357A5">
          <w:rPr>
            <w:noProof/>
            <w:webHidden/>
          </w:rPr>
          <w:fldChar w:fldCharType="end"/>
        </w:r>
      </w:hyperlink>
    </w:p>
    <w:p w:rsidR="00F357A5" w:rsidRDefault="00610CD3">
      <w:pPr>
        <w:pStyle w:val="TOC2"/>
        <w:rPr>
          <w:rFonts w:asciiTheme="minorHAnsi" w:eastAsiaTheme="minorEastAsia" w:hAnsiTheme="minorHAnsi" w:cstheme="minorBidi"/>
          <w:noProof/>
          <w:lang w:val="en-GB" w:eastAsia="en-GB"/>
        </w:rPr>
      </w:pPr>
      <w:hyperlink w:anchor="_Toc420863622" w:history="1">
        <w:r w:rsidR="008E30B4">
          <w:rPr>
            <w:rStyle w:val="Hyperlink"/>
            <w:rFonts w:ascii="Times New Roman" w:hAnsi="Times New Roman" w:cs="Times New Roman"/>
            <w:noProof/>
            <w:lang w:val="en"/>
          </w:rPr>
          <w:t>2</w:t>
        </w:r>
        <w:r w:rsidR="00F357A5" w:rsidRPr="00020E77">
          <w:rPr>
            <w:rStyle w:val="Hyperlink"/>
            <w:rFonts w:ascii="Times New Roman" w:hAnsi="Times New Roman" w:cs="Times New Roman"/>
            <w:noProof/>
            <w:lang w:val="en"/>
          </w:rPr>
          <w:t>.1</w:t>
        </w:r>
        <w:r w:rsidR="008E30B4">
          <w:rPr>
            <w:rStyle w:val="Hyperlink"/>
            <w:rFonts w:ascii="Times New Roman" w:hAnsi="Times New Roman" w:cs="Times New Roman"/>
            <w:noProof/>
            <w:lang w:val="en"/>
          </w:rPr>
          <w:t>.1</w:t>
        </w:r>
        <w:r w:rsidR="00F357A5" w:rsidRPr="00020E77">
          <w:rPr>
            <w:rStyle w:val="Hyperlink"/>
            <w:rFonts w:ascii="Times New Roman" w:hAnsi="Times New Roman" w:cs="Times New Roman"/>
            <w:noProof/>
            <w:lang w:val="en"/>
          </w:rPr>
          <w:t xml:space="preserve"> Introduction</w:t>
        </w:r>
        <w:r w:rsidR="00F357A5">
          <w:rPr>
            <w:noProof/>
            <w:webHidden/>
          </w:rPr>
          <w:tab/>
        </w:r>
        <w:r w:rsidR="00F357A5">
          <w:rPr>
            <w:noProof/>
            <w:webHidden/>
          </w:rPr>
          <w:fldChar w:fldCharType="begin"/>
        </w:r>
        <w:r w:rsidR="00F357A5">
          <w:rPr>
            <w:noProof/>
            <w:webHidden/>
          </w:rPr>
          <w:instrText xml:space="preserve"> PAGEREF _Toc420863622 \h </w:instrText>
        </w:r>
        <w:r w:rsidR="00F357A5">
          <w:rPr>
            <w:noProof/>
            <w:webHidden/>
          </w:rPr>
        </w:r>
        <w:r w:rsidR="00F357A5">
          <w:rPr>
            <w:noProof/>
            <w:webHidden/>
          </w:rPr>
          <w:fldChar w:fldCharType="separate"/>
        </w:r>
        <w:r w:rsidR="0037619F">
          <w:rPr>
            <w:noProof/>
            <w:webHidden/>
          </w:rPr>
          <w:t>10</w:t>
        </w:r>
        <w:r w:rsidR="00F357A5">
          <w:rPr>
            <w:noProof/>
            <w:webHidden/>
          </w:rPr>
          <w:fldChar w:fldCharType="end"/>
        </w:r>
      </w:hyperlink>
    </w:p>
    <w:p w:rsidR="00F357A5" w:rsidRDefault="00610CD3">
      <w:pPr>
        <w:pStyle w:val="TOC2"/>
        <w:rPr>
          <w:rFonts w:asciiTheme="minorHAnsi" w:eastAsiaTheme="minorEastAsia" w:hAnsiTheme="minorHAnsi" w:cstheme="minorBidi"/>
          <w:noProof/>
          <w:lang w:val="en-GB" w:eastAsia="en-GB"/>
        </w:rPr>
      </w:pPr>
      <w:hyperlink w:anchor="_Toc420863623" w:history="1">
        <w:r w:rsidR="008E30B4">
          <w:rPr>
            <w:rStyle w:val="Hyperlink"/>
            <w:rFonts w:ascii="Times New Roman" w:hAnsi="Times New Roman" w:cs="Times New Roman"/>
            <w:noProof/>
            <w:lang w:val="en"/>
          </w:rPr>
          <w:t>2.1</w:t>
        </w:r>
        <w:r w:rsidR="00F357A5" w:rsidRPr="00020E77">
          <w:rPr>
            <w:rStyle w:val="Hyperlink"/>
            <w:rFonts w:ascii="Times New Roman" w:hAnsi="Times New Roman" w:cs="Times New Roman"/>
            <w:noProof/>
            <w:lang w:val="en"/>
          </w:rPr>
          <w:t>.2 Summary of final audit reports</w:t>
        </w:r>
        <w:r w:rsidR="00F357A5">
          <w:rPr>
            <w:noProof/>
            <w:webHidden/>
          </w:rPr>
          <w:tab/>
        </w:r>
        <w:r w:rsidR="00F357A5">
          <w:rPr>
            <w:noProof/>
            <w:webHidden/>
          </w:rPr>
          <w:fldChar w:fldCharType="begin"/>
        </w:r>
        <w:r w:rsidR="00F357A5">
          <w:rPr>
            <w:noProof/>
            <w:webHidden/>
          </w:rPr>
          <w:instrText xml:space="preserve"> PAGEREF _Toc420863623 \h </w:instrText>
        </w:r>
        <w:r w:rsidR="00F357A5">
          <w:rPr>
            <w:noProof/>
            <w:webHidden/>
          </w:rPr>
        </w:r>
        <w:r w:rsidR="00F357A5">
          <w:rPr>
            <w:noProof/>
            <w:webHidden/>
          </w:rPr>
          <w:fldChar w:fldCharType="separate"/>
        </w:r>
        <w:r w:rsidR="0037619F">
          <w:rPr>
            <w:noProof/>
            <w:webHidden/>
          </w:rPr>
          <w:t>11</w:t>
        </w:r>
        <w:r w:rsidR="00F357A5">
          <w:rPr>
            <w:noProof/>
            <w:webHidden/>
          </w:rPr>
          <w:fldChar w:fldCharType="end"/>
        </w:r>
      </w:hyperlink>
    </w:p>
    <w:p w:rsidR="00F357A5" w:rsidRDefault="00610CD3">
      <w:pPr>
        <w:pStyle w:val="TOC2"/>
        <w:rPr>
          <w:rFonts w:asciiTheme="minorHAnsi" w:eastAsiaTheme="minorEastAsia" w:hAnsiTheme="minorHAnsi" w:cstheme="minorBidi"/>
          <w:noProof/>
          <w:lang w:val="en-GB" w:eastAsia="en-GB"/>
        </w:rPr>
      </w:pPr>
      <w:hyperlink w:anchor="_Toc420863624" w:history="1">
        <w:r w:rsidR="00CD4E76">
          <w:rPr>
            <w:rStyle w:val="Hyperlink"/>
            <w:rFonts w:ascii="Times New Roman" w:hAnsi="Times New Roman" w:cs="Times New Roman"/>
            <w:noProof/>
            <w:lang w:val="en"/>
          </w:rPr>
          <w:t>2</w:t>
        </w:r>
        <w:r w:rsidR="00F357A5" w:rsidRPr="00020E77">
          <w:rPr>
            <w:rStyle w:val="Hyperlink"/>
            <w:rFonts w:ascii="Times New Roman" w:hAnsi="Times New Roman" w:cs="Times New Roman"/>
            <w:noProof/>
            <w:lang w:val="en"/>
          </w:rPr>
          <w:t>.</w:t>
        </w:r>
        <w:r w:rsidR="00CD4E76">
          <w:rPr>
            <w:rStyle w:val="Hyperlink"/>
            <w:rFonts w:ascii="Times New Roman" w:hAnsi="Times New Roman" w:cs="Times New Roman"/>
            <w:noProof/>
            <w:lang w:val="en"/>
          </w:rPr>
          <w:t>1.</w:t>
        </w:r>
        <w:r w:rsidR="00F357A5" w:rsidRPr="00020E77">
          <w:rPr>
            <w:rStyle w:val="Hyperlink"/>
            <w:rFonts w:ascii="Times New Roman" w:hAnsi="Times New Roman" w:cs="Times New Roman"/>
            <w:noProof/>
            <w:lang w:val="en"/>
          </w:rPr>
          <w:t>2.1 Procedural aspects</w:t>
        </w:r>
        <w:r w:rsidR="00F357A5">
          <w:rPr>
            <w:noProof/>
            <w:webHidden/>
          </w:rPr>
          <w:tab/>
        </w:r>
        <w:r w:rsidR="00F357A5">
          <w:rPr>
            <w:noProof/>
            <w:webHidden/>
          </w:rPr>
          <w:fldChar w:fldCharType="begin"/>
        </w:r>
        <w:r w:rsidR="00F357A5">
          <w:rPr>
            <w:noProof/>
            <w:webHidden/>
          </w:rPr>
          <w:instrText xml:space="preserve"> PAGEREF _Toc420863624 \h </w:instrText>
        </w:r>
        <w:r w:rsidR="00F357A5">
          <w:rPr>
            <w:noProof/>
            <w:webHidden/>
          </w:rPr>
        </w:r>
        <w:r w:rsidR="00F357A5">
          <w:rPr>
            <w:noProof/>
            <w:webHidden/>
          </w:rPr>
          <w:fldChar w:fldCharType="separate"/>
        </w:r>
        <w:r w:rsidR="0037619F">
          <w:rPr>
            <w:noProof/>
            <w:webHidden/>
          </w:rPr>
          <w:t>11</w:t>
        </w:r>
        <w:r w:rsidR="00F357A5">
          <w:rPr>
            <w:noProof/>
            <w:webHidden/>
          </w:rPr>
          <w:fldChar w:fldCharType="end"/>
        </w:r>
      </w:hyperlink>
    </w:p>
    <w:p w:rsidR="00F357A5" w:rsidRDefault="00610CD3">
      <w:pPr>
        <w:pStyle w:val="TOC2"/>
        <w:rPr>
          <w:rFonts w:asciiTheme="minorHAnsi" w:eastAsiaTheme="minorEastAsia" w:hAnsiTheme="minorHAnsi" w:cstheme="minorBidi"/>
          <w:noProof/>
          <w:lang w:val="en-GB" w:eastAsia="en-GB"/>
        </w:rPr>
      </w:pPr>
      <w:hyperlink w:anchor="_Toc420863625" w:history="1">
        <w:r w:rsidR="00CD4E76">
          <w:rPr>
            <w:rStyle w:val="Hyperlink"/>
            <w:rFonts w:ascii="Times New Roman" w:hAnsi="Times New Roman" w:cs="Times New Roman"/>
            <w:noProof/>
            <w:lang w:val="en"/>
          </w:rPr>
          <w:t>2.1</w:t>
        </w:r>
        <w:r w:rsidR="00F357A5" w:rsidRPr="00020E77">
          <w:rPr>
            <w:rStyle w:val="Hyperlink"/>
            <w:rFonts w:ascii="Times New Roman" w:hAnsi="Times New Roman" w:cs="Times New Roman"/>
            <w:noProof/>
            <w:lang w:val="en"/>
          </w:rPr>
          <w:t>.2.2 Nature and extent of errors and weaknesses identified in systems</w:t>
        </w:r>
        <w:r w:rsidR="00F357A5">
          <w:rPr>
            <w:noProof/>
            <w:webHidden/>
          </w:rPr>
          <w:tab/>
        </w:r>
        <w:r w:rsidR="00F357A5">
          <w:rPr>
            <w:noProof/>
            <w:webHidden/>
          </w:rPr>
          <w:fldChar w:fldCharType="begin"/>
        </w:r>
        <w:r w:rsidR="00F357A5">
          <w:rPr>
            <w:noProof/>
            <w:webHidden/>
          </w:rPr>
          <w:instrText xml:space="preserve"> PAGEREF _Toc420863625 \h </w:instrText>
        </w:r>
        <w:r w:rsidR="00F357A5">
          <w:rPr>
            <w:noProof/>
            <w:webHidden/>
          </w:rPr>
        </w:r>
        <w:r w:rsidR="00F357A5">
          <w:rPr>
            <w:noProof/>
            <w:webHidden/>
          </w:rPr>
          <w:fldChar w:fldCharType="separate"/>
        </w:r>
        <w:r w:rsidR="0037619F">
          <w:rPr>
            <w:noProof/>
            <w:webHidden/>
          </w:rPr>
          <w:t>11</w:t>
        </w:r>
        <w:r w:rsidR="00F357A5">
          <w:rPr>
            <w:noProof/>
            <w:webHidden/>
          </w:rPr>
          <w:fldChar w:fldCharType="end"/>
        </w:r>
      </w:hyperlink>
    </w:p>
    <w:p w:rsidR="00F357A5" w:rsidRDefault="00610CD3">
      <w:pPr>
        <w:pStyle w:val="TOC2"/>
        <w:rPr>
          <w:rFonts w:asciiTheme="minorHAnsi" w:eastAsiaTheme="minorEastAsia" w:hAnsiTheme="minorHAnsi" w:cstheme="minorBidi"/>
          <w:noProof/>
          <w:lang w:val="en-GB" w:eastAsia="en-GB"/>
        </w:rPr>
      </w:pPr>
      <w:hyperlink w:anchor="_Toc420863626" w:history="1">
        <w:r w:rsidR="003F67C5">
          <w:rPr>
            <w:rStyle w:val="Hyperlink"/>
            <w:rFonts w:ascii="Times New Roman" w:hAnsi="Times New Roman" w:cs="Times New Roman"/>
            <w:noProof/>
            <w:lang w:val="en"/>
          </w:rPr>
          <w:t>2.1.</w:t>
        </w:r>
        <w:r w:rsidR="00F357A5" w:rsidRPr="00020E77">
          <w:rPr>
            <w:rStyle w:val="Hyperlink"/>
            <w:rFonts w:ascii="Times New Roman" w:hAnsi="Times New Roman" w:cs="Times New Roman"/>
            <w:noProof/>
            <w:lang w:val="en"/>
          </w:rPr>
          <w:t>.2.3 Corrective actions taken or planned</w:t>
        </w:r>
        <w:r w:rsidR="00F357A5">
          <w:rPr>
            <w:noProof/>
            <w:webHidden/>
          </w:rPr>
          <w:tab/>
        </w:r>
        <w:r w:rsidR="00F357A5">
          <w:rPr>
            <w:noProof/>
            <w:webHidden/>
          </w:rPr>
          <w:fldChar w:fldCharType="begin"/>
        </w:r>
        <w:r w:rsidR="00F357A5">
          <w:rPr>
            <w:noProof/>
            <w:webHidden/>
          </w:rPr>
          <w:instrText xml:space="preserve"> PAGEREF _Toc420863626 \h </w:instrText>
        </w:r>
        <w:r w:rsidR="00F357A5">
          <w:rPr>
            <w:noProof/>
            <w:webHidden/>
          </w:rPr>
        </w:r>
        <w:r w:rsidR="00F357A5">
          <w:rPr>
            <w:noProof/>
            <w:webHidden/>
          </w:rPr>
          <w:fldChar w:fldCharType="separate"/>
        </w:r>
        <w:r w:rsidR="0037619F">
          <w:rPr>
            <w:noProof/>
            <w:webHidden/>
          </w:rPr>
          <w:t>12</w:t>
        </w:r>
        <w:r w:rsidR="00F357A5">
          <w:rPr>
            <w:noProof/>
            <w:webHidden/>
          </w:rPr>
          <w:fldChar w:fldCharType="end"/>
        </w:r>
      </w:hyperlink>
    </w:p>
    <w:p w:rsidR="00F357A5" w:rsidRDefault="00610CD3">
      <w:pPr>
        <w:pStyle w:val="TOC2"/>
        <w:rPr>
          <w:rFonts w:asciiTheme="minorHAnsi" w:eastAsiaTheme="minorEastAsia" w:hAnsiTheme="minorHAnsi" w:cstheme="minorBidi"/>
          <w:noProof/>
          <w:lang w:val="en-GB" w:eastAsia="en-GB"/>
        </w:rPr>
      </w:pPr>
      <w:hyperlink w:anchor="_Toc420863627" w:history="1">
        <w:r w:rsidR="003F67C5">
          <w:rPr>
            <w:rStyle w:val="Hyperlink"/>
            <w:rFonts w:ascii="Times New Roman" w:hAnsi="Times New Roman" w:cs="Times New Roman"/>
            <w:noProof/>
            <w:lang w:val="en"/>
          </w:rPr>
          <w:t>2.1</w:t>
        </w:r>
        <w:r w:rsidR="00F357A5" w:rsidRPr="00020E77">
          <w:rPr>
            <w:rStyle w:val="Hyperlink"/>
            <w:rFonts w:ascii="Times New Roman" w:hAnsi="Times New Roman" w:cs="Times New Roman"/>
            <w:noProof/>
            <w:lang w:val="en"/>
          </w:rPr>
          <w:t>.3 Summary of management verifications</w:t>
        </w:r>
        <w:r w:rsidR="00F357A5">
          <w:rPr>
            <w:noProof/>
            <w:webHidden/>
          </w:rPr>
          <w:tab/>
        </w:r>
        <w:r w:rsidR="00F357A5">
          <w:rPr>
            <w:noProof/>
            <w:webHidden/>
          </w:rPr>
          <w:fldChar w:fldCharType="begin"/>
        </w:r>
        <w:r w:rsidR="00F357A5">
          <w:rPr>
            <w:noProof/>
            <w:webHidden/>
          </w:rPr>
          <w:instrText xml:space="preserve"> PAGEREF _Toc420863627 \h </w:instrText>
        </w:r>
        <w:r w:rsidR="00F357A5">
          <w:rPr>
            <w:noProof/>
            <w:webHidden/>
          </w:rPr>
        </w:r>
        <w:r w:rsidR="00F357A5">
          <w:rPr>
            <w:noProof/>
            <w:webHidden/>
          </w:rPr>
          <w:fldChar w:fldCharType="separate"/>
        </w:r>
        <w:r w:rsidR="0037619F">
          <w:rPr>
            <w:noProof/>
            <w:webHidden/>
          </w:rPr>
          <w:t>12</w:t>
        </w:r>
        <w:r w:rsidR="00F357A5">
          <w:rPr>
            <w:noProof/>
            <w:webHidden/>
          </w:rPr>
          <w:fldChar w:fldCharType="end"/>
        </w:r>
      </w:hyperlink>
    </w:p>
    <w:p w:rsidR="00F357A5" w:rsidRDefault="00610CD3">
      <w:pPr>
        <w:pStyle w:val="TOC2"/>
        <w:rPr>
          <w:rFonts w:asciiTheme="minorHAnsi" w:eastAsiaTheme="minorEastAsia" w:hAnsiTheme="minorHAnsi" w:cstheme="minorBidi"/>
          <w:noProof/>
          <w:lang w:val="en-GB" w:eastAsia="en-GB"/>
        </w:rPr>
      </w:pPr>
      <w:hyperlink w:anchor="_Toc420863628" w:history="1">
        <w:r w:rsidR="003F67C5">
          <w:rPr>
            <w:rStyle w:val="Hyperlink"/>
            <w:rFonts w:ascii="Times New Roman" w:hAnsi="Times New Roman" w:cs="Times New Roman"/>
            <w:noProof/>
            <w:lang w:val="en"/>
          </w:rPr>
          <w:t>2.1</w:t>
        </w:r>
        <w:r w:rsidR="00F357A5" w:rsidRPr="00020E77">
          <w:rPr>
            <w:rStyle w:val="Hyperlink"/>
            <w:rFonts w:ascii="Times New Roman" w:hAnsi="Times New Roman" w:cs="Times New Roman"/>
            <w:noProof/>
            <w:lang w:val="en"/>
          </w:rPr>
          <w:t>.3.</w:t>
        </w:r>
        <w:r w:rsidR="003F67C5">
          <w:rPr>
            <w:rStyle w:val="Hyperlink"/>
            <w:rFonts w:ascii="Times New Roman" w:hAnsi="Times New Roman" w:cs="Times New Roman"/>
            <w:noProof/>
            <w:lang w:val="en"/>
          </w:rPr>
          <w:t>1</w:t>
        </w:r>
        <w:r w:rsidR="00F357A5" w:rsidRPr="00020E77">
          <w:rPr>
            <w:rStyle w:val="Hyperlink"/>
            <w:rFonts w:ascii="Times New Roman" w:hAnsi="Times New Roman" w:cs="Times New Roman"/>
            <w:noProof/>
            <w:lang w:val="en"/>
          </w:rPr>
          <w:t xml:space="preserve"> Nature and extent of errors and weaknesses identified in systems</w:t>
        </w:r>
        <w:r w:rsidR="00F357A5">
          <w:rPr>
            <w:noProof/>
            <w:webHidden/>
          </w:rPr>
          <w:tab/>
        </w:r>
        <w:r w:rsidR="00F357A5">
          <w:rPr>
            <w:noProof/>
            <w:webHidden/>
          </w:rPr>
          <w:fldChar w:fldCharType="begin"/>
        </w:r>
        <w:r w:rsidR="00F357A5">
          <w:rPr>
            <w:noProof/>
            <w:webHidden/>
          </w:rPr>
          <w:instrText xml:space="preserve"> PAGEREF _Toc420863628 \h </w:instrText>
        </w:r>
        <w:r w:rsidR="00F357A5">
          <w:rPr>
            <w:noProof/>
            <w:webHidden/>
          </w:rPr>
        </w:r>
        <w:r w:rsidR="00F357A5">
          <w:rPr>
            <w:noProof/>
            <w:webHidden/>
          </w:rPr>
          <w:fldChar w:fldCharType="separate"/>
        </w:r>
        <w:r w:rsidR="0037619F">
          <w:rPr>
            <w:noProof/>
            <w:webHidden/>
          </w:rPr>
          <w:t>13</w:t>
        </w:r>
        <w:r w:rsidR="00F357A5">
          <w:rPr>
            <w:noProof/>
            <w:webHidden/>
          </w:rPr>
          <w:fldChar w:fldCharType="end"/>
        </w:r>
      </w:hyperlink>
    </w:p>
    <w:p w:rsidR="00F357A5" w:rsidRDefault="00610CD3">
      <w:pPr>
        <w:pStyle w:val="TOC2"/>
        <w:rPr>
          <w:rFonts w:asciiTheme="minorHAnsi" w:eastAsiaTheme="minorEastAsia" w:hAnsiTheme="minorHAnsi" w:cstheme="minorBidi"/>
          <w:noProof/>
          <w:lang w:val="en-GB" w:eastAsia="en-GB"/>
        </w:rPr>
      </w:pPr>
      <w:hyperlink w:anchor="_Toc420863629" w:history="1">
        <w:r w:rsidR="003F67C5">
          <w:rPr>
            <w:rStyle w:val="Hyperlink"/>
            <w:rFonts w:ascii="Times New Roman" w:hAnsi="Times New Roman" w:cs="Times New Roman"/>
            <w:noProof/>
            <w:lang w:val="en"/>
          </w:rPr>
          <w:t>2.1</w:t>
        </w:r>
        <w:r w:rsidR="00F357A5" w:rsidRPr="00020E77">
          <w:rPr>
            <w:rStyle w:val="Hyperlink"/>
            <w:rFonts w:ascii="Times New Roman" w:hAnsi="Times New Roman" w:cs="Times New Roman"/>
            <w:noProof/>
            <w:lang w:val="en"/>
          </w:rPr>
          <w:t>.3.</w:t>
        </w:r>
        <w:r w:rsidR="003F67C5">
          <w:rPr>
            <w:rStyle w:val="Hyperlink"/>
            <w:rFonts w:ascii="Times New Roman" w:hAnsi="Times New Roman" w:cs="Times New Roman"/>
            <w:noProof/>
            <w:lang w:val="en"/>
          </w:rPr>
          <w:t>2</w:t>
        </w:r>
        <w:r w:rsidR="00F357A5" w:rsidRPr="00020E77">
          <w:rPr>
            <w:rStyle w:val="Hyperlink"/>
            <w:rFonts w:ascii="Times New Roman" w:hAnsi="Times New Roman" w:cs="Times New Roman"/>
            <w:noProof/>
            <w:lang w:val="en"/>
          </w:rPr>
          <w:t xml:space="preserve"> Corrective actions taken or planned</w:t>
        </w:r>
        <w:r w:rsidR="00F357A5">
          <w:rPr>
            <w:noProof/>
            <w:webHidden/>
          </w:rPr>
          <w:tab/>
        </w:r>
        <w:r w:rsidR="00F357A5">
          <w:rPr>
            <w:noProof/>
            <w:webHidden/>
          </w:rPr>
          <w:fldChar w:fldCharType="begin"/>
        </w:r>
        <w:r w:rsidR="00F357A5">
          <w:rPr>
            <w:noProof/>
            <w:webHidden/>
          </w:rPr>
          <w:instrText xml:space="preserve"> PAGEREF _Toc420863629 \h </w:instrText>
        </w:r>
        <w:r w:rsidR="00F357A5">
          <w:rPr>
            <w:noProof/>
            <w:webHidden/>
          </w:rPr>
        </w:r>
        <w:r w:rsidR="00F357A5">
          <w:rPr>
            <w:noProof/>
            <w:webHidden/>
          </w:rPr>
          <w:fldChar w:fldCharType="separate"/>
        </w:r>
        <w:r w:rsidR="0037619F">
          <w:rPr>
            <w:noProof/>
            <w:webHidden/>
          </w:rPr>
          <w:t>13</w:t>
        </w:r>
        <w:r w:rsidR="00F357A5">
          <w:rPr>
            <w:noProof/>
            <w:webHidden/>
          </w:rPr>
          <w:fldChar w:fldCharType="end"/>
        </w:r>
      </w:hyperlink>
    </w:p>
    <w:p w:rsidR="00F357A5" w:rsidRDefault="00610CD3">
      <w:pPr>
        <w:pStyle w:val="TOC2"/>
        <w:rPr>
          <w:rFonts w:asciiTheme="minorHAnsi" w:eastAsiaTheme="minorEastAsia" w:hAnsiTheme="minorHAnsi" w:cstheme="minorBidi"/>
          <w:noProof/>
          <w:lang w:val="en-GB" w:eastAsia="en-GB"/>
        </w:rPr>
      </w:pPr>
      <w:hyperlink w:anchor="_Toc420863630" w:history="1">
        <w:r w:rsidR="003F67C5">
          <w:rPr>
            <w:rStyle w:val="Hyperlink"/>
            <w:rFonts w:ascii="Times New Roman" w:hAnsi="Times New Roman"/>
            <w:noProof/>
          </w:rPr>
          <w:t>3</w:t>
        </w:r>
        <w:r w:rsidR="00F357A5" w:rsidRPr="00020E77">
          <w:rPr>
            <w:rStyle w:val="Hyperlink"/>
            <w:rFonts w:ascii="Times New Roman" w:hAnsi="Times New Roman"/>
            <w:noProof/>
          </w:rPr>
          <w:t>.</w:t>
        </w:r>
        <w:r w:rsidR="00F357A5">
          <w:rPr>
            <w:rFonts w:asciiTheme="minorHAnsi" w:eastAsiaTheme="minorEastAsia" w:hAnsiTheme="minorHAnsi" w:cstheme="minorBidi"/>
            <w:noProof/>
            <w:lang w:val="en-GB" w:eastAsia="en-GB"/>
          </w:rPr>
          <w:tab/>
        </w:r>
        <w:r w:rsidR="00F357A5" w:rsidRPr="00020E77">
          <w:rPr>
            <w:rStyle w:val="Hyperlink"/>
            <w:rFonts w:ascii="Times New Roman" w:hAnsi="Times New Roman"/>
            <w:noProof/>
          </w:rPr>
          <w:t>Work to be performed by AA on the Management Declaration</w:t>
        </w:r>
        <w:r w:rsidR="00F357A5">
          <w:rPr>
            <w:noProof/>
            <w:webHidden/>
          </w:rPr>
          <w:tab/>
        </w:r>
        <w:r w:rsidR="00F357A5">
          <w:rPr>
            <w:noProof/>
            <w:webHidden/>
          </w:rPr>
          <w:fldChar w:fldCharType="begin"/>
        </w:r>
        <w:r w:rsidR="00F357A5">
          <w:rPr>
            <w:noProof/>
            <w:webHidden/>
          </w:rPr>
          <w:instrText xml:space="preserve"> PAGEREF _Toc420863630 \h </w:instrText>
        </w:r>
        <w:r w:rsidR="00F357A5">
          <w:rPr>
            <w:noProof/>
            <w:webHidden/>
          </w:rPr>
        </w:r>
        <w:r w:rsidR="00F357A5">
          <w:rPr>
            <w:noProof/>
            <w:webHidden/>
          </w:rPr>
          <w:fldChar w:fldCharType="separate"/>
        </w:r>
        <w:r w:rsidR="0037619F">
          <w:rPr>
            <w:noProof/>
            <w:webHidden/>
          </w:rPr>
          <w:t>14</w:t>
        </w:r>
        <w:r w:rsidR="00F357A5">
          <w:rPr>
            <w:noProof/>
            <w:webHidden/>
          </w:rPr>
          <w:fldChar w:fldCharType="end"/>
        </w:r>
      </w:hyperlink>
    </w:p>
    <w:p w:rsidR="00F357A5" w:rsidRDefault="00610CD3">
      <w:pPr>
        <w:pStyle w:val="TOC2"/>
        <w:rPr>
          <w:rFonts w:asciiTheme="minorHAnsi" w:eastAsiaTheme="minorEastAsia" w:hAnsiTheme="minorHAnsi" w:cstheme="minorBidi"/>
          <w:noProof/>
          <w:lang w:val="en-GB" w:eastAsia="en-GB"/>
        </w:rPr>
      </w:pPr>
      <w:hyperlink w:anchor="_Toc420863631" w:history="1">
        <w:r w:rsidR="003F67C5">
          <w:rPr>
            <w:rStyle w:val="Hyperlink"/>
            <w:rFonts w:ascii="Times New Roman" w:hAnsi="Times New Roman"/>
            <w:noProof/>
          </w:rPr>
          <w:t>4</w:t>
        </w:r>
        <w:r w:rsidR="00F357A5" w:rsidRPr="00020E77">
          <w:rPr>
            <w:rStyle w:val="Hyperlink"/>
            <w:rFonts w:ascii="Times New Roman" w:hAnsi="Times New Roman"/>
            <w:noProof/>
          </w:rPr>
          <w:t>.   Timing and Planning</w:t>
        </w:r>
        <w:r w:rsidR="00F357A5">
          <w:rPr>
            <w:noProof/>
            <w:webHidden/>
          </w:rPr>
          <w:tab/>
        </w:r>
        <w:r w:rsidR="00F357A5">
          <w:rPr>
            <w:noProof/>
            <w:webHidden/>
          </w:rPr>
          <w:fldChar w:fldCharType="begin"/>
        </w:r>
        <w:r w:rsidR="00F357A5">
          <w:rPr>
            <w:noProof/>
            <w:webHidden/>
          </w:rPr>
          <w:instrText xml:space="preserve"> PAGEREF _Toc420863631 \h </w:instrText>
        </w:r>
        <w:r w:rsidR="00F357A5">
          <w:rPr>
            <w:noProof/>
            <w:webHidden/>
          </w:rPr>
        </w:r>
        <w:r w:rsidR="00F357A5">
          <w:rPr>
            <w:noProof/>
            <w:webHidden/>
          </w:rPr>
          <w:fldChar w:fldCharType="separate"/>
        </w:r>
        <w:r w:rsidR="0037619F">
          <w:rPr>
            <w:noProof/>
            <w:webHidden/>
          </w:rPr>
          <w:t>14</w:t>
        </w:r>
        <w:r w:rsidR="00F357A5">
          <w:rPr>
            <w:noProof/>
            <w:webHidden/>
          </w:rPr>
          <w:fldChar w:fldCharType="end"/>
        </w:r>
      </w:hyperlink>
    </w:p>
    <w:p w:rsidR="00F357A5" w:rsidRDefault="00610CD3">
      <w:pPr>
        <w:pStyle w:val="TOC1"/>
        <w:rPr>
          <w:rFonts w:asciiTheme="minorHAnsi" w:eastAsiaTheme="minorEastAsia" w:hAnsiTheme="minorHAnsi" w:cstheme="minorBidi"/>
          <w:b w:val="0"/>
          <w:sz w:val="22"/>
          <w:szCs w:val="22"/>
          <w:lang w:val="en-GB" w:eastAsia="en-GB"/>
        </w:rPr>
      </w:pPr>
      <w:hyperlink w:anchor="_Toc420863632" w:history="1">
        <w:r w:rsidR="00F357A5" w:rsidRPr="00020E77">
          <w:rPr>
            <w:rStyle w:val="Hyperlink"/>
            <w:rFonts w:ascii="Times New Roman Bold" w:hAnsi="Times New Roman Bold"/>
            <w:smallCaps/>
          </w:rPr>
          <w:t>Annex 1 -  Model for the Annual Summary</w:t>
        </w:r>
        <w:r w:rsidR="00F357A5">
          <w:rPr>
            <w:webHidden/>
          </w:rPr>
          <w:tab/>
        </w:r>
        <w:r w:rsidR="00F357A5">
          <w:rPr>
            <w:webHidden/>
          </w:rPr>
          <w:fldChar w:fldCharType="begin"/>
        </w:r>
        <w:r w:rsidR="00F357A5">
          <w:rPr>
            <w:webHidden/>
          </w:rPr>
          <w:instrText xml:space="preserve"> PAGEREF _Toc420863632 \h </w:instrText>
        </w:r>
        <w:r w:rsidR="00F357A5">
          <w:rPr>
            <w:webHidden/>
          </w:rPr>
        </w:r>
        <w:r w:rsidR="00F357A5">
          <w:rPr>
            <w:webHidden/>
          </w:rPr>
          <w:fldChar w:fldCharType="separate"/>
        </w:r>
        <w:r w:rsidR="0037619F">
          <w:rPr>
            <w:webHidden/>
          </w:rPr>
          <w:t>16</w:t>
        </w:r>
        <w:r w:rsidR="00F357A5">
          <w:rPr>
            <w:webHidden/>
          </w:rPr>
          <w:fldChar w:fldCharType="end"/>
        </w:r>
      </w:hyperlink>
    </w:p>
    <w:p w:rsidR="00F357A5" w:rsidRDefault="00610CD3">
      <w:pPr>
        <w:pStyle w:val="TOC1"/>
        <w:rPr>
          <w:rFonts w:asciiTheme="minorHAnsi" w:eastAsiaTheme="minorEastAsia" w:hAnsiTheme="minorHAnsi" w:cstheme="minorBidi"/>
          <w:b w:val="0"/>
          <w:sz w:val="22"/>
          <w:szCs w:val="22"/>
          <w:lang w:val="en-GB" w:eastAsia="en-GB"/>
        </w:rPr>
      </w:pPr>
      <w:hyperlink w:anchor="_Toc420863633" w:history="1">
        <w:r w:rsidR="00F357A5" w:rsidRPr="00020E77">
          <w:rPr>
            <w:rStyle w:val="Hyperlink"/>
            <w:rFonts w:ascii="Times New Roman Bold" w:hAnsi="Times New Roman Bold"/>
            <w:smallCaps/>
          </w:rPr>
          <w:t>Annex 2 -  Audit work indicative timelines</w:t>
        </w:r>
        <w:r w:rsidR="00F357A5">
          <w:rPr>
            <w:webHidden/>
          </w:rPr>
          <w:tab/>
        </w:r>
        <w:r w:rsidR="00F357A5">
          <w:rPr>
            <w:webHidden/>
          </w:rPr>
          <w:fldChar w:fldCharType="begin"/>
        </w:r>
        <w:r w:rsidR="00F357A5">
          <w:rPr>
            <w:webHidden/>
          </w:rPr>
          <w:instrText xml:space="preserve"> PAGEREF _Toc420863633 \h </w:instrText>
        </w:r>
        <w:r w:rsidR="00F357A5">
          <w:rPr>
            <w:webHidden/>
          </w:rPr>
        </w:r>
        <w:r w:rsidR="00F357A5">
          <w:rPr>
            <w:webHidden/>
          </w:rPr>
          <w:fldChar w:fldCharType="separate"/>
        </w:r>
        <w:r w:rsidR="0037619F">
          <w:rPr>
            <w:webHidden/>
          </w:rPr>
          <w:t>20</w:t>
        </w:r>
        <w:r w:rsidR="00F357A5">
          <w:rPr>
            <w:webHidden/>
          </w:rPr>
          <w:fldChar w:fldCharType="end"/>
        </w:r>
      </w:hyperlink>
    </w:p>
    <w:p w:rsidR="00F41281" w:rsidRDefault="00F41281" w:rsidP="00F41281">
      <w:pPr>
        <w:rPr>
          <w:b/>
          <w:sz w:val="32"/>
          <w:szCs w:val="32"/>
        </w:rPr>
      </w:pPr>
      <w:r>
        <w:rPr>
          <w:b/>
          <w:bCs/>
          <w:noProof/>
        </w:rPr>
        <w:lastRenderedPageBreak/>
        <w:fldChar w:fldCharType="end"/>
      </w:r>
      <w:bookmarkStart w:id="1" w:name="_Toc408329471"/>
      <w:bookmarkStart w:id="2" w:name="_Toc411489372"/>
      <w:bookmarkStart w:id="3" w:name="_Toc411485839"/>
      <w:r w:rsidRPr="00F41281">
        <w:rPr>
          <w:rFonts w:ascii="Times New Roman Bold" w:hAnsi="Times New Roman Bold"/>
          <w:b/>
          <w:smallCaps/>
        </w:rPr>
        <w:t xml:space="preserve">List of </w:t>
      </w:r>
      <w:proofErr w:type="spellStart"/>
      <w:r w:rsidRPr="00F41281">
        <w:rPr>
          <w:rFonts w:ascii="Times New Roman Bold" w:hAnsi="Times New Roman Bold"/>
          <w:b/>
          <w:smallCaps/>
        </w:rPr>
        <w:t>acronyms</w:t>
      </w:r>
      <w:proofErr w:type="spellEnd"/>
      <w:r w:rsidRPr="00F41281">
        <w:rPr>
          <w:rFonts w:ascii="Times New Roman Bold" w:hAnsi="Times New Roman Bold"/>
          <w:b/>
          <w:smallCaps/>
        </w:rPr>
        <w:t xml:space="preserve"> and </w:t>
      </w:r>
      <w:proofErr w:type="spellStart"/>
      <w:r w:rsidRPr="00F41281">
        <w:rPr>
          <w:rFonts w:ascii="Times New Roman Bold" w:hAnsi="Times New Roman Bold"/>
          <w:b/>
          <w:smallCaps/>
        </w:rPr>
        <w:t>abbreviations</w:t>
      </w:r>
      <w:bookmarkEnd w:id="1"/>
      <w:bookmarkEnd w:id="2"/>
      <w:proofErr w:type="spellEnd"/>
    </w:p>
    <w:bookmarkEnd w:id="3"/>
    <w:p w:rsidR="00117251" w:rsidRDefault="00117251" w:rsidP="00AD1081">
      <w:pPr>
        <w:widowControl w:val="0"/>
        <w:rPr>
          <w:color w:val="00000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E617E" w:rsidRPr="00B648AF" w:rsidTr="006F0F03">
        <w:tc>
          <w:tcPr>
            <w:tcW w:w="4644" w:type="dxa"/>
            <w:shd w:val="clear" w:color="auto" w:fill="auto"/>
          </w:tcPr>
          <w:p w:rsidR="00EE617E" w:rsidRPr="00B648AF" w:rsidRDefault="00EE617E" w:rsidP="006F0F03">
            <w:pPr>
              <w:widowControl w:val="0"/>
              <w:autoSpaceDE w:val="0"/>
              <w:autoSpaceDN w:val="0"/>
              <w:adjustRightInd w:val="0"/>
              <w:rPr>
                <w:lang w:val="en-US" w:eastAsia="en-GB"/>
              </w:rPr>
            </w:pPr>
            <w:r w:rsidRPr="00B648AF">
              <w:rPr>
                <w:lang w:val="en-US" w:eastAsia="en-GB"/>
              </w:rPr>
              <w:t>AA</w:t>
            </w:r>
          </w:p>
        </w:tc>
        <w:tc>
          <w:tcPr>
            <w:tcW w:w="4644" w:type="dxa"/>
            <w:shd w:val="clear" w:color="auto" w:fill="auto"/>
          </w:tcPr>
          <w:p w:rsidR="00EE617E" w:rsidRPr="00B648AF" w:rsidRDefault="00EE617E" w:rsidP="006F0F03">
            <w:pPr>
              <w:widowControl w:val="0"/>
              <w:autoSpaceDE w:val="0"/>
              <w:autoSpaceDN w:val="0"/>
              <w:adjustRightInd w:val="0"/>
              <w:rPr>
                <w:lang w:val="en-US" w:eastAsia="en-GB"/>
              </w:rPr>
            </w:pPr>
            <w:r w:rsidRPr="00B648AF">
              <w:rPr>
                <w:lang w:val="en-US" w:eastAsia="en-GB"/>
              </w:rPr>
              <w:t>Audit Authority</w:t>
            </w:r>
          </w:p>
        </w:tc>
      </w:tr>
      <w:tr w:rsidR="00EE617E" w:rsidRPr="00B648AF" w:rsidTr="006F0F03">
        <w:tc>
          <w:tcPr>
            <w:tcW w:w="4644" w:type="dxa"/>
            <w:shd w:val="clear" w:color="auto" w:fill="auto"/>
          </w:tcPr>
          <w:p w:rsidR="00EE617E" w:rsidRPr="00B648AF" w:rsidRDefault="00EE617E" w:rsidP="006F0F03">
            <w:pPr>
              <w:widowControl w:val="0"/>
              <w:autoSpaceDE w:val="0"/>
              <w:autoSpaceDN w:val="0"/>
              <w:adjustRightInd w:val="0"/>
              <w:rPr>
                <w:lang w:val="en-US" w:eastAsia="en-GB"/>
              </w:rPr>
            </w:pPr>
            <w:r w:rsidRPr="00B648AF">
              <w:rPr>
                <w:lang w:val="en-US" w:eastAsia="en-GB"/>
              </w:rPr>
              <w:t>ACR</w:t>
            </w:r>
          </w:p>
        </w:tc>
        <w:tc>
          <w:tcPr>
            <w:tcW w:w="4644" w:type="dxa"/>
            <w:shd w:val="clear" w:color="auto" w:fill="auto"/>
          </w:tcPr>
          <w:p w:rsidR="00EE617E" w:rsidRPr="00B648AF" w:rsidRDefault="00EE617E" w:rsidP="006F0F03">
            <w:pPr>
              <w:widowControl w:val="0"/>
              <w:autoSpaceDE w:val="0"/>
              <w:autoSpaceDN w:val="0"/>
              <w:adjustRightInd w:val="0"/>
              <w:rPr>
                <w:lang w:val="en-US" w:eastAsia="en-GB"/>
              </w:rPr>
            </w:pPr>
            <w:r w:rsidRPr="00B648AF">
              <w:rPr>
                <w:lang w:val="en-US" w:eastAsia="en-GB"/>
              </w:rPr>
              <w:t>Annual Control Report</w:t>
            </w:r>
          </w:p>
        </w:tc>
      </w:tr>
      <w:tr w:rsidR="005036D3" w:rsidRPr="00B648AF" w:rsidTr="006F0F03">
        <w:tc>
          <w:tcPr>
            <w:tcW w:w="4644" w:type="dxa"/>
            <w:shd w:val="clear" w:color="auto" w:fill="auto"/>
          </w:tcPr>
          <w:p w:rsidR="005036D3" w:rsidRPr="00B648AF" w:rsidRDefault="005036D3" w:rsidP="006F0F03">
            <w:pPr>
              <w:widowControl w:val="0"/>
              <w:autoSpaceDE w:val="0"/>
              <w:autoSpaceDN w:val="0"/>
              <w:adjustRightInd w:val="0"/>
              <w:rPr>
                <w:lang w:val="en-US" w:eastAsia="en-GB"/>
              </w:rPr>
            </w:pPr>
            <w:r>
              <w:rPr>
                <w:lang w:val="en-US" w:eastAsia="en-GB"/>
              </w:rPr>
              <w:t xml:space="preserve">AIR </w:t>
            </w:r>
          </w:p>
        </w:tc>
        <w:tc>
          <w:tcPr>
            <w:tcW w:w="4644" w:type="dxa"/>
            <w:shd w:val="clear" w:color="auto" w:fill="auto"/>
          </w:tcPr>
          <w:p w:rsidR="005036D3" w:rsidRPr="00B648AF" w:rsidRDefault="005036D3" w:rsidP="006F0F03">
            <w:pPr>
              <w:widowControl w:val="0"/>
              <w:autoSpaceDE w:val="0"/>
              <w:autoSpaceDN w:val="0"/>
              <w:adjustRightInd w:val="0"/>
              <w:rPr>
                <w:lang w:eastAsia="en-GB"/>
              </w:rPr>
            </w:pPr>
            <w:r>
              <w:rPr>
                <w:lang w:eastAsia="en-GB"/>
              </w:rPr>
              <w:t>Annual Implementation Report</w:t>
            </w:r>
          </w:p>
        </w:tc>
      </w:tr>
      <w:tr w:rsidR="00EE617E" w:rsidRPr="00B648AF" w:rsidTr="006F0F03">
        <w:tc>
          <w:tcPr>
            <w:tcW w:w="4644" w:type="dxa"/>
            <w:shd w:val="clear" w:color="auto" w:fill="auto"/>
          </w:tcPr>
          <w:p w:rsidR="00EE617E" w:rsidRPr="00B648AF" w:rsidRDefault="00EE617E" w:rsidP="006F0F03">
            <w:pPr>
              <w:widowControl w:val="0"/>
              <w:autoSpaceDE w:val="0"/>
              <w:autoSpaceDN w:val="0"/>
              <w:adjustRightInd w:val="0"/>
              <w:rPr>
                <w:lang w:val="en-US" w:eastAsia="en-GB"/>
              </w:rPr>
            </w:pPr>
            <w:r w:rsidRPr="00B648AF">
              <w:rPr>
                <w:lang w:val="en-US" w:eastAsia="en-GB"/>
              </w:rPr>
              <w:t>CA</w:t>
            </w:r>
          </w:p>
        </w:tc>
        <w:tc>
          <w:tcPr>
            <w:tcW w:w="4644" w:type="dxa"/>
            <w:shd w:val="clear" w:color="auto" w:fill="auto"/>
          </w:tcPr>
          <w:p w:rsidR="00EE617E" w:rsidRPr="00B648AF" w:rsidRDefault="00EE617E" w:rsidP="006F0F03">
            <w:pPr>
              <w:widowControl w:val="0"/>
              <w:autoSpaceDE w:val="0"/>
              <w:autoSpaceDN w:val="0"/>
              <w:adjustRightInd w:val="0"/>
              <w:rPr>
                <w:lang w:val="en-US" w:eastAsia="en-GB"/>
              </w:rPr>
            </w:pPr>
            <w:r w:rsidRPr="00B648AF">
              <w:rPr>
                <w:lang w:eastAsia="en-GB"/>
              </w:rPr>
              <w:t>C</w:t>
            </w:r>
            <w:r w:rsidRPr="00B648AF">
              <w:rPr>
                <w:color w:val="000000"/>
              </w:rPr>
              <w:t>ertifying Authority</w:t>
            </w:r>
          </w:p>
        </w:tc>
      </w:tr>
      <w:tr w:rsidR="00EE617E" w:rsidRPr="00B648AF" w:rsidTr="006F0F03">
        <w:tc>
          <w:tcPr>
            <w:tcW w:w="4644" w:type="dxa"/>
            <w:shd w:val="clear" w:color="auto" w:fill="auto"/>
          </w:tcPr>
          <w:p w:rsidR="00EE617E" w:rsidRPr="00B648AF" w:rsidRDefault="00EE617E" w:rsidP="006F0F03">
            <w:pPr>
              <w:widowControl w:val="0"/>
              <w:autoSpaceDE w:val="0"/>
              <w:autoSpaceDN w:val="0"/>
              <w:adjustRightInd w:val="0"/>
              <w:rPr>
                <w:lang w:val="en-US" w:eastAsia="en-GB"/>
              </w:rPr>
            </w:pPr>
            <w:r w:rsidRPr="00B648AF">
              <w:rPr>
                <w:lang w:val="en-US" w:eastAsia="en-GB"/>
              </w:rPr>
              <w:t>CCI</w:t>
            </w:r>
          </w:p>
        </w:tc>
        <w:tc>
          <w:tcPr>
            <w:tcW w:w="4644" w:type="dxa"/>
            <w:shd w:val="clear" w:color="auto" w:fill="auto"/>
          </w:tcPr>
          <w:p w:rsidR="00EE617E" w:rsidRPr="00B648AF" w:rsidRDefault="00EE617E" w:rsidP="006F0F03">
            <w:pPr>
              <w:widowControl w:val="0"/>
              <w:autoSpaceDE w:val="0"/>
              <w:autoSpaceDN w:val="0"/>
              <w:adjustRightInd w:val="0"/>
              <w:rPr>
                <w:lang w:val="en-US" w:eastAsia="en-GB"/>
              </w:rPr>
            </w:pPr>
            <w:r w:rsidRPr="00B648AF">
              <w:rPr>
                <w:lang w:val="en-US" w:eastAsia="en-GB"/>
              </w:rPr>
              <w:t xml:space="preserve">Code </w:t>
            </w:r>
            <w:proofErr w:type="spellStart"/>
            <w:r w:rsidRPr="00B648AF">
              <w:rPr>
                <w:lang w:val="en-US" w:eastAsia="en-GB"/>
              </w:rPr>
              <w:t>Commun</w:t>
            </w:r>
            <w:proofErr w:type="spellEnd"/>
            <w:r w:rsidRPr="00B648AF">
              <w:rPr>
                <w:lang w:val="en-US" w:eastAsia="en-GB"/>
              </w:rPr>
              <w:t xml:space="preserve"> </w:t>
            </w:r>
            <w:proofErr w:type="spellStart"/>
            <w:r w:rsidRPr="00B648AF">
              <w:rPr>
                <w:lang w:val="en-US" w:eastAsia="en-GB"/>
              </w:rPr>
              <w:t>d'Identification</w:t>
            </w:r>
            <w:proofErr w:type="spellEnd"/>
            <w:r w:rsidRPr="00B648AF">
              <w:rPr>
                <w:lang w:val="en-US" w:eastAsia="en-GB"/>
              </w:rPr>
              <w:t xml:space="preserve"> (reference number of each programme, attributed by the Commission)</w:t>
            </w:r>
          </w:p>
        </w:tc>
      </w:tr>
      <w:tr w:rsidR="00197D80" w:rsidRPr="00B648AF" w:rsidTr="006F0F03">
        <w:tc>
          <w:tcPr>
            <w:tcW w:w="4644" w:type="dxa"/>
            <w:shd w:val="clear" w:color="auto" w:fill="auto"/>
          </w:tcPr>
          <w:p w:rsidR="00197D80" w:rsidRPr="00B648AF" w:rsidRDefault="00197D80" w:rsidP="006F0F03">
            <w:pPr>
              <w:widowControl w:val="0"/>
              <w:autoSpaceDE w:val="0"/>
              <w:autoSpaceDN w:val="0"/>
              <w:adjustRightInd w:val="0"/>
              <w:rPr>
                <w:lang w:val="en-US" w:eastAsia="en-GB"/>
              </w:rPr>
            </w:pPr>
            <w:r>
              <w:rPr>
                <w:lang w:val="en-US" w:eastAsia="en-GB"/>
              </w:rPr>
              <w:t>CDR</w:t>
            </w:r>
          </w:p>
        </w:tc>
        <w:tc>
          <w:tcPr>
            <w:tcW w:w="4644" w:type="dxa"/>
            <w:shd w:val="clear" w:color="auto" w:fill="auto"/>
          </w:tcPr>
          <w:p w:rsidR="00197D80" w:rsidRPr="00B648AF" w:rsidRDefault="00197D80" w:rsidP="00197D80">
            <w:pPr>
              <w:widowControl w:val="0"/>
              <w:autoSpaceDE w:val="0"/>
              <w:autoSpaceDN w:val="0"/>
              <w:adjustRightInd w:val="0"/>
              <w:rPr>
                <w:lang w:eastAsia="en-GB"/>
              </w:rPr>
            </w:pPr>
            <w:r>
              <w:rPr>
                <w:lang w:eastAsia="en-GB"/>
              </w:rPr>
              <w:t xml:space="preserve">Commission </w:t>
            </w:r>
            <w:proofErr w:type="spellStart"/>
            <w:r>
              <w:rPr>
                <w:lang w:eastAsia="en-GB"/>
              </w:rPr>
              <w:t>Delegated</w:t>
            </w:r>
            <w:proofErr w:type="spellEnd"/>
            <w:r>
              <w:rPr>
                <w:lang w:eastAsia="en-GB"/>
              </w:rPr>
              <w:t xml:space="preserve"> </w:t>
            </w:r>
            <w:proofErr w:type="spellStart"/>
            <w:r>
              <w:rPr>
                <w:lang w:eastAsia="en-GB"/>
              </w:rPr>
              <w:t>Regulation</w:t>
            </w:r>
            <w:proofErr w:type="spellEnd"/>
            <w:r>
              <w:rPr>
                <w:lang w:eastAsia="en-GB"/>
              </w:rPr>
              <w:t xml:space="preserve"> (EU) No 480/2014 of 3 </w:t>
            </w:r>
            <w:proofErr w:type="spellStart"/>
            <w:r>
              <w:rPr>
                <w:lang w:eastAsia="en-GB"/>
              </w:rPr>
              <w:t>March</w:t>
            </w:r>
            <w:proofErr w:type="spellEnd"/>
            <w:r>
              <w:rPr>
                <w:lang w:eastAsia="en-GB"/>
              </w:rPr>
              <w:t xml:space="preserve"> 2014</w:t>
            </w:r>
          </w:p>
        </w:tc>
      </w:tr>
      <w:tr w:rsidR="00EE617E" w:rsidRPr="00B648AF" w:rsidTr="006F0F03">
        <w:tc>
          <w:tcPr>
            <w:tcW w:w="4644" w:type="dxa"/>
            <w:shd w:val="clear" w:color="auto" w:fill="auto"/>
          </w:tcPr>
          <w:p w:rsidR="00EE617E" w:rsidRPr="00B648AF" w:rsidRDefault="00EE617E" w:rsidP="006F0F03">
            <w:pPr>
              <w:widowControl w:val="0"/>
              <w:autoSpaceDE w:val="0"/>
              <w:autoSpaceDN w:val="0"/>
              <w:adjustRightInd w:val="0"/>
              <w:rPr>
                <w:lang w:val="en-US" w:eastAsia="en-GB"/>
              </w:rPr>
            </w:pPr>
            <w:r w:rsidRPr="00B648AF">
              <w:rPr>
                <w:lang w:val="en-US" w:eastAsia="en-GB"/>
              </w:rPr>
              <w:t>CIR</w:t>
            </w:r>
          </w:p>
        </w:tc>
        <w:tc>
          <w:tcPr>
            <w:tcW w:w="4644" w:type="dxa"/>
            <w:shd w:val="clear" w:color="auto" w:fill="auto"/>
          </w:tcPr>
          <w:p w:rsidR="00EE617E" w:rsidRPr="00587022" w:rsidRDefault="00EE617E" w:rsidP="00197D80">
            <w:pPr>
              <w:widowControl w:val="0"/>
              <w:autoSpaceDE w:val="0"/>
              <w:autoSpaceDN w:val="0"/>
              <w:adjustRightInd w:val="0"/>
              <w:rPr>
                <w:lang w:eastAsia="en-GB"/>
              </w:rPr>
            </w:pPr>
            <w:r w:rsidRPr="00B648AF">
              <w:rPr>
                <w:lang w:eastAsia="en-GB"/>
              </w:rPr>
              <w:t xml:space="preserve">Commission </w:t>
            </w:r>
            <w:proofErr w:type="spellStart"/>
            <w:r w:rsidRPr="00B648AF">
              <w:rPr>
                <w:lang w:eastAsia="en-GB"/>
              </w:rPr>
              <w:t>Implementing</w:t>
            </w:r>
            <w:proofErr w:type="spellEnd"/>
            <w:r w:rsidRPr="00B648AF">
              <w:rPr>
                <w:lang w:eastAsia="en-GB"/>
              </w:rPr>
              <w:t xml:space="preserve"> </w:t>
            </w:r>
            <w:proofErr w:type="spellStart"/>
            <w:r w:rsidRPr="00B648AF">
              <w:rPr>
                <w:lang w:eastAsia="en-GB"/>
              </w:rPr>
              <w:t>Regulation</w:t>
            </w:r>
            <w:proofErr w:type="spellEnd"/>
            <w:r w:rsidRPr="00B648AF">
              <w:rPr>
                <w:lang w:eastAsia="en-GB"/>
              </w:rPr>
              <w:t xml:space="preserve"> </w:t>
            </w:r>
            <w:r w:rsidRPr="00AB7388">
              <w:rPr>
                <w:lang w:eastAsia="en-GB"/>
              </w:rPr>
              <w:t xml:space="preserve">(EU) No </w:t>
            </w:r>
            <w:r w:rsidR="00812CDF">
              <w:rPr>
                <w:lang w:eastAsia="en-GB"/>
              </w:rPr>
              <w:t>207</w:t>
            </w:r>
            <w:r w:rsidRPr="00AB7388">
              <w:rPr>
                <w:lang w:eastAsia="en-GB"/>
              </w:rPr>
              <w:t>/201</w:t>
            </w:r>
            <w:r w:rsidR="00812CDF">
              <w:rPr>
                <w:lang w:eastAsia="en-GB"/>
              </w:rPr>
              <w:t>5</w:t>
            </w:r>
            <w:r w:rsidRPr="00AB7388">
              <w:rPr>
                <w:lang w:eastAsia="en-GB"/>
              </w:rPr>
              <w:t xml:space="preserve"> of </w:t>
            </w:r>
            <w:proofErr w:type="gramStart"/>
            <w:r w:rsidR="00812CDF">
              <w:rPr>
                <w:lang w:eastAsia="en-GB"/>
              </w:rPr>
              <w:t>20.1.</w:t>
            </w:r>
            <w:r w:rsidRPr="00587022">
              <w:rPr>
                <w:lang w:eastAsia="en-GB"/>
              </w:rPr>
              <w:t>201</w:t>
            </w:r>
            <w:r w:rsidR="005036D3">
              <w:rPr>
                <w:lang w:eastAsia="en-GB"/>
              </w:rPr>
              <w:t>5</w:t>
            </w:r>
            <w:proofErr w:type="gramEnd"/>
            <w:r w:rsidRPr="00587022">
              <w:rPr>
                <w:lang w:eastAsia="en-GB"/>
              </w:rPr>
              <w:t xml:space="preserve"> </w:t>
            </w:r>
          </w:p>
        </w:tc>
      </w:tr>
      <w:tr w:rsidR="00EE617E" w:rsidRPr="00B648AF" w:rsidTr="006F0F03">
        <w:tc>
          <w:tcPr>
            <w:tcW w:w="4644" w:type="dxa"/>
            <w:shd w:val="clear" w:color="auto" w:fill="auto"/>
          </w:tcPr>
          <w:p w:rsidR="00EE617E" w:rsidRPr="00B648AF" w:rsidRDefault="00EE617E" w:rsidP="006F0F03">
            <w:pPr>
              <w:widowControl w:val="0"/>
              <w:autoSpaceDE w:val="0"/>
              <w:autoSpaceDN w:val="0"/>
              <w:adjustRightInd w:val="0"/>
              <w:rPr>
                <w:lang w:val="en-US" w:eastAsia="en-GB"/>
              </w:rPr>
            </w:pPr>
            <w:r w:rsidRPr="00B648AF">
              <w:rPr>
                <w:lang w:val="en-US" w:eastAsia="en-GB"/>
              </w:rPr>
              <w:t>CPR</w:t>
            </w:r>
          </w:p>
        </w:tc>
        <w:tc>
          <w:tcPr>
            <w:tcW w:w="4644" w:type="dxa"/>
            <w:shd w:val="clear" w:color="auto" w:fill="auto"/>
          </w:tcPr>
          <w:p w:rsidR="00EE617E" w:rsidRPr="00ED3AAE" w:rsidRDefault="00EE617E" w:rsidP="006F0F03">
            <w:pPr>
              <w:widowControl w:val="0"/>
              <w:autoSpaceDE w:val="0"/>
              <w:autoSpaceDN w:val="0"/>
              <w:adjustRightInd w:val="0"/>
              <w:rPr>
                <w:lang w:eastAsia="en-GB"/>
              </w:rPr>
            </w:pPr>
            <w:r w:rsidRPr="00B648AF">
              <w:rPr>
                <w:lang w:val="en-US" w:eastAsia="en-GB"/>
              </w:rPr>
              <w:t>Common Provisions Regulation (Regulation (EU) No 1303/2013 of the European Parliament and of the Council of 17.12.2013</w:t>
            </w:r>
            <w:r>
              <w:rPr>
                <w:lang w:val="en-US" w:eastAsia="en-GB"/>
              </w:rPr>
              <w:t>)</w:t>
            </w:r>
            <w:r>
              <w:rPr>
                <w:rStyle w:val="FootnoteReference"/>
                <w:lang w:eastAsia="en-GB"/>
              </w:rPr>
              <w:footnoteReference w:id="2"/>
            </w:r>
          </w:p>
        </w:tc>
      </w:tr>
      <w:tr w:rsidR="005036D3" w:rsidRPr="00B648AF" w:rsidTr="006F0F03">
        <w:tc>
          <w:tcPr>
            <w:tcW w:w="4644" w:type="dxa"/>
            <w:shd w:val="clear" w:color="auto" w:fill="auto"/>
          </w:tcPr>
          <w:p w:rsidR="005036D3" w:rsidRPr="00B648AF" w:rsidRDefault="005036D3" w:rsidP="006F0F03">
            <w:pPr>
              <w:widowControl w:val="0"/>
              <w:autoSpaceDE w:val="0"/>
              <w:autoSpaceDN w:val="0"/>
              <w:adjustRightInd w:val="0"/>
              <w:rPr>
                <w:lang w:val="en-US" w:eastAsia="en-GB"/>
              </w:rPr>
            </w:pPr>
            <w:r>
              <w:rPr>
                <w:color w:val="000000"/>
                <w:lang w:val="en-US" w:eastAsia="en-GB"/>
              </w:rPr>
              <w:t>EGTC</w:t>
            </w:r>
          </w:p>
        </w:tc>
        <w:tc>
          <w:tcPr>
            <w:tcW w:w="4644" w:type="dxa"/>
            <w:shd w:val="clear" w:color="auto" w:fill="auto"/>
          </w:tcPr>
          <w:p w:rsidR="005036D3" w:rsidRDefault="005036D3" w:rsidP="006F0F03">
            <w:pPr>
              <w:widowControl w:val="0"/>
              <w:autoSpaceDE w:val="0"/>
              <w:autoSpaceDN w:val="0"/>
              <w:adjustRightInd w:val="0"/>
              <w:rPr>
                <w:lang w:val="en-US" w:eastAsia="en-GB"/>
              </w:rPr>
            </w:pPr>
            <w:r>
              <w:rPr>
                <w:color w:val="000000"/>
                <w:lang w:val="en-US" w:eastAsia="en-GB"/>
              </w:rPr>
              <w:t>European Grouping of Territorial Cooperation</w:t>
            </w:r>
          </w:p>
        </w:tc>
      </w:tr>
      <w:tr w:rsidR="00EE617E" w:rsidRPr="00B648AF" w:rsidTr="006F0F03">
        <w:tc>
          <w:tcPr>
            <w:tcW w:w="4644" w:type="dxa"/>
            <w:shd w:val="clear" w:color="auto" w:fill="auto"/>
          </w:tcPr>
          <w:p w:rsidR="00EE617E" w:rsidRPr="00B648AF" w:rsidRDefault="00EE617E">
            <w:pPr>
              <w:widowControl w:val="0"/>
              <w:autoSpaceDE w:val="0"/>
              <w:autoSpaceDN w:val="0"/>
              <w:adjustRightInd w:val="0"/>
              <w:rPr>
                <w:lang w:val="en-US" w:eastAsia="en-GB"/>
              </w:rPr>
            </w:pPr>
            <w:r w:rsidRPr="00B648AF">
              <w:rPr>
                <w:lang w:val="en-US" w:eastAsia="en-GB"/>
              </w:rPr>
              <w:t>ESIF</w:t>
            </w:r>
          </w:p>
        </w:tc>
        <w:tc>
          <w:tcPr>
            <w:tcW w:w="4644" w:type="dxa"/>
            <w:shd w:val="clear" w:color="auto" w:fill="auto"/>
          </w:tcPr>
          <w:p w:rsidR="00EE617E" w:rsidRPr="00B648AF" w:rsidRDefault="00EE617E">
            <w:pPr>
              <w:widowControl w:val="0"/>
              <w:autoSpaceDE w:val="0"/>
              <w:autoSpaceDN w:val="0"/>
              <w:adjustRightInd w:val="0"/>
              <w:rPr>
                <w:lang w:eastAsia="zh-CN"/>
              </w:rPr>
            </w:pPr>
            <w:r w:rsidRPr="00AB7388">
              <w:t xml:space="preserve">European </w:t>
            </w:r>
            <w:proofErr w:type="spellStart"/>
            <w:r w:rsidRPr="00AB7388">
              <w:t>Structural</w:t>
            </w:r>
            <w:proofErr w:type="spellEnd"/>
            <w:r w:rsidRPr="00AB7388">
              <w:t xml:space="preserve"> and </w:t>
            </w:r>
            <w:proofErr w:type="spellStart"/>
            <w:r w:rsidRPr="00AB7388">
              <w:t>Investment</w:t>
            </w:r>
            <w:proofErr w:type="spellEnd"/>
            <w:r w:rsidRPr="00AB7388">
              <w:t xml:space="preserve"> </w:t>
            </w:r>
            <w:r w:rsidRPr="00587022">
              <w:rPr>
                <w:lang w:val="en-US" w:eastAsia="en-GB"/>
              </w:rPr>
              <w:t>Funds</w:t>
            </w:r>
            <w:r>
              <w:rPr>
                <w:lang w:val="en-US" w:eastAsia="en-GB"/>
              </w:rPr>
              <w:t xml:space="preserve">. </w:t>
            </w:r>
            <w:proofErr w:type="spellStart"/>
            <w:r w:rsidRPr="00ED3AAE">
              <w:t>This</w:t>
            </w:r>
            <w:proofErr w:type="spellEnd"/>
            <w:r w:rsidRPr="00ED3AAE">
              <w:t xml:space="preserve"> </w:t>
            </w:r>
            <w:proofErr w:type="spellStart"/>
            <w:r w:rsidRPr="00ED3AAE">
              <w:t>guidance</w:t>
            </w:r>
            <w:proofErr w:type="spellEnd"/>
            <w:r w:rsidRPr="00ED3AAE">
              <w:t xml:space="preserve"> </w:t>
            </w:r>
            <w:proofErr w:type="spellStart"/>
            <w:r w:rsidRPr="00ED3AAE">
              <w:t>applies</w:t>
            </w:r>
            <w:proofErr w:type="spellEnd"/>
            <w:r w:rsidRPr="00ED3AAE">
              <w:t xml:space="preserve"> to all</w:t>
            </w:r>
            <w:r>
              <w:t xml:space="preserve"> </w:t>
            </w:r>
            <w:r w:rsidR="00FC3D70">
              <w:t xml:space="preserve">ESI Funds (ERDF, ESF, </w:t>
            </w:r>
            <w:proofErr w:type="spellStart"/>
            <w:r w:rsidR="00FC3D70">
              <w:t>Cohesion</w:t>
            </w:r>
            <w:proofErr w:type="spellEnd"/>
            <w:r w:rsidR="00FC3D70">
              <w:t xml:space="preserve"> </w:t>
            </w:r>
            <w:proofErr w:type="spellStart"/>
            <w:r w:rsidR="00FC3D70">
              <w:t>Fund</w:t>
            </w:r>
            <w:proofErr w:type="spellEnd"/>
            <w:r w:rsidR="00FC3D70">
              <w:t xml:space="preserve">, EMFF) </w:t>
            </w:r>
            <w:r w:rsidRPr="00587022">
              <w:rPr>
                <w:lang w:val="en-US" w:eastAsia="en-GB"/>
              </w:rPr>
              <w:t xml:space="preserve">except </w:t>
            </w:r>
            <w:r>
              <w:rPr>
                <w:lang w:val="en-US" w:eastAsia="en-GB"/>
              </w:rPr>
              <w:t xml:space="preserve">for </w:t>
            </w:r>
            <w:r w:rsidRPr="00587022">
              <w:rPr>
                <w:lang w:val="en-US" w:eastAsia="en-GB"/>
              </w:rPr>
              <w:t>the European Agricultural Fund for Rural Development (EAFRD)</w:t>
            </w:r>
          </w:p>
        </w:tc>
      </w:tr>
      <w:tr w:rsidR="00EE617E" w:rsidRPr="00B648AF" w:rsidTr="006F0F03">
        <w:tc>
          <w:tcPr>
            <w:tcW w:w="4644" w:type="dxa"/>
            <w:shd w:val="clear" w:color="auto" w:fill="auto"/>
          </w:tcPr>
          <w:p w:rsidR="00EE617E" w:rsidRPr="00B648AF" w:rsidRDefault="00EE617E" w:rsidP="006F0F03">
            <w:pPr>
              <w:widowControl w:val="0"/>
              <w:autoSpaceDE w:val="0"/>
              <w:autoSpaceDN w:val="0"/>
              <w:adjustRightInd w:val="0"/>
              <w:rPr>
                <w:lang w:val="en-US" w:eastAsia="en-GB"/>
              </w:rPr>
            </w:pPr>
            <w:r w:rsidRPr="00B648AF">
              <w:rPr>
                <w:lang w:val="en-US" w:eastAsia="en-GB"/>
              </w:rPr>
              <w:t>ETC</w:t>
            </w:r>
          </w:p>
        </w:tc>
        <w:tc>
          <w:tcPr>
            <w:tcW w:w="4644" w:type="dxa"/>
            <w:shd w:val="clear" w:color="auto" w:fill="auto"/>
          </w:tcPr>
          <w:p w:rsidR="00EE617E" w:rsidRPr="00B648AF" w:rsidRDefault="00EE617E" w:rsidP="006F0F03">
            <w:pPr>
              <w:widowControl w:val="0"/>
              <w:autoSpaceDE w:val="0"/>
              <w:autoSpaceDN w:val="0"/>
              <w:adjustRightInd w:val="0"/>
              <w:rPr>
                <w:lang w:eastAsia="en-GB"/>
              </w:rPr>
            </w:pPr>
            <w:r w:rsidRPr="00B648AF">
              <w:rPr>
                <w:lang w:eastAsia="zh-CN"/>
              </w:rPr>
              <w:t xml:space="preserve">European </w:t>
            </w:r>
            <w:proofErr w:type="spellStart"/>
            <w:r w:rsidRPr="00B648AF">
              <w:rPr>
                <w:lang w:eastAsia="zh-CN"/>
              </w:rPr>
              <w:t>Territorial</w:t>
            </w:r>
            <w:proofErr w:type="spellEnd"/>
            <w:r w:rsidRPr="00B648AF">
              <w:rPr>
                <w:lang w:eastAsia="zh-CN"/>
              </w:rPr>
              <w:t xml:space="preserve"> </w:t>
            </w:r>
            <w:proofErr w:type="spellStart"/>
            <w:r w:rsidRPr="00B648AF">
              <w:rPr>
                <w:lang w:eastAsia="zh-CN"/>
              </w:rPr>
              <w:t>Cooperation</w:t>
            </w:r>
            <w:proofErr w:type="spellEnd"/>
            <w:r>
              <w:rPr>
                <w:lang w:eastAsia="zh-CN"/>
              </w:rPr>
              <w:t xml:space="preserve"> </w:t>
            </w:r>
            <w:r w:rsidRPr="00ED3AAE">
              <w:rPr>
                <w:color w:val="000000"/>
                <w:lang w:val="en-US" w:eastAsia="en-GB"/>
              </w:rPr>
              <w:t xml:space="preserve">(Regulation (EU) No 1299/2013 of the European Parliament and of the Council of </w:t>
            </w:r>
            <w:proofErr w:type="gramStart"/>
            <w:r w:rsidRPr="00ED3AAE">
              <w:rPr>
                <w:color w:val="000000"/>
                <w:lang w:val="en-US" w:eastAsia="en-GB"/>
              </w:rPr>
              <w:t>17.12.2013</w:t>
            </w:r>
            <w:proofErr w:type="gramEnd"/>
            <w:r w:rsidRPr="00ED3AAE">
              <w:rPr>
                <w:color w:val="000000"/>
                <w:lang w:val="en-US" w:eastAsia="en-GB"/>
              </w:rPr>
              <w:t>)</w:t>
            </w:r>
          </w:p>
        </w:tc>
      </w:tr>
      <w:tr w:rsidR="00687E3F" w:rsidRPr="00B648AF" w:rsidTr="006F0F03">
        <w:tc>
          <w:tcPr>
            <w:tcW w:w="4644" w:type="dxa"/>
            <w:shd w:val="clear" w:color="auto" w:fill="auto"/>
          </w:tcPr>
          <w:p w:rsidR="00FC3D70" w:rsidRPr="00B11A77" w:rsidRDefault="00FC3D70" w:rsidP="006F0F03">
            <w:pPr>
              <w:widowControl w:val="0"/>
              <w:autoSpaceDE w:val="0"/>
              <w:autoSpaceDN w:val="0"/>
              <w:adjustRightInd w:val="0"/>
              <w:rPr>
                <w:color w:val="000000"/>
                <w:lang w:val="en-US" w:eastAsia="en-GB"/>
              </w:rPr>
            </w:pPr>
          </w:p>
        </w:tc>
        <w:tc>
          <w:tcPr>
            <w:tcW w:w="4644" w:type="dxa"/>
            <w:shd w:val="clear" w:color="auto" w:fill="auto"/>
          </w:tcPr>
          <w:p w:rsidR="00687E3F" w:rsidRPr="00B648AF" w:rsidRDefault="00687E3F" w:rsidP="00687E3F">
            <w:pPr>
              <w:widowControl w:val="0"/>
              <w:autoSpaceDE w:val="0"/>
              <w:autoSpaceDN w:val="0"/>
              <w:adjustRightInd w:val="0"/>
              <w:rPr>
                <w:lang w:eastAsia="zh-CN"/>
              </w:rPr>
            </w:pPr>
          </w:p>
        </w:tc>
      </w:tr>
      <w:tr w:rsidR="00EE617E" w:rsidRPr="00B648AF" w:rsidTr="006F0F03">
        <w:tc>
          <w:tcPr>
            <w:tcW w:w="4644" w:type="dxa"/>
            <w:shd w:val="clear" w:color="auto" w:fill="auto"/>
          </w:tcPr>
          <w:p w:rsidR="00EE617E" w:rsidRPr="00B648AF" w:rsidRDefault="00EE617E" w:rsidP="006F0F03">
            <w:pPr>
              <w:widowControl w:val="0"/>
              <w:autoSpaceDE w:val="0"/>
              <w:autoSpaceDN w:val="0"/>
              <w:adjustRightInd w:val="0"/>
              <w:rPr>
                <w:lang w:val="en-US" w:eastAsia="en-GB"/>
              </w:rPr>
            </w:pPr>
            <w:r w:rsidRPr="00B648AF">
              <w:rPr>
                <w:lang w:eastAsia="en-GB"/>
              </w:rPr>
              <w:t>MA</w:t>
            </w:r>
          </w:p>
        </w:tc>
        <w:tc>
          <w:tcPr>
            <w:tcW w:w="4644" w:type="dxa"/>
            <w:shd w:val="clear" w:color="auto" w:fill="auto"/>
          </w:tcPr>
          <w:p w:rsidR="00EE617E" w:rsidRPr="00B648AF" w:rsidRDefault="00EE617E" w:rsidP="006F0F03">
            <w:pPr>
              <w:widowControl w:val="0"/>
              <w:autoSpaceDE w:val="0"/>
              <w:autoSpaceDN w:val="0"/>
              <w:adjustRightInd w:val="0"/>
              <w:ind w:left="851" w:hanging="851"/>
              <w:jc w:val="both"/>
              <w:rPr>
                <w:lang w:eastAsia="en-GB"/>
              </w:rPr>
            </w:pPr>
            <w:proofErr w:type="spellStart"/>
            <w:r w:rsidRPr="00B648AF">
              <w:rPr>
                <w:lang w:eastAsia="en-GB"/>
              </w:rPr>
              <w:t>Managing</w:t>
            </w:r>
            <w:proofErr w:type="spellEnd"/>
            <w:r w:rsidRPr="00B648AF">
              <w:rPr>
                <w:lang w:eastAsia="en-GB"/>
              </w:rPr>
              <w:t xml:space="preserve"> Authority</w:t>
            </w:r>
          </w:p>
        </w:tc>
      </w:tr>
      <w:tr w:rsidR="00EE617E" w:rsidRPr="00B648AF" w:rsidTr="006F0F03">
        <w:tc>
          <w:tcPr>
            <w:tcW w:w="4644" w:type="dxa"/>
            <w:shd w:val="clear" w:color="auto" w:fill="auto"/>
          </w:tcPr>
          <w:p w:rsidR="00EE617E" w:rsidRPr="00B648AF" w:rsidRDefault="00EE617E" w:rsidP="006F0F03">
            <w:pPr>
              <w:widowControl w:val="0"/>
              <w:autoSpaceDE w:val="0"/>
              <w:autoSpaceDN w:val="0"/>
              <w:adjustRightInd w:val="0"/>
              <w:rPr>
                <w:lang w:val="en-US" w:eastAsia="en-GB"/>
              </w:rPr>
            </w:pPr>
            <w:r w:rsidRPr="00B648AF">
              <w:rPr>
                <w:lang w:val="en-US" w:eastAsia="en-GB"/>
              </w:rPr>
              <w:t>MCS</w:t>
            </w:r>
          </w:p>
        </w:tc>
        <w:tc>
          <w:tcPr>
            <w:tcW w:w="4644" w:type="dxa"/>
            <w:shd w:val="clear" w:color="auto" w:fill="auto"/>
          </w:tcPr>
          <w:p w:rsidR="00EE617E" w:rsidRPr="00B648AF" w:rsidRDefault="00EE617E" w:rsidP="006F0F03">
            <w:pPr>
              <w:widowControl w:val="0"/>
              <w:autoSpaceDE w:val="0"/>
              <w:autoSpaceDN w:val="0"/>
              <w:adjustRightInd w:val="0"/>
              <w:ind w:left="851" w:hanging="851"/>
              <w:jc w:val="both"/>
              <w:rPr>
                <w:lang w:eastAsia="en-GB"/>
              </w:rPr>
            </w:pPr>
            <w:r w:rsidRPr="00B648AF">
              <w:rPr>
                <w:lang w:eastAsia="en-GB"/>
              </w:rPr>
              <w:t xml:space="preserve">Management and </w:t>
            </w:r>
            <w:proofErr w:type="spellStart"/>
            <w:r>
              <w:rPr>
                <w:lang w:eastAsia="en-GB"/>
              </w:rPr>
              <w:t>C</w:t>
            </w:r>
            <w:r w:rsidRPr="00B648AF">
              <w:rPr>
                <w:lang w:eastAsia="en-GB"/>
              </w:rPr>
              <w:t>ontrol</w:t>
            </w:r>
            <w:proofErr w:type="spellEnd"/>
            <w:r w:rsidRPr="00B648AF">
              <w:rPr>
                <w:lang w:eastAsia="en-GB"/>
              </w:rPr>
              <w:t xml:space="preserve"> </w:t>
            </w:r>
            <w:proofErr w:type="spellStart"/>
            <w:r>
              <w:rPr>
                <w:lang w:eastAsia="en-GB"/>
              </w:rPr>
              <w:t>S</w:t>
            </w:r>
            <w:r w:rsidRPr="00B648AF">
              <w:rPr>
                <w:lang w:eastAsia="en-GB"/>
              </w:rPr>
              <w:t>ystem</w:t>
            </w:r>
            <w:proofErr w:type="spellEnd"/>
          </w:p>
        </w:tc>
      </w:tr>
    </w:tbl>
    <w:p w:rsidR="00AF4281" w:rsidRDefault="00AF4281" w:rsidP="00C07C9A">
      <w:pPr>
        <w:widowControl w:val="0"/>
        <w:spacing w:before="120"/>
        <w:rPr>
          <w:color w:val="000000"/>
          <w:lang w:val="en-US" w:eastAsia="en-GB"/>
        </w:rPr>
      </w:pPr>
    </w:p>
    <w:p w:rsidR="006A3852" w:rsidRDefault="00AF4281" w:rsidP="006A3852">
      <w:r>
        <w:br w:type="page"/>
      </w:r>
      <w:bookmarkStart w:id="4" w:name="_Toc411485840"/>
    </w:p>
    <w:p w:rsidR="006A3852" w:rsidRPr="006A3852" w:rsidRDefault="006A3852" w:rsidP="006A3852">
      <w:pPr>
        <w:pStyle w:val="Heading1"/>
        <w:rPr>
          <w:rFonts w:ascii="Times New Roman Bold" w:hAnsi="Times New Roman Bold"/>
          <w:b/>
          <w:smallCaps/>
        </w:rPr>
      </w:pPr>
      <w:bookmarkStart w:id="5" w:name="_Toc411489373"/>
      <w:bookmarkStart w:id="6" w:name="_Toc420863605"/>
      <w:r>
        <w:rPr>
          <w:rFonts w:ascii="Times New Roman Bold" w:hAnsi="Times New Roman Bold"/>
          <w:b/>
          <w:smallCaps/>
        </w:rPr>
        <w:lastRenderedPageBreak/>
        <w:t xml:space="preserve">I. </w:t>
      </w:r>
      <w:r w:rsidRPr="006A3852">
        <w:rPr>
          <w:rFonts w:ascii="Times New Roman Bold" w:hAnsi="Times New Roman Bold"/>
          <w:b/>
          <w:smallCaps/>
        </w:rPr>
        <w:t>Background</w:t>
      </w:r>
      <w:bookmarkEnd w:id="5"/>
      <w:bookmarkEnd w:id="6"/>
      <w:r w:rsidRPr="006A3852">
        <w:rPr>
          <w:rFonts w:ascii="Times New Roman Bold" w:hAnsi="Times New Roman Bold"/>
          <w:b/>
          <w:smallCaps/>
        </w:rPr>
        <w:t xml:space="preserve"> </w:t>
      </w:r>
    </w:p>
    <w:p w:rsidR="006A3852" w:rsidRPr="006A3852" w:rsidRDefault="006A3852" w:rsidP="006A3852">
      <w:pPr>
        <w:rPr>
          <w:lang w:val="en-US" w:eastAsia="en-GB"/>
        </w:rPr>
      </w:pPr>
    </w:p>
    <w:p w:rsidR="00AA562A" w:rsidRPr="00C42F97" w:rsidRDefault="00AA562A" w:rsidP="00AA562A">
      <w:pPr>
        <w:pStyle w:val="Heading2"/>
        <w:spacing w:after="240"/>
        <w:rPr>
          <w:rFonts w:ascii="Times New Roman" w:hAnsi="Times New Roman"/>
          <w:i w:val="0"/>
          <w:sz w:val="24"/>
          <w:szCs w:val="24"/>
        </w:rPr>
      </w:pPr>
      <w:bookmarkStart w:id="7" w:name="_Toc408329474"/>
      <w:bookmarkStart w:id="8" w:name="_Toc411489374"/>
      <w:bookmarkStart w:id="9" w:name="_Toc420863606"/>
      <w:r>
        <w:rPr>
          <w:rFonts w:ascii="Times New Roman" w:hAnsi="Times New Roman"/>
          <w:i w:val="0"/>
          <w:sz w:val="24"/>
          <w:szCs w:val="24"/>
        </w:rPr>
        <w:t xml:space="preserve">1. </w:t>
      </w:r>
      <w:proofErr w:type="spellStart"/>
      <w:r w:rsidRPr="00C42F97">
        <w:rPr>
          <w:rFonts w:ascii="Times New Roman" w:hAnsi="Times New Roman"/>
          <w:i w:val="0"/>
          <w:sz w:val="24"/>
          <w:szCs w:val="24"/>
        </w:rPr>
        <w:t>Regulatory</w:t>
      </w:r>
      <w:proofErr w:type="spellEnd"/>
      <w:r w:rsidRPr="00C42F97">
        <w:rPr>
          <w:rFonts w:ascii="Times New Roman" w:hAnsi="Times New Roman"/>
          <w:i w:val="0"/>
          <w:sz w:val="24"/>
          <w:szCs w:val="24"/>
        </w:rPr>
        <w:t xml:space="preserve"> </w:t>
      </w:r>
      <w:proofErr w:type="spellStart"/>
      <w:r w:rsidRPr="00C42F97">
        <w:rPr>
          <w:rFonts w:ascii="Times New Roman" w:hAnsi="Times New Roman"/>
          <w:i w:val="0"/>
          <w:sz w:val="24"/>
          <w:szCs w:val="24"/>
        </w:rPr>
        <w:t>references</w:t>
      </w:r>
      <w:bookmarkEnd w:id="7"/>
      <w:bookmarkEnd w:id="8"/>
      <w:bookmarkEnd w:id="9"/>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465"/>
      </w:tblGrid>
      <w:tr w:rsidR="00AA562A" w:rsidRPr="006525FC" w:rsidTr="006F0F03">
        <w:tc>
          <w:tcPr>
            <w:tcW w:w="3369" w:type="dxa"/>
            <w:shd w:val="clear" w:color="auto" w:fill="D9D9D9"/>
          </w:tcPr>
          <w:p w:rsidR="00AA562A" w:rsidRPr="00C42F97" w:rsidRDefault="00AA562A" w:rsidP="006F0F03">
            <w:pPr>
              <w:spacing w:before="240"/>
              <w:jc w:val="center"/>
              <w:rPr>
                <w:b/>
              </w:rPr>
            </w:pPr>
            <w:proofErr w:type="spellStart"/>
            <w:r w:rsidRPr="00C42F97">
              <w:rPr>
                <w:b/>
              </w:rPr>
              <w:t>Regulation</w:t>
            </w:r>
            <w:proofErr w:type="spellEnd"/>
          </w:p>
        </w:tc>
        <w:tc>
          <w:tcPr>
            <w:tcW w:w="5465" w:type="dxa"/>
            <w:shd w:val="clear" w:color="auto" w:fill="D9D9D9"/>
          </w:tcPr>
          <w:p w:rsidR="00AA562A" w:rsidRPr="00C42F97" w:rsidRDefault="00AA562A" w:rsidP="006F0F03">
            <w:pPr>
              <w:spacing w:before="240"/>
              <w:jc w:val="center"/>
              <w:rPr>
                <w:b/>
              </w:rPr>
            </w:pPr>
            <w:proofErr w:type="spellStart"/>
            <w:r w:rsidRPr="00C42F97">
              <w:rPr>
                <w:b/>
              </w:rPr>
              <w:t>Articles</w:t>
            </w:r>
            <w:proofErr w:type="spellEnd"/>
          </w:p>
        </w:tc>
      </w:tr>
      <w:tr w:rsidR="00AA562A" w:rsidRPr="006525FC" w:rsidTr="006F0F03">
        <w:tc>
          <w:tcPr>
            <w:tcW w:w="3369" w:type="dxa"/>
            <w:shd w:val="clear" w:color="auto" w:fill="auto"/>
          </w:tcPr>
          <w:p w:rsidR="00AA562A" w:rsidRPr="00C42F97" w:rsidRDefault="00AA562A" w:rsidP="006F0F03">
            <w:pPr>
              <w:spacing w:before="120" w:after="120"/>
            </w:pPr>
            <w:proofErr w:type="spellStart"/>
            <w:r w:rsidRPr="00C42F97">
              <w:t>Reg</w:t>
            </w:r>
            <w:proofErr w:type="spellEnd"/>
            <w:r w:rsidRPr="00C42F97">
              <w:t>. (EU) N</w:t>
            </w:r>
            <w:r>
              <w:t>o</w:t>
            </w:r>
            <w:r w:rsidRPr="00C42F97">
              <w:t xml:space="preserve"> 1303/2013 </w:t>
            </w:r>
          </w:p>
          <w:p w:rsidR="00AA562A" w:rsidRPr="00C42F97" w:rsidRDefault="00AA562A" w:rsidP="006F0F03">
            <w:pPr>
              <w:spacing w:after="120"/>
            </w:pPr>
            <w:proofErr w:type="spellStart"/>
            <w:r w:rsidRPr="00C42F97">
              <w:t>Common</w:t>
            </w:r>
            <w:proofErr w:type="spellEnd"/>
            <w:r w:rsidRPr="00C42F97">
              <w:t xml:space="preserve"> </w:t>
            </w:r>
            <w:proofErr w:type="spellStart"/>
            <w:r w:rsidRPr="00C42F97">
              <w:t>Provisions</w:t>
            </w:r>
            <w:proofErr w:type="spellEnd"/>
            <w:r w:rsidRPr="00C42F97">
              <w:t xml:space="preserve"> </w:t>
            </w:r>
            <w:proofErr w:type="spellStart"/>
            <w:r w:rsidRPr="00C42F97">
              <w:t>Regulation</w:t>
            </w:r>
            <w:proofErr w:type="spellEnd"/>
          </w:p>
          <w:p w:rsidR="00AA562A" w:rsidRPr="00C42F97" w:rsidRDefault="00AA562A" w:rsidP="006F0F03">
            <w:pPr>
              <w:spacing w:after="120"/>
              <w:rPr>
                <w:i/>
              </w:rPr>
            </w:pPr>
            <w:r w:rsidRPr="00C42F97">
              <w:rPr>
                <w:i/>
              </w:rPr>
              <w:t>(</w:t>
            </w:r>
            <w:proofErr w:type="spellStart"/>
            <w:r w:rsidRPr="00C42F97">
              <w:rPr>
                <w:i/>
              </w:rPr>
              <w:t>hereafter</w:t>
            </w:r>
            <w:proofErr w:type="spellEnd"/>
            <w:r w:rsidRPr="00C42F97">
              <w:rPr>
                <w:i/>
              </w:rPr>
              <w:t xml:space="preserve"> CPR)</w:t>
            </w:r>
          </w:p>
        </w:tc>
        <w:tc>
          <w:tcPr>
            <w:tcW w:w="5465" w:type="dxa"/>
            <w:shd w:val="clear" w:color="auto" w:fill="auto"/>
          </w:tcPr>
          <w:p w:rsidR="00AA562A" w:rsidRPr="00C42F97" w:rsidRDefault="006A3852" w:rsidP="006A3852">
            <w:pPr>
              <w:spacing w:before="120" w:after="120"/>
            </w:pPr>
            <w:proofErr w:type="spellStart"/>
            <w:r w:rsidRPr="006A3852">
              <w:t>Article</w:t>
            </w:r>
            <w:proofErr w:type="spellEnd"/>
            <w:r w:rsidRPr="006A3852">
              <w:t xml:space="preserve"> </w:t>
            </w:r>
            <w:proofErr w:type="gramStart"/>
            <w:r w:rsidRPr="006A3852">
              <w:t>125(4)(e) of</w:t>
            </w:r>
            <w:proofErr w:type="gramEnd"/>
            <w:r w:rsidRPr="006A3852">
              <w:t xml:space="preserve"> </w:t>
            </w:r>
            <w:proofErr w:type="spellStart"/>
            <w:r w:rsidRPr="006A3852">
              <w:t>the</w:t>
            </w:r>
            <w:proofErr w:type="spellEnd"/>
            <w:r w:rsidRPr="006A3852">
              <w:t xml:space="preserve"> CPR</w:t>
            </w:r>
            <w:r w:rsidRPr="00C42F97">
              <w:t xml:space="preserve"> </w:t>
            </w:r>
            <w:r>
              <w:t xml:space="preserve">- </w:t>
            </w:r>
            <w:proofErr w:type="spellStart"/>
            <w:r w:rsidRPr="006A3852">
              <w:t>Functions</w:t>
            </w:r>
            <w:proofErr w:type="spellEnd"/>
            <w:r w:rsidRPr="006A3852">
              <w:t xml:space="preserve"> of </w:t>
            </w:r>
            <w:proofErr w:type="spellStart"/>
            <w:r w:rsidRPr="006A3852">
              <w:t>the</w:t>
            </w:r>
            <w:proofErr w:type="spellEnd"/>
            <w:r w:rsidRPr="006A3852">
              <w:t xml:space="preserve"> </w:t>
            </w:r>
            <w:proofErr w:type="spellStart"/>
            <w:r w:rsidRPr="006A3852">
              <w:t>managing</w:t>
            </w:r>
            <w:proofErr w:type="spellEnd"/>
            <w:r w:rsidRPr="006A3852">
              <w:t xml:space="preserve"> </w:t>
            </w:r>
            <w:proofErr w:type="spellStart"/>
            <w:r w:rsidRPr="006A3852">
              <w:t>authority</w:t>
            </w:r>
            <w:proofErr w:type="spellEnd"/>
            <w:r w:rsidRPr="006A3852">
              <w:t xml:space="preserve"> </w:t>
            </w:r>
            <w:r>
              <w:t xml:space="preserve">– MA </w:t>
            </w:r>
            <w:proofErr w:type="spellStart"/>
            <w:r>
              <w:t>responsiblity</w:t>
            </w:r>
            <w:proofErr w:type="spellEnd"/>
            <w:r>
              <w:t xml:space="preserve"> </w:t>
            </w:r>
            <w:proofErr w:type="spellStart"/>
            <w:r>
              <w:t>for</w:t>
            </w:r>
            <w:proofErr w:type="spellEnd"/>
            <w:r>
              <w:t xml:space="preserve"> </w:t>
            </w:r>
            <w:proofErr w:type="spellStart"/>
            <w:r w:rsidRPr="006A3852">
              <w:t>drawing</w:t>
            </w:r>
            <w:proofErr w:type="spellEnd"/>
            <w:r w:rsidRPr="006A3852">
              <w:t xml:space="preserve"> up </w:t>
            </w:r>
            <w:proofErr w:type="spellStart"/>
            <w:r w:rsidRPr="006A3852">
              <w:t>the</w:t>
            </w:r>
            <w:proofErr w:type="spellEnd"/>
            <w:r w:rsidRPr="006A3852">
              <w:t xml:space="preserve"> management </w:t>
            </w:r>
            <w:proofErr w:type="spellStart"/>
            <w:r w:rsidRPr="006A3852">
              <w:t>declaration</w:t>
            </w:r>
            <w:proofErr w:type="spellEnd"/>
            <w:r w:rsidRPr="006A3852">
              <w:t xml:space="preserve"> and </w:t>
            </w:r>
            <w:proofErr w:type="spellStart"/>
            <w:r w:rsidRPr="006A3852">
              <w:t>the</w:t>
            </w:r>
            <w:proofErr w:type="spellEnd"/>
            <w:r w:rsidRPr="006A3852">
              <w:t xml:space="preserve"> </w:t>
            </w:r>
            <w:proofErr w:type="spellStart"/>
            <w:r w:rsidRPr="006A3852">
              <w:t>annual</w:t>
            </w:r>
            <w:proofErr w:type="spellEnd"/>
            <w:r w:rsidRPr="006A3852">
              <w:t xml:space="preserve"> </w:t>
            </w:r>
            <w:proofErr w:type="spellStart"/>
            <w:r w:rsidRPr="006A3852">
              <w:t>summary</w:t>
            </w:r>
            <w:proofErr w:type="spellEnd"/>
          </w:p>
        </w:tc>
      </w:tr>
      <w:tr w:rsidR="00AA562A" w:rsidRPr="006525FC" w:rsidTr="006F0F03">
        <w:tc>
          <w:tcPr>
            <w:tcW w:w="3369" w:type="dxa"/>
            <w:tcBorders>
              <w:top w:val="single" w:sz="4" w:space="0" w:color="auto"/>
              <w:left w:val="single" w:sz="4" w:space="0" w:color="auto"/>
              <w:bottom w:val="single" w:sz="4" w:space="0" w:color="auto"/>
              <w:right w:val="single" w:sz="4" w:space="0" w:color="auto"/>
            </w:tcBorders>
            <w:shd w:val="clear" w:color="auto" w:fill="auto"/>
          </w:tcPr>
          <w:p w:rsidR="00AA562A" w:rsidRDefault="00AA562A" w:rsidP="006F0F03">
            <w:pPr>
              <w:spacing w:after="120"/>
            </w:pPr>
            <w:proofErr w:type="spellStart"/>
            <w:r>
              <w:t>Reg</w:t>
            </w:r>
            <w:proofErr w:type="spellEnd"/>
            <w:r>
              <w:t xml:space="preserve">. (EU) No </w:t>
            </w:r>
            <w:r w:rsidR="006C4E9E">
              <w:t>207</w:t>
            </w:r>
            <w:r>
              <w:t>/201</w:t>
            </w:r>
            <w:r w:rsidR="006F3315">
              <w:t>5</w:t>
            </w:r>
          </w:p>
          <w:p w:rsidR="00AA562A" w:rsidRPr="00C42F97" w:rsidRDefault="00AA562A" w:rsidP="006F0F03">
            <w:pPr>
              <w:spacing w:after="120"/>
            </w:pPr>
            <w:r>
              <w:t xml:space="preserve">Commission </w:t>
            </w:r>
            <w:proofErr w:type="spellStart"/>
            <w:r>
              <w:t>Implementing</w:t>
            </w:r>
            <w:proofErr w:type="spellEnd"/>
            <w:r>
              <w:t xml:space="preserve"> </w:t>
            </w:r>
            <w:proofErr w:type="spellStart"/>
            <w:r>
              <w:t>Regulation</w:t>
            </w:r>
            <w:proofErr w:type="spellEnd"/>
            <w:r>
              <w:t xml:space="preserve"> (</w:t>
            </w:r>
            <w:proofErr w:type="spellStart"/>
            <w:r>
              <w:t>hereafter</w:t>
            </w:r>
            <w:proofErr w:type="spellEnd"/>
            <w:r>
              <w:t xml:space="preserve"> CIR)</w:t>
            </w:r>
          </w:p>
        </w:tc>
        <w:tc>
          <w:tcPr>
            <w:tcW w:w="5465" w:type="dxa"/>
            <w:tcBorders>
              <w:top w:val="single" w:sz="4" w:space="0" w:color="auto"/>
              <w:left w:val="single" w:sz="4" w:space="0" w:color="auto"/>
              <w:bottom w:val="single" w:sz="4" w:space="0" w:color="auto"/>
              <w:right w:val="single" w:sz="4" w:space="0" w:color="auto"/>
            </w:tcBorders>
            <w:shd w:val="clear" w:color="auto" w:fill="auto"/>
          </w:tcPr>
          <w:p w:rsidR="00AA562A" w:rsidRPr="00C42F97" w:rsidRDefault="00AA562A" w:rsidP="006F3315">
            <w:pPr>
              <w:spacing w:before="120" w:after="120"/>
            </w:pPr>
            <w:proofErr w:type="spellStart"/>
            <w:r>
              <w:t>Articles</w:t>
            </w:r>
            <w:proofErr w:type="spellEnd"/>
            <w:r>
              <w:t xml:space="preserve"> </w:t>
            </w:r>
            <w:r w:rsidR="006F3315">
              <w:t>6</w:t>
            </w:r>
            <w:r>
              <w:t xml:space="preserve"> (1) and Annex VI (model</w:t>
            </w:r>
            <w:r w:rsidRPr="007350B8">
              <w:t xml:space="preserve"> </w:t>
            </w:r>
            <w:proofErr w:type="spellStart"/>
            <w:r w:rsidRPr="007350B8">
              <w:t>for</w:t>
            </w:r>
            <w:proofErr w:type="spellEnd"/>
            <w:r w:rsidRPr="007350B8">
              <w:t xml:space="preserve"> </w:t>
            </w:r>
            <w:proofErr w:type="spellStart"/>
            <w:r w:rsidRPr="007350B8">
              <w:t>the</w:t>
            </w:r>
            <w:proofErr w:type="spellEnd"/>
            <w:r w:rsidRPr="007350B8">
              <w:t xml:space="preserve"> </w:t>
            </w:r>
            <w:r w:rsidR="006F3315">
              <w:t xml:space="preserve">management </w:t>
            </w:r>
            <w:proofErr w:type="spellStart"/>
            <w:r w:rsidR="006F3315">
              <w:t>declaration</w:t>
            </w:r>
            <w:proofErr w:type="spellEnd"/>
          </w:p>
        </w:tc>
      </w:tr>
      <w:tr w:rsidR="0097033A" w:rsidRPr="006525FC" w:rsidTr="006F0F03">
        <w:tc>
          <w:tcPr>
            <w:tcW w:w="3369" w:type="dxa"/>
            <w:tcBorders>
              <w:top w:val="single" w:sz="4" w:space="0" w:color="auto"/>
              <w:left w:val="single" w:sz="4" w:space="0" w:color="auto"/>
              <w:bottom w:val="single" w:sz="4" w:space="0" w:color="auto"/>
              <w:right w:val="single" w:sz="4" w:space="0" w:color="auto"/>
            </w:tcBorders>
            <w:shd w:val="clear" w:color="auto" w:fill="auto"/>
          </w:tcPr>
          <w:p w:rsidR="0097033A" w:rsidRDefault="00B13B23" w:rsidP="006F0F03">
            <w:pPr>
              <w:spacing w:after="120"/>
            </w:pPr>
            <w:proofErr w:type="spellStart"/>
            <w:r w:rsidRPr="00687E3F">
              <w:rPr>
                <w:lang w:eastAsia="zh-CN"/>
              </w:rPr>
              <w:t>Regulation</w:t>
            </w:r>
            <w:proofErr w:type="spellEnd"/>
            <w:r w:rsidRPr="00687E3F">
              <w:rPr>
                <w:lang w:eastAsia="zh-CN"/>
              </w:rPr>
              <w:t xml:space="preserve"> (EU, Euratom) No 966/2012 of </w:t>
            </w:r>
            <w:proofErr w:type="spellStart"/>
            <w:r w:rsidRPr="00687E3F">
              <w:rPr>
                <w:lang w:eastAsia="zh-CN"/>
              </w:rPr>
              <w:t>the</w:t>
            </w:r>
            <w:proofErr w:type="spellEnd"/>
            <w:r w:rsidRPr="00687E3F">
              <w:rPr>
                <w:lang w:eastAsia="zh-CN"/>
              </w:rPr>
              <w:t xml:space="preserve"> European </w:t>
            </w:r>
            <w:proofErr w:type="spellStart"/>
            <w:r w:rsidRPr="00687E3F">
              <w:rPr>
                <w:lang w:eastAsia="zh-CN"/>
              </w:rPr>
              <w:t>Parliament</w:t>
            </w:r>
            <w:proofErr w:type="spellEnd"/>
            <w:r w:rsidRPr="00687E3F">
              <w:rPr>
                <w:lang w:eastAsia="zh-CN"/>
              </w:rPr>
              <w:t xml:space="preserve"> and of </w:t>
            </w:r>
            <w:proofErr w:type="spellStart"/>
            <w:r w:rsidRPr="00687E3F">
              <w:rPr>
                <w:lang w:eastAsia="zh-CN"/>
              </w:rPr>
              <w:t>the</w:t>
            </w:r>
            <w:proofErr w:type="spellEnd"/>
            <w:r w:rsidRPr="00687E3F">
              <w:rPr>
                <w:lang w:eastAsia="zh-CN"/>
              </w:rPr>
              <w:t xml:space="preserve"> </w:t>
            </w:r>
            <w:proofErr w:type="spellStart"/>
            <w:r w:rsidRPr="00687E3F">
              <w:rPr>
                <w:lang w:eastAsia="zh-CN"/>
              </w:rPr>
              <w:t>Council</w:t>
            </w:r>
            <w:proofErr w:type="spellEnd"/>
            <w:r w:rsidRPr="00687E3F">
              <w:rPr>
                <w:lang w:eastAsia="zh-CN"/>
              </w:rPr>
              <w:t xml:space="preserve"> of 25 </w:t>
            </w:r>
            <w:proofErr w:type="spellStart"/>
            <w:r w:rsidRPr="00687E3F">
              <w:rPr>
                <w:lang w:eastAsia="zh-CN"/>
              </w:rPr>
              <w:t>October</w:t>
            </w:r>
            <w:proofErr w:type="spellEnd"/>
            <w:r w:rsidRPr="00687E3F">
              <w:rPr>
                <w:lang w:eastAsia="zh-CN"/>
              </w:rPr>
              <w:t xml:space="preserve"> 2012, on </w:t>
            </w:r>
            <w:proofErr w:type="spellStart"/>
            <w:r w:rsidRPr="00687E3F">
              <w:rPr>
                <w:lang w:eastAsia="zh-CN"/>
              </w:rPr>
              <w:t>the</w:t>
            </w:r>
            <w:proofErr w:type="spellEnd"/>
            <w:r w:rsidRPr="00687E3F">
              <w:rPr>
                <w:lang w:eastAsia="zh-CN"/>
              </w:rPr>
              <w:t xml:space="preserve"> </w:t>
            </w:r>
            <w:proofErr w:type="spellStart"/>
            <w:r w:rsidRPr="00687E3F">
              <w:rPr>
                <w:lang w:eastAsia="zh-CN"/>
              </w:rPr>
              <w:t>financial</w:t>
            </w:r>
            <w:proofErr w:type="spellEnd"/>
            <w:r w:rsidRPr="00687E3F">
              <w:rPr>
                <w:lang w:eastAsia="zh-CN"/>
              </w:rPr>
              <w:t xml:space="preserve"> </w:t>
            </w:r>
            <w:proofErr w:type="spellStart"/>
            <w:r w:rsidRPr="00687E3F">
              <w:rPr>
                <w:lang w:eastAsia="zh-CN"/>
              </w:rPr>
              <w:t>rules</w:t>
            </w:r>
            <w:proofErr w:type="spellEnd"/>
            <w:r w:rsidRPr="00687E3F">
              <w:rPr>
                <w:lang w:eastAsia="zh-CN"/>
              </w:rPr>
              <w:t xml:space="preserve"> </w:t>
            </w:r>
            <w:proofErr w:type="spellStart"/>
            <w:r w:rsidRPr="00687E3F">
              <w:rPr>
                <w:lang w:eastAsia="zh-CN"/>
              </w:rPr>
              <w:t>applicable</w:t>
            </w:r>
            <w:proofErr w:type="spellEnd"/>
            <w:r w:rsidRPr="00687E3F">
              <w:rPr>
                <w:lang w:eastAsia="zh-CN"/>
              </w:rPr>
              <w:t xml:space="preserve"> to </w:t>
            </w:r>
            <w:proofErr w:type="spellStart"/>
            <w:r w:rsidRPr="00687E3F">
              <w:rPr>
                <w:lang w:eastAsia="zh-CN"/>
              </w:rPr>
              <w:t>the</w:t>
            </w:r>
            <w:proofErr w:type="spellEnd"/>
            <w:r w:rsidRPr="00687E3F">
              <w:rPr>
                <w:lang w:eastAsia="zh-CN"/>
              </w:rPr>
              <w:t xml:space="preserve"> </w:t>
            </w:r>
            <w:proofErr w:type="spellStart"/>
            <w:r w:rsidRPr="00687E3F">
              <w:rPr>
                <w:lang w:eastAsia="zh-CN"/>
              </w:rPr>
              <w:t>general</w:t>
            </w:r>
            <w:proofErr w:type="spellEnd"/>
            <w:r w:rsidRPr="00687E3F">
              <w:rPr>
                <w:lang w:eastAsia="zh-CN"/>
              </w:rPr>
              <w:t xml:space="preserve"> budget of </w:t>
            </w:r>
            <w:proofErr w:type="spellStart"/>
            <w:r w:rsidRPr="00687E3F">
              <w:rPr>
                <w:lang w:eastAsia="zh-CN"/>
              </w:rPr>
              <w:t>the</w:t>
            </w:r>
            <w:proofErr w:type="spellEnd"/>
            <w:r w:rsidRPr="00687E3F">
              <w:rPr>
                <w:lang w:eastAsia="zh-CN"/>
              </w:rPr>
              <w:t xml:space="preserve"> Union and </w:t>
            </w:r>
            <w:proofErr w:type="spellStart"/>
            <w:r w:rsidRPr="00687E3F">
              <w:rPr>
                <w:lang w:eastAsia="zh-CN"/>
              </w:rPr>
              <w:t>repealing</w:t>
            </w:r>
            <w:proofErr w:type="spellEnd"/>
            <w:r w:rsidRPr="00687E3F">
              <w:rPr>
                <w:lang w:eastAsia="zh-CN"/>
              </w:rPr>
              <w:t xml:space="preserve"> </w:t>
            </w:r>
            <w:proofErr w:type="spellStart"/>
            <w:r w:rsidRPr="00687E3F">
              <w:rPr>
                <w:lang w:eastAsia="zh-CN"/>
              </w:rPr>
              <w:t>Council</w:t>
            </w:r>
            <w:proofErr w:type="spellEnd"/>
            <w:r w:rsidRPr="00687E3F">
              <w:rPr>
                <w:lang w:eastAsia="zh-CN"/>
              </w:rPr>
              <w:t xml:space="preserve"> </w:t>
            </w:r>
            <w:proofErr w:type="spellStart"/>
            <w:r w:rsidRPr="00687E3F">
              <w:rPr>
                <w:lang w:eastAsia="zh-CN"/>
              </w:rPr>
              <w:t>Regulation</w:t>
            </w:r>
            <w:proofErr w:type="spellEnd"/>
            <w:r w:rsidRPr="00687E3F">
              <w:rPr>
                <w:lang w:eastAsia="zh-CN"/>
              </w:rPr>
              <w:t xml:space="preserve"> (EC, Euratom) No 1605/2002), OJ, L 298/1 –</w:t>
            </w:r>
            <w:proofErr w:type="gramStart"/>
            <w:r w:rsidRPr="00687E3F">
              <w:rPr>
                <w:lang w:eastAsia="zh-CN"/>
              </w:rPr>
              <w:t>26.10.2012</w:t>
            </w:r>
            <w:proofErr w:type="gramEnd"/>
            <w:r>
              <w:t xml:space="preserve"> </w:t>
            </w:r>
            <w:r w:rsidRPr="00C42F97">
              <w:rPr>
                <w:i/>
              </w:rPr>
              <w:t>(</w:t>
            </w:r>
            <w:proofErr w:type="spellStart"/>
            <w:r w:rsidRPr="00C42F97">
              <w:rPr>
                <w:i/>
              </w:rPr>
              <w:t>hereafter</w:t>
            </w:r>
            <w:proofErr w:type="spellEnd"/>
            <w:r w:rsidRPr="00C42F97">
              <w:rPr>
                <w:i/>
              </w:rPr>
              <w:t xml:space="preserve"> </w:t>
            </w:r>
            <w:r w:rsidRPr="00B11A77">
              <w:rPr>
                <w:i/>
              </w:rPr>
              <w:t xml:space="preserve">Financial </w:t>
            </w:r>
            <w:proofErr w:type="spellStart"/>
            <w:r w:rsidRPr="00B11A77">
              <w:rPr>
                <w:i/>
              </w:rPr>
              <w:t>regulation</w:t>
            </w:r>
            <w:proofErr w:type="spellEnd"/>
            <w:r>
              <w:t>)</w:t>
            </w:r>
          </w:p>
        </w:tc>
        <w:tc>
          <w:tcPr>
            <w:tcW w:w="5465" w:type="dxa"/>
            <w:tcBorders>
              <w:top w:val="single" w:sz="4" w:space="0" w:color="auto"/>
              <w:left w:val="single" w:sz="4" w:space="0" w:color="auto"/>
              <w:bottom w:val="single" w:sz="4" w:space="0" w:color="auto"/>
              <w:right w:val="single" w:sz="4" w:space="0" w:color="auto"/>
            </w:tcBorders>
            <w:shd w:val="clear" w:color="auto" w:fill="auto"/>
          </w:tcPr>
          <w:p w:rsidR="0097033A" w:rsidRDefault="00B13B23" w:rsidP="00B13B23">
            <w:pPr>
              <w:spacing w:before="120" w:after="120"/>
            </w:pPr>
            <w:r>
              <w:rPr>
                <w:lang w:val="en-IE"/>
              </w:rPr>
              <w:t>Article 59.5 (a) and (b)</w:t>
            </w:r>
          </w:p>
        </w:tc>
      </w:tr>
    </w:tbl>
    <w:p w:rsidR="00035F65" w:rsidRPr="00C42F97" w:rsidRDefault="00035F65" w:rsidP="00035F65">
      <w:pPr>
        <w:pStyle w:val="Heading2"/>
        <w:spacing w:after="240"/>
        <w:rPr>
          <w:rFonts w:ascii="Times New Roman" w:hAnsi="Times New Roman"/>
          <w:i w:val="0"/>
          <w:sz w:val="24"/>
          <w:szCs w:val="24"/>
        </w:rPr>
      </w:pPr>
      <w:bookmarkStart w:id="10" w:name="_Toc411489375"/>
      <w:bookmarkStart w:id="11" w:name="_Toc420863607"/>
      <w:bookmarkStart w:id="12" w:name="_Toc406756864"/>
      <w:bookmarkStart w:id="13" w:name="_Toc408329475"/>
      <w:r>
        <w:rPr>
          <w:rFonts w:ascii="Times New Roman" w:hAnsi="Times New Roman"/>
          <w:i w:val="0"/>
          <w:sz w:val="24"/>
          <w:szCs w:val="24"/>
        </w:rPr>
        <w:t xml:space="preserve">2. </w:t>
      </w:r>
      <w:proofErr w:type="spellStart"/>
      <w:r>
        <w:rPr>
          <w:rFonts w:ascii="Times New Roman" w:hAnsi="Times New Roman"/>
          <w:i w:val="0"/>
          <w:sz w:val="24"/>
          <w:szCs w:val="24"/>
        </w:rPr>
        <w:t>P</w:t>
      </w:r>
      <w:r w:rsidRPr="006F3315">
        <w:rPr>
          <w:rFonts w:ascii="Times New Roman" w:hAnsi="Times New Roman"/>
          <w:i w:val="0"/>
          <w:sz w:val="24"/>
          <w:szCs w:val="24"/>
        </w:rPr>
        <w:t>urpose</w:t>
      </w:r>
      <w:proofErr w:type="spellEnd"/>
      <w:r w:rsidRPr="006F3315">
        <w:rPr>
          <w:rFonts w:ascii="Times New Roman" w:hAnsi="Times New Roman"/>
          <w:i w:val="0"/>
          <w:sz w:val="24"/>
          <w:szCs w:val="24"/>
        </w:rPr>
        <w:t xml:space="preserve"> of </w:t>
      </w:r>
      <w:proofErr w:type="spellStart"/>
      <w:r w:rsidRPr="006F3315">
        <w:rPr>
          <w:rFonts w:ascii="Times New Roman" w:hAnsi="Times New Roman"/>
          <w:i w:val="0"/>
          <w:sz w:val="24"/>
          <w:szCs w:val="24"/>
        </w:rPr>
        <w:t>the</w:t>
      </w:r>
      <w:proofErr w:type="spellEnd"/>
      <w:r w:rsidRPr="006F3315">
        <w:rPr>
          <w:rFonts w:ascii="Times New Roman" w:hAnsi="Times New Roman"/>
          <w:i w:val="0"/>
          <w:sz w:val="24"/>
          <w:szCs w:val="24"/>
        </w:rPr>
        <w:t xml:space="preserve"> </w:t>
      </w:r>
      <w:proofErr w:type="spellStart"/>
      <w:r w:rsidRPr="006F3315">
        <w:rPr>
          <w:rFonts w:ascii="Times New Roman" w:hAnsi="Times New Roman"/>
          <w:i w:val="0"/>
          <w:sz w:val="24"/>
          <w:szCs w:val="24"/>
        </w:rPr>
        <w:t>guidanc</w:t>
      </w:r>
      <w:r w:rsidRPr="00035F65">
        <w:rPr>
          <w:rFonts w:ascii="Times New Roman" w:hAnsi="Times New Roman"/>
          <w:i w:val="0"/>
          <w:sz w:val="24"/>
          <w:szCs w:val="24"/>
        </w:rPr>
        <w:t>e</w:t>
      </w:r>
      <w:bookmarkEnd w:id="10"/>
      <w:bookmarkEnd w:id="11"/>
      <w:proofErr w:type="spellEnd"/>
    </w:p>
    <w:bookmarkEnd w:id="4"/>
    <w:bookmarkEnd w:id="12"/>
    <w:bookmarkEnd w:id="13"/>
    <w:p w:rsidR="00FC3D70" w:rsidRPr="00B11A77" w:rsidRDefault="00FC3D70" w:rsidP="006B2412">
      <w:pPr>
        <w:spacing w:after="120"/>
        <w:jc w:val="both"/>
        <w:rPr>
          <w:lang w:val="en-IE"/>
        </w:rPr>
      </w:pPr>
      <w:r>
        <w:rPr>
          <w:lang w:val="en-IE"/>
        </w:rPr>
        <w:t>The MA is required to draw up a management declaration and an annual summary in accordance with Article 59.5 (a) and (b) of the Financial Regulation</w:t>
      </w:r>
      <w:r w:rsidRPr="00C2037E">
        <w:rPr>
          <w:lang w:val="en-IE"/>
        </w:rPr>
        <w:t xml:space="preserve"> </w:t>
      </w:r>
      <w:r>
        <w:rPr>
          <w:lang w:val="en-IE"/>
        </w:rPr>
        <w:t>and Article 125(4</w:t>
      </w:r>
      <w:proofErr w:type="gramStart"/>
      <w:r>
        <w:rPr>
          <w:lang w:val="en-IE"/>
        </w:rPr>
        <w:t>)(</w:t>
      </w:r>
      <w:proofErr w:type="gramEnd"/>
      <w:r>
        <w:rPr>
          <w:lang w:val="en-IE"/>
        </w:rPr>
        <w:t xml:space="preserve">e) of the CPR. </w:t>
      </w:r>
      <w:r w:rsidRPr="00D424E9">
        <w:rPr>
          <w:lang w:val="en-IE"/>
        </w:rPr>
        <w:t>The</w:t>
      </w:r>
      <w:r>
        <w:rPr>
          <w:lang w:val="en-IE"/>
        </w:rPr>
        <w:t xml:space="preserve">se documents </w:t>
      </w:r>
      <w:r w:rsidR="000B5316">
        <w:rPr>
          <w:lang w:val="en-IE"/>
        </w:rPr>
        <w:t xml:space="preserve">contribute </w:t>
      </w:r>
      <w:r w:rsidRPr="00D424E9">
        <w:rPr>
          <w:lang w:val="en-IE"/>
        </w:rPr>
        <w:t xml:space="preserve">to </w:t>
      </w:r>
      <w:r>
        <w:rPr>
          <w:lang w:val="en-IE"/>
        </w:rPr>
        <w:t>strengthen</w:t>
      </w:r>
      <w:r w:rsidR="000B5316">
        <w:rPr>
          <w:lang w:val="en-IE"/>
        </w:rPr>
        <w:t>ing</w:t>
      </w:r>
      <w:r>
        <w:rPr>
          <w:lang w:val="en-IE"/>
        </w:rPr>
        <w:t xml:space="preserve"> </w:t>
      </w:r>
      <w:r w:rsidRPr="00D424E9">
        <w:rPr>
          <w:lang w:val="en-IE"/>
        </w:rPr>
        <w:t xml:space="preserve">internal control </w:t>
      </w:r>
      <w:r>
        <w:rPr>
          <w:lang w:val="en-IE"/>
        </w:rPr>
        <w:t xml:space="preserve">at Member State level for the implementation of ESIF </w:t>
      </w:r>
      <w:r w:rsidRPr="00D424E9">
        <w:rPr>
          <w:lang w:val="en-IE"/>
        </w:rPr>
        <w:t xml:space="preserve">and </w:t>
      </w:r>
      <w:r>
        <w:rPr>
          <w:lang w:val="en-IE"/>
        </w:rPr>
        <w:t>to increas</w:t>
      </w:r>
      <w:r w:rsidR="000B5316">
        <w:rPr>
          <w:lang w:val="en-IE"/>
        </w:rPr>
        <w:t>ing</w:t>
      </w:r>
      <w:r>
        <w:rPr>
          <w:lang w:val="en-IE"/>
        </w:rPr>
        <w:t xml:space="preserve"> </w:t>
      </w:r>
      <w:r w:rsidRPr="00D424E9">
        <w:rPr>
          <w:lang w:val="en-IE"/>
        </w:rPr>
        <w:t xml:space="preserve">accountability </w:t>
      </w:r>
      <w:r>
        <w:rPr>
          <w:lang w:val="en-IE"/>
        </w:rPr>
        <w:t xml:space="preserve">under </w:t>
      </w:r>
      <w:r w:rsidRPr="00D424E9">
        <w:rPr>
          <w:lang w:val="en-IE"/>
        </w:rPr>
        <w:t xml:space="preserve">the shared management </w:t>
      </w:r>
      <w:r>
        <w:rPr>
          <w:lang w:val="en-IE"/>
        </w:rPr>
        <w:t>system</w:t>
      </w:r>
      <w:r w:rsidRPr="00D424E9">
        <w:rPr>
          <w:lang w:val="en-IE"/>
        </w:rPr>
        <w:t xml:space="preserve">. </w:t>
      </w:r>
    </w:p>
    <w:p w:rsidR="00553BFB" w:rsidRPr="00D30B4B" w:rsidRDefault="00633656" w:rsidP="006B2412">
      <w:pPr>
        <w:spacing w:after="120"/>
        <w:jc w:val="both"/>
        <w:rPr>
          <w:highlight w:val="yellow"/>
          <w:lang w:val="en-GB"/>
        </w:rPr>
      </w:pPr>
      <w:r w:rsidRPr="00A6524D">
        <w:rPr>
          <w:lang w:val="en-GB"/>
        </w:rPr>
        <w:t>The purpose of th</w:t>
      </w:r>
      <w:r w:rsidR="00FC3D70">
        <w:rPr>
          <w:lang w:val="en-GB"/>
        </w:rPr>
        <w:t xml:space="preserve">e </w:t>
      </w:r>
      <w:r w:rsidR="000B5316">
        <w:rPr>
          <w:lang w:val="en-GB"/>
        </w:rPr>
        <w:t>present</w:t>
      </w:r>
      <w:r w:rsidRPr="00A6524D">
        <w:rPr>
          <w:lang w:val="en-GB"/>
        </w:rPr>
        <w:t xml:space="preserve"> </w:t>
      </w:r>
      <w:r w:rsidR="00035F65">
        <w:rPr>
          <w:lang w:val="en-GB"/>
        </w:rPr>
        <w:t>document</w:t>
      </w:r>
      <w:r w:rsidRPr="00A6524D">
        <w:rPr>
          <w:lang w:val="en-GB"/>
        </w:rPr>
        <w:t xml:space="preserve"> is to give practical guidance to the Member States on their responsibilities with regard to the </w:t>
      </w:r>
      <w:r w:rsidR="00A6524D" w:rsidRPr="00A6524D">
        <w:rPr>
          <w:lang w:val="en-GB"/>
        </w:rPr>
        <w:t>drawing up of the management declaration and the annual summary</w:t>
      </w:r>
      <w:r w:rsidR="0075338D">
        <w:rPr>
          <w:rStyle w:val="FootnoteReference"/>
          <w:lang w:val="en-GB"/>
        </w:rPr>
        <w:footnoteReference w:id="3"/>
      </w:r>
      <w:r w:rsidR="00116DA4" w:rsidRPr="00A6524D">
        <w:rPr>
          <w:lang w:val="en-GB"/>
        </w:rPr>
        <w:t>.</w:t>
      </w:r>
      <w:r w:rsidRPr="00A6524D">
        <w:rPr>
          <w:lang w:val="en-GB"/>
        </w:rPr>
        <w:t xml:space="preserve"> </w:t>
      </w:r>
    </w:p>
    <w:p w:rsidR="006F3315" w:rsidRDefault="006F3315" w:rsidP="006B2412">
      <w:pPr>
        <w:spacing w:after="120"/>
        <w:jc w:val="both"/>
        <w:rPr>
          <w:lang w:val="en-GB"/>
        </w:rPr>
      </w:pPr>
    </w:p>
    <w:p w:rsidR="006F3315" w:rsidRPr="006F3315" w:rsidRDefault="006F3315" w:rsidP="006F3315">
      <w:pPr>
        <w:pStyle w:val="Heading1"/>
        <w:rPr>
          <w:rFonts w:ascii="Times New Roman Bold" w:hAnsi="Times New Roman Bold"/>
          <w:b/>
          <w:smallCaps/>
        </w:rPr>
      </w:pPr>
      <w:bookmarkStart w:id="14" w:name="_Toc406756866"/>
      <w:bookmarkStart w:id="15" w:name="_Toc408329476"/>
      <w:bookmarkStart w:id="16" w:name="_Toc411489376"/>
      <w:bookmarkStart w:id="17" w:name="_Toc420863608"/>
      <w:r>
        <w:rPr>
          <w:rFonts w:ascii="Times New Roman Bold" w:hAnsi="Times New Roman Bold"/>
          <w:b/>
          <w:smallCaps/>
        </w:rPr>
        <w:t xml:space="preserve">II. </w:t>
      </w:r>
      <w:r w:rsidRPr="006F3315">
        <w:rPr>
          <w:rFonts w:ascii="Times New Roman Bold" w:hAnsi="Times New Roman Bold"/>
          <w:b/>
          <w:smallCaps/>
        </w:rPr>
        <w:t>Guidance</w:t>
      </w:r>
      <w:bookmarkEnd w:id="14"/>
      <w:bookmarkEnd w:id="15"/>
      <w:bookmarkEnd w:id="16"/>
      <w:bookmarkEnd w:id="17"/>
    </w:p>
    <w:p w:rsidR="007944E1" w:rsidRPr="00035F65" w:rsidRDefault="000D4F4F" w:rsidP="00035F65">
      <w:pPr>
        <w:pStyle w:val="Heading2"/>
        <w:spacing w:after="240"/>
        <w:rPr>
          <w:rFonts w:ascii="Times New Roman" w:hAnsi="Times New Roman"/>
          <w:i w:val="0"/>
          <w:sz w:val="24"/>
          <w:szCs w:val="24"/>
        </w:rPr>
      </w:pPr>
      <w:bookmarkStart w:id="18" w:name="_Toc411485843"/>
      <w:bookmarkStart w:id="19" w:name="_Toc411489378"/>
      <w:bookmarkStart w:id="20" w:name="_Toc411489508"/>
      <w:bookmarkStart w:id="21" w:name="_Toc420863609"/>
      <w:r>
        <w:rPr>
          <w:rFonts w:ascii="Times New Roman" w:hAnsi="Times New Roman"/>
          <w:i w:val="0"/>
          <w:sz w:val="24"/>
          <w:szCs w:val="24"/>
        </w:rPr>
        <w:t>1</w:t>
      </w:r>
      <w:r w:rsidR="007944E1" w:rsidRPr="00035F65">
        <w:rPr>
          <w:rFonts w:ascii="Times New Roman" w:hAnsi="Times New Roman"/>
          <w:i w:val="0"/>
          <w:sz w:val="24"/>
          <w:szCs w:val="24"/>
        </w:rPr>
        <w:t>.</w:t>
      </w:r>
      <w:r w:rsidR="007944E1" w:rsidRPr="00035F65">
        <w:rPr>
          <w:rFonts w:ascii="Times New Roman" w:hAnsi="Times New Roman"/>
          <w:i w:val="0"/>
          <w:sz w:val="24"/>
          <w:szCs w:val="24"/>
        </w:rPr>
        <w:tab/>
      </w:r>
      <w:proofErr w:type="spellStart"/>
      <w:r w:rsidR="00360B0F" w:rsidRPr="00035F65">
        <w:rPr>
          <w:rFonts w:ascii="Times New Roman" w:hAnsi="Times New Roman"/>
          <w:i w:val="0"/>
          <w:sz w:val="24"/>
          <w:szCs w:val="24"/>
        </w:rPr>
        <w:t>The</w:t>
      </w:r>
      <w:proofErr w:type="spellEnd"/>
      <w:r w:rsidR="00360B0F" w:rsidRPr="00035F65">
        <w:rPr>
          <w:rFonts w:ascii="Times New Roman" w:hAnsi="Times New Roman"/>
          <w:i w:val="0"/>
          <w:sz w:val="24"/>
          <w:szCs w:val="24"/>
        </w:rPr>
        <w:t xml:space="preserve"> </w:t>
      </w:r>
      <w:r w:rsidR="00167F3F" w:rsidRPr="00035F65">
        <w:rPr>
          <w:rFonts w:ascii="Times New Roman" w:hAnsi="Times New Roman"/>
          <w:i w:val="0"/>
          <w:sz w:val="24"/>
          <w:szCs w:val="24"/>
        </w:rPr>
        <w:t xml:space="preserve">Management </w:t>
      </w:r>
      <w:proofErr w:type="spellStart"/>
      <w:r w:rsidR="00167F3F" w:rsidRPr="00035F65">
        <w:rPr>
          <w:rFonts w:ascii="Times New Roman" w:hAnsi="Times New Roman"/>
          <w:i w:val="0"/>
          <w:sz w:val="24"/>
          <w:szCs w:val="24"/>
        </w:rPr>
        <w:t>Declaration</w:t>
      </w:r>
      <w:bookmarkEnd w:id="18"/>
      <w:bookmarkEnd w:id="19"/>
      <w:bookmarkEnd w:id="20"/>
      <w:bookmarkEnd w:id="21"/>
      <w:proofErr w:type="spellEnd"/>
    </w:p>
    <w:p w:rsidR="007C4D1C" w:rsidRPr="00580EFC" w:rsidRDefault="00580EFC" w:rsidP="00E85A88">
      <w:pPr>
        <w:jc w:val="both"/>
        <w:rPr>
          <w:u w:val="single"/>
          <w:lang w:val="en-GB"/>
        </w:rPr>
      </w:pPr>
      <w:r w:rsidRPr="00580EFC">
        <w:rPr>
          <w:u w:val="single"/>
          <w:lang w:val="en-GB"/>
        </w:rPr>
        <w:t>Introduction</w:t>
      </w:r>
    </w:p>
    <w:p w:rsidR="00B11A77" w:rsidRDefault="00B11A77" w:rsidP="00FC3D70">
      <w:pPr>
        <w:spacing w:after="120"/>
        <w:jc w:val="both"/>
        <w:rPr>
          <w:lang w:val="en-GB"/>
        </w:rPr>
      </w:pPr>
    </w:p>
    <w:p w:rsidR="00FC3D70" w:rsidRPr="00A6524D" w:rsidRDefault="00FC3D70" w:rsidP="00FC3D70">
      <w:pPr>
        <w:spacing w:after="120"/>
        <w:jc w:val="both"/>
        <w:rPr>
          <w:lang w:val="en-GB"/>
        </w:rPr>
      </w:pPr>
      <w:r w:rsidRPr="00A6524D">
        <w:rPr>
          <w:lang w:val="en-GB"/>
        </w:rPr>
        <w:t xml:space="preserve">The model for the management declaration is set out in </w:t>
      </w:r>
      <w:r>
        <w:rPr>
          <w:lang w:val="en-GB"/>
        </w:rPr>
        <w:t xml:space="preserve">Annex VI </w:t>
      </w:r>
      <w:r w:rsidRPr="00A6524D">
        <w:rPr>
          <w:lang w:val="en-GB"/>
        </w:rPr>
        <w:t xml:space="preserve">of </w:t>
      </w:r>
      <w:r>
        <w:rPr>
          <w:lang w:val="en-GB"/>
        </w:rPr>
        <w:t>the CIR.</w:t>
      </w:r>
    </w:p>
    <w:p w:rsidR="000B5316" w:rsidRDefault="00B13B23" w:rsidP="000D4F4F">
      <w:pPr>
        <w:spacing w:after="120"/>
        <w:jc w:val="both"/>
        <w:rPr>
          <w:lang w:val="en-IE"/>
        </w:rPr>
      </w:pPr>
      <w:r>
        <w:rPr>
          <w:lang w:val="en-IE"/>
        </w:rPr>
        <w:t xml:space="preserve">The management declaration comprises two parts: </w:t>
      </w:r>
    </w:p>
    <w:p w:rsidR="000B5316" w:rsidRDefault="000B5316" w:rsidP="000D4F4F">
      <w:pPr>
        <w:spacing w:after="120"/>
        <w:jc w:val="both"/>
        <w:rPr>
          <w:lang w:val="en-IE"/>
        </w:rPr>
      </w:pPr>
      <w:r>
        <w:rPr>
          <w:lang w:val="en-IE"/>
        </w:rPr>
        <w:lastRenderedPageBreak/>
        <w:t xml:space="preserve">- </w:t>
      </w:r>
      <w:r w:rsidR="00B13B23">
        <w:rPr>
          <w:lang w:val="en-IE"/>
        </w:rPr>
        <w:t>the declaration itself which, in accordance with the Financial Regulation, contains three elements linked to the accounts, the use of expenditure entered in the</w:t>
      </w:r>
      <w:r>
        <w:rPr>
          <w:lang w:val="en-IE"/>
        </w:rPr>
        <w:t>se</w:t>
      </w:r>
      <w:r w:rsidR="00B13B23">
        <w:rPr>
          <w:lang w:val="en-IE"/>
        </w:rPr>
        <w:t xml:space="preserve"> accounts and the legality and regularity of </w:t>
      </w:r>
      <w:r>
        <w:rPr>
          <w:lang w:val="en-IE"/>
        </w:rPr>
        <w:t xml:space="preserve">this </w:t>
      </w:r>
      <w:r w:rsidR="00B13B23">
        <w:rPr>
          <w:lang w:val="en-IE"/>
        </w:rPr>
        <w:t xml:space="preserve">expenditure based on the guarantees given by the MCS (section 1.1 hereafter); and </w:t>
      </w:r>
    </w:p>
    <w:p w:rsidR="00B13B23" w:rsidRPr="00D424E9" w:rsidRDefault="000B5316" w:rsidP="000D4F4F">
      <w:pPr>
        <w:spacing w:after="120"/>
        <w:jc w:val="both"/>
        <w:rPr>
          <w:lang w:val="en-IE"/>
        </w:rPr>
      </w:pPr>
      <w:r>
        <w:rPr>
          <w:lang w:val="en-IE"/>
        </w:rPr>
        <w:t xml:space="preserve">- </w:t>
      </w:r>
      <w:r w:rsidR="00B13B23">
        <w:rPr>
          <w:lang w:val="en-IE"/>
        </w:rPr>
        <w:t xml:space="preserve">a confirmation </w:t>
      </w:r>
      <w:r>
        <w:rPr>
          <w:lang w:val="en-IE"/>
        </w:rPr>
        <w:t xml:space="preserve">by the MA </w:t>
      </w:r>
      <w:r w:rsidR="00B13B23">
        <w:rPr>
          <w:lang w:val="en-IE"/>
        </w:rPr>
        <w:t xml:space="preserve">of the effective and compliant functioning of the MCS in relation to </w:t>
      </w:r>
      <w:r>
        <w:rPr>
          <w:lang w:val="en-IE"/>
        </w:rPr>
        <w:t xml:space="preserve">a number of </w:t>
      </w:r>
      <w:r w:rsidR="00B13B23">
        <w:rPr>
          <w:lang w:val="en-IE"/>
        </w:rPr>
        <w:t xml:space="preserve">key elements: appropriate treatment in the accounts of irregularities detected, including in the case of </w:t>
      </w:r>
      <w:r>
        <w:rPr>
          <w:lang w:val="en-IE"/>
        </w:rPr>
        <w:t xml:space="preserve">an </w:t>
      </w:r>
      <w:r w:rsidR="00B13B23">
        <w:rPr>
          <w:lang w:val="en-IE"/>
        </w:rPr>
        <w:t>on-going assessment</w:t>
      </w:r>
      <w:r>
        <w:rPr>
          <w:lang w:val="en-IE"/>
        </w:rPr>
        <w:t xml:space="preserve"> of the legality and regularity of expenditure;</w:t>
      </w:r>
      <w:r w:rsidR="00B13B23">
        <w:rPr>
          <w:lang w:val="en-IE"/>
        </w:rPr>
        <w:t xml:space="preserve"> data relating to indicators, milestones and progress</w:t>
      </w:r>
      <w:r w:rsidR="00DE5E15">
        <w:rPr>
          <w:lang w:val="en-IE"/>
        </w:rPr>
        <w:t xml:space="preserve"> of the operational programme</w:t>
      </w:r>
      <w:r>
        <w:rPr>
          <w:lang w:val="en-IE"/>
        </w:rPr>
        <w:t>;</w:t>
      </w:r>
      <w:r w:rsidR="00B13B23">
        <w:rPr>
          <w:lang w:val="en-IE"/>
        </w:rPr>
        <w:t xml:space="preserve"> effective and proportionate anti-fraud measures</w:t>
      </w:r>
      <w:r>
        <w:rPr>
          <w:lang w:val="en-IE"/>
        </w:rPr>
        <w:t>;</w:t>
      </w:r>
      <w:r w:rsidR="00B13B23">
        <w:rPr>
          <w:lang w:val="en-IE"/>
        </w:rPr>
        <w:t xml:space="preserve"> no remaining undisclosed matter</w:t>
      </w:r>
      <w:r w:rsidR="00DE5E15">
        <w:rPr>
          <w:lang w:val="en-IE"/>
        </w:rPr>
        <w:t>s</w:t>
      </w:r>
      <w:r w:rsidR="00B13B23">
        <w:rPr>
          <w:lang w:val="en-IE"/>
        </w:rPr>
        <w:t xml:space="preserve"> which could damage the reputation of the </w:t>
      </w:r>
      <w:r w:rsidR="00DE5E15">
        <w:rPr>
          <w:lang w:val="en-IE"/>
        </w:rPr>
        <w:t xml:space="preserve">cohesion </w:t>
      </w:r>
      <w:r w:rsidR="00B13B23">
        <w:rPr>
          <w:lang w:val="en-IE"/>
        </w:rPr>
        <w:t xml:space="preserve">policy (section 1.2 hereafter).  </w:t>
      </w:r>
    </w:p>
    <w:p w:rsidR="004E5E37" w:rsidRDefault="00993259" w:rsidP="00E85A88">
      <w:pPr>
        <w:jc w:val="both"/>
        <w:rPr>
          <w:lang w:val="en-GB"/>
        </w:rPr>
      </w:pPr>
      <w:r w:rsidRPr="00CF74C4">
        <w:rPr>
          <w:lang w:val="en-GB"/>
        </w:rPr>
        <w:t>The management declaration is to be presented for each programme separately</w:t>
      </w:r>
      <w:r w:rsidR="00770766">
        <w:rPr>
          <w:lang w:val="en-GB"/>
        </w:rPr>
        <w:t xml:space="preserve"> and </w:t>
      </w:r>
      <w:r w:rsidR="000B5316">
        <w:rPr>
          <w:lang w:val="en-GB"/>
        </w:rPr>
        <w:t>is</w:t>
      </w:r>
      <w:r w:rsidR="00770766">
        <w:rPr>
          <w:lang w:val="en-GB"/>
        </w:rPr>
        <w:t xml:space="preserve"> based on the implementation of the operational programme </w:t>
      </w:r>
      <w:proofErr w:type="spellStart"/>
      <w:r w:rsidR="00770766">
        <w:rPr>
          <w:lang w:val="en-GB"/>
        </w:rPr>
        <w:t>throughtout</w:t>
      </w:r>
      <w:proofErr w:type="spellEnd"/>
      <w:r w:rsidR="00770766">
        <w:rPr>
          <w:lang w:val="en-GB"/>
        </w:rPr>
        <w:t xml:space="preserve"> the accounting year.</w:t>
      </w:r>
    </w:p>
    <w:p w:rsidR="00417E40" w:rsidRPr="00E85A88" w:rsidRDefault="00417E40" w:rsidP="007C4D1C">
      <w:pPr>
        <w:autoSpaceDE w:val="0"/>
        <w:autoSpaceDN w:val="0"/>
        <w:adjustRightInd w:val="0"/>
        <w:jc w:val="both"/>
        <w:rPr>
          <w:smallCaps/>
          <w:lang w:val="en-GB"/>
        </w:rPr>
      </w:pPr>
    </w:p>
    <w:p w:rsidR="00993259" w:rsidRPr="00B13B23" w:rsidRDefault="00971011" w:rsidP="00B11A77">
      <w:pPr>
        <w:pStyle w:val="Heading2"/>
        <w:spacing w:after="240"/>
        <w:ind w:left="709"/>
        <w:rPr>
          <w:lang w:val="en"/>
        </w:rPr>
      </w:pPr>
      <w:bookmarkStart w:id="22" w:name="_Toc420863610"/>
      <w:r>
        <w:rPr>
          <w:rFonts w:ascii="Times New Roman" w:hAnsi="Times New Roman" w:cs="Times New Roman"/>
          <w:i w:val="0"/>
          <w:sz w:val="24"/>
          <w:szCs w:val="24"/>
          <w:lang w:val="en"/>
        </w:rPr>
        <w:t>1</w:t>
      </w:r>
      <w:r w:rsidRPr="00035F65">
        <w:rPr>
          <w:rFonts w:ascii="Times New Roman" w:hAnsi="Times New Roman" w:cs="Times New Roman"/>
          <w:i w:val="0"/>
          <w:sz w:val="24"/>
          <w:szCs w:val="24"/>
          <w:lang w:val="en"/>
        </w:rPr>
        <w:t xml:space="preserve">.1 </w:t>
      </w:r>
      <w:r w:rsidR="00993259" w:rsidRPr="00B11A77">
        <w:rPr>
          <w:rFonts w:ascii="Times New Roman" w:hAnsi="Times New Roman" w:cs="Times New Roman"/>
          <w:i w:val="0"/>
          <w:sz w:val="24"/>
          <w:szCs w:val="24"/>
          <w:lang w:val="en"/>
        </w:rPr>
        <w:t xml:space="preserve">The </w:t>
      </w:r>
      <w:r w:rsidR="00C2037E" w:rsidRPr="00B11A77">
        <w:rPr>
          <w:rFonts w:ascii="Times New Roman" w:hAnsi="Times New Roman" w:cs="Times New Roman"/>
          <w:i w:val="0"/>
          <w:sz w:val="24"/>
          <w:szCs w:val="24"/>
          <w:lang w:val="en"/>
        </w:rPr>
        <w:t>MA</w:t>
      </w:r>
      <w:r w:rsidR="00D97FF0" w:rsidRPr="00B11A77">
        <w:rPr>
          <w:rFonts w:ascii="Times New Roman" w:hAnsi="Times New Roman" w:cs="Times New Roman"/>
          <w:i w:val="0"/>
          <w:sz w:val="24"/>
          <w:szCs w:val="24"/>
          <w:lang w:val="en"/>
        </w:rPr>
        <w:t xml:space="preserve"> </w:t>
      </w:r>
      <w:r w:rsidR="00993259" w:rsidRPr="00B11A77">
        <w:rPr>
          <w:rFonts w:ascii="Times New Roman" w:hAnsi="Times New Roman" w:cs="Times New Roman"/>
          <w:i w:val="0"/>
          <w:sz w:val="24"/>
          <w:szCs w:val="24"/>
          <w:lang w:val="en"/>
        </w:rPr>
        <w:t xml:space="preserve">shall draw up a management declaration </w:t>
      </w:r>
      <w:r w:rsidR="00ED1A3C" w:rsidRPr="00B11A77">
        <w:rPr>
          <w:rFonts w:ascii="Times New Roman" w:hAnsi="Times New Roman" w:cs="Times New Roman"/>
          <w:i w:val="0"/>
          <w:sz w:val="24"/>
          <w:szCs w:val="24"/>
          <w:lang w:val="en"/>
        </w:rPr>
        <w:t>declaring</w:t>
      </w:r>
      <w:r w:rsidR="006C4E9E" w:rsidRPr="00B11A77">
        <w:rPr>
          <w:rFonts w:ascii="Times New Roman" w:hAnsi="Times New Roman" w:cs="Times New Roman"/>
          <w:i w:val="0"/>
          <w:sz w:val="24"/>
          <w:szCs w:val="24"/>
          <w:lang w:val="en"/>
        </w:rPr>
        <w:t xml:space="preserve"> t</w:t>
      </w:r>
      <w:r w:rsidR="00597AEE" w:rsidRPr="00B11A77">
        <w:rPr>
          <w:rFonts w:ascii="Times New Roman" w:hAnsi="Times New Roman" w:cs="Times New Roman"/>
          <w:i w:val="0"/>
          <w:sz w:val="24"/>
          <w:szCs w:val="24"/>
          <w:lang w:val="en"/>
        </w:rPr>
        <w:t>hat</w:t>
      </w:r>
      <w:r w:rsidR="00993259" w:rsidRPr="00B11A77">
        <w:rPr>
          <w:rFonts w:ascii="Times New Roman" w:hAnsi="Times New Roman" w:cs="Times New Roman"/>
          <w:i w:val="0"/>
          <w:sz w:val="24"/>
          <w:szCs w:val="24"/>
          <w:lang w:val="en"/>
        </w:rPr>
        <w:t>:</w:t>
      </w:r>
      <w:bookmarkEnd w:id="22"/>
    </w:p>
    <w:p w:rsidR="006F5E5D" w:rsidRPr="00035F65" w:rsidRDefault="00F357A5" w:rsidP="00035F65">
      <w:pPr>
        <w:pStyle w:val="Heading2"/>
        <w:spacing w:after="240"/>
        <w:ind w:left="709"/>
        <w:rPr>
          <w:rFonts w:ascii="Times New Roman" w:hAnsi="Times New Roman" w:cs="Times New Roman"/>
          <w:i w:val="0"/>
          <w:sz w:val="24"/>
          <w:szCs w:val="24"/>
          <w:u w:val="single"/>
          <w:lang w:val="en"/>
        </w:rPr>
      </w:pPr>
      <w:bookmarkStart w:id="23" w:name="_Toc411489379"/>
      <w:bookmarkStart w:id="24" w:name="_Toc420863611"/>
      <w:r>
        <w:rPr>
          <w:rFonts w:ascii="Times New Roman" w:hAnsi="Times New Roman" w:cs="Times New Roman"/>
          <w:i w:val="0"/>
          <w:sz w:val="24"/>
          <w:szCs w:val="24"/>
          <w:lang w:val="en"/>
        </w:rPr>
        <w:t>1.</w:t>
      </w:r>
      <w:r w:rsidR="00B13B23">
        <w:rPr>
          <w:rFonts w:ascii="Times New Roman" w:hAnsi="Times New Roman" w:cs="Times New Roman"/>
          <w:i w:val="0"/>
          <w:sz w:val="24"/>
          <w:szCs w:val="24"/>
          <w:lang w:val="en"/>
        </w:rPr>
        <w:t>1</w:t>
      </w:r>
      <w:r w:rsidR="002A363C" w:rsidRPr="00035F65">
        <w:rPr>
          <w:rFonts w:ascii="Times New Roman" w:hAnsi="Times New Roman" w:cs="Times New Roman"/>
          <w:i w:val="0"/>
          <w:sz w:val="24"/>
          <w:szCs w:val="24"/>
          <w:lang w:val="en"/>
        </w:rPr>
        <w:t xml:space="preserve">.1 </w:t>
      </w:r>
      <w:r w:rsidR="00690A73">
        <w:rPr>
          <w:rFonts w:ascii="Times New Roman" w:hAnsi="Times New Roman" w:cs="Times New Roman"/>
          <w:i w:val="0"/>
          <w:sz w:val="24"/>
          <w:szCs w:val="24"/>
          <w:lang w:val="en-GB"/>
        </w:rPr>
        <w:t>T</w:t>
      </w:r>
      <w:r w:rsidR="006F5E5D" w:rsidRPr="00035F65">
        <w:rPr>
          <w:rFonts w:ascii="Times New Roman" w:hAnsi="Times New Roman" w:cs="Times New Roman"/>
          <w:i w:val="0"/>
          <w:sz w:val="24"/>
          <w:szCs w:val="24"/>
          <w:lang w:val="en-GB"/>
        </w:rPr>
        <w:t>he information in the accounts is properly presented, complete and accurate</w:t>
      </w:r>
      <w:bookmarkEnd w:id="23"/>
      <w:r w:rsidR="00690A73">
        <w:rPr>
          <w:rFonts w:ascii="Times New Roman" w:hAnsi="Times New Roman" w:cs="Times New Roman"/>
          <w:i w:val="0"/>
          <w:sz w:val="24"/>
          <w:szCs w:val="24"/>
          <w:lang w:val="en-GB"/>
        </w:rPr>
        <w:t xml:space="preserve"> in accordance with Article 137(1) of the CPR</w:t>
      </w:r>
      <w:bookmarkEnd w:id="24"/>
    </w:p>
    <w:p w:rsidR="0054180D" w:rsidRDefault="00EE4251" w:rsidP="002D5DF6">
      <w:pPr>
        <w:spacing w:after="120"/>
        <w:jc w:val="both"/>
        <w:rPr>
          <w:lang w:val="en"/>
        </w:rPr>
      </w:pPr>
      <w:r>
        <w:rPr>
          <w:lang w:val="en"/>
        </w:rPr>
        <w:t xml:space="preserve">The MA has to establish a system to record and store in </w:t>
      </w:r>
      <w:proofErr w:type="spellStart"/>
      <w:r>
        <w:rPr>
          <w:lang w:val="en"/>
        </w:rPr>
        <w:t>computerised</w:t>
      </w:r>
      <w:proofErr w:type="spellEnd"/>
      <w:r>
        <w:rPr>
          <w:lang w:val="en"/>
        </w:rPr>
        <w:t xml:space="preserve"> form data on each operation necessary</w:t>
      </w:r>
      <w:r w:rsidR="0054180D">
        <w:rPr>
          <w:lang w:val="en"/>
        </w:rPr>
        <w:t>, inter alia,</w:t>
      </w:r>
      <w:r>
        <w:rPr>
          <w:lang w:val="en"/>
        </w:rPr>
        <w:t xml:space="preserve"> for </w:t>
      </w:r>
      <w:r w:rsidR="00ED1A3C">
        <w:rPr>
          <w:lang w:val="en"/>
        </w:rPr>
        <w:t xml:space="preserve">the purpose of </w:t>
      </w:r>
      <w:r>
        <w:rPr>
          <w:lang w:val="en"/>
        </w:rPr>
        <w:t xml:space="preserve">financial management, verification and audit. The financial data </w:t>
      </w:r>
      <w:r w:rsidR="0054180D">
        <w:rPr>
          <w:lang w:val="en"/>
        </w:rPr>
        <w:t xml:space="preserve">recorded by the </w:t>
      </w:r>
      <w:r>
        <w:rPr>
          <w:lang w:val="en"/>
        </w:rPr>
        <w:t>MA underpin</w:t>
      </w:r>
      <w:r w:rsidR="0054180D">
        <w:rPr>
          <w:lang w:val="en"/>
        </w:rPr>
        <w:t xml:space="preserve"> the preparation of the annual accounts </w:t>
      </w:r>
      <w:r w:rsidR="00ED1A3C">
        <w:rPr>
          <w:lang w:val="en"/>
        </w:rPr>
        <w:t>prepared by the</w:t>
      </w:r>
      <w:r w:rsidR="0054180D">
        <w:rPr>
          <w:lang w:val="en"/>
        </w:rPr>
        <w:t xml:space="preserve"> CA. The MA is responsible </w:t>
      </w:r>
      <w:r w:rsidR="00C35295">
        <w:rPr>
          <w:lang w:val="en"/>
        </w:rPr>
        <w:t xml:space="preserve">for </w:t>
      </w:r>
      <w:r w:rsidR="0054180D">
        <w:rPr>
          <w:lang w:val="en"/>
        </w:rPr>
        <w:t>ensur</w:t>
      </w:r>
      <w:r w:rsidR="00C35295">
        <w:rPr>
          <w:lang w:val="en"/>
        </w:rPr>
        <w:t>ing</w:t>
      </w:r>
      <w:r w:rsidR="0054180D">
        <w:rPr>
          <w:lang w:val="en"/>
        </w:rPr>
        <w:t xml:space="preserve"> that reliable data </w:t>
      </w:r>
      <w:r w:rsidR="00A030ED">
        <w:rPr>
          <w:lang w:val="en"/>
        </w:rPr>
        <w:t xml:space="preserve">is transmitted to the CA </w:t>
      </w:r>
      <w:r w:rsidR="0054180D">
        <w:rPr>
          <w:lang w:val="en"/>
        </w:rPr>
        <w:t>for the purpose of the preparation of the annual accounts</w:t>
      </w:r>
      <w:r w:rsidR="00A030ED">
        <w:rPr>
          <w:lang w:val="en"/>
        </w:rPr>
        <w:t>. W</w:t>
      </w:r>
      <w:r w:rsidR="0054180D">
        <w:rPr>
          <w:lang w:val="en"/>
        </w:rPr>
        <w:t xml:space="preserve">ithin the limits of such </w:t>
      </w:r>
      <w:r w:rsidR="006C4E9E">
        <w:rPr>
          <w:lang w:val="en"/>
        </w:rPr>
        <w:t>responsibility</w:t>
      </w:r>
      <w:r w:rsidR="0054180D">
        <w:rPr>
          <w:lang w:val="en"/>
        </w:rPr>
        <w:t xml:space="preserve">, </w:t>
      </w:r>
      <w:r w:rsidR="00A030ED">
        <w:rPr>
          <w:lang w:val="en"/>
        </w:rPr>
        <w:t xml:space="preserve">the MA is in a position to </w:t>
      </w:r>
      <w:r w:rsidR="0096021F">
        <w:rPr>
          <w:lang w:val="en"/>
        </w:rPr>
        <w:t>provide</w:t>
      </w:r>
      <w:r w:rsidR="008A0B92">
        <w:rPr>
          <w:lang w:val="en"/>
        </w:rPr>
        <w:t xml:space="preserve"> </w:t>
      </w:r>
      <w:r w:rsidR="002D5DF6" w:rsidRPr="00E53C53">
        <w:rPr>
          <w:lang w:val="en"/>
        </w:rPr>
        <w:t>confirmation that the information in the accounts is properly presented, complete and accurate</w:t>
      </w:r>
      <w:r w:rsidR="008A0B92">
        <w:rPr>
          <w:lang w:val="en"/>
        </w:rPr>
        <w:t xml:space="preserve">. </w:t>
      </w:r>
    </w:p>
    <w:p w:rsidR="00A030ED" w:rsidRDefault="00A030ED" w:rsidP="00A030ED">
      <w:pPr>
        <w:spacing w:after="120"/>
        <w:jc w:val="both"/>
        <w:rPr>
          <w:lang w:val="en"/>
        </w:rPr>
      </w:pPr>
      <w:r>
        <w:rPr>
          <w:lang w:val="en-GB"/>
        </w:rPr>
        <w:t>T</w:t>
      </w:r>
      <w:r>
        <w:rPr>
          <w:lang w:val="en"/>
        </w:rPr>
        <w:t xml:space="preserve">he ultimate responsibility to draw up the annual accounts and to certify their completeness, accuracy and veracity however remains with the CA.  </w:t>
      </w:r>
    </w:p>
    <w:p w:rsidR="006F5E5D" w:rsidRPr="00A030ED" w:rsidRDefault="006F5E5D" w:rsidP="006F5E5D">
      <w:pPr>
        <w:spacing w:after="120"/>
        <w:jc w:val="both"/>
        <w:rPr>
          <w:rStyle w:val="Corpsdutexte"/>
          <w:i/>
          <w:sz w:val="24"/>
          <w:lang w:val="en-GB"/>
        </w:rPr>
      </w:pPr>
      <w:r w:rsidRPr="00A030ED">
        <w:rPr>
          <w:rStyle w:val="Corpsdutexte"/>
          <w:i/>
          <w:sz w:val="24"/>
          <w:lang w:val="en-GB"/>
        </w:rPr>
        <w:t xml:space="preserve"> </w:t>
      </w:r>
    </w:p>
    <w:p w:rsidR="004A607D" w:rsidRPr="00035F65" w:rsidRDefault="00A030ED" w:rsidP="00AA4CCA">
      <w:pPr>
        <w:pStyle w:val="Heading2"/>
        <w:spacing w:after="240"/>
        <w:ind w:left="709"/>
        <w:jc w:val="both"/>
        <w:rPr>
          <w:rFonts w:ascii="Times New Roman" w:hAnsi="Times New Roman" w:cs="Times New Roman"/>
          <w:i w:val="0"/>
          <w:sz w:val="24"/>
          <w:szCs w:val="24"/>
          <w:lang w:val="en"/>
        </w:rPr>
      </w:pPr>
      <w:bookmarkStart w:id="25" w:name="_Toc411489380"/>
      <w:bookmarkStart w:id="26" w:name="_Toc420863612"/>
      <w:r>
        <w:rPr>
          <w:rFonts w:ascii="Times New Roman" w:hAnsi="Times New Roman" w:cs="Times New Roman"/>
          <w:i w:val="0"/>
          <w:sz w:val="24"/>
          <w:szCs w:val="24"/>
          <w:lang w:val="en"/>
        </w:rPr>
        <w:t>1.</w:t>
      </w:r>
      <w:r w:rsidR="00597AEE">
        <w:rPr>
          <w:rFonts w:ascii="Times New Roman" w:hAnsi="Times New Roman" w:cs="Times New Roman"/>
          <w:i w:val="0"/>
          <w:sz w:val="24"/>
          <w:szCs w:val="24"/>
          <w:lang w:val="en"/>
        </w:rPr>
        <w:t>1</w:t>
      </w:r>
      <w:r w:rsidR="00035F65">
        <w:rPr>
          <w:rFonts w:ascii="Times New Roman" w:hAnsi="Times New Roman" w:cs="Times New Roman"/>
          <w:i w:val="0"/>
          <w:sz w:val="24"/>
          <w:szCs w:val="24"/>
          <w:lang w:val="en"/>
        </w:rPr>
        <w:t>.2</w:t>
      </w:r>
      <w:r w:rsidR="004A607D" w:rsidRPr="00035F65">
        <w:rPr>
          <w:rFonts w:ascii="Times New Roman" w:hAnsi="Times New Roman" w:cs="Times New Roman"/>
          <w:i w:val="0"/>
          <w:sz w:val="24"/>
          <w:szCs w:val="24"/>
          <w:lang w:val="en"/>
        </w:rPr>
        <w:t xml:space="preserve"> </w:t>
      </w:r>
      <w:r w:rsidR="00597AEE">
        <w:rPr>
          <w:rFonts w:ascii="Times New Roman" w:hAnsi="Times New Roman" w:cs="Times New Roman"/>
          <w:i w:val="0"/>
          <w:sz w:val="24"/>
          <w:szCs w:val="24"/>
          <w:lang w:val="en"/>
        </w:rPr>
        <w:t>T</w:t>
      </w:r>
      <w:r w:rsidR="004A607D" w:rsidRPr="00035F65">
        <w:rPr>
          <w:rFonts w:ascii="Times New Roman" w:hAnsi="Times New Roman" w:cs="Times New Roman"/>
          <w:i w:val="0"/>
          <w:sz w:val="24"/>
          <w:szCs w:val="24"/>
          <w:lang w:val="en"/>
        </w:rPr>
        <w:t>he expenditure entered in the accounts was used for its intended purpose</w:t>
      </w:r>
      <w:bookmarkEnd w:id="25"/>
      <w:r w:rsidR="00597AEE">
        <w:rPr>
          <w:rFonts w:ascii="Times New Roman" w:hAnsi="Times New Roman" w:cs="Times New Roman"/>
          <w:i w:val="0"/>
          <w:sz w:val="24"/>
          <w:szCs w:val="24"/>
          <w:lang w:val="en"/>
        </w:rPr>
        <w:t>, as defined in the CPR, and in accordance with the principle of sound financial management</w:t>
      </w:r>
      <w:bookmarkEnd w:id="26"/>
    </w:p>
    <w:p w:rsidR="00205376" w:rsidRPr="003753EF" w:rsidRDefault="004D4069" w:rsidP="000B264D">
      <w:pPr>
        <w:spacing w:after="120"/>
        <w:jc w:val="both"/>
        <w:rPr>
          <w:i/>
          <w:lang w:val="en-GB"/>
        </w:rPr>
      </w:pPr>
      <w:r>
        <w:rPr>
          <w:lang w:val="en"/>
        </w:rPr>
        <w:t>The e</w:t>
      </w:r>
      <w:r w:rsidR="00061C6E">
        <w:rPr>
          <w:lang w:val="en"/>
        </w:rPr>
        <w:t xml:space="preserve">xpenditure </w:t>
      </w:r>
      <w:r w:rsidR="00276AC7">
        <w:rPr>
          <w:lang w:val="en"/>
        </w:rPr>
        <w:t xml:space="preserve">entered in the accounts </w:t>
      </w:r>
      <w:r w:rsidR="00061C6E">
        <w:rPr>
          <w:lang w:val="en"/>
        </w:rPr>
        <w:t xml:space="preserve">is </w:t>
      </w:r>
      <w:r w:rsidR="00205376">
        <w:rPr>
          <w:lang w:val="en"/>
        </w:rPr>
        <w:t>considered</w:t>
      </w:r>
      <w:r w:rsidR="00061C6E">
        <w:rPr>
          <w:lang w:val="en"/>
        </w:rPr>
        <w:t xml:space="preserve"> to be used for its intended purpose </w:t>
      </w:r>
      <w:r w:rsidR="00A030ED" w:rsidRPr="00A030ED">
        <w:rPr>
          <w:lang w:val="en"/>
        </w:rPr>
        <w:t>and in accordance with the principle of sound financial management</w:t>
      </w:r>
      <w:r w:rsidR="00A030ED">
        <w:rPr>
          <w:lang w:val="en"/>
        </w:rPr>
        <w:t xml:space="preserve"> </w:t>
      </w:r>
      <w:r w:rsidR="00192E78">
        <w:rPr>
          <w:lang w:val="en"/>
        </w:rPr>
        <w:t xml:space="preserve">when </w:t>
      </w:r>
      <w:r w:rsidR="00C35295">
        <w:rPr>
          <w:lang w:val="en"/>
        </w:rPr>
        <w:t>it is in line</w:t>
      </w:r>
      <w:r w:rsidR="00205376">
        <w:rPr>
          <w:lang w:val="en"/>
        </w:rPr>
        <w:t xml:space="preserve"> with the intervention logic of the operational programme</w:t>
      </w:r>
      <w:r w:rsidR="0074550D">
        <w:rPr>
          <w:lang w:val="en"/>
        </w:rPr>
        <w:t xml:space="preserve"> and</w:t>
      </w:r>
      <w:r w:rsidR="00205376">
        <w:rPr>
          <w:lang w:val="en"/>
        </w:rPr>
        <w:t xml:space="preserve"> </w:t>
      </w:r>
      <w:r w:rsidR="003C0712">
        <w:rPr>
          <w:lang w:val="en"/>
        </w:rPr>
        <w:t>allow</w:t>
      </w:r>
      <w:r w:rsidR="00A030ED">
        <w:rPr>
          <w:lang w:val="en"/>
        </w:rPr>
        <w:t>s</w:t>
      </w:r>
      <w:r w:rsidR="00B54452">
        <w:rPr>
          <w:lang w:val="en"/>
        </w:rPr>
        <w:t xml:space="preserve"> </w:t>
      </w:r>
      <w:r w:rsidR="009B31C6">
        <w:rPr>
          <w:lang w:val="en"/>
        </w:rPr>
        <w:t xml:space="preserve">the achievement of </w:t>
      </w:r>
      <w:r w:rsidR="00276AC7">
        <w:rPr>
          <w:lang w:val="en"/>
        </w:rPr>
        <w:t xml:space="preserve">the </w:t>
      </w:r>
      <w:r w:rsidR="00192E78">
        <w:rPr>
          <w:lang w:val="en"/>
        </w:rPr>
        <w:t xml:space="preserve">objectives </w:t>
      </w:r>
      <w:r w:rsidR="003C0712">
        <w:rPr>
          <w:lang w:val="en"/>
        </w:rPr>
        <w:t xml:space="preserve">set at the level </w:t>
      </w:r>
      <w:r w:rsidR="00891184">
        <w:rPr>
          <w:lang w:val="en"/>
        </w:rPr>
        <w:t xml:space="preserve">of </w:t>
      </w:r>
      <w:r w:rsidR="003C0712">
        <w:rPr>
          <w:lang w:val="en"/>
        </w:rPr>
        <w:t>the priorit</w:t>
      </w:r>
      <w:r w:rsidR="00891184">
        <w:rPr>
          <w:lang w:val="en"/>
        </w:rPr>
        <w:t>y axes</w:t>
      </w:r>
      <w:r w:rsidR="003C0712">
        <w:rPr>
          <w:lang w:val="en"/>
        </w:rPr>
        <w:t xml:space="preserve"> under which the </w:t>
      </w:r>
      <w:r w:rsidR="00C35295">
        <w:rPr>
          <w:lang w:val="en"/>
        </w:rPr>
        <w:t xml:space="preserve">related </w:t>
      </w:r>
      <w:r w:rsidR="003C0712">
        <w:rPr>
          <w:lang w:val="en"/>
        </w:rPr>
        <w:t>operations are selected</w:t>
      </w:r>
      <w:r w:rsidR="0074550D">
        <w:rPr>
          <w:lang w:val="en"/>
        </w:rPr>
        <w:t>.</w:t>
      </w:r>
      <w:r w:rsidR="009C4128">
        <w:rPr>
          <w:lang w:val="en"/>
        </w:rPr>
        <w:t xml:space="preserve"> </w:t>
      </w:r>
    </w:p>
    <w:p w:rsidR="004B2846" w:rsidRPr="0007245E" w:rsidRDefault="004B2846" w:rsidP="000B264D">
      <w:pPr>
        <w:spacing w:after="120"/>
        <w:jc w:val="both"/>
        <w:rPr>
          <w:color w:val="000000"/>
          <w:lang w:val="en-GB" w:eastAsia="en-GB"/>
        </w:rPr>
      </w:pPr>
      <w:r>
        <w:rPr>
          <w:lang w:val="en-GB"/>
        </w:rPr>
        <w:t xml:space="preserve">In order to </w:t>
      </w:r>
      <w:r w:rsidR="00A030ED">
        <w:rPr>
          <w:lang w:val="en-GB"/>
        </w:rPr>
        <w:t xml:space="preserve">be able to </w:t>
      </w:r>
      <w:r w:rsidR="00C35295">
        <w:rPr>
          <w:lang w:val="en-GB"/>
        </w:rPr>
        <w:t xml:space="preserve">provide </w:t>
      </w:r>
      <w:r w:rsidR="00A030ED">
        <w:rPr>
          <w:lang w:val="en-GB"/>
        </w:rPr>
        <w:t xml:space="preserve">such </w:t>
      </w:r>
      <w:r w:rsidR="00C35295">
        <w:rPr>
          <w:lang w:val="en-GB"/>
        </w:rPr>
        <w:t>confirmation</w:t>
      </w:r>
      <w:r>
        <w:rPr>
          <w:lang w:val="en-GB"/>
        </w:rPr>
        <w:t xml:space="preserve">, </w:t>
      </w:r>
      <w:r w:rsidR="00BB0EF0" w:rsidRPr="00BB0EF0">
        <w:rPr>
          <w:lang w:val="en-GB"/>
        </w:rPr>
        <w:t>t</w:t>
      </w:r>
      <w:r w:rsidRPr="00BB0EF0">
        <w:rPr>
          <w:lang w:val="en-GB"/>
        </w:rPr>
        <w:t>he</w:t>
      </w:r>
      <w:r>
        <w:rPr>
          <w:lang w:val="en-GB"/>
        </w:rPr>
        <w:t xml:space="preserve"> </w:t>
      </w:r>
      <w:r w:rsidRPr="0007245E">
        <w:rPr>
          <w:lang w:val="en-GB"/>
        </w:rPr>
        <w:t xml:space="preserve">MA </w:t>
      </w:r>
      <w:r w:rsidR="00A030ED">
        <w:rPr>
          <w:lang w:val="en-GB"/>
        </w:rPr>
        <w:t>has</w:t>
      </w:r>
      <w:r w:rsidR="00A6017F">
        <w:rPr>
          <w:lang w:val="en-GB"/>
        </w:rPr>
        <w:t>,</w:t>
      </w:r>
      <w:r w:rsidR="00A030ED">
        <w:rPr>
          <w:lang w:val="en-GB"/>
        </w:rPr>
        <w:t xml:space="preserve"> through the functioning of the MCS</w:t>
      </w:r>
      <w:r w:rsidR="00A6017F">
        <w:rPr>
          <w:lang w:val="en-GB"/>
        </w:rPr>
        <w:t>,</w:t>
      </w:r>
      <w:r w:rsidR="00A030ED">
        <w:rPr>
          <w:lang w:val="en-GB"/>
        </w:rPr>
        <w:t xml:space="preserve"> satisfied itself of</w:t>
      </w:r>
      <w:r w:rsidRPr="0007245E">
        <w:rPr>
          <w:lang w:val="en-GB"/>
        </w:rPr>
        <w:t xml:space="preserve"> at least the following:</w:t>
      </w:r>
    </w:p>
    <w:p w:rsidR="00BB0EF0" w:rsidRDefault="00A6017F" w:rsidP="00124292">
      <w:pPr>
        <w:numPr>
          <w:ilvl w:val="0"/>
          <w:numId w:val="28"/>
        </w:numPr>
        <w:spacing w:after="120"/>
        <w:jc w:val="both"/>
        <w:rPr>
          <w:color w:val="000000"/>
          <w:lang w:val="en-GB" w:eastAsia="en-GB"/>
        </w:rPr>
      </w:pPr>
      <w:r>
        <w:rPr>
          <w:color w:val="000000"/>
          <w:lang w:val="en-GB" w:eastAsia="en-GB"/>
        </w:rPr>
        <w:t xml:space="preserve">that </w:t>
      </w:r>
      <w:r w:rsidR="00BB3989" w:rsidRPr="0007245E">
        <w:rPr>
          <w:color w:val="000000"/>
          <w:lang w:val="en-GB" w:eastAsia="en-GB"/>
        </w:rPr>
        <w:t>t</w:t>
      </w:r>
      <w:r w:rsidR="003849B9" w:rsidRPr="0007245E">
        <w:rPr>
          <w:color w:val="000000"/>
          <w:lang w:val="en-GB" w:eastAsia="en-GB"/>
        </w:rPr>
        <w:t xml:space="preserve">he </w:t>
      </w:r>
      <w:r w:rsidR="00BB0EF0">
        <w:rPr>
          <w:color w:val="000000"/>
          <w:lang w:val="en-GB" w:eastAsia="en-GB"/>
        </w:rPr>
        <w:t xml:space="preserve">approved selection criteria </w:t>
      </w:r>
      <w:r w:rsidR="00BB3989" w:rsidRPr="0007245E">
        <w:rPr>
          <w:color w:val="000000"/>
          <w:lang w:val="en-GB" w:eastAsia="en-GB"/>
        </w:rPr>
        <w:t xml:space="preserve">are </w:t>
      </w:r>
      <w:r w:rsidR="003849B9" w:rsidRPr="0007245E">
        <w:rPr>
          <w:color w:val="000000"/>
          <w:lang w:val="en-GB" w:eastAsia="en-GB"/>
        </w:rPr>
        <w:t xml:space="preserve">linked to the </w:t>
      </w:r>
      <w:r w:rsidR="003849B9" w:rsidRPr="00AA4CCA">
        <w:rPr>
          <w:b/>
          <w:color w:val="000000"/>
          <w:lang w:val="en-GB" w:eastAsia="en-GB"/>
        </w:rPr>
        <w:t>intervention logic</w:t>
      </w:r>
      <w:r w:rsidR="003849B9" w:rsidRPr="0007245E">
        <w:rPr>
          <w:color w:val="000000"/>
          <w:lang w:val="en-GB" w:eastAsia="en-GB"/>
        </w:rPr>
        <w:t xml:space="preserve"> under each </w:t>
      </w:r>
      <w:r w:rsidR="00D068FE">
        <w:rPr>
          <w:color w:val="000000"/>
          <w:lang w:val="en-GB" w:eastAsia="en-GB"/>
        </w:rPr>
        <w:t>priority axis</w:t>
      </w:r>
      <w:r w:rsidR="003849B9" w:rsidRPr="0007245E">
        <w:rPr>
          <w:color w:val="000000"/>
          <w:lang w:val="en-GB" w:eastAsia="en-GB"/>
        </w:rPr>
        <w:t xml:space="preserve"> and investment priority</w:t>
      </w:r>
      <w:r w:rsidR="00BB3989" w:rsidRPr="0007245E">
        <w:rPr>
          <w:color w:val="000000"/>
          <w:lang w:val="en-GB" w:eastAsia="en-GB"/>
        </w:rPr>
        <w:t>;</w:t>
      </w:r>
    </w:p>
    <w:p w:rsidR="00AF02DB" w:rsidRPr="0007245E" w:rsidRDefault="00A6017F" w:rsidP="00124292">
      <w:pPr>
        <w:numPr>
          <w:ilvl w:val="0"/>
          <w:numId w:val="28"/>
        </w:numPr>
        <w:spacing w:after="120"/>
        <w:jc w:val="both"/>
        <w:rPr>
          <w:color w:val="000000"/>
          <w:lang w:val="en-GB" w:eastAsia="en-GB"/>
        </w:rPr>
      </w:pPr>
      <w:r>
        <w:rPr>
          <w:color w:val="000000"/>
          <w:lang w:val="en-GB" w:eastAsia="en-GB"/>
        </w:rPr>
        <w:t xml:space="preserve">that </w:t>
      </w:r>
      <w:r w:rsidR="00BB0EF0" w:rsidRPr="0007245E">
        <w:rPr>
          <w:color w:val="000000"/>
          <w:lang w:val="en-GB" w:eastAsia="en-GB"/>
        </w:rPr>
        <w:t xml:space="preserve">the operations </w:t>
      </w:r>
      <w:r w:rsidR="00A030ED">
        <w:rPr>
          <w:color w:val="000000"/>
          <w:lang w:val="en-GB" w:eastAsia="en-GB"/>
        </w:rPr>
        <w:t xml:space="preserve">for which expenditure is entered in the accounts have </w:t>
      </w:r>
      <w:r w:rsidR="00A030ED" w:rsidRPr="0007245E">
        <w:rPr>
          <w:color w:val="000000"/>
          <w:lang w:val="en-GB" w:eastAsia="en-GB"/>
        </w:rPr>
        <w:t xml:space="preserve">effectively </w:t>
      </w:r>
      <w:r w:rsidR="00A030ED">
        <w:rPr>
          <w:color w:val="000000"/>
          <w:lang w:val="en-GB" w:eastAsia="en-GB"/>
        </w:rPr>
        <w:t xml:space="preserve">been </w:t>
      </w:r>
      <w:r w:rsidR="00BB0EF0" w:rsidRPr="0007245E">
        <w:rPr>
          <w:color w:val="000000"/>
          <w:lang w:val="en-GB" w:eastAsia="en-GB"/>
        </w:rPr>
        <w:t xml:space="preserve">selected in line with the </w:t>
      </w:r>
      <w:r w:rsidR="00BB0EF0" w:rsidRPr="00124292">
        <w:rPr>
          <w:b/>
          <w:color w:val="000000"/>
          <w:lang w:val="en-GB" w:eastAsia="en-GB"/>
        </w:rPr>
        <w:t>approved selection criteria</w:t>
      </w:r>
      <w:r w:rsidR="00BB0EF0">
        <w:rPr>
          <w:b/>
          <w:color w:val="000000"/>
          <w:lang w:val="en-GB" w:eastAsia="en-GB"/>
        </w:rPr>
        <w:t>;</w:t>
      </w:r>
      <w:r w:rsidR="002B671D" w:rsidRPr="0007245E">
        <w:rPr>
          <w:color w:val="000000"/>
          <w:lang w:val="en-GB" w:eastAsia="en-GB"/>
        </w:rPr>
        <w:t xml:space="preserve">  </w:t>
      </w:r>
      <w:r w:rsidR="003849B9" w:rsidRPr="0007245E">
        <w:rPr>
          <w:color w:val="000000"/>
          <w:lang w:val="en-GB" w:eastAsia="en-GB"/>
        </w:rPr>
        <w:t xml:space="preserve"> </w:t>
      </w:r>
    </w:p>
    <w:p w:rsidR="00FA1DB9" w:rsidRDefault="00A6017F" w:rsidP="00C267CE">
      <w:pPr>
        <w:numPr>
          <w:ilvl w:val="0"/>
          <w:numId w:val="28"/>
        </w:numPr>
        <w:spacing w:after="120"/>
        <w:jc w:val="both"/>
        <w:rPr>
          <w:color w:val="000000"/>
          <w:lang w:val="en-GB" w:eastAsia="en-GB"/>
        </w:rPr>
      </w:pPr>
      <w:r>
        <w:rPr>
          <w:color w:val="000000"/>
          <w:lang w:val="en-GB" w:eastAsia="en-GB"/>
        </w:rPr>
        <w:t xml:space="preserve">that </w:t>
      </w:r>
      <w:r w:rsidR="00FA1DB9">
        <w:rPr>
          <w:color w:val="000000"/>
          <w:lang w:val="en-GB" w:eastAsia="en-GB"/>
        </w:rPr>
        <w:t xml:space="preserve">spending on </w:t>
      </w:r>
      <w:r w:rsidR="00A030ED">
        <w:rPr>
          <w:color w:val="000000"/>
          <w:lang w:val="en-GB" w:eastAsia="en-GB"/>
        </w:rPr>
        <w:t xml:space="preserve">selected operations is designed to </w:t>
      </w:r>
      <w:r w:rsidR="00FA1DB9">
        <w:rPr>
          <w:color w:val="000000"/>
          <w:lang w:val="en-GB" w:eastAsia="en-GB"/>
        </w:rPr>
        <w:t xml:space="preserve">deliver </w:t>
      </w:r>
      <w:r w:rsidR="00FA1DB9" w:rsidRPr="00AA4CCA">
        <w:rPr>
          <w:b/>
          <w:color w:val="000000"/>
          <w:lang w:val="en-GB" w:eastAsia="en-GB"/>
        </w:rPr>
        <w:t>outputs and results</w:t>
      </w:r>
      <w:r w:rsidR="00FA1DB9">
        <w:rPr>
          <w:color w:val="000000"/>
          <w:lang w:val="en-GB" w:eastAsia="en-GB"/>
        </w:rPr>
        <w:t xml:space="preserve"> in line with the objectives of the priority axes and the related performance framework; </w:t>
      </w:r>
    </w:p>
    <w:p w:rsidR="00FF6A88" w:rsidRDefault="00BB0EF0" w:rsidP="00C267CE">
      <w:pPr>
        <w:numPr>
          <w:ilvl w:val="0"/>
          <w:numId w:val="28"/>
        </w:numPr>
        <w:spacing w:after="120"/>
        <w:jc w:val="both"/>
        <w:rPr>
          <w:color w:val="000000"/>
          <w:lang w:val="en-GB" w:eastAsia="en-GB"/>
        </w:rPr>
      </w:pPr>
      <w:r w:rsidRPr="00C267CE">
        <w:rPr>
          <w:color w:val="000000"/>
          <w:lang w:val="en-GB" w:eastAsia="en-GB"/>
        </w:rPr>
        <w:t xml:space="preserve">in case of </w:t>
      </w:r>
      <w:r w:rsidR="00A030ED">
        <w:rPr>
          <w:color w:val="000000"/>
          <w:lang w:val="en-GB" w:eastAsia="en-GB"/>
        </w:rPr>
        <w:t>expenditure related to</w:t>
      </w:r>
      <w:r w:rsidRPr="00C267CE">
        <w:rPr>
          <w:color w:val="000000"/>
          <w:lang w:val="en-GB" w:eastAsia="en-GB"/>
        </w:rPr>
        <w:t xml:space="preserve"> </w:t>
      </w:r>
      <w:r w:rsidR="00E74123" w:rsidRPr="00C267CE">
        <w:rPr>
          <w:b/>
          <w:color w:val="000000"/>
          <w:lang w:val="en-GB" w:eastAsia="en-GB"/>
        </w:rPr>
        <w:t>financial instruments</w:t>
      </w:r>
      <w:r w:rsidRPr="00C267CE">
        <w:rPr>
          <w:b/>
          <w:color w:val="000000"/>
          <w:lang w:val="en-GB" w:eastAsia="en-GB"/>
        </w:rPr>
        <w:t xml:space="preserve">, </w:t>
      </w:r>
      <w:r w:rsidRPr="00AA4CCA">
        <w:rPr>
          <w:color w:val="000000"/>
          <w:lang w:val="en-GB" w:eastAsia="en-GB"/>
        </w:rPr>
        <w:t>the</w:t>
      </w:r>
      <w:r w:rsidR="00A030ED">
        <w:rPr>
          <w:color w:val="000000"/>
          <w:lang w:val="en-GB" w:eastAsia="en-GB"/>
        </w:rPr>
        <w:t xml:space="preserve"> latter</w:t>
      </w:r>
      <w:r w:rsidR="0007245E" w:rsidRPr="00C267CE">
        <w:rPr>
          <w:color w:val="000000"/>
          <w:lang w:val="en-GB" w:eastAsia="en-GB"/>
        </w:rPr>
        <w:t xml:space="preserve"> </w:t>
      </w:r>
      <w:r w:rsidRPr="00C267CE">
        <w:rPr>
          <w:color w:val="000000"/>
          <w:lang w:val="en-GB" w:eastAsia="en-GB"/>
        </w:rPr>
        <w:t xml:space="preserve">are based on </w:t>
      </w:r>
      <w:proofErr w:type="spellStart"/>
      <w:r w:rsidRPr="00AA4CCA">
        <w:rPr>
          <w:rFonts w:cs="EUAlbertina"/>
          <w:color w:val="000000"/>
        </w:rPr>
        <w:t>an</w:t>
      </w:r>
      <w:proofErr w:type="spellEnd"/>
      <w:r w:rsidRPr="00AA4CCA">
        <w:rPr>
          <w:rFonts w:cs="EUAlbertina"/>
          <w:color w:val="000000"/>
        </w:rPr>
        <w:t xml:space="preserve"> ex ante </w:t>
      </w:r>
      <w:proofErr w:type="spellStart"/>
      <w:r w:rsidRPr="00AA4CCA">
        <w:rPr>
          <w:rFonts w:cs="EUAlbertina"/>
          <w:color w:val="000000"/>
        </w:rPr>
        <w:t>assessment</w:t>
      </w:r>
      <w:proofErr w:type="spellEnd"/>
      <w:r w:rsidRPr="00AA4CCA">
        <w:rPr>
          <w:rFonts w:cs="EUAlbertina"/>
          <w:color w:val="000000"/>
        </w:rPr>
        <w:t xml:space="preserve"> </w:t>
      </w:r>
      <w:proofErr w:type="spellStart"/>
      <w:r w:rsidRPr="00AA4CCA">
        <w:rPr>
          <w:rFonts w:cs="EUAlbertina"/>
          <w:color w:val="000000"/>
        </w:rPr>
        <w:t>which</w:t>
      </w:r>
      <w:proofErr w:type="spellEnd"/>
      <w:r w:rsidRPr="00AA4CCA">
        <w:rPr>
          <w:rFonts w:cs="EUAlbertina"/>
          <w:color w:val="000000"/>
        </w:rPr>
        <w:t xml:space="preserve"> has </w:t>
      </w:r>
      <w:proofErr w:type="spellStart"/>
      <w:r w:rsidRPr="00AA4CCA">
        <w:rPr>
          <w:rFonts w:cs="EUAlbertina"/>
          <w:color w:val="000000"/>
        </w:rPr>
        <w:t>established</w:t>
      </w:r>
      <w:proofErr w:type="spellEnd"/>
      <w:r w:rsidRPr="00AA4CCA">
        <w:rPr>
          <w:rFonts w:cs="EUAlbertina"/>
          <w:color w:val="000000"/>
        </w:rPr>
        <w:t xml:space="preserve"> evidence of market </w:t>
      </w:r>
      <w:proofErr w:type="spellStart"/>
      <w:r w:rsidRPr="00AA4CCA">
        <w:rPr>
          <w:rFonts w:cs="EUAlbertina"/>
          <w:color w:val="000000"/>
        </w:rPr>
        <w:t>failures</w:t>
      </w:r>
      <w:proofErr w:type="spellEnd"/>
      <w:r w:rsidRPr="00AA4CCA">
        <w:rPr>
          <w:rFonts w:cs="EUAlbertina"/>
          <w:color w:val="000000"/>
        </w:rPr>
        <w:t xml:space="preserve"> </w:t>
      </w:r>
      <w:proofErr w:type="spellStart"/>
      <w:r w:rsidRPr="00AA4CCA">
        <w:rPr>
          <w:rFonts w:cs="EUAlbertina"/>
          <w:color w:val="000000"/>
        </w:rPr>
        <w:t>or</w:t>
      </w:r>
      <w:proofErr w:type="spellEnd"/>
      <w:r w:rsidRPr="00AA4CCA">
        <w:rPr>
          <w:rFonts w:cs="EUAlbertina"/>
          <w:color w:val="000000"/>
        </w:rPr>
        <w:t xml:space="preserve"> </w:t>
      </w:r>
      <w:proofErr w:type="spellStart"/>
      <w:r w:rsidRPr="00AA4CCA">
        <w:rPr>
          <w:rFonts w:cs="EUAlbertina"/>
          <w:color w:val="000000"/>
        </w:rPr>
        <w:t>suboptimal</w:t>
      </w:r>
      <w:proofErr w:type="spellEnd"/>
      <w:r w:rsidRPr="00AA4CCA">
        <w:rPr>
          <w:rFonts w:cs="EUAlbertina"/>
          <w:color w:val="000000"/>
        </w:rPr>
        <w:t xml:space="preserve"> </w:t>
      </w:r>
      <w:proofErr w:type="spellStart"/>
      <w:r w:rsidRPr="00AA4CCA">
        <w:rPr>
          <w:rFonts w:cs="EUAlbertina"/>
          <w:color w:val="000000"/>
        </w:rPr>
        <w:lastRenderedPageBreak/>
        <w:t>investment</w:t>
      </w:r>
      <w:proofErr w:type="spellEnd"/>
      <w:r w:rsidRPr="00AA4CCA">
        <w:rPr>
          <w:rFonts w:cs="EUAlbertina"/>
          <w:color w:val="000000"/>
        </w:rPr>
        <w:t xml:space="preserve"> </w:t>
      </w:r>
      <w:proofErr w:type="spellStart"/>
      <w:r w:rsidRPr="00AA4CCA">
        <w:rPr>
          <w:rFonts w:cs="EUAlbertina"/>
          <w:color w:val="000000"/>
        </w:rPr>
        <w:t>situations</w:t>
      </w:r>
      <w:proofErr w:type="spellEnd"/>
      <w:r w:rsidR="00C267CE" w:rsidRPr="00C267CE">
        <w:rPr>
          <w:rFonts w:cs="EUAlbertina"/>
          <w:color w:val="000000"/>
        </w:rPr>
        <w:t xml:space="preserve"> and </w:t>
      </w:r>
      <w:proofErr w:type="spellStart"/>
      <w:r w:rsidR="00C267CE" w:rsidRPr="00C267CE">
        <w:rPr>
          <w:rFonts w:cs="EUAlbertina"/>
          <w:color w:val="000000"/>
        </w:rPr>
        <w:t>their</w:t>
      </w:r>
      <w:proofErr w:type="spellEnd"/>
      <w:r w:rsidR="00C267CE" w:rsidRPr="00C267CE">
        <w:rPr>
          <w:rFonts w:cs="EUAlbertina"/>
          <w:color w:val="000000"/>
        </w:rPr>
        <w:t xml:space="preserve"> </w:t>
      </w:r>
      <w:r w:rsidR="00C267CE" w:rsidRPr="00C267CE">
        <w:rPr>
          <w:color w:val="000000"/>
          <w:lang w:val="en-GB" w:eastAsia="en-GB"/>
        </w:rPr>
        <w:t xml:space="preserve">performance </w:t>
      </w:r>
      <w:r w:rsidR="00FF6A88" w:rsidRPr="00AA4CCA">
        <w:rPr>
          <w:color w:val="000000"/>
          <w:lang w:val="en-GB" w:eastAsia="en-GB"/>
        </w:rPr>
        <w:t xml:space="preserve">is </w:t>
      </w:r>
      <w:r w:rsidR="00C267CE">
        <w:rPr>
          <w:color w:val="000000"/>
          <w:lang w:val="en-GB" w:eastAsia="en-GB"/>
        </w:rPr>
        <w:t xml:space="preserve">regularly </w:t>
      </w:r>
      <w:r w:rsidR="00FF6A88" w:rsidRPr="00AA4CCA">
        <w:rPr>
          <w:color w:val="000000"/>
          <w:lang w:val="en-GB" w:eastAsia="en-GB"/>
        </w:rPr>
        <w:t xml:space="preserve">monitored </w:t>
      </w:r>
      <w:r w:rsidR="00FF6A88" w:rsidRPr="00C267CE">
        <w:rPr>
          <w:color w:val="000000"/>
          <w:lang w:val="en-GB" w:eastAsia="en-GB"/>
        </w:rPr>
        <w:t>in order to ensure that the expected results are achieved;</w:t>
      </w:r>
    </w:p>
    <w:p w:rsidR="003C5CB9" w:rsidRDefault="003C5CB9" w:rsidP="00C07C9A">
      <w:pPr>
        <w:autoSpaceDE w:val="0"/>
        <w:autoSpaceDN w:val="0"/>
        <w:adjustRightInd w:val="0"/>
        <w:jc w:val="both"/>
        <w:rPr>
          <w:lang w:val="en-GB" w:eastAsia="en-GB"/>
        </w:rPr>
      </w:pPr>
      <w:r>
        <w:rPr>
          <w:lang w:val="en-GB" w:eastAsia="en-GB"/>
        </w:rPr>
        <w:t xml:space="preserve">For </w:t>
      </w:r>
      <w:r w:rsidRPr="002D4879">
        <w:rPr>
          <w:b/>
          <w:lang w:val="en-GB" w:eastAsia="en-GB"/>
        </w:rPr>
        <w:t>ETC,</w:t>
      </w:r>
      <w:r>
        <w:rPr>
          <w:lang w:val="en-GB" w:eastAsia="en-GB"/>
        </w:rPr>
        <w:t xml:space="preserve"> the same principles apply. </w:t>
      </w:r>
      <w:r w:rsidR="00A25BD0">
        <w:rPr>
          <w:lang w:val="en-GB" w:eastAsia="en-GB"/>
        </w:rPr>
        <w:t xml:space="preserve">Expenditure </w:t>
      </w:r>
      <w:r w:rsidR="00A6017F">
        <w:rPr>
          <w:lang w:val="en-GB" w:eastAsia="en-GB"/>
        </w:rPr>
        <w:t>is</w:t>
      </w:r>
      <w:r w:rsidR="00A25BD0">
        <w:rPr>
          <w:lang w:val="en-GB" w:eastAsia="en-GB"/>
        </w:rPr>
        <w:t xml:space="preserve"> used </w:t>
      </w:r>
      <w:r w:rsidR="00A25BD0" w:rsidRPr="00A25BD0">
        <w:rPr>
          <w:lang w:val="en-GB" w:eastAsia="en-GB"/>
        </w:rPr>
        <w:t>for its intended purpose</w:t>
      </w:r>
      <w:r w:rsidR="00A25BD0">
        <w:rPr>
          <w:lang w:val="en-GB" w:eastAsia="en-GB"/>
        </w:rPr>
        <w:t xml:space="preserve"> when i</w:t>
      </w:r>
      <w:r>
        <w:rPr>
          <w:lang w:val="en-GB" w:eastAsia="en-GB"/>
        </w:rPr>
        <w:t>nvestments under the territorial cooperation goal</w:t>
      </w:r>
      <w:r>
        <w:rPr>
          <w:rStyle w:val="FootnoteReference"/>
          <w:lang w:val="en-GB" w:eastAsia="en-GB"/>
        </w:rPr>
        <w:footnoteReference w:id="4"/>
      </w:r>
      <w:r w:rsidR="00DC3C32">
        <w:rPr>
          <w:lang w:val="en-GB" w:eastAsia="en-GB"/>
        </w:rPr>
        <w:t xml:space="preserve"> </w:t>
      </w:r>
      <w:r w:rsidR="00A25BD0">
        <w:rPr>
          <w:lang w:val="en-GB" w:eastAsia="en-GB"/>
        </w:rPr>
        <w:t>are</w:t>
      </w:r>
      <w:r w:rsidR="00DC3C32">
        <w:rPr>
          <w:lang w:val="en-GB" w:eastAsia="en-GB"/>
        </w:rPr>
        <w:t xml:space="preserve"> concentrated to tackle common challenges identified in the border regions</w:t>
      </w:r>
      <w:r w:rsidR="00DC3C32">
        <w:rPr>
          <w:rStyle w:val="FootnoteReference"/>
          <w:lang w:val="en-GB" w:eastAsia="en-GB"/>
        </w:rPr>
        <w:footnoteReference w:id="5"/>
      </w:r>
      <w:r w:rsidR="00720A83">
        <w:rPr>
          <w:lang w:val="en-GB" w:eastAsia="en-GB"/>
        </w:rPr>
        <w:t xml:space="preserve">, to strengthen cooperation over larger transnational territories in cases not covered by </w:t>
      </w:r>
      <w:proofErr w:type="spellStart"/>
      <w:r w:rsidR="00720A83">
        <w:rPr>
          <w:lang w:val="en-GB" w:eastAsia="en-GB"/>
        </w:rPr>
        <w:t>cross-border</w:t>
      </w:r>
      <w:proofErr w:type="spellEnd"/>
      <w:r w:rsidR="00720A83">
        <w:rPr>
          <w:lang w:val="en-GB" w:eastAsia="en-GB"/>
        </w:rPr>
        <w:t xml:space="preserve"> cooperation and to reinforce the effectiveness of cohesion policy by encouraging the exchange of experiences under the interregional cooperation component.  </w:t>
      </w:r>
      <w:r w:rsidR="00DC3C32">
        <w:rPr>
          <w:lang w:val="en-GB" w:eastAsia="en-GB"/>
        </w:rPr>
        <w:t xml:space="preserve">  </w:t>
      </w:r>
    </w:p>
    <w:p w:rsidR="00130EF7" w:rsidRPr="00B11A77" w:rsidRDefault="00130EF7" w:rsidP="002D4879">
      <w:pPr>
        <w:autoSpaceDE w:val="0"/>
        <w:autoSpaceDN w:val="0"/>
        <w:adjustRightInd w:val="0"/>
        <w:spacing w:before="240"/>
        <w:jc w:val="both"/>
        <w:rPr>
          <w:lang w:val="en"/>
        </w:rPr>
      </w:pPr>
      <w:r w:rsidRPr="00B11A77">
        <w:rPr>
          <w:lang w:val="en"/>
        </w:rPr>
        <w:t xml:space="preserve">One element which </w:t>
      </w:r>
      <w:r w:rsidR="00010F1F" w:rsidRPr="00B11A77">
        <w:rPr>
          <w:lang w:val="en"/>
        </w:rPr>
        <w:t>deserves</w:t>
      </w:r>
      <w:r w:rsidRPr="00B11A77">
        <w:rPr>
          <w:lang w:val="en"/>
        </w:rPr>
        <w:t xml:space="preserve"> particular attention</w:t>
      </w:r>
      <w:r w:rsidR="002B671D" w:rsidRPr="00B11A77">
        <w:rPr>
          <w:lang w:val="en"/>
        </w:rPr>
        <w:t xml:space="preserve"> for ETC</w:t>
      </w:r>
      <w:r w:rsidRPr="00B11A77">
        <w:rPr>
          <w:lang w:val="en"/>
        </w:rPr>
        <w:t xml:space="preserve">, based also on the experience from the 2007-2013 programming period, is </w:t>
      </w:r>
      <w:r w:rsidR="006D7001" w:rsidRPr="00B11A77">
        <w:rPr>
          <w:lang w:val="en"/>
        </w:rPr>
        <w:t xml:space="preserve">the setting out and application of </w:t>
      </w:r>
      <w:r w:rsidR="00010F1F" w:rsidRPr="00B11A77">
        <w:rPr>
          <w:lang w:val="en"/>
        </w:rPr>
        <w:t xml:space="preserve">appropriate </w:t>
      </w:r>
      <w:r w:rsidR="006D7001" w:rsidRPr="00B11A77">
        <w:rPr>
          <w:lang w:val="en"/>
        </w:rPr>
        <w:t xml:space="preserve">and clear conditions for the selection of operations in order to ensure that only </w:t>
      </w:r>
      <w:r w:rsidR="006D7001" w:rsidRPr="00B11A77">
        <w:rPr>
          <w:u w:val="single"/>
          <w:lang w:val="en"/>
        </w:rPr>
        <w:t>genuinely joint</w:t>
      </w:r>
      <w:r w:rsidR="006D7001" w:rsidRPr="00B11A77">
        <w:rPr>
          <w:lang w:val="en"/>
        </w:rPr>
        <w:t xml:space="preserve"> operations are co-f</w:t>
      </w:r>
      <w:r w:rsidR="00010F1F" w:rsidRPr="00B11A77">
        <w:rPr>
          <w:lang w:val="en"/>
        </w:rPr>
        <w:t>inanced</w:t>
      </w:r>
      <w:r w:rsidR="006D7001" w:rsidRPr="00B11A77">
        <w:rPr>
          <w:lang w:val="en"/>
        </w:rPr>
        <w:t>.</w:t>
      </w:r>
    </w:p>
    <w:p w:rsidR="003C5CB9" w:rsidRDefault="006D7001" w:rsidP="002D4879">
      <w:pPr>
        <w:autoSpaceDE w:val="0"/>
        <w:autoSpaceDN w:val="0"/>
        <w:adjustRightInd w:val="0"/>
        <w:spacing w:before="240"/>
        <w:jc w:val="both"/>
        <w:rPr>
          <w:lang w:val="en-GB" w:eastAsia="en-GB"/>
        </w:rPr>
      </w:pPr>
      <w:r w:rsidRPr="00B11A77">
        <w:rPr>
          <w:lang w:val="en-GB" w:eastAsia="en-GB"/>
        </w:rPr>
        <w:t xml:space="preserve">Furthermore, </w:t>
      </w:r>
      <w:r w:rsidR="00010F1F" w:rsidRPr="00B11A77">
        <w:rPr>
          <w:lang w:val="en-GB" w:eastAsia="en-GB"/>
        </w:rPr>
        <w:t xml:space="preserve">where a </w:t>
      </w:r>
      <w:r w:rsidRPr="00B11A77">
        <w:rPr>
          <w:lang w:val="en-GB" w:eastAsia="en-GB"/>
        </w:rPr>
        <w:t xml:space="preserve">territorial cooperation programme includes </w:t>
      </w:r>
      <w:r w:rsidR="002B671D" w:rsidRPr="00B11A77">
        <w:rPr>
          <w:lang w:val="en-GB" w:eastAsia="en-GB"/>
        </w:rPr>
        <w:t xml:space="preserve">candidate or neighbourhood </w:t>
      </w:r>
      <w:r w:rsidRPr="00B11A77">
        <w:rPr>
          <w:lang w:val="en-GB" w:eastAsia="en-GB"/>
        </w:rPr>
        <w:t>countries</w:t>
      </w:r>
      <w:r w:rsidR="00F86DF9" w:rsidRPr="00B11A77">
        <w:rPr>
          <w:lang w:val="en-GB" w:eastAsia="en-GB"/>
        </w:rPr>
        <w:t xml:space="preserve">, </w:t>
      </w:r>
      <w:r w:rsidR="006A3D41" w:rsidRPr="00B11A77">
        <w:rPr>
          <w:lang w:val="en-GB" w:eastAsia="en-GB"/>
        </w:rPr>
        <w:t>the MA</w:t>
      </w:r>
      <w:r w:rsidR="007036A7" w:rsidRPr="00B11A77">
        <w:rPr>
          <w:lang w:val="en-GB" w:eastAsia="en-GB"/>
        </w:rPr>
        <w:t xml:space="preserve"> should </w:t>
      </w:r>
      <w:r w:rsidR="00D068FE">
        <w:rPr>
          <w:lang w:val="en-GB" w:eastAsia="en-GB"/>
        </w:rPr>
        <w:t xml:space="preserve">be </w:t>
      </w:r>
      <w:proofErr w:type="spellStart"/>
      <w:r w:rsidR="00D068FE">
        <w:rPr>
          <w:lang w:val="en-GB" w:eastAsia="en-GB"/>
        </w:rPr>
        <w:t>satisified</w:t>
      </w:r>
      <w:proofErr w:type="spellEnd"/>
      <w:r w:rsidR="006A3D41" w:rsidRPr="00B11A77">
        <w:rPr>
          <w:lang w:val="en-GB" w:eastAsia="en-GB"/>
        </w:rPr>
        <w:t xml:space="preserve"> that </w:t>
      </w:r>
      <w:r w:rsidR="00010F1F" w:rsidRPr="00B11A77">
        <w:rPr>
          <w:lang w:val="en-GB" w:eastAsia="en-GB"/>
        </w:rPr>
        <w:t xml:space="preserve">the </w:t>
      </w:r>
      <w:r w:rsidR="00A25BD0" w:rsidRPr="00B11A77">
        <w:rPr>
          <w:lang w:val="en-GB" w:eastAsia="en-GB"/>
        </w:rPr>
        <w:t>expenditure declared has</w:t>
      </w:r>
      <w:r w:rsidR="00F86DF9" w:rsidRPr="00B11A77">
        <w:rPr>
          <w:lang w:val="en-GB" w:eastAsia="en-GB"/>
        </w:rPr>
        <w:t xml:space="preserve"> contribute</w:t>
      </w:r>
      <w:r w:rsidR="00A25BD0" w:rsidRPr="00B11A77">
        <w:rPr>
          <w:lang w:val="en-GB" w:eastAsia="en-GB"/>
        </w:rPr>
        <w:t>d</w:t>
      </w:r>
      <w:r w:rsidR="00F86DF9" w:rsidRPr="00B11A77">
        <w:rPr>
          <w:lang w:val="en-GB" w:eastAsia="en-GB"/>
        </w:rPr>
        <w:t xml:space="preserve"> to the objectives of the Instrument for Pre-Accession Assistance (IPA)</w:t>
      </w:r>
      <w:r w:rsidR="002B671D" w:rsidRPr="00B11A77">
        <w:rPr>
          <w:lang w:val="en-GB" w:eastAsia="en-GB"/>
        </w:rPr>
        <w:t xml:space="preserve"> and the European Neighbourhood Instrument (ENI)</w:t>
      </w:r>
      <w:r w:rsidR="00F86DF9" w:rsidRPr="00B11A77">
        <w:rPr>
          <w:lang w:val="en-GB" w:eastAsia="en-GB"/>
        </w:rPr>
        <w:t>.</w:t>
      </w:r>
      <w:r w:rsidR="00F86DF9">
        <w:rPr>
          <w:lang w:val="en-GB" w:eastAsia="en-GB"/>
        </w:rPr>
        <w:t xml:space="preserve">   </w:t>
      </w:r>
      <w:r>
        <w:rPr>
          <w:lang w:val="en-GB" w:eastAsia="en-GB"/>
        </w:rPr>
        <w:t xml:space="preserve"> </w:t>
      </w:r>
    </w:p>
    <w:p w:rsidR="00520938" w:rsidRPr="00035F65" w:rsidRDefault="00A25BD0" w:rsidP="00AA4CCA">
      <w:pPr>
        <w:pStyle w:val="Heading2"/>
        <w:spacing w:after="240"/>
        <w:ind w:left="709"/>
        <w:jc w:val="both"/>
        <w:rPr>
          <w:rFonts w:ascii="Times New Roman" w:hAnsi="Times New Roman" w:cs="Times New Roman"/>
          <w:i w:val="0"/>
          <w:sz w:val="24"/>
          <w:szCs w:val="24"/>
          <w:lang w:val="en"/>
        </w:rPr>
      </w:pPr>
      <w:bookmarkStart w:id="27" w:name="_Toc411489381"/>
      <w:bookmarkStart w:id="28" w:name="_Toc420863613"/>
      <w:r>
        <w:rPr>
          <w:rFonts w:ascii="Times New Roman" w:hAnsi="Times New Roman" w:cs="Times New Roman"/>
          <w:i w:val="0"/>
          <w:sz w:val="24"/>
          <w:szCs w:val="24"/>
          <w:lang w:val="en"/>
        </w:rPr>
        <w:t>1.</w:t>
      </w:r>
      <w:r w:rsidR="00597AEE">
        <w:rPr>
          <w:rFonts w:ascii="Times New Roman" w:hAnsi="Times New Roman" w:cs="Times New Roman"/>
          <w:i w:val="0"/>
          <w:sz w:val="24"/>
          <w:szCs w:val="24"/>
          <w:lang w:val="en"/>
        </w:rPr>
        <w:t>1</w:t>
      </w:r>
      <w:r w:rsidR="00DF07F6" w:rsidRPr="00035F65">
        <w:rPr>
          <w:rFonts w:ascii="Times New Roman" w:hAnsi="Times New Roman" w:cs="Times New Roman"/>
          <w:i w:val="0"/>
          <w:sz w:val="24"/>
          <w:szCs w:val="24"/>
          <w:lang w:val="en"/>
        </w:rPr>
        <w:t>.3</w:t>
      </w:r>
      <w:r w:rsidR="004C17B6" w:rsidRPr="00035F65">
        <w:rPr>
          <w:rFonts w:ascii="Times New Roman" w:hAnsi="Times New Roman" w:cs="Times New Roman"/>
          <w:i w:val="0"/>
          <w:sz w:val="24"/>
          <w:szCs w:val="24"/>
          <w:lang w:val="en"/>
        </w:rPr>
        <w:t xml:space="preserve"> </w:t>
      </w:r>
      <w:r w:rsidR="00597AEE">
        <w:rPr>
          <w:rFonts w:ascii="Times New Roman" w:hAnsi="Times New Roman" w:cs="Times New Roman"/>
          <w:i w:val="0"/>
          <w:sz w:val="24"/>
          <w:szCs w:val="24"/>
          <w:lang w:val="en"/>
        </w:rPr>
        <w:t>T</w:t>
      </w:r>
      <w:r w:rsidR="00520938" w:rsidRPr="00035F65">
        <w:rPr>
          <w:rFonts w:ascii="Times New Roman" w:hAnsi="Times New Roman" w:cs="Times New Roman"/>
          <w:i w:val="0"/>
          <w:sz w:val="24"/>
          <w:szCs w:val="24"/>
          <w:lang w:val="en"/>
        </w:rPr>
        <w:t xml:space="preserve">he </w:t>
      </w:r>
      <w:r w:rsidR="00035F65">
        <w:rPr>
          <w:rFonts w:ascii="Times New Roman" w:hAnsi="Times New Roman" w:cs="Times New Roman"/>
          <w:i w:val="0"/>
          <w:sz w:val="24"/>
          <w:szCs w:val="24"/>
          <w:lang w:val="en"/>
        </w:rPr>
        <w:t>MCS</w:t>
      </w:r>
      <w:r w:rsidR="00520938" w:rsidRPr="00035F65">
        <w:rPr>
          <w:rFonts w:ascii="Times New Roman" w:hAnsi="Times New Roman" w:cs="Times New Roman"/>
          <w:i w:val="0"/>
          <w:sz w:val="24"/>
          <w:szCs w:val="24"/>
          <w:lang w:val="en"/>
        </w:rPr>
        <w:t xml:space="preserve"> put in place for the </w:t>
      </w:r>
      <w:r w:rsidR="00597AEE">
        <w:rPr>
          <w:rFonts w:ascii="Times New Roman" w:hAnsi="Times New Roman" w:cs="Times New Roman"/>
          <w:i w:val="0"/>
          <w:sz w:val="24"/>
          <w:szCs w:val="24"/>
          <w:lang w:val="en"/>
        </w:rPr>
        <w:t xml:space="preserve">operational </w:t>
      </w:r>
      <w:r w:rsidR="00520938" w:rsidRPr="00035F65">
        <w:rPr>
          <w:rFonts w:ascii="Times New Roman" w:hAnsi="Times New Roman" w:cs="Times New Roman"/>
          <w:i w:val="0"/>
          <w:sz w:val="24"/>
          <w:szCs w:val="24"/>
          <w:lang w:val="en"/>
        </w:rPr>
        <w:t>programme gives the necessary guarantees concerning the legality and regularity of the underlying transactions, in conformity with the applicable law</w:t>
      </w:r>
      <w:bookmarkEnd w:id="27"/>
      <w:bookmarkEnd w:id="28"/>
    </w:p>
    <w:p w:rsidR="00746536" w:rsidRDefault="00746536" w:rsidP="00746536">
      <w:pPr>
        <w:widowControl w:val="0"/>
        <w:spacing w:after="173" w:line="274" w:lineRule="exact"/>
        <w:ind w:left="20" w:right="40"/>
        <w:jc w:val="both"/>
        <w:rPr>
          <w:color w:val="000000"/>
          <w:lang w:val="en-GB" w:eastAsia="en-US"/>
        </w:rPr>
      </w:pPr>
      <w:r w:rsidRPr="00746536">
        <w:rPr>
          <w:bCs/>
          <w:shd w:val="clear" w:color="auto" w:fill="FFFFFF"/>
          <w:lang w:val="en-GB" w:eastAsia="x-none"/>
        </w:rPr>
        <w:t>Th</w:t>
      </w:r>
      <w:r w:rsidR="00707C42">
        <w:rPr>
          <w:bCs/>
          <w:shd w:val="clear" w:color="auto" w:fill="FFFFFF"/>
          <w:lang w:val="en-GB" w:eastAsia="x-none"/>
        </w:rPr>
        <w:t xml:space="preserve">e MA </w:t>
      </w:r>
      <w:r w:rsidR="00A25BD0">
        <w:rPr>
          <w:bCs/>
          <w:shd w:val="clear" w:color="auto" w:fill="FFFFFF"/>
          <w:lang w:val="en-GB" w:eastAsia="x-none"/>
        </w:rPr>
        <w:t xml:space="preserve">satisfies itself that the </w:t>
      </w:r>
      <w:r w:rsidR="00A25BD0" w:rsidRPr="00A25BD0">
        <w:rPr>
          <w:bCs/>
          <w:shd w:val="clear" w:color="auto" w:fill="FFFFFF"/>
          <w:lang w:val="en-GB" w:eastAsia="x-none"/>
        </w:rPr>
        <w:t>MCS put in place for the operational programme gives the necessary guarantees concerning the legality and regularity of the underlying transactions, in conformity with the applicable law</w:t>
      </w:r>
      <w:r w:rsidR="00A25BD0">
        <w:rPr>
          <w:bCs/>
          <w:shd w:val="clear" w:color="auto" w:fill="FFFFFF"/>
          <w:lang w:val="en-GB" w:eastAsia="x-none"/>
        </w:rPr>
        <w:t xml:space="preserve">, when </w:t>
      </w:r>
      <w:r w:rsidR="00ED598A">
        <w:rPr>
          <w:bCs/>
          <w:shd w:val="clear" w:color="auto" w:fill="FFFFFF"/>
          <w:lang w:val="en-GB" w:eastAsia="x-none"/>
        </w:rPr>
        <w:t>the key requirements of management and control systems as detailed in Annex IV of Commission Delegated Regulation (EU) No 480/2014</w:t>
      </w:r>
      <w:r w:rsidR="00A25BD0">
        <w:rPr>
          <w:bCs/>
          <w:shd w:val="clear" w:color="auto" w:fill="FFFFFF"/>
          <w:lang w:val="en-GB" w:eastAsia="x-none"/>
        </w:rPr>
        <w:t xml:space="preserve"> have been continuously assessed as compliant during the accounting year</w:t>
      </w:r>
      <w:r w:rsidR="00ED598A">
        <w:rPr>
          <w:bCs/>
          <w:shd w:val="clear" w:color="auto" w:fill="FFFFFF"/>
          <w:lang w:val="en-GB" w:eastAsia="x-none"/>
        </w:rPr>
        <w:t xml:space="preserve">. </w:t>
      </w:r>
      <w:r w:rsidR="00A25BD0">
        <w:rPr>
          <w:bCs/>
          <w:shd w:val="clear" w:color="auto" w:fill="FFFFFF"/>
          <w:lang w:val="en-GB" w:eastAsia="x-none"/>
        </w:rPr>
        <w:t>Compliance with t</w:t>
      </w:r>
      <w:r w:rsidR="00ED598A">
        <w:rPr>
          <w:bCs/>
          <w:shd w:val="clear" w:color="auto" w:fill="FFFFFF"/>
          <w:lang w:val="en-GB" w:eastAsia="x-none"/>
        </w:rPr>
        <w:t>hose</w:t>
      </w:r>
      <w:r w:rsidRPr="00746536">
        <w:rPr>
          <w:bCs/>
          <w:shd w:val="clear" w:color="auto" w:fill="FFFFFF"/>
          <w:lang w:val="en-GB" w:eastAsia="x-none"/>
        </w:rPr>
        <w:t xml:space="preserve"> </w:t>
      </w:r>
      <w:r w:rsidRPr="00746536">
        <w:rPr>
          <w:color w:val="000000"/>
          <w:lang w:val="en-GB" w:eastAsia="en-US"/>
        </w:rPr>
        <w:t xml:space="preserve">key </w:t>
      </w:r>
      <w:r w:rsidR="00ED598A">
        <w:rPr>
          <w:color w:val="000000"/>
          <w:lang w:val="en-GB" w:eastAsia="en-US"/>
        </w:rPr>
        <w:t xml:space="preserve">requirements </w:t>
      </w:r>
      <w:r w:rsidRPr="00746536">
        <w:rPr>
          <w:color w:val="000000"/>
          <w:lang w:val="en-GB" w:eastAsia="en-US"/>
        </w:rPr>
        <w:t>ensur</w:t>
      </w:r>
      <w:r w:rsidR="00A25BD0">
        <w:rPr>
          <w:color w:val="000000"/>
          <w:lang w:val="en-GB" w:eastAsia="en-US"/>
        </w:rPr>
        <w:t>es</w:t>
      </w:r>
      <w:r w:rsidRPr="00746536">
        <w:rPr>
          <w:color w:val="000000"/>
          <w:lang w:val="en-GB" w:eastAsia="en-US"/>
        </w:rPr>
        <w:t xml:space="preserve"> the legality and regularity of </w:t>
      </w:r>
      <w:r w:rsidR="00ED598A">
        <w:rPr>
          <w:color w:val="000000"/>
          <w:lang w:val="en-GB" w:eastAsia="en-US"/>
        </w:rPr>
        <w:t>underlying tran</w:t>
      </w:r>
      <w:r w:rsidR="00CF0607">
        <w:rPr>
          <w:color w:val="000000"/>
          <w:lang w:val="en-GB" w:eastAsia="en-US"/>
        </w:rPr>
        <w:t>sa</w:t>
      </w:r>
      <w:r w:rsidR="00ED598A">
        <w:rPr>
          <w:color w:val="000000"/>
          <w:lang w:val="en-GB" w:eastAsia="en-US"/>
        </w:rPr>
        <w:t xml:space="preserve">ctions </w:t>
      </w:r>
      <w:r w:rsidRPr="00746536">
        <w:rPr>
          <w:color w:val="000000"/>
          <w:lang w:val="en-GB" w:eastAsia="en-US"/>
        </w:rPr>
        <w:t>and the reality of operations included in programmes supported by the ESIF.</w:t>
      </w:r>
    </w:p>
    <w:p w:rsidR="00CF0607" w:rsidRDefault="00A25BD0" w:rsidP="00746536">
      <w:pPr>
        <w:widowControl w:val="0"/>
        <w:spacing w:after="173" w:line="274" w:lineRule="exact"/>
        <w:ind w:left="20" w:right="40"/>
        <w:jc w:val="both"/>
        <w:rPr>
          <w:lang w:val="en"/>
        </w:rPr>
      </w:pPr>
      <w:r>
        <w:rPr>
          <w:lang w:val="en"/>
        </w:rPr>
        <w:t xml:space="preserve">When instances of </w:t>
      </w:r>
      <w:proofErr w:type="spellStart"/>
      <w:r>
        <w:rPr>
          <w:lang w:val="en"/>
        </w:rPr>
        <w:t>non compliance</w:t>
      </w:r>
      <w:proofErr w:type="spellEnd"/>
      <w:r>
        <w:rPr>
          <w:lang w:val="en"/>
        </w:rPr>
        <w:t xml:space="preserve"> were identified, t</w:t>
      </w:r>
      <w:r w:rsidR="007F2CFD">
        <w:rPr>
          <w:lang w:val="en"/>
        </w:rPr>
        <w:t xml:space="preserve">he </w:t>
      </w:r>
      <w:proofErr w:type="gramStart"/>
      <w:r w:rsidR="007F2CFD">
        <w:rPr>
          <w:lang w:val="en"/>
        </w:rPr>
        <w:t xml:space="preserve">MA  </w:t>
      </w:r>
      <w:r>
        <w:rPr>
          <w:lang w:val="en"/>
        </w:rPr>
        <w:t>has</w:t>
      </w:r>
      <w:proofErr w:type="gramEnd"/>
      <w:r>
        <w:rPr>
          <w:lang w:val="en"/>
        </w:rPr>
        <w:t xml:space="preserve"> </w:t>
      </w:r>
      <w:r w:rsidR="007F2CFD">
        <w:rPr>
          <w:lang w:val="en"/>
        </w:rPr>
        <w:t>take</w:t>
      </w:r>
      <w:r>
        <w:rPr>
          <w:lang w:val="en"/>
        </w:rPr>
        <w:t>n</w:t>
      </w:r>
      <w:r w:rsidR="007F2CFD">
        <w:rPr>
          <w:lang w:val="en"/>
        </w:rPr>
        <w:t xml:space="preserve"> into account the results and </w:t>
      </w:r>
      <w:r w:rsidR="00F93AEC">
        <w:rPr>
          <w:lang w:val="en"/>
        </w:rPr>
        <w:t>the</w:t>
      </w:r>
      <w:r w:rsidR="007F2CFD">
        <w:rPr>
          <w:lang w:val="en"/>
        </w:rPr>
        <w:t xml:space="preserve"> recommendations of </w:t>
      </w:r>
      <w:r w:rsidR="008F29DA">
        <w:rPr>
          <w:lang w:val="en"/>
        </w:rPr>
        <w:t xml:space="preserve">all </w:t>
      </w:r>
      <w:r w:rsidR="007F2CFD">
        <w:rPr>
          <w:lang w:val="en"/>
        </w:rPr>
        <w:t>the audit work carried out</w:t>
      </w:r>
      <w:r w:rsidR="00F93AEC">
        <w:rPr>
          <w:lang w:val="en"/>
        </w:rPr>
        <w:t xml:space="preserve"> in relation to the operational programme.</w:t>
      </w:r>
      <w:r w:rsidR="007F2CFD">
        <w:rPr>
          <w:lang w:val="en"/>
        </w:rPr>
        <w:t xml:space="preserve">   </w:t>
      </w:r>
      <w:r w:rsidR="00CF0607">
        <w:rPr>
          <w:lang w:val="en"/>
        </w:rPr>
        <w:t xml:space="preserve">   </w:t>
      </w:r>
    </w:p>
    <w:p w:rsidR="00CF0607" w:rsidRPr="00746536" w:rsidRDefault="007F2CFD" w:rsidP="00746536">
      <w:pPr>
        <w:widowControl w:val="0"/>
        <w:spacing w:after="173" w:line="274" w:lineRule="exact"/>
        <w:ind w:left="20" w:right="40"/>
        <w:jc w:val="both"/>
        <w:rPr>
          <w:lang w:val="en-GB" w:eastAsia="x-none"/>
        </w:rPr>
      </w:pPr>
      <w:r w:rsidRPr="00AA4CCA">
        <w:rPr>
          <w:lang w:val="en-GB" w:eastAsia="x-none"/>
        </w:rPr>
        <w:t xml:space="preserve">More </w:t>
      </w:r>
      <w:r w:rsidR="00F93AEC" w:rsidRPr="00AA4CCA">
        <w:rPr>
          <w:lang w:val="en-GB" w:eastAsia="x-none"/>
        </w:rPr>
        <w:t>specifically</w:t>
      </w:r>
      <w:r w:rsidR="00CF0607" w:rsidRPr="00F93AEC">
        <w:rPr>
          <w:lang w:val="en-GB" w:eastAsia="x-none"/>
        </w:rPr>
        <w:t xml:space="preserve">, the MA </w:t>
      </w:r>
      <w:r w:rsidR="00A25BD0">
        <w:rPr>
          <w:lang w:val="en-GB" w:eastAsia="x-none"/>
        </w:rPr>
        <w:t xml:space="preserve">has satisfied itself of </w:t>
      </w:r>
      <w:r w:rsidR="00CF0607" w:rsidRPr="00E97EEE">
        <w:rPr>
          <w:lang w:val="en"/>
        </w:rPr>
        <w:t>at least the following:</w:t>
      </w:r>
    </w:p>
    <w:p w:rsidR="001F1596" w:rsidRDefault="00B54B23" w:rsidP="001F1596">
      <w:pPr>
        <w:numPr>
          <w:ilvl w:val="0"/>
          <w:numId w:val="15"/>
        </w:numPr>
        <w:spacing w:after="120"/>
        <w:jc w:val="both"/>
        <w:rPr>
          <w:lang w:val="en-GB"/>
        </w:rPr>
      </w:pPr>
      <w:r>
        <w:rPr>
          <w:lang w:val="en-GB"/>
        </w:rPr>
        <w:t>t</w:t>
      </w:r>
      <w:r w:rsidR="001F1596" w:rsidRPr="00C07C9A">
        <w:rPr>
          <w:lang w:val="en-GB"/>
        </w:rPr>
        <w:t>he existence of a reliable computerised system to collect, record and store</w:t>
      </w:r>
      <w:r w:rsidR="00FC1FAE">
        <w:rPr>
          <w:lang w:val="en-GB"/>
        </w:rPr>
        <w:t xml:space="preserve"> </w:t>
      </w:r>
      <w:r w:rsidR="00F25BC4">
        <w:rPr>
          <w:lang w:val="en-GB"/>
        </w:rPr>
        <w:t xml:space="preserve">data </w:t>
      </w:r>
      <w:r w:rsidR="001F1596" w:rsidRPr="00C07C9A">
        <w:rPr>
          <w:lang w:val="en-GB"/>
        </w:rPr>
        <w:t xml:space="preserve">on each operation required by Annex III </w:t>
      </w:r>
      <w:r w:rsidR="00F25BC4">
        <w:rPr>
          <w:lang w:val="en-GB"/>
        </w:rPr>
        <w:t xml:space="preserve">of </w:t>
      </w:r>
      <w:r w:rsidR="00010F1F">
        <w:rPr>
          <w:lang w:val="en-GB"/>
        </w:rPr>
        <w:t>the CDR</w:t>
      </w:r>
      <w:r w:rsidR="001F1596" w:rsidRPr="00C07C9A">
        <w:rPr>
          <w:lang w:val="en-GB"/>
        </w:rPr>
        <w:t xml:space="preserve">, including data relating to the progress of the </w:t>
      </w:r>
      <w:r w:rsidR="00211BF0">
        <w:rPr>
          <w:lang w:val="en-GB"/>
        </w:rPr>
        <w:t xml:space="preserve">operational </w:t>
      </w:r>
      <w:r w:rsidR="001F1596" w:rsidRPr="00C07C9A">
        <w:rPr>
          <w:lang w:val="en-GB"/>
        </w:rPr>
        <w:t>programme in achieving its objectives</w:t>
      </w:r>
      <w:r w:rsidR="005C7BEF">
        <w:rPr>
          <w:lang w:val="en-GB"/>
        </w:rPr>
        <w:t xml:space="preserve">, financial data and data related to indicators and milestones as foreseen </w:t>
      </w:r>
      <w:r w:rsidR="001F1596" w:rsidRPr="00C07C9A">
        <w:rPr>
          <w:lang w:val="en-GB"/>
        </w:rPr>
        <w:t xml:space="preserve">under Article 125(2)(a) </w:t>
      </w:r>
      <w:r w:rsidR="005C7BEF">
        <w:rPr>
          <w:lang w:val="en-GB"/>
        </w:rPr>
        <w:t xml:space="preserve">of the </w:t>
      </w:r>
      <w:r w:rsidR="001F1596" w:rsidRPr="00C07C9A">
        <w:rPr>
          <w:lang w:val="en-GB"/>
        </w:rPr>
        <w:t>CPR. Where an operation is supported by the ESF, this should include data on individual participants and a breakdown of data on indicators by gender where required by the ESF</w:t>
      </w:r>
      <w:r w:rsidR="00895E9B">
        <w:rPr>
          <w:lang w:val="en-GB"/>
        </w:rPr>
        <w:t>;</w:t>
      </w:r>
    </w:p>
    <w:p w:rsidR="006C7A79" w:rsidRPr="00A769AF" w:rsidRDefault="006C7A79" w:rsidP="006C7A79">
      <w:pPr>
        <w:numPr>
          <w:ilvl w:val="0"/>
          <w:numId w:val="15"/>
        </w:numPr>
        <w:spacing w:after="120"/>
        <w:jc w:val="both"/>
        <w:rPr>
          <w:lang w:val="en"/>
        </w:rPr>
      </w:pPr>
      <w:r>
        <w:rPr>
          <w:lang w:val="en"/>
        </w:rPr>
        <w:lastRenderedPageBreak/>
        <w:t>that</w:t>
      </w:r>
      <w:r w:rsidR="00EE4884">
        <w:rPr>
          <w:lang w:val="en"/>
        </w:rPr>
        <w:t>,</w:t>
      </w:r>
      <w:r>
        <w:rPr>
          <w:lang w:val="en"/>
        </w:rPr>
        <w:t xml:space="preserve"> </w:t>
      </w:r>
      <w:r w:rsidRPr="00A769AF">
        <w:rPr>
          <w:lang w:val="en"/>
        </w:rPr>
        <w:t>when selecting operations</w:t>
      </w:r>
      <w:r w:rsidR="00EE4884">
        <w:rPr>
          <w:lang w:val="en"/>
        </w:rPr>
        <w:t>,</w:t>
      </w:r>
      <w:r w:rsidRPr="00A769AF">
        <w:rPr>
          <w:lang w:val="en"/>
        </w:rPr>
        <w:t xml:space="preserve"> particular attention </w:t>
      </w:r>
      <w:r w:rsidR="00EE4884">
        <w:rPr>
          <w:lang w:val="en"/>
        </w:rPr>
        <w:t xml:space="preserve">has been paid </w:t>
      </w:r>
      <w:r w:rsidRPr="00A769AF">
        <w:rPr>
          <w:lang w:val="en"/>
        </w:rPr>
        <w:t xml:space="preserve">to the following aspects: </w:t>
      </w:r>
    </w:p>
    <w:p w:rsidR="006C7A79" w:rsidRPr="00AA4CCA" w:rsidRDefault="006C7A79" w:rsidP="006C7A79">
      <w:pPr>
        <w:numPr>
          <w:ilvl w:val="1"/>
          <w:numId w:val="15"/>
        </w:numPr>
        <w:spacing w:after="120"/>
        <w:jc w:val="both"/>
        <w:rPr>
          <w:color w:val="000000"/>
          <w:lang w:val="en-GB" w:eastAsia="en-GB"/>
        </w:rPr>
      </w:pPr>
      <w:r w:rsidRPr="00AA4CCA">
        <w:rPr>
          <w:color w:val="000000"/>
          <w:lang w:val="en-GB" w:eastAsia="en-GB"/>
        </w:rPr>
        <w:t>that the</w:t>
      </w:r>
      <w:r w:rsidRPr="00AA4CCA">
        <w:rPr>
          <w:b/>
          <w:color w:val="000000"/>
          <w:lang w:val="en-GB" w:eastAsia="en-GB"/>
        </w:rPr>
        <w:t xml:space="preserve"> scope of the intervention </w:t>
      </w:r>
      <w:r w:rsidRPr="00AA4CCA">
        <w:rPr>
          <w:color w:val="000000"/>
          <w:lang w:val="en-GB" w:eastAsia="en-GB"/>
        </w:rPr>
        <w:t xml:space="preserve">is within </w:t>
      </w:r>
      <w:r w:rsidRPr="00AA4CCA">
        <w:rPr>
          <w:lang w:val="en-GB" w:eastAsia="en-GB"/>
        </w:rPr>
        <w:t>the types of activities that can be co-financed from the ESIF;</w:t>
      </w:r>
    </w:p>
    <w:p w:rsidR="006C7A79" w:rsidRPr="00124292" w:rsidRDefault="006C7A79" w:rsidP="006C7A79">
      <w:pPr>
        <w:numPr>
          <w:ilvl w:val="1"/>
          <w:numId w:val="15"/>
        </w:numPr>
        <w:spacing w:after="120"/>
        <w:jc w:val="both"/>
        <w:rPr>
          <w:color w:val="000000"/>
          <w:lang w:val="en-GB" w:eastAsia="en-GB"/>
        </w:rPr>
      </w:pPr>
      <w:r w:rsidRPr="00124292">
        <w:rPr>
          <w:bCs/>
          <w:lang w:val="en-GB" w:eastAsia="en-GB"/>
        </w:rPr>
        <w:t>that the</w:t>
      </w:r>
      <w:r>
        <w:rPr>
          <w:b/>
          <w:bCs/>
          <w:lang w:val="en-GB" w:eastAsia="en-GB"/>
        </w:rPr>
        <w:t xml:space="preserve"> geographical location </w:t>
      </w:r>
      <w:r w:rsidRPr="00124292">
        <w:rPr>
          <w:bCs/>
          <w:lang w:val="en-GB" w:eastAsia="en-GB"/>
        </w:rPr>
        <w:t xml:space="preserve">of </w:t>
      </w:r>
      <w:r>
        <w:rPr>
          <w:bCs/>
          <w:lang w:val="en-GB" w:eastAsia="en-GB"/>
        </w:rPr>
        <w:t xml:space="preserve">the </w:t>
      </w:r>
      <w:r w:rsidRPr="00124292">
        <w:rPr>
          <w:bCs/>
          <w:lang w:val="en-GB" w:eastAsia="en-GB"/>
        </w:rPr>
        <w:t>operations</w:t>
      </w:r>
      <w:r>
        <w:rPr>
          <w:bCs/>
          <w:lang w:val="en-GB" w:eastAsia="en-GB"/>
        </w:rPr>
        <w:t xml:space="preserve"> is within the </w:t>
      </w:r>
      <w:r>
        <w:rPr>
          <w:lang w:val="en-GB" w:eastAsia="en-GB"/>
        </w:rPr>
        <w:t>areas which are eligible for the particular type of programme or activity;</w:t>
      </w:r>
    </w:p>
    <w:p w:rsidR="006C7A79" w:rsidRPr="00124292" w:rsidRDefault="006C7A79" w:rsidP="006C7A79">
      <w:pPr>
        <w:numPr>
          <w:ilvl w:val="1"/>
          <w:numId w:val="15"/>
        </w:numPr>
        <w:spacing w:after="120"/>
        <w:jc w:val="both"/>
        <w:rPr>
          <w:color w:val="000000"/>
          <w:lang w:val="en-GB" w:eastAsia="en-GB"/>
        </w:rPr>
      </w:pPr>
      <w:r w:rsidRPr="00124292">
        <w:rPr>
          <w:bCs/>
          <w:lang w:val="en-GB" w:eastAsia="en-GB"/>
        </w:rPr>
        <w:t>that the</w:t>
      </w:r>
      <w:r>
        <w:rPr>
          <w:b/>
          <w:bCs/>
          <w:lang w:val="en-GB" w:eastAsia="en-GB"/>
        </w:rPr>
        <w:t xml:space="preserve"> types of beneficiaries </w:t>
      </w:r>
      <w:r w:rsidRPr="00124292">
        <w:rPr>
          <w:bCs/>
          <w:lang w:val="en-GB" w:eastAsia="en-GB"/>
        </w:rPr>
        <w:t>are eligible</w:t>
      </w:r>
      <w:r>
        <w:rPr>
          <w:b/>
          <w:bCs/>
          <w:lang w:val="en-GB" w:eastAsia="en-GB"/>
        </w:rPr>
        <w:t xml:space="preserve"> (</w:t>
      </w:r>
      <w:r>
        <w:rPr>
          <w:lang w:val="en-GB" w:eastAsia="en-GB"/>
        </w:rPr>
        <w:t>only certain enterprises, bodies or economic actors are eligible for support under given measures);</w:t>
      </w:r>
    </w:p>
    <w:p w:rsidR="006C7A79" w:rsidRPr="00124292" w:rsidRDefault="006C7A79" w:rsidP="006C7A79">
      <w:pPr>
        <w:numPr>
          <w:ilvl w:val="1"/>
          <w:numId w:val="15"/>
        </w:numPr>
        <w:spacing w:after="120"/>
        <w:jc w:val="both"/>
        <w:rPr>
          <w:color w:val="000000"/>
          <w:lang w:val="en-GB" w:eastAsia="en-GB"/>
        </w:rPr>
      </w:pPr>
      <w:r w:rsidRPr="00124292">
        <w:rPr>
          <w:bCs/>
          <w:lang w:val="en-GB" w:eastAsia="en-GB"/>
        </w:rPr>
        <w:t>that the</w:t>
      </w:r>
      <w:r>
        <w:rPr>
          <w:b/>
          <w:bCs/>
          <w:lang w:val="en-GB" w:eastAsia="en-GB"/>
        </w:rPr>
        <w:t xml:space="preserve"> operations are durable </w:t>
      </w:r>
      <w:r w:rsidRPr="00124292">
        <w:rPr>
          <w:bCs/>
          <w:lang w:val="en-GB" w:eastAsia="en-GB"/>
        </w:rPr>
        <w:t>and the</w:t>
      </w:r>
      <w:r>
        <w:rPr>
          <w:b/>
          <w:bCs/>
          <w:lang w:val="en-GB" w:eastAsia="en-GB"/>
        </w:rPr>
        <w:t xml:space="preserve"> </w:t>
      </w:r>
      <w:r>
        <w:rPr>
          <w:lang w:val="en-GB" w:eastAsia="en-GB"/>
        </w:rPr>
        <w:t xml:space="preserve"> investments are maintained for a minimum period after completion of the operations;</w:t>
      </w:r>
    </w:p>
    <w:p w:rsidR="008F29DA" w:rsidRDefault="008F29DA" w:rsidP="001F1596">
      <w:pPr>
        <w:numPr>
          <w:ilvl w:val="0"/>
          <w:numId w:val="15"/>
        </w:numPr>
        <w:spacing w:after="120"/>
        <w:jc w:val="both"/>
        <w:rPr>
          <w:lang w:val="en-GB"/>
        </w:rPr>
      </w:pPr>
      <w:proofErr w:type="gramStart"/>
      <w:r>
        <w:rPr>
          <w:lang w:val="en"/>
        </w:rPr>
        <w:t>that</w:t>
      </w:r>
      <w:proofErr w:type="gramEnd"/>
      <w:r>
        <w:rPr>
          <w:lang w:val="en"/>
        </w:rPr>
        <w:t xml:space="preserve">, </w:t>
      </w:r>
      <w:r w:rsidRPr="007F2CFD">
        <w:rPr>
          <w:lang w:val="en"/>
        </w:rPr>
        <w:t xml:space="preserve">before </w:t>
      </w:r>
      <w:r w:rsidR="00A25BD0">
        <w:rPr>
          <w:lang w:val="en"/>
        </w:rPr>
        <w:t>expenditure is declared to the CA</w:t>
      </w:r>
      <w:r w:rsidRPr="007F2CFD">
        <w:rPr>
          <w:lang w:val="en"/>
        </w:rPr>
        <w:t xml:space="preserve"> and up to the </w:t>
      </w:r>
      <w:r w:rsidR="00010F1F">
        <w:rPr>
          <w:lang w:val="en"/>
        </w:rPr>
        <w:t xml:space="preserve">time of </w:t>
      </w:r>
      <w:r w:rsidRPr="007F2CFD">
        <w:rPr>
          <w:lang w:val="en"/>
        </w:rPr>
        <w:t>drawing up the accounts, ad</w:t>
      </w:r>
      <w:r w:rsidRPr="00F93AEC">
        <w:rPr>
          <w:lang w:val="en"/>
        </w:rPr>
        <w:t xml:space="preserve">equate </w:t>
      </w:r>
      <w:r w:rsidRPr="00E97EEE">
        <w:rPr>
          <w:lang w:val="en"/>
        </w:rPr>
        <w:t>management</w:t>
      </w:r>
      <w:r w:rsidRPr="00211BF0">
        <w:rPr>
          <w:lang w:val="en"/>
        </w:rPr>
        <w:t xml:space="preserve"> verifications have been carried out</w:t>
      </w:r>
      <w:r w:rsidR="00A25BD0">
        <w:rPr>
          <w:lang w:val="en"/>
        </w:rPr>
        <w:t xml:space="preserve"> by the</w:t>
      </w:r>
      <w:r w:rsidR="00B66FFC">
        <w:rPr>
          <w:lang w:val="en"/>
        </w:rPr>
        <w:t xml:space="preserve"> </w:t>
      </w:r>
      <w:r w:rsidR="00A25BD0">
        <w:rPr>
          <w:lang w:val="en"/>
        </w:rPr>
        <w:t>services of the MA or by intermediate bodies acting under its supervision</w:t>
      </w:r>
      <w:r w:rsidRPr="00211BF0">
        <w:rPr>
          <w:lang w:val="en"/>
        </w:rPr>
        <w:t xml:space="preserve">. </w:t>
      </w:r>
      <w:r w:rsidRPr="00211BF0">
        <w:rPr>
          <w:lang w:val="en-GB"/>
        </w:rPr>
        <w:t>The verifications shall include both administrative verifications in respect of each a</w:t>
      </w:r>
      <w:r w:rsidRPr="005C7BEF">
        <w:rPr>
          <w:lang w:val="en-GB"/>
        </w:rPr>
        <w:t xml:space="preserve">pplication for reimbursement by </w:t>
      </w:r>
      <w:r w:rsidRPr="008F29DA">
        <w:rPr>
          <w:lang w:val="en-GB"/>
        </w:rPr>
        <w:t>beneficiaries and o</w:t>
      </w:r>
      <w:r w:rsidRPr="00875E89">
        <w:rPr>
          <w:lang w:val="en-GB"/>
        </w:rPr>
        <w:t>n-the-spot verifications of operations</w:t>
      </w:r>
      <w:r w:rsidR="006C7A79">
        <w:rPr>
          <w:lang w:val="en-GB"/>
        </w:rPr>
        <w:t xml:space="preserve">, thus confirming the existence of an adequate audit trail (cf. guidance note on management verifications, </w:t>
      </w:r>
      <w:proofErr w:type="spellStart"/>
      <w:r w:rsidR="006C7A79">
        <w:rPr>
          <w:lang w:val="en-GB"/>
        </w:rPr>
        <w:t>Egesif</w:t>
      </w:r>
      <w:proofErr w:type="spellEnd"/>
      <w:r w:rsidR="006C7A79">
        <w:rPr>
          <w:lang w:val="en-GB"/>
        </w:rPr>
        <w:t xml:space="preserve"> XX.XXXX)</w:t>
      </w:r>
      <w:r w:rsidRPr="00875E89">
        <w:rPr>
          <w:lang w:val="en-GB"/>
        </w:rPr>
        <w:t>.;</w:t>
      </w:r>
    </w:p>
    <w:p w:rsidR="006C7A79" w:rsidRDefault="006C7A79" w:rsidP="00C07C9A">
      <w:pPr>
        <w:numPr>
          <w:ilvl w:val="0"/>
          <w:numId w:val="15"/>
        </w:numPr>
        <w:spacing w:after="120"/>
        <w:jc w:val="both"/>
        <w:rPr>
          <w:lang w:val="en"/>
        </w:rPr>
      </w:pPr>
      <w:r>
        <w:rPr>
          <w:lang w:val="en"/>
        </w:rPr>
        <w:t>that proportionate anti-fraud measures are in place and are effective, and that no red flag was identified for the expenditure entered into the accounts</w:t>
      </w:r>
    </w:p>
    <w:p w:rsidR="003C4598" w:rsidRDefault="00033EF9" w:rsidP="00C07C9A">
      <w:pPr>
        <w:numPr>
          <w:ilvl w:val="0"/>
          <w:numId w:val="15"/>
        </w:numPr>
        <w:spacing w:after="120"/>
        <w:jc w:val="both"/>
        <w:rPr>
          <w:lang w:val="en"/>
        </w:rPr>
      </w:pPr>
      <w:r>
        <w:rPr>
          <w:lang w:val="en"/>
        </w:rPr>
        <w:t xml:space="preserve">that </w:t>
      </w:r>
      <w:r w:rsidR="00B54B23">
        <w:rPr>
          <w:lang w:val="en"/>
        </w:rPr>
        <w:t>a</w:t>
      </w:r>
      <w:r w:rsidR="003C4598">
        <w:rPr>
          <w:lang w:val="en"/>
        </w:rPr>
        <w:t xml:space="preserve">ppropriate action has been taken in respect of findings and recommendations </w:t>
      </w:r>
      <w:r w:rsidR="00010F1F">
        <w:rPr>
          <w:lang w:val="en"/>
        </w:rPr>
        <w:t xml:space="preserve">of </w:t>
      </w:r>
      <w:r w:rsidR="003C4598">
        <w:rPr>
          <w:lang w:val="en"/>
        </w:rPr>
        <w:t>the C</w:t>
      </w:r>
      <w:r w:rsidR="00010F1F">
        <w:rPr>
          <w:lang w:val="en"/>
        </w:rPr>
        <w:t>A</w:t>
      </w:r>
      <w:r w:rsidR="003C4598">
        <w:rPr>
          <w:lang w:val="en"/>
        </w:rPr>
        <w:t>;</w:t>
      </w:r>
    </w:p>
    <w:p w:rsidR="006C7A79" w:rsidRDefault="00033EF9" w:rsidP="00C07C9A">
      <w:pPr>
        <w:numPr>
          <w:ilvl w:val="0"/>
          <w:numId w:val="15"/>
        </w:numPr>
        <w:spacing w:after="120"/>
        <w:jc w:val="both"/>
        <w:rPr>
          <w:lang w:val="en"/>
        </w:rPr>
      </w:pPr>
      <w:proofErr w:type="gramStart"/>
      <w:r>
        <w:rPr>
          <w:lang w:val="en"/>
        </w:rPr>
        <w:t>that</w:t>
      </w:r>
      <w:proofErr w:type="gramEnd"/>
      <w:r>
        <w:rPr>
          <w:lang w:val="en"/>
        </w:rPr>
        <w:t xml:space="preserve"> </w:t>
      </w:r>
      <w:r w:rsidR="00B54B23">
        <w:rPr>
          <w:lang w:val="en"/>
        </w:rPr>
        <w:t>a</w:t>
      </w:r>
      <w:r w:rsidR="003C4598">
        <w:rPr>
          <w:lang w:val="en"/>
        </w:rPr>
        <w:t xml:space="preserve">ppropriate action has been taken in respect of findings and recommendations from </w:t>
      </w:r>
      <w:r w:rsidR="003C4598" w:rsidRPr="00F25BC4">
        <w:rPr>
          <w:lang w:val="en"/>
        </w:rPr>
        <w:t>national or EU audit bodies</w:t>
      </w:r>
      <w:r w:rsidR="008F29DA">
        <w:rPr>
          <w:lang w:val="en"/>
        </w:rPr>
        <w:t>.</w:t>
      </w:r>
    </w:p>
    <w:p w:rsidR="00505B03" w:rsidRDefault="00505B03" w:rsidP="00E85A88">
      <w:pPr>
        <w:spacing w:after="120"/>
        <w:jc w:val="both"/>
        <w:rPr>
          <w:lang w:val="en"/>
        </w:rPr>
      </w:pPr>
      <w:r>
        <w:rPr>
          <w:lang w:val="en-GB"/>
        </w:rPr>
        <w:t xml:space="preserve">The same </w:t>
      </w:r>
      <w:r w:rsidR="00377AB7">
        <w:rPr>
          <w:lang w:val="en-GB"/>
        </w:rPr>
        <w:t xml:space="preserve">principles </w:t>
      </w:r>
      <w:r>
        <w:rPr>
          <w:lang w:val="en-GB"/>
        </w:rPr>
        <w:t>appl</w:t>
      </w:r>
      <w:r w:rsidR="00377AB7">
        <w:rPr>
          <w:lang w:val="en-GB"/>
        </w:rPr>
        <w:t>y</w:t>
      </w:r>
      <w:r>
        <w:rPr>
          <w:lang w:val="en-GB"/>
        </w:rPr>
        <w:t xml:space="preserve"> for </w:t>
      </w:r>
      <w:r w:rsidRPr="002D4879">
        <w:rPr>
          <w:b/>
          <w:lang w:val="en-GB"/>
        </w:rPr>
        <w:t>ETC programmes</w:t>
      </w:r>
      <w:r>
        <w:rPr>
          <w:lang w:val="en-GB"/>
        </w:rPr>
        <w:t xml:space="preserve"> </w:t>
      </w:r>
      <w:r w:rsidR="00033EF9">
        <w:rPr>
          <w:lang w:val="en-GB"/>
        </w:rPr>
        <w:t xml:space="preserve">but </w:t>
      </w:r>
      <w:r w:rsidR="00010F1F">
        <w:rPr>
          <w:lang w:val="en-GB"/>
        </w:rPr>
        <w:t xml:space="preserve">require </w:t>
      </w:r>
      <w:r w:rsidR="00033EF9">
        <w:rPr>
          <w:lang w:val="en-GB"/>
        </w:rPr>
        <w:t xml:space="preserve">greater </w:t>
      </w:r>
      <w:r w:rsidR="00377AB7">
        <w:rPr>
          <w:lang w:val="en-GB"/>
        </w:rPr>
        <w:t xml:space="preserve">coordination </w:t>
      </w:r>
      <w:r>
        <w:rPr>
          <w:lang w:val="en-GB"/>
        </w:rPr>
        <w:t>given the usually complex systems in place and the variety of actors.</w:t>
      </w:r>
      <w:r w:rsidR="009D2547">
        <w:rPr>
          <w:lang w:val="en-GB"/>
        </w:rPr>
        <w:t xml:space="preserve"> </w:t>
      </w:r>
      <w:proofErr w:type="gramStart"/>
      <w:r w:rsidR="009D2547">
        <w:rPr>
          <w:lang w:val="en-GB"/>
        </w:rPr>
        <w:t>The role of the joint secretariat</w:t>
      </w:r>
      <w:r w:rsidR="009F4EE8">
        <w:rPr>
          <w:lang w:val="en-GB"/>
        </w:rPr>
        <w:t xml:space="preserve">, the functions </w:t>
      </w:r>
      <w:r w:rsidR="009D2547">
        <w:rPr>
          <w:lang w:val="en-GB"/>
        </w:rPr>
        <w:t xml:space="preserve">of the groups of controllers and the </w:t>
      </w:r>
      <w:r w:rsidR="009F4EE8">
        <w:rPr>
          <w:lang w:val="en-GB"/>
        </w:rPr>
        <w:t xml:space="preserve">written </w:t>
      </w:r>
      <w:r w:rsidR="009D2547">
        <w:rPr>
          <w:lang w:val="en-GB"/>
        </w:rPr>
        <w:t xml:space="preserve">arrangements to be established </w:t>
      </w:r>
      <w:r w:rsidR="009F4EE8">
        <w:rPr>
          <w:lang w:val="en-GB"/>
        </w:rPr>
        <w:t xml:space="preserve">between them and </w:t>
      </w:r>
      <w:r w:rsidR="009D2547">
        <w:rPr>
          <w:lang w:val="en-GB"/>
        </w:rPr>
        <w:t xml:space="preserve">the </w:t>
      </w:r>
      <w:r w:rsidR="00C2037E">
        <w:rPr>
          <w:lang w:val="en-GB"/>
        </w:rPr>
        <w:t>MA</w:t>
      </w:r>
      <w:r w:rsidR="009D2547">
        <w:rPr>
          <w:lang w:val="en-GB"/>
        </w:rPr>
        <w:t xml:space="preserve"> form essential elements of the management and control system for ETC programmes.</w:t>
      </w:r>
      <w:proofErr w:type="gramEnd"/>
      <w:r w:rsidR="009D2547">
        <w:rPr>
          <w:lang w:val="en-GB"/>
        </w:rPr>
        <w:t xml:space="preserve">    </w:t>
      </w:r>
    </w:p>
    <w:p w:rsidR="009F4EE8" w:rsidRDefault="007B71E9" w:rsidP="009F4EE8">
      <w:pPr>
        <w:spacing w:after="120"/>
        <w:jc w:val="both"/>
        <w:rPr>
          <w:lang w:val="en"/>
        </w:rPr>
      </w:pPr>
      <w:r>
        <w:rPr>
          <w:lang w:val="en"/>
        </w:rPr>
        <w:t>Therefore</w:t>
      </w:r>
      <w:r w:rsidR="003D5197">
        <w:rPr>
          <w:lang w:val="en"/>
        </w:rPr>
        <w:t>,</w:t>
      </w:r>
      <w:r>
        <w:rPr>
          <w:lang w:val="en"/>
        </w:rPr>
        <w:t xml:space="preserve"> the </w:t>
      </w:r>
      <w:r w:rsidR="006C4E9E">
        <w:rPr>
          <w:lang w:val="en"/>
        </w:rPr>
        <w:t>statement</w:t>
      </w:r>
      <w:r w:rsidRPr="00E85A88">
        <w:rPr>
          <w:lang w:val="en"/>
        </w:rPr>
        <w:t xml:space="preserve"> that the management and control system put in place for the </w:t>
      </w:r>
      <w:r>
        <w:rPr>
          <w:lang w:val="en"/>
        </w:rPr>
        <w:t xml:space="preserve">ETC </w:t>
      </w:r>
      <w:r w:rsidRPr="00E85A88">
        <w:rPr>
          <w:lang w:val="en"/>
        </w:rPr>
        <w:t xml:space="preserve">programme gives the necessary guarantees concerning the legality and regularity of the underlying transactions, in conformity with the applicable </w:t>
      </w:r>
      <w:r>
        <w:rPr>
          <w:lang w:val="en"/>
        </w:rPr>
        <w:t xml:space="preserve">law </w:t>
      </w:r>
      <w:r w:rsidR="00010F1F">
        <w:rPr>
          <w:lang w:val="en"/>
        </w:rPr>
        <w:t xml:space="preserve">should come from the </w:t>
      </w:r>
      <w:r>
        <w:rPr>
          <w:lang w:val="en"/>
        </w:rPr>
        <w:t>coordinated work of the above mentioned bodies / authorities.</w:t>
      </w:r>
    </w:p>
    <w:p w:rsidR="004B3106" w:rsidRPr="00971011" w:rsidRDefault="00971011" w:rsidP="00971011">
      <w:pPr>
        <w:pStyle w:val="Heading2"/>
        <w:spacing w:after="240"/>
        <w:ind w:left="709"/>
        <w:jc w:val="both"/>
        <w:rPr>
          <w:rFonts w:ascii="Times New Roman" w:hAnsi="Times New Roman" w:cs="Times New Roman"/>
          <w:i w:val="0"/>
          <w:sz w:val="24"/>
          <w:szCs w:val="24"/>
          <w:lang w:val="en"/>
        </w:rPr>
      </w:pPr>
      <w:bookmarkStart w:id="29" w:name="_Toc420863614"/>
      <w:r>
        <w:rPr>
          <w:rFonts w:ascii="Times New Roman" w:hAnsi="Times New Roman" w:cs="Times New Roman"/>
          <w:i w:val="0"/>
          <w:sz w:val="24"/>
          <w:szCs w:val="24"/>
          <w:lang w:val="en"/>
        </w:rPr>
        <w:t>1</w:t>
      </w:r>
      <w:r w:rsidRPr="00035F65">
        <w:rPr>
          <w:rFonts w:ascii="Times New Roman" w:hAnsi="Times New Roman" w:cs="Times New Roman"/>
          <w:i w:val="0"/>
          <w:sz w:val="24"/>
          <w:szCs w:val="24"/>
          <w:lang w:val="en"/>
        </w:rPr>
        <w:t>.</w:t>
      </w:r>
      <w:r w:rsidRPr="00971011">
        <w:rPr>
          <w:rFonts w:ascii="Times New Roman" w:hAnsi="Times New Roman" w:cs="Times New Roman"/>
          <w:i w:val="0"/>
          <w:sz w:val="24"/>
          <w:szCs w:val="24"/>
          <w:lang w:val="en"/>
        </w:rPr>
        <w:t>2</w:t>
      </w:r>
      <w:r w:rsidRPr="00035F65">
        <w:rPr>
          <w:rFonts w:ascii="Times New Roman" w:hAnsi="Times New Roman" w:cs="Times New Roman"/>
          <w:i w:val="0"/>
          <w:sz w:val="24"/>
          <w:szCs w:val="24"/>
          <w:lang w:val="en"/>
        </w:rPr>
        <w:t xml:space="preserve"> </w:t>
      </w:r>
      <w:r w:rsidR="004B3106" w:rsidRPr="00971011">
        <w:rPr>
          <w:rFonts w:ascii="Times New Roman" w:hAnsi="Times New Roman" w:cs="Times New Roman"/>
          <w:i w:val="0"/>
          <w:sz w:val="24"/>
          <w:szCs w:val="24"/>
          <w:lang w:val="en"/>
        </w:rPr>
        <w:t>The MA also confirm</w:t>
      </w:r>
      <w:r>
        <w:rPr>
          <w:rFonts w:ascii="Times New Roman" w:hAnsi="Times New Roman" w:cs="Times New Roman"/>
          <w:i w:val="0"/>
          <w:sz w:val="24"/>
          <w:szCs w:val="24"/>
          <w:lang w:val="en"/>
        </w:rPr>
        <w:t>s</w:t>
      </w:r>
      <w:r w:rsidR="004B3106" w:rsidRPr="00971011">
        <w:rPr>
          <w:rFonts w:ascii="Times New Roman" w:hAnsi="Times New Roman" w:cs="Times New Roman"/>
          <w:i w:val="0"/>
          <w:sz w:val="24"/>
          <w:szCs w:val="24"/>
          <w:lang w:val="en"/>
        </w:rPr>
        <w:t xml:space="preserve"> in the management declaration that:</w:t>
      </w:r>
      <w:bookmarkEnd w:id="29"/>
    </w:p>
    <w:p w:rsidR="000D3D8E" w:rsidRPr="00EB0F58" w:rsidRDefault="00597AEE" w:rsidP="00AA4CCA">
      <w:pPr>
        <w:pStyle w:val="Heading2"/>
        <w:spacing w:after="240"/>
        <w:ind w:left="709"/>
        <w:jc w:val="both"/>
        <w:rPr>
          <w:rFonts w:ascii="Times New Roman" w:hAnsi="Times New Roman" w:cs="Times New Roman"/>
          <w:i w:val="0"/>
          <w:sz w:val="24"/>
          <w:szCs w:val="24"/>
          <w:lang w:val="en"/>
        </w:rPr>
      </w:pPr>
      <w:bookmarkStart w:id="30" w:name="_Toc411489382"/>
      <w:bookmarkStart w:id="31" w:name="_Toc420863615"/>
      <w:r>
        <w:rPr>
          <w:rFonts w:ascii="Times New Roman" w:hAnsi="Times New Roman" w:cs="Times New Roman"/>
          <w:i w:val="0"/>
          <w:sz w:val="24"/>
          <w:szCs w:val="24"/>
          <w:lang w:val="en"/>
        </w:rPr>
        <w:t>1</w:t>
      </w:r>
      <w:r w:rsidR="000D3D8E" w:rsidRPr="00EB0F58">
        <w:rPr>
          <w:rFonts w:ascii="Times New Roman" w:hAnsi="Times New Roman" w:cs="Times New Roman"/>
          <w:i w:val="0"/>
          <w:sz w:val="24"/>
          <w:szCs w:val="24"/>
          <w:lang w:val="en"/>
        </w:rPr>
        <w:t>.</w:t>
      </w:r>
      <w:r w:rsidR="00971011">
        <w:rPr>
          <w:rFonts w:ascii="Times New Roman" w:hAnsi="Times New Roman" w:cs="Times New Roman"/>
          <w:i w:val="0"/>
          <w:sz w:val="24"/>
          <w:szCs w:val="24"/>
          <w:lang w:val="en"/>
        </w:rPr>
        <w:t>2.1</w:t>
      </w:r>
      <w:r w:rsidR="000D3D8E" w:rsidRPr="00EB0F58">
        <w:rPr>
          <w:rFonts w:ascii="Times New Roman" w:hAnsi="Times New Roman" w:cs="Times New Roman"/>
          <w:i w:val="0"/>
          <w:sz w:val="24"/>
          <w:szCs w:val="24"/>
          <w:lang w:val="en"/>
        </w:rPr>
        <w:t xml:space="preserve"> </w:t>
      </w:r>
      <w:r>
        <w:rPr>
          <w:rFonts w:ascii="Times New Roman" w:hAnsi="Times New Roman" w:cs="Times New Roman"/>
          <w:i w:val="0"/>
          <w:sz w:val="24"/>
          <w:szCs w:val="24"/>
          <w:lang w:val="en"/>
        </w:rPr>
        <w:t>I</w:t>
      </w:r>
      <w:r w:rsidR="000D3D8E" w:rsidRPr="00EB0F58">
        <w:rPr>
          <w:rFonts w:ascii="Times New Roman" w:hAnsi="Times New Roman" w:cs="Times New Roman"/>
          <w:i w:val="0"/>
          <w:sz w:val="24"/>
          <w:szCs w:val="24"/>
          <w:lang w:val="en"/>
        </w:rPr>
        <w:t xml:space="preserve">rregularities identified in final audit or control reports </w:t>
      </w:r>
      <w:r>
        <w:rPr>
          <w:rFonts w:ascii="Times New Roman" w:hAnsi="Times New Roman" w:cs="Times New Roman"/>
          <w:i w:val="0"/>
          <w:sz w:val="24"/>
          <w:szCs w:val="24"/>
          <w:lang w:val="en"/>
        </w:rPr>
        <w:t xml:space="preserve">in relation to the accounting year and reported in the annual summary attached to the management declaration </w:t>
      </w:r>
      <w:r w:rsidR="000D3D8E" w:rsidRPr="00EB0F58">
        <w:rPr>
          <w:rFonts w:ascii="Times New Roman" w:hAnsi="Times New Roman" w:cs="Times New Roman"/>
          <w:i w:val="0"/>
          <w:sz w:val="24"/>
          <w:szCs w:val="24"/>
          <w:lang w:val="en"/>
        </w:rPr>
        <w:t>have been appropriately treated</w:t>
      </w:r>
      <w:bookmarkEnd w:id="30"/>
      <w:r>
        <w:rPr>
          <w:rFonts w:ascii="Times New Roman" w:hAnsi="Times New Roman" w:cs="Times New Roman"/>
          <w:i w:val="0"/>
          <w:sz w:val="24"/>
          <w:szCs w:val="24"/>
          <w:lang w:val="en"/>
        </w:rPr>
        <w:t xml:space="preserve"> in the accounts</w:t>
      </w:r>
      <w:bookmarkEnd w:id="31"/>
    </w:p>
    <w:p w:rsidR="00971011" w:rsidRDefault="0017613D" w:rsidP="001E4CB2">
      <w:pPr>
        <w:spacing w:after="120"/>
        <w:jc w:val="both"/>
        <w:rPr>
          <w:lang w:val="en"/>
        </w:rPr>
      </w:pPr>
      <w:r>
        <w:rPr>
          <w:lang w:val="en-GB"/>
        </w:rPr>
        <w:t xml:space="preserve">For this purpose, the MA should </w:t>
      </w:r>
      <w:r w:rsidR="00971011">
        <w:rPr>
          <w:lang w:val="en-GB"/>
        </w:rPr>
        <w:t>have satisfied itself tha</w:t>
      </w:r>
      <w:r>
        <w:rPr>
          <w:lang w:val="en-GB"/>
        </w:rPr>
        <w:t xml:space="preserve">t </w:t>
      </w:r>
      <w:r w:rsidR="00971011">
        <w:rPr>
          <w:lang w:val="en-GB"/>
        </w:rPr>
        <w:t xml:space="preserve">an appropriate follow-up of the irregularities was given up to the time of submission of the accounts to the Commission </w:t>
      </w:r>
      <w:r>
        <w:rPr>
          <w:lang w:val="en-GB"/>
        </w:rPr>
        <w:t xml:space="preserve">in </w:t>
      </w:r>
      <w:r w:rsidR="00971011">
        <w:rPr>
          <w:lang w:val="en-GB"/>
        </w:rPr>
        <w:t>relation</w:t>
      </w:r>
      <w:r w:rsidR="00F11EB9">
        <w:rPr>
          <w:lang w:val="en-GB"/>
        </w:rPr>
        <w:t xml:space="preserve"> </w:t>
      </w:r>
      <w:r w:rsidR="00971011">
        <w:rPr>
          <w:lang w:val="en-GB"/>
        </w:rPr>
        <w:t>to</w:t>
      </w:r>
      <w:r>
        <w:rPr>
          <w:lang w:val="en-GB"/>
        </w:rPr>
        <w:t xml:space="preserve"> the results of its own management verifications and </w:t>
      </w:r>
      <w:r w:rsidR="00F11EB9">
        <w:rPr>
          <w:lang w:val="en-GB"/>
        </w:rPr>
        <w:t>to</w:t>
      </w:r>
      <w:r w:rsidR="00971011">
        <w:rPr>
          <w:lang w:val="en-GB"/>
        </w:rPr>
        <w:t xml:space="preserve"> </w:t>
      </w:r>
      <w:r w:rsidR="00494A44">
        <w:rPr>
          <w:lang w:val="en-GB"/>
        </w:rPr>
        <w:t xml:space="preserve">the </w:t>
      </w:r>
      <w:r>
        <w:rPr>
          <w:lang w:val="en-GB"/>
        </w:rPr>
        <w:t>audits by the AA</w:t>
      </w:r>
      <w:r w:rsidR="00971011">
        <w:rPr>
          <w:lang w:val="en-GB"/>
        </w:rPr>
        <w:t xml:space="preserve"> or by other EU audit body</w:t>
      </w:r>
      <w:r w:rsidR="00F11EB9">
        <w:rPr>
          <w:lang w:val="en-GB"/>
        </w:rPr>
        <w:t>.</w:t>
      </w:r>
      <w:r w:rsidR="00971011">
        <w:rPr>
          <w:lang w:val="en"/>
        </w:rPr>
        <w:t xml:space="preserve"> An appropriate follow-up means that the corresponding amounts have been effectively deducted (through a withdrawal or rec</w:t>
      </w:r>
      <w:r w:rsidR="00193378">
        <w:rPr>
          <w:lang w:val="en"/>
        </w:rPr>
        <w:t>o</w:t>
      </w:r>
      <w:r w:rsidR="00971011">
        <w:rPr>
          <w:lang w:val="en"/>
        </w:rPr>
        <w:t xml:space="preserve">very) from a subsequent interim payment within the accounting year or at the latest from the accounts, in which case appropriate information is provided in </w:t>
      </w:r>
      <w:r w:rsidR="008D1A2E">
        <w:rPr>
          <w:lang w:val="en"/>
        </w:rPr>
        <w:t xml:space="preserve">the reconciliation of expenditure included at Appendix </w:t>
      </w:r>
      <w:r w:rsidR="00971011">
        <w:rPr>
          <w:lang w:val="en"/>
        </w:rPr>
        <w:t>8 of the accounts</w:t>
      </w:r>
      <w:r w:rsidR="003139E7">
        <w:rPr>
          <w:lang w:val="en"/>
        </w:rPr>
        <w:t>.</w:t>
      </w:r>
      <w:r w:rsidR="00971011">
        <w:rPr>
          <w:lang w:val="en"/>
        </w:rPr>
        <w:t xml:space="preserve"> </w:t>
      </w:r>
    </w:p>
    <w:p w:rsidR="00971011" w:rsidRDefault="004B51BD" w:rsidP="00971011">
      <w:pPr>
        <w:spacing w:after="120"/>
        <w:jc w:val="both"/>
        <w:rPr>
          <w:lang w:val="en-GB" w:eastAsia="en-GB"/>
        </w:rPr>
      </w:pPr>
      <w:r w:rsidRPr="00DF2A59">
        <w:rPr>
          <w:lang w:val="en-GB" w:eastAsia="en-GB"/>
        </w:rPr>
        <w:lastRenderedPageBreak/>
        <w:t xml:space="preserve">The </w:t>
      </w:r>
      <w:r w:rsidR="00E075DC">
        <w:rPr>
          <w:lang w:val="en-GB" w:eastAsia="en-GB"/>
        </w:rPr>
        <w:t xml:space="preserve">three </w:t>
      </w:r>
      <w:r w:rsidRPr="00DF2A59">
        <w:rPr>
          <w:lang w:val="en-GB" w:eastAsia="en-GB"/>
        </w:rPr>
        <w:t>guidance</w:t>
      </w:r>
      <w:r w:rsidR="00E075DC">
        <w:rPr>
          <w:lang w:val="en-GB" w:eastAsia="en-GB"/>
        </w:rPr>
        <w:t xml:space="preserve"> notes</w:t>
      </w:r>
      <w:r w:rsidRPr="00DF2A59">
        <w:rPr>
          <w:lang w:val="en-GB" w:eastAsia="en-GB"/>
        </w:rPr>
        <w:t xml:space="preserve"> </w:t>
      </w:r>
      <w:r w:rsidR="00DF2A59" w:rsidRPr="00EE28F1">
        <w:rPr>
          <w:lang w:val="en-GB" w:eastAsia="en-GB"/>
        </w:rPr>
        <w:t xml:space="preserve">on </w:t>
      </w:r>
      <w:proofErr w:type="gramStart"/>
      <w:r w:rsidR="00DF2A59" w:rsidRPr="00EE28F1">
        <w:rPr>
          <w:lang w:val="en-GB" w:eastAsia="en-GB"/>
        </w:rPr>
        <w:t>accounts</w:t>
      </w:r>
      <w:r w:rsidRPr="00DF2A59">
        <w:rPr>
          <w:lang w:val="en-GB" w:eastAsia="en-GB"/>
        </w:rPr>
        <w:t xml:space="preserve">  provide</w:t>
      </w:r>
      <w:proofErr w:type="gramEnd"/>
      <w:r w:rsidRPr="00DF2A59">
        <w:rPr>
          <w:lang w:val="en-GB" w:eastAsia="en-GB"/>
        </w:rPr>
        <w:t xml:space="preserve"> assistance and recommendations to </w:t>
      </w:r>
      <w:r w:rsidR="00E075DC">
        <w:rPr>
          <w:lang w:val="en-GB" w:eastAsia="en-GB"/>
        </w:rPr>
        <w:t xml:space="preserve">national authorities </w:t>
      </w:r>
      <w:r w:rsidR="00DF2A59" w:rsidRPr="00EE28F1">
        <w:rPr>
          <w:lang w:val="en-GB" w:eastAsia="en-GB"/>
        </w:rPr>
        <w:t xml:space="preserve">in relation to the </w:t>
      </w:r>
      <w:r w:rsidR="00957D4C">
        <w:rPr>
          <w:lang w:val="en-GB" w:eastAsia="en-GB"/>
        </w:rPr>
        <w:t>reporting</w:t>
      </w:r>
      <w:r w:rsidR="00DF2A59">
        <w:rPr>
          <w:lang w:val="en-GB" w:eastAsia="en-GB"/>
        </w:rPr>
        <w:t xml:space="preserve"> of </w:t>
      </w:r>
      <w:r w:rsidR="00957D4C">
        <w:rPr>
          <w:lang w:val="en-GB" w:eastAsia="en-GB"/>
        </w:rPr>
        <w:t xml:space="preserve">amounts linked to </w:t>
      </w:r>
      <w:r w:rsidR="00DF2A59">
        <w:rPr>
          <w:lang w:val="en-GB" w:eastAsia="en-GB"/>
        </w:rPr>
        <w:t xml:space="preserve">irregularities in the </w:t>
      </w:r>
      <w:r w:rsidR="00957D4C">
        <w:rPr>
          <w:lang w:val="en-GB" w:eastAsia="en-GB"/>
        </w:rPr>
        <w:t xml:space="preserve">programme </w:t>
      </w:r>
      <w:r w:rsidR="00DF2A59">
        <w:rPr>
          <w:lang w:val="en-GB" w:eastAsia="en-GB"/>
        </w:rPr>
        <w:t>accounts (withdrawals and recoveries)</w:t>
      </w:r>
      <w:r w:rsidR="00692CA3">
        <w:rPr>
          <w:lang w:val="en-GB" w:eastAsia="en-GB"/>
        </w:rPr>
        <w:t xml:space="preserve">. </w:t>
      </w:r>
      <w:r w:rsidR="00DF2A59">
        <w:rPr>
          <w:lang w:val="en-GB" w:eastAsia="en-GB"/>
        </w:rPr>
        <w:t xml:space="preserve"> </w:t>
      </w:r>
    </w:p>
    <w:p w:rsidR="004B51BD" w:rsidRPr="00B11A77" w:rsidRDefault="00971011" w:rsidP="004B51BD">
      <w:pPr>
        <w:autoSpaceDE w:val="0"/>
        <w:autoSpaceDN w:val="0"/>
        <w:adjustRightInd w:val="0"/>
        <w:jc w:val="both"/>
        <w:rPr>
          <w:lang w:val="en" w:eastAsia="en-GB"/>
        </w:rPr>
      </w:pPr>
      <w:r>
        <w:rPr>
          <w:lang w:val="en"/>
        </w:rPr>
        <w:t>If this follow-up was still ongoing at the time of signing the management declaration, the MA indicates it under this section (free text foreseen in the template of</w:t>
      </w:r>
      <w:r w:rsidR="00957D4C">
        <w:rPr>
          <w:lang w:val="en"/>
        </w:rPr>
        <w:t xml:space="preserve"> </w:t>
      </w:r>
      <w:r>
        <w:rPr>
          <w:lang w:val="en"/>
        </w:rPr>
        <w:t xml:space="preserve">the declaration). </w:t>
      </w:r>
    </w:p>
    <w:p w:rsidR="004B52E4" w:rsidRPr="00C533DD" w:rsidRDefault="00C533DD" w:rsidP="00AA4CCA">
      <w:pPr>
        <w:pStyle w:val="Heading2"/>
        <w:spacing w:after="240"/>
        <w:ind w:left="709"/>
        <w:jc w:val="both"/>
        <w:rPr>
          <w:rFonts w:ascii="Times New Roman" w:hAnsi="Times New Roman" w:cs="Times New Roman"/>
          <w:i w:val="0"/>
          <w:sz w:val="24"/>
          <w:szCs w:val="24"/>
          <w:lang w:val="en"/>
        </w:rPr>
      </w:pPr>
      <w:bookmarkStart w:id="32" w:name="_Toc411489383"/>
      <w:bookmarkStart w:id="33" w:name="_Toc420863616"/>
      <w:r>
        <w:rPr>
          <w:rFonts w:ascii="Times New Roman" w:hAnsi="Times New Roman" w:cs="Times New Roman"/>
          <w:i w:val="0"/>
          <w:sz w:val="24"/>
          <w:szCs w:val="24"/>
          <w:lang w:val="en"/>
        </w:rPr>
        <w:t>1</w:t>
      </w:r>
      <w:r w:rsidR="000D3D8E" w:rsidRPr="00EB0F58">
        <w:rPr>
          <w:rFonts w:ascii="Times New Roman" w:hAnsi="Times New Roman" w:cs="Times New Roman"/>
          <w:i w:val="0"/>
          <w:sz w:val="24"/>
          <w:szCs w:val="24"/>
          <w:lang w:val="en"/>
        </w:rPr>
        <w:t>.</w:t>
      </w:r>
      <w:r w:rsidR="00C86EEA">
        <w:rPr>
          <w:rFonts w:ascii="Times New Roman" w:hAnsi="Times New Roman" w:cs="Times New Roman"/>
          <w:i w:val="0"/>
          <w:sz w:val="24"/>
          <w:szCs w:val="24"/>
          <w:lang w:val="en"/>
        </w:rPr>
        <w:t>3</w:t>
      </w:r>
      <w:r w:rsidR="000D3D8E" w:rsidRPr="00EB0F58">
        <w:rPr>
          <w:rFonts w:ascii="Times New Roman" w:hAnsi="Times New Roman" w:cs="Times New Roman"/>
          <w:i w:val="0"/>
          <w:sz w:val="24"/>
          <w:szCs w:val="24"/>
          <w:lang w:val="en"/>
        </w:rPr>
        <w:t xml:space="preserve"> </w:t>
      </w:r>
      <w:r>
        <w:rPr>
          <w:rFonts w:ascii="Times New Roman" w:hAnsi="Times New Roman" w:cs="Times New Roman"/>
          <w:i w:val="0"/>
          <w:sz w:val="24"/>
          <w:szCs w:val="24"/>
          <w:lang w:val="en"/>
        </w:rPr>
        <w:t>E</w:t>
      </w:r>
      <w:r w:rsidR="000D3D8E" w:rsidRPr="00EB0F58">
        <w:rPr>
          <w:rFonts w:ascii="Times New Roman" w:hAnsi="Times New Roman" w:cs="Times New Roman"/>
          <w:i w:val="0"/>
          <w:sz w:val="24"/>
          <w:szCs w:val="24"/>
          <w:lang w:val="en"/>
        </w:rPr>
        <w:t>xpenditure which is subject to an ongoing assessment of its legality and regularity has been excluded from the accounts</w:t>
      </w:r>
      <w:bookmarkEnd w:id="32"/>
      <w:r w:rsidRPr="00C533DD">
        <w:rPr>
          <w:rFonts w:ascii="Times New Roman" w:hAnsi="Times New Roman" w:cs="Times New Roman"/>
          <w:i w:val="0"/>
          <w:sz w:val="24"/>
          <w:szCs w:val="24"/>
          <w:lang w:val="en"/>
        </w:rPr>
        <w:t xml:space="preserve">, </w:t>
      </w:r>
      <w:r w:rsidRPr="00AA4CCA">
        <w:rPr>
          <w:rFonts w:ascii="Times New Roman" w:hAnsi="Times New Roman" w:cs="Times New Roman"/>
          <w:i w:val="0"/>
          <w:sz w:val="24"/>
          <w:szCs w:val="24"/>
          <w:lang w:val="en-GB"/>
        </w:rPr>
        <w:t>pending conclusion of the assessment</w:t>
      </w:r>
      <w:bookmarkEnd w:id="33"/>
    </w:p>
    <w:p w:rsidR="00EA4BF7" w:rsidRDefault="0097033A" w:rsidP="00B00019">
      <w:pPr>
        <w:jc w:val="both"/>
        <w:rPr>
          <w:rFonts w:eastAsia="Calibri"/>
          <w:lang w:eastAsia="en-US"/>
        </w:rPr>
      </w:pPr>
      <w:proofErr w:type="spellStart"/>
      <w:r>
        <w:rPr>
          <w:rFonts w:eastAsia="Calibri"/>
          <w:lang w:eastAsia="en-US"/>
        </w:rPr>
        <w:t>Article</w:t>
      </w:r>
      <w:proofErr w:type="spellEnd"/>
      <w:r>
        <w:rPr>
          <w:rFonts w:eastAsia="Calibri"/>
          <w:lang w:eastAsia="en-US"/>
        </w:rPr>
        <w:t xml:space="preserve"> 137(2) </w:t>
      </w:r>
      <w:proofErr w:type="spellStart"/>
      <w:r w:rsidR="00E34EF1">
        <w:rPr>
          <w:rFonts w:eastAsia="Calibri"/>
          <w:lang w:eastAsia="en-US"/>
        </w:rPr>
        <w:t>states</w:t>
      </w:r>
      <w:proofErr w:type="spellEnd"/>
      <w:r w:rsidR="00E34EF1">
        <w:rPr>
          <w:rFonts w:eastAsia="Calibri"/>
          <w:lang w:eastAsia="en-US"/>
        </w:rPr>
        <w:t xml:space="preserve"> </w:t>
      </w:r>
      <w:proofErr w:type="spellStart"/>
      <w:r w:rsidR="00E34EF1">
        <w:rPr>
          <w:rFonts w:eastAsia="Calibri"/>
          <w:lang w:eastAsia="en-US"/>
        </w:rPr>
        <w:t>that</w:t>
      </w:r>
      <w:proofErr w:type="spellEnd"/>
      <w:r w:rsidR="00E34EF1">
        <w:rPr>
          <w:rFonts w:eastAsia="Calibri"/>
          <w:lang w:eastAsia="en-US"/>
        </w:rPr>
        <w:t xml:space="preserve"> </w:t>
      </w:r>
      <w:proofErr w:type="spellStart"/>
      <w:r w:rsidR="00E34EF1">
        <w:rPr>
          <w:rFonts w:eastAsia="Calibri"/>
          <w:lang w:eastAsia="en-US"/>
        </w:rPr>
        <w:t>where</w:t>
      </w:r>
      <w:proofErr w:type="spellEnd"/>
      <w:r w:rsidR="00E34EF1">
        <w:rPr>
          <w:rFonts w:eastAsia="Calibri"/>
          <w:lang w:eastAsia="en-US"/>
        </w:rPr>
        <w:t xml:space="preserve"> </w:t>
      </w:r>
      <w:proofErr w:type="spellStart"/>
      <w:r w:rsidR="00E34EF1">
        <w:rPr>
          <w:rFonts w:eastAsia="Calibri"/>
          <w:lang w:eastAsia="en-US"/>
        </w:rPr>
        <w:t>expenditure</w:t>
      </w:r>
      <w:proofErr w:type="spellEnd"/>
      <w:r w:rsidR="00E34EF1">
        <w:rPr>
          <w:rFonts w:eastAsia="Calibri"/>
          <w:lang w:eastAsia="en-US"/>
        </w:rPr>
        <w:t xml:space="preserve"> </w:t>
      </w:r>
      <w:proofErr w:type="spellStart"/>
      <w:r w:rsidR="00E34EF1">
        <w:rPr>
          <w:rFonts w:eastAsia="Calibri"/>
          <w:lang w:eastAsia="en-US"/>
        </w:rPr>
        <w:t>previously</w:t>
      </w:r>
      <w:proofErr w:type="spellEnd"/>
      <w:r w:rsidR="00E34EF1">
        <w:rPr>
          <w:rFonts w:eastAsia="Calibri"/>
          <w:lang w:eastAsia="en-US"/>
        </w:rPr>
        <w:t xml:space="preserve"> </w:t>
      </w:r>
      <w:proofErr w:type="spellStart"/>
      <w:r w:rsidR="00E34EF1">
        <w:rPr>
          <w:rFonts w:eastAsia="Calibri"/>
          <w:lang w:eastAsia="en-US"/>
        </w:rPr>
        <w:t>included</w:t>
      </w:r>
      <w:proofErr w:type="spellEnd"/>
      <w:r w:rsidR="00E34EF1">
        <w:rPr>
          <w:rFonts w:eastAsia="Calibri"/>
          <w:lang w:eastAsia="en-US"/>
        </w:rPr>
        <w:t xml:space="preserve"> in </w:t>
      </w:r>
      <w:proofErr w:type="spellStart"/>
      <w:r w:rsidR="00E34EF1">
        <w:rPr>
          <w:rFonts w:eastAsia="Calibri"/>
          <w:lang w:eastAsia="en-US"/>
        </w:rPr>
        <w:t>an</w:t>
      </w:r>
      <w:proofErr w:type="spellEnd"/>
      <w:r w:rsidR="00E34EF1">
        <w:rPr>
          <w:rFonts w:eastAsia="Calibri"/>
          <w:lang w:eastAsia="en-US"/>
        </w:rPr>
        <w:t xml:space="preserve"> </w:t>
      </w:r>
      <w:proofErr w:type="spellStart"/>
      <w:r w:rsidR="00E34EF1">
        <w:rPr>
          <w:rFonts w:eastAsia="Calibri"/>
          <w:lang w:eastAsia="en-US"/>
        </w:rPr>
        <w:t>application</w:t>
      </w:r>
      <w:proofErr w:type="spellEnd"/>
      <w:r w:rsidR="00E34EF1">
        <w:rPr>
          <w:rFonts w:eastAsia="Calibri"/>
          <w:lang w:eastAsia="en-US"/>
        </w:rPr>
        <w:t xml:space="preserve"> </w:t>
      </w:r>
      <w:proofErr w:type="spellStart"/>
      <w:r w:rsidR="00E34EF1">
        <w:rPr>
          <w:rFonts w:eastAsia="Calibri"/>
          <w:lang w:eastAsia="en-US"/>
        </w:rPr>
        <w:t>for</w:t>
      </w:r>
      <w:proofErr w:type="spellEnd"/>
      <w:r w:rsidR="00E34EF1">
        <w:rPr>
          <w:rFonts w:eastAsia="Calibri"/>
          <w:lang w:eastAsia="en-US"/>
        </w:rPr>
        <w:t xml:space="preserve"> interim </w:t>
      </w:r>
      <w:proofErr w:type="spellStart"/>
      <w:r w:rsidR="00E34EF1">
        <w:rPr>
          <w:rFonts w:eastAsia="Calibri"/>
          <w:lang w:eastAsia="en-US"/>
        </w:rPr>
        <w:t>payment</w:t>
      </w:r>
      <w:proofErr w:type="spellEnd"/>
      <w:r w:rsidR="00E34EF1">
        <w:rPr>
          <w:rFonts w:eastAsia="Calibri"/>
          <w:lang w:eastAsia="en-US"/>
        </w:rPr>
        <w:t xml:space="preserve"> </w:t>
      </w:r>
      <w:proofErr w:type="spellStart"/>
      <w:r w:rsidR="00E34EF1">
        <w:rPr>
          <w:rFonts w:eastAsia="Calibri"/>
          <w:lang w:eastAsia="en-US"/>
        </w:rPr>
        <w:t>for</w:t>
      </w:r>
      <w:proofErr w:type="spellEnd"/>
      <w:r w:rsidR="00E34EF1">
        <w:rPr>
          <w:rFonts w:eastAsia="Calibri"/>
          <w:lang w:eastAsia="en-US"/>
        </w:rPr>
        <w:t xml:space="preserve"> </w:t>
      </w:r>
      <w:proofErr w:type="spellStart"/>
      <w:r w:rsidR="00E34EF1">
        <w:rPr>
          <w:rFonts w:eastAsia="Calibri"/>
          <w:lang w:eastAsia="en-US"/>
        </w:rPr>
        <w:t>the</w:t>
      </w:r>
      <w:proofErr w:type="spellEnd"/>
      <w:r w:rsidR="00E34EF1">
        <w:rPr>
          <w:rFonts w:eastAsia="Calibri"/>
          <w:lang w:eastAsia="en-US"/>
        </w:rPr>
        <w:t xml:space="preserve"> </w:t>
      </w:r>
      <w:proofErr w:type="spellStart"/>
      <w:r w:rsidR="00E34EF1">
        <w:rPr>
          <w:rFonts w:eastAsia="Calibri"/>
          <w:lang w:eastAsia="en-US"/>
        </w:rPr>
        <w:t>accounting</w:t>
      </w:r>
      <w:proofErr w:type="spellEnd"/>
      <w:r w:rsidR="00E34EF1">
        <w:rPr>
          <w:rFonts w:eastAsia="Calibri"/>
          <w:lang w:eastAsia="en-US"/>
        </w:rPr>
        <w:t xml:space="preserve"> </w:t>
      </w:r>
      <w:proofErr w:type="spellStart"/>
      <w:r w:rsidR="00E34EF1">
        <w:rPr>
          <w:rFonts w:eastAsia="Calibri"/>
          <w:lang w:eastAsia="en-US"/>
        </w:rPr>
        <w:t>year</w:t>
      </w:r>
      <w:proofErr w:type="spellEnd"/>
      <w:r w:rsidR="00E34EF1">
        <w:rPr>
          <w:rFonts w:eastAsia="Calibri"/>
          <w:lang w:eastAsia="en-US"/>
        </w:rPr>
        <w:t xml:space="preserve"> </w:t>
      </w:r>
      <w:proofErr w:type="spellStart"/>
      <w:r w:rsidR="00E34EF1">
        <w:rPr>
          <w:rFonts w:eastAsia="Calibri"/>
          <w:lang w:eastAsia="en-US"/>
        </w:rPr>
        <w:t>is</w:t>
      </w:r>
      <w:proofErr w:type="spellEnd"/>
      <w:r w:rsidR="00E34EF1">
        <w:rPr>
          <w:rFonts w:eastAsia="Calibri"/>
          <w:lang w:eastAsia="en-US"/>
        </w:rPr>
        <w:t xml:space="preserve"> </w:t>
      </w:r>
      <w:proofErr w:type="spellStart"/>
      <w:r w:rsidR="00E34EF1">
        <w:rPr>
          <w:rFonts w:eastAsia="Calibri"/>
          <w:lang w:eastAsia="en-US"/>
        </w:rPr>
        <w:t>excluded</w:t>
      </w:r>
      <w:proofErr w:type="spellEnd"/>
      <w:r w:rsidR="00E34EF1">
        <w:rPr>
          <w:rFonts w:eastAsia="Calibri"/>
          <w:lang w:eastAsia="en-US"/>
        </w:rPr>
        <w:t xml:space="preserve"> by a </w:t>
      </w:r>
      <w:proofErr w:type="spellStart"/>
      <w:r w:rsidR="00E34EF1">
        <w:rPr>
          <w:rFonts w:eastAsia="Calibri"/>
          <w:lang w:eastAsia="en-US"/>
        </w:rPr>
        <w:t>Member</w:t>
      </w:r>
      <w:proofErr w:type="spellEnd"/>
      <w:r w:rsidR="00E34EF1">
        <w:rPr>
          <w:rFonts w:eastAsia="Calibri"/>
          <w:lang w:eastAsia="en-US"/>
        </w:rPr>
        <w:t xml:space="preserve"> </w:t>
      </w:r>
      <w:proofErr w:type="spellStart"/>
      <w:r w:rsidR="00E34EF1">
        <w:rPr>
          <w:rFonts w:eastAsia="Calibri"/>
          <w:lang w:eastAsia="en-US"/>
        </w:rPr>
        <w:t>State</w:t>
      </w:r>
      <w:proofErr w:type="spellEnd"/>
      <w:r w:rsidR="00E34EF1">
        <w:rPr>
          <w:rFonts w:eastAsia="Calibri"/>
          <w:lang w:eastAsia="en-US"/>
        </w:rPr>
        <w:t xml:space="preserve"> </w:t>
      </w:r>
      <w:proofErr w:type="spellStart"/>
      <w:r w:rsidR="00E34EF1">
        <w:rPr>
          <w:rFonts w:eastAsia="Calibri"/>
          <w:lang w:eastAsia="en-US"/>
        </w:rPr>
        <w:t>from</w:t>
      </w:r>
      <w:proofErr w:type="spellEnd"/>
      <w:r w:rsidR="00E34EF1">
        <w:rPr>
          <w:rFonts w:eastAsia="Calibri"/>
          <w:lang w:eastAsia="en-US"/>
        </w:rPr>
        <w:t xml:space="preserve"> </w:t>
      </w:r>
      <w:proofErr w:type="spellStart"/>
      <w:r w:rsidR="00E34EF1">
        <w:rPr>
          <w:rFonts w:eastAsia="Calibri"/>
          <w:lang w:eastAsia="en-US"/>
        </w:rPr>
        <w:t>its</w:t>
      </w:r>
      <w:proofErr w:type="spellEnd"/>
      <w:r w:rsidR="00E34EF1">
        <w:rPr>
          <w:rFonts w:eastAsia="Calibri"/>
          <w:lang w:eastAsia="en-US"/>
        </w:rPr>
        <w:t xml:space="preserve"> </w:t>
      </w:r>
      <w:proofErr w:type="spellStart"/>
      <w:r w:rsidR="00E34EF1">
        <w:rPr>
          <w:rFonts w:eastAsia="Calibri"/>
          <w:lang w:eastAsia="en-US"/>
        </w:rPr>
        <w:t>accounts</w:t>
      </w:r>
      <w:proofErr w:type="spellEnd"/>
      <w:r w:rsidR="00E34EF1">
        <w:rPr>
          <w:rFonts w:eastAsia="Calibri"/>
          <w:lang w:eastAsia="en-US"/>
        </w:rPr>
        <w:t xml:space="preserve"> </w:t>
      </w:r>
      <w:proofErr w:type="spellStart"/>
      <w:r w:rsidR="00E34EF1">
        <w:rPr>
          <w:rFonts w:eastAsia="Calibri"/>
          <w:lang w:eastAsia="en-US"/>
        </w:rPr>
        <w:t>due</w:t>
      </w:r>
      <w:proofErr w:type="spellEnd"/>
      <w:r w:rsidR="00E34EF1">
        <w:rPr>
          <w:rFonts w:eastAsia="Calibri"/>
          <w:lang w:eastAsia="en-US"/>
        </w:rPr>
        <w:t xml:space="preserve"> to </w:t>
      </w:r>
      <w:proofErr w:type="spellStart"/>
      <w:r w:rsidR="00E34EF1">
        <w:rPr>
          <w:rFonts w:eastAsia="Calibri"/>
          <w:lang w:eastAsia="en-US"/>
        </w:rPr>
        <w:t>an</w:t>
      </w:r>
      <w:proofErr w:type="spellEnd"/>
      <w:r w:rsidR="00E34EF1">
        <w:rPr>
          <w:rFonts w:eastAsia="Calibri"/>
          <w:lang w:eastAsia="en-US"/>
        </w:rPr>
        <w:t xml:space="preserve"> </w:t>
      </w:r>
      <w:proofErr w:type="spellStart"/>
      <w:r w:rsidR="00E34EF1">
        <w:rPr>
          <w:rFonts w:eastAsia="Calibri"/>
          <w:lang w:eastAsia="en-US"/>
        </w:rPr>
        <w:t>ongoing</w:t>
      </w:r>
      <w:proofErr w:type="spellEnd"/>
      <w:r w:rsidR="00E34EF1">
        <w:rPr>
          <w:rFonts w:eastAsia="Calibri"/>
          <w:lang w:eastAsia="en-US"/>
        </w:rPr>
        <w:t xml:space="preserve"> </w:t>
      </w:r>
      <w:proofErr w:type="spellStart"/>
      <w:r w:rsidR="00E34EF1">
        <w:rPr>
          <w:rFonts w:eastAsia="Calibri"/>
          <w:lang w:eastAsia="en-US"/>
        </w:rPr>
        <w:t>assessment</w:t>
      </w:r>
      <w:proofErr w:type="spellEnd"/>
      <w:r w:rsidR="00E34EF1">
        <w:rPr>
          <w:rFonts w:eastAsia="Calibri"/>
          <w:lang w:eastAsia="en-US"/>
        </w:rPr>
        <w:t xml:space="preserve"> of </w:t>
      </w:r>
      <w:proofErr w:type="spellStart"/>
      <w:r w:rsidR="00E34EF1">
        <w:rPr>
          <w:rFonts w:eastAsia="Calibri"/>
          <w:lang w:eastAsia="en-US"/>
        </w:rPr>
        <w:t>that</w:t>
      </w:r>
      <w:proofErr w:type="spellEnd"/>
      <w:r w:rsidR="00E34EF1">
        <w:rPr>
          <w:rFonts w:eastAsia="Calibri"/>
          <w:lang w:eastAsia="en-US"/>
        </w:rPr>
        <w:t xml:space="preserve"> </w:t>
      </w:r>
      <w:proofErr w:type="spellStart"/>
      <w:r w:rsidR="00E34EF1">
        <w:rPr>
          <w:rFonts w:eastAsia="Calibri"/>
          <w:lang w:eastAsia="en-US"/>
        </w:rPr>
        <w:t>expenditure's</w:t>
      </w:r>
      <w:proofErr w:type="spellEnd"/>
      <w:r w:rsidR="00E34EF1">
        <w:rPr>
          <w:rFonts w:eastAsia="Calibri"/>
          <w:lang w:eastAsia="en-US"/>
        </w:rPr>
        <w:t xml:space="preserve"> legality and regularity, </w:t>
      </w:r>
      <w:proofErr w:type="spellStart"/>
      <w:r w:rsidR="00E34EF1">
        <w:rPr>
          <w:rFonts w:eastAsia="Calibri"/>
          <w:lang w:eastAsia="en-US"/>
        </w:rPr>
        <w:t>any</w:t>
      </w:r>
      <w:proofErr w:type="spellEnd"/>
      <w:r w:rsidR="00E34EF1">
        <w:rPr>
          <w:rFonts w:eastAsia="Calibri"/>
          <w:lang w:eastAsia="en-US"/>
        </w:rPr>
        <w:t xml:space="preserve"> </w:t>
      </w:r>
      <w:proofErr w:type="spellStart"/>
      <w:r w:rsidR="00E34EF1">
        <w:rPr>
          <w:rFonts w:eastAsia="Calibri"/>
          <w:lang w:eastAsia="en-US"/>
        </w:rPr>
        <w:t>or</w:t>
      </w:r>
      <w:proofErr w:type="spellEnd"/>
      <w:r w:rsidR="00E34EF1">
        <w:rPr>
          <w:rFonts w:eastAsia="Calibri"/>
          <w:lang w:eastAsia="en-US"/>
        </w:rPr>
        <w:t xml:space="preserve"> all of </w:t>
      </w:r>
      <w:proofErr w:type="spellStart"/>
      <w:r w:rsidR="00E34EF1">
        <w:rPr>
          <w:rFonts w:eastAsia="Calibri"/>
          <w:lang w:eastAsia="en-US"/>
        </w:rPr>
        <w:t>that</w:t>
      </w:r>
      <w:proofErr w:type="spellEnd"/>
      <w:r w:rsidR="00E34EF1">
        <w:rPr>
          <w:rFonts w:eastAsia="Calibri"/>
          <w:lang w:eastAsia="en-US"/>
        </w:rPr>
        <w:t xml:space="preserve"> </w:t>
      </w:r>
      <w:proofErr w:type="spellStart"/>
      <w:r w:rsidR="00E34EF1">
        <w:rPr>
          <w:rFonts w:eastAsia="Calibri"/>
          <w:lang w:eastAsia="en-US"/>
        </w:rPr>
        <w:t>expenditure</w:t>
      </w:r>
      <w:proofErr w:type="spellEnd"/>
      <w:r w:rsidR="00E34EF1">
        <w:rPr>
          <w:rFonts w:eastAsia="Calibri"/>
          <w:lang w:eastAsia="en-US"/>
        </w:rPr>
        <w:t xml:space="preserve"> </w:t>
      </w:r>
      <w:proofErr w:type="spellStart"/>
      <w:r w:rsidR="00E34EF1">
        <w:rPr>
          <w:rFonts w:eastAsia="Calibri"/>
          <w:lang w:eastAsia="en-US"/>
        </w:rPr>
        <w:t>subsequently</w:t>
      </w:r>
      <w:proofErr w:type="spellEnd"/>
      <w:r w:rsidR="00E34EF1">
        <w:rPr>
          <w:rFonts w:eastAsia="Calibri"/>
          <w:lang w:eastAsia="en-US"/>
        </w:rPr>
        <w:t xml:space="preserve"> </w:t>
      </w:r>
      <w:proofErr w:type="spellStart"/>
      <w:r w:rsidR="00E34EF1">
        <w:rPr>
          <w:rFonts w:eastAsia="Calibri"/>
          <w:lang w:eastAsia="en-US"/>
        </w:rPr>
        <w:t>found</w:t>
      </w:r>
      <w:proofErr w:type="spellEnd"/>
      <w:r w:rsidR="00E34EF1">
        <w:rPr>
          <w:rFonts w:eastAsia="Calibri"/>
          <w:lang w:eastAsia="en-US"/>
        </w:rPr>
        <w:t xml:space="preserve"> to </w:t>
      </w:r>
      <w:proofErr w:type="spellStart"/>
      <w:r w:rsidR="00E34EF1">
        <w:rPr>
          <w:rFonts w:eastAsia="Calibri"/>
          <w:lang w:eastAsia="en-US"/>
        </w:rPr>
        <w:t>be</w:t>
      </w:r>
      <w:proofErr w:type="spellEnd"/>
      <w:r w:rsidR="00E34EF1">
        <w:rPr>
          <w:rFonts w:eastAsia="Calibri"/>
          <w:lang w:eastAsia="en-US"/>
        </w:rPr>
        <w:t xml:space="preserve"> </w:t>
      </w:r>
      <w:proofErr w:type="spellStart"/>
      <w:r w:rsidR="00E34EF1">
        <w:rPr>
          <w:rFonts w:eastAsia="Calibri"/>
          <w:lang w:eastAsia="en-US"/>
        </w:rPr>
        <w:t>legal</w:t>
      </w:r>
      <w:proofErr w:type="spellEnd"/>
      <w:r w:rsidR="00E34EF1">
        <w:rPr>
          <w:rFonts w:eastAsia="Calibri"/>
          <w:lang w:eastAsia="en-US"/>
        </w:rPr>
        <w:t xml:space="preserve"> and </w:t>
      </w:r>
      <w:proofErr w:type="spellStart"/>
      <w:r w:rsidR="00E34EF1">
        <w:rPr>
          <w:rFonts w:eastAsia="Calibri"/>
          <w:lang w:eastAsia="en-US"/>
        </w:rPr>
        <w:t>regular</w:t>
      </w:r>
      <w:proofErr w:type="spellEnd"/>
      <w:r w:rsidR="00E34EF1">
        <w:rPr>
          <w:rFonts w:eastAsia="Calibri"/>
          <w:lang w:eastAsia="en-US"/>
        </w:rPr>
        <w:t xml:space="preserve"> </w:t>
      </w:r>
      <w:proofErr w:type="spellStart"/>
      <w:r w:rsidR="00E34EF1">
        <w:rPr>
          <w:rFonts w:eastAsia="Calibri"/>
          <w:lang w:eastAsia="en-US"/>
        </w:rPr>
        <w:t>may</w:t>
      </w:r>
      <w:proofErr w:type="spellEnd"/>
      <w:r w:rsidR="00E34EF1">
        <w:rPr>
          <w:rFonts w:eastAsia="Calibri"/>
          <w:lang w:eastAsia="en-US"/>
        </w:rPr>
        <w:t xml:space="preserve"> </w:t>
      </w:r>
      <w:proofErr w:type="spellStart"/>
      <w:r w:rsidR="00E34EF1">
        <w:rPr>
          <w:rFonts w:eastAsia="Calibri"/>
          <w:lang w:eastAsia="en-US"/>
        </w:rPr>
        <w:t>be</w:t>
      </w:r>
      <w:proofErr w:type="spellEnd"/>
      <w:r w:rsidR="00E34EF1">
        <w:rPr>
          <w:rFonts w:eastAsia="Calibri"/>
          <w:lang w:eastAsia="en-US"/>
        </w:rPr>
        <w:t xml:space="preserve"> </w:t>
      </w:r>
      <w:proofErr w:type="spellStart"/>
      <w:r w:rsidR="00E34EF1">
        <w:rPr>
          <w:rFonts w:eastAsia="Calibri"/>
          <w:lang w:eastAsia="en-US"/>
        </w:rPr>
        <w:t>included</w:t>
      </w:r>
      <w:proofErr w:type="spellEnd"/>
      <w:r w:rsidR="00E34EF1">
        <w:rPr>
          <w:rFonts w:eastAsia="Calibri"/>
          <w:lang w:eastAsia="en-US"/>
        </w:rPr>
        <w:t xml:space="preserve"> in </w:t>
      </w:r>
      <w:proofErr w:type="spellStart"/>
      <w:r w:rsidR="00E34EF1">
        <w:rPr>
          <w:rFonts w:eastAsia="Calibri"/>
          <w:lang w:eastAsia="en-US"/>
        </w:rPr>
        <w:t>an</w:t>
      </w:r>
      <w:proofErr w:type="spellEnd"/>
      <w:r w:rsidR="00E34EF1">
        <w:rPr>
          <w:rFonts w:eastAsia="Calibri"/>
          <w:lang w:eastAsia="en-US"/>
        </w:rPr>
        <w:t xml:space="preserve"> </w:t>
      </w:r>
      <w:proofErr w:type="spellStart"/>
      <w:r w:rsidR="00E34EF1">
        <w:rPr>
          <w:rFonts w:eastAsia="Calibri"/>
          <w:lang w:eastAsia="en-US"/>
        </w:rPr>
        <w:t>application</w:t>
      </w:r>
      <w:proofErr w:type="spellEnd"/>
      <w:r w:rsidR="00E34EF1">
        <w:rPr>
          <w:rFonts w:eastAsia="Calibri"/>
          <w:lang w:eastAsia="en-US"/>
        </w:rPr>
        <w:t xml:space="preserve"> </w:t>
      </w:r>
      <w:proofErr w:type="spellStart"/>
      <w:r w:rsidR="00E34EF1">
        <w:rPr>
          <w:rFonts w:eastAsia="Calibri"/>
          <w:lang w:eastAsia="en-US"/>
        </w:rPr>
        <w:t>for</w:t>
      </w:r>
      <w:proofErr w:type="spellEnd"/>
      <w:r w:rsidR="00E34EF1">
        <w:rPr>
          <w:rFonts w:eastAsia="Calibri"/>
          <w:lang w:eastAsia="en-US"/>
        </w:rPr>
        <w:t xml:space="preserve"> interim </w:t>
      </w:r>
      <w:proofErr w:type="spellStart"/>
      <w:r w:rsidR="00E34EF1">
        <w:rPr>
          <w:rFonts w:eastAsia="Calibri"/>
          <w:lang w:eastAsia="en-US"/>
        </w:rPr>
        <w:t>payment</w:t>
      </w:r>
      <w:proofErr w:type="spellEnd"/>
      <w:r w:rsidR="00E34EF1">
        <w:rPr>
          <w:rFonts w:eastAsia="Calibri"/>
          <w:lang w:eastAsia="en-US"/>
        </w:rPr>
        <w:t xml:space="preserve"> </w:t>
      </w:r>
      <w:proofErr w:type="spellStart"/>
      <w:r w:rsidR="00E34EF1">
        <w:rPr>
          <w:rFonts w:eastAsia="Calibri"/>
          <w:lang w:eastAsia="en-US"/>
        </w:rPr>
        <w:t>relating</w:t>
      </w:r>
      <w:proofErr w:type="spellEnd"/>
      <w:r w:rsidR="00E34EF1">
        <w:rPr>
          <w:rFonts w:eastAsia="Calibri"/>
          <w:lang w:eastAsia="en-US"/>
        </w:rPr>
        <w:t xml:space="preserve"> to </w:t>
      </w:r>
      <w:proofErr w:type="spellStart"/>
      <w:r w:rsidR="00E34EF1">
        <w:rPr>
          <w:rFonts w:eastAsia="Calibri"/>
          <w:lang w:eastAsia="en-US"/>
        </w:rPr>
        <w:t>subsequent</w:t>
      </w:r>
      <w:proofErr w:type="spellEnd"/>
      <w:r w:rsidR="00E34EF1">
        <w:rPr>
          <w:rFonts w:eastAsia="Calibri"/>
          <w:lang w:eastAsia="en-US"/>
        </w:rPr>
        <w:t xml:space="preserve"> </w:t>
      </w:r>
      <w:proofErr w:type="spellStart"/>
      <w:r w:rsidR="00E34EF1">
        <w:rPr>
          <w:rFonts w:eastAsia="Calibri"/>
          <w:lang w:eastAsia="en-US"/>
        </w:rPr>
        <w:t>accounting</w:t>
      </w:r>
      <w:proofErr w:type="spellEnd"/>
      <w:r w:rsidR="00E34EF1">
        <w:rPr>
          <w:rFonts w:eastAsia="Calibri"/>
          <w:lang w:eastAsia="en-US"/>
        </w:rPr>
        <w:t xml:space="preserve"> </w:t>
      </w:r>
      <w:proofErr w:type="spellStart"/>
      <w:r w:rsidR="00E34EF1">
        <w:rPr>
          <w:rFonts w:eastAsia="Calibri"/>
          <w:lang w:eastAsia="en-US"/>
        </w:rPr>
        <w:t>years</w:t>
      </w:r>
      <w:proofErr w:type="spellEnd"/>
      <w:r w:rsidR="00E34EF1">
        <w:rPr>
          <w:rFonts w:eastAsia="Calibri"/>
          <w:lang w:eastAsia="en-US"/>
        </w:rPr>
        <w:t xml:space="preserve">.  </w:t>
      </w:r>
    </w:p>
    <w:p w:rsidR="0097033A" w:rsidRDefault="0097033A" w:rsidP="00B00019">
      <w:pPr>
        <w:jc w:val="both"/>
        <w:rPr>
          <w:rFonts w:eastAsia="Calibri"/>
          <w:lang w:eastAsia="en-US"/>
        </w:rPr>
      </w:pPr>
      <w:proofErr w:type="spellStart"/>
      <w:r>
        <w:rPr>
          <w:rFonts w:eastAsia="Calibri"/>
          <w:lang w:eastAsia="en-US"/>
        </w:rPr>
        <w:t>The</w:t>
      </w:r>
      <w:proofErr w:type="spellEnd"/>
      <w:r>
        <w:rPr>
          <w:rFonts w:eastAsia="Calibri"/>
          <w:lang w:eastAsia="en-US"/>
        </w:rPr>
        <w:t xml:space="preserve"> CA </w:t>
      </w:r>
      <w:proofErr w:type="spellStart"/>
      <w:r>
        <w:rPr>
          <w:rFonts w:eastAsia="Calibri"/>
          <w:lang w:eastAsia="en-US"/>
        </w:rPr>
        <w:t>shall</w:t>
      </w:r>
      <w:proofErr w:type="spellEnd"/>
      <w:r>
        <w:rPr>
          <w:rFonts w:eastAsia="Calibri"/>
          <w:lang w:eastAsia="en-US"/>
        </w:rPr>
        <w:t xml:space="preserve"> </w:t>
      </w:r>
      <w:proofErr w:type="spellStart"/>
      <w:r>
        <w:rPr>
          <w:rFonts w:eastAsia="Calibri"/>
          <w:lang w:eastAsia="en-US"/>
        </w:rPr>
        <w:t>declare</w:t>
      </w:r>
      <w:proofErr w:type="spellEnd"/>
      <w:r>
        <w:rPr>
          <w:rFonts w:eastAsia="Calibri"/>
          <w:lang w:eastAsia="en-US"/>
        </w:rPr>
        <w:t xml:space="preserve"> </w:t>
      </w:r>
      <w:r w:rsidR="0024146F">
        <w:rPr>
          <w:rFonts w:eastAsia="Calibri"/>
          <w:lang w:eastAsia="en-US"/>
        </w:rPr>
        <w:t xml:space="preserve">in </w:t>
      </w:r>
      <w:proofErr w:type="spellStart"/>
      <w:r w:rsidR="0024146F">
        <w:rPr>
          <w:rFonts w:eastAsia="Calibri"/>
          <w:lang w:eastAsia="en-US"/>
        </w:rPr>
        <w:t>the</w:t>
      </w:r>
      <w:proofErr w:type="spellEnd"/>
      <w:r w:rsidR="0024146F">
        <w:rPr>
          <w:rFonts w:eastAsia="Calibri"/>
          <w:lang w:eastAsia="en-US"/>
        </w:rPr>
        <w:t xml:space="preserve"> </w:t>
      </w:r>
      <w:proofErr w:type="spellStart"/>
      <w:r w:rsidR="0024146F">
        <w:rPr>
          <w:rFonts w:eastAsia="Calibri"/>
          <w:lang w:eastAsia="en-US"/>
        </w:rPr>
        <w:t>accounts</w:t>
      </w:r>
      <w:proofErr w:type="spellEnd"/>
      <w:r w:rsidR="0024146F">
        <w:rPr>
          <w:rFonts w:eastAsia="Calibri"/>
          <w:lang w:eastAsia="en-US"/>
        </w:rPr>
        <w:t xml:space="preserve"> </w:t>
      </w:r>
      <w:proofErr w:type="spellStart"/>
      <w:r>
        <w:rPr>
          <w:rFonts w:eastAsia="Calibri"/>
          <w:lang w:eastAsia="en-US"/>
        </w:rPr>
        <w:t>only</w:t>
      </w:r>
      <w:proofErr w:type="spellEnd"/>
      <w:r>
        <w:rPr>
          <w:rFonts w:eastAsia="Calibri"/>
          <w:lang w:eastAsia="en-US"/>
        </w:rPr>
        <w:t xml:space="preserve"> </w:t>
      </w:r>
      <w:proofErr w:type="spellStart"/>
      <w:r>
        <w:rPr>
          <w:rFonts w:eastAsia="Calibri"/>
          <w:lang w:eastAsia="en-US"/>
        </w:rPr>
        <w:t>expenditure</w:t>
      </w:r>
      <w:proofErr w:type="spellEnd"/>
      <w:r>
        <w:rPr>
          <w:rFonts w:eastAsia="Calibri"/>
          <w:lang w:eastAsia="en-US"/>
        </w:rPr>
        <w:t xml:space="preserve"> </w:t>
      </w:r>
      <w:proofErr w:type="spellStart"/>
      <w:r>
        <w:rPr>
          <w:rFonts w:eastAsia="Calibri"/>
          <w:lang w:eastAsia="en-US"/>
        </w:rPr>
        <w:t>which</w:t>
      </w:r>
      <w:proofErr w:type="spellEnd"/>
      <w:r>
        <w:rPr>
          <w:rFonts w:eastAsia="Calibri"/>
          <w:lang w:eastAsia="en-US"/>
        </w:rPr>
        <w:t xml:space="preserve"> </w:t>
      </w:r>
      <w:proofErr w:type="spellStart"/>
      <w:r>
        <w:rPr>
          <w:rFonts w:eastAsia="Calibri"/>
          <w:lang w:eastAsia="en-US"/>
        </w:rPr>
        <w:t>is</w:t>
      </w:r>
      <w:proofErr w:type="spellEnd"/>
      <w:r>
        <w:rPr>
          <w:rFonts w:eastAsia="Calibri"/>
          <w:lang w:eastAsia="en-US"/>
        </w:rPr>
        <w:t xml:space="preserve"> </w:t>
      </w:r>
      <w:proofErr w:type="spellStart"/>
      <w:r>
        <w:rPr>
          <w:rFonts w:eastAsia="Calibri"/>
          <w:lang w:eastAsia="en-US"/>
        </w:rPr>
        <w:t>found</w:t>
      </w:r>
      <w:proofErr w:type="spellEnd"/>
      <w:r>
        <w:rPr>
          <w:rFonts w:eastAsia="Calibri"/>
          <w:lang w:eastAsia="en-US"/>
        </w:rPr>
        <w:t xml:space="preserve"> to </w:t>
      </w:r>
      <w:proofErr w:type="spellStart"/>
      <w:r>
        <w:rPr>
          <w:rFonts w:eastAsia="Calibri"/>
          <w:lang w:eastAsia="en-US"/>
        </w:rPr>
        <w:t>be</w:t>
      </w:r>
      <w:proofErr w:type="spellEnd"/>
      <w:r>
        <w:rPr>
          <w:rFonts w:eastAsia="Calibri"/>
          <w:lang w:eastAsia="en-US"/>
        </w:rPr>
        <w:t xml:space="preserve"> </w:t>
      </w:r>
      <w:proofErr w:type="spellStart"/>
      <w:r>
        <w:rPr>
          <w:rFonts w:eastAsia="Calibri"/>
          <w:lang w:eastAsia="en-US"/>
        </w:rPr>
        <w:t>compliant</w:t>
      </w:r>
      <w:proofErr w:type="spellEnd"/>
      <w:r>
        <w:rPr>
          <w:rFonts w:eastAsia="Calibri"/>
          <w:lang w:eastAsia="en-US"/>
        </w:rPr>
        <w:t xml:space="preserve"> </w:t>
      </w:r>
      <w:proofErr w:type="spellStart"/>
      <w:r>
        <w:rPr>
          <w:rFonts w:eastAsia="Calibri"/>
          <w:lang w:eastAsia="en-US"/>
        </w:rPr>
        <w:t>with</w:t>
      </w:r>
      <w:proofErr w:type="spellEnd"/>
      <w:r>
        <w:rPr>
          <w:rFonts w:eastAsia="Calibri"/>
          <w:lang w:eastAsia="en-US"/>
        </w:rPr>
        <w:t xml:space="preserve"> </w:t>
      </w:r>
      <w:proofErr w:type="spellStart"/>
      <w:r>
        <w:rPr>
          <w:rFonts w:eastAsia="Calibri"/>
          <w:lang w:eastAsia="en-US"/>
        </w:rPr>
        <w:t>applicable</w:t>
      </w:r>
      <w:proofErr w:type="spellEnd"/>
      <w:r>
        <w:rPr>
          <w:rFonts w:eastAsia="Calibri"/>
          <w:lang w:eastAsia="en-US"/>
        </w:rPr>
        <w:t xml:space="preserve"> </w:t>
      </w:r>
      <w:proofErr w:type="spellStart"/>
      <w:r>
        <w:rPr>
          <w:rFonts w:eastAsia="Calibri"/>
          <w:lang w:eastAsia="en-US"/>
        </w:rPr>
        <w:t>law</w:t>
      </w:r>
      <w:proofErr w:type="spellEnd"/>
      <w:r>
        <w:rPr>
          <w:rFonts w:eastAsia="Calibri"/>
          <w:lang w:eastAsia="en-US"/>
        </w:rPr>
        <w:t xml:space="preserve">, </w:t>
      </w:r>
      <w:proofErr w:type="spellStart"/>
      <w:proofErr w:type="gramStart"/>
      <w:r>
        <w:rPr>
          <w:rFonts w:eastAsia="Calibri"/>
          <w:lang w:eastAsia="en-US"/>
        </w:rPr>
        <w:t>i.e</w:t>
      </w:r>
      <w:proofErr w:type="spellEnd"/>
      <w:r>
        <w:rPr>
          <w:rFonts w:eastAsia="Calibri"/>
          <w:lang w:eastAsia="en-US"/>
        </w:rPr>
        <w:t xml:space="preserve">. </w:t>
      </w:r>
      <w:proofErr w:type="spellStart"/>
      <w:r>
        <w:rPr>
          <w:rFonts w:eastAsia="Calibri"/>
          <w:lang w:eastAsia="en-US"/>
        </w:rPr>
        <w:t>legal</w:t>
      </w:r>
      <w:proofErr w:type="spellEnd"/>
      <w:proofErr w:type="gramEnd"/>
      <w:r>
        <w:rPr>
          <w:rFonts w:eastAsia="Calibri"/>
          <w:lang w:eastAsia="en-US"/>
        </w:rPr>
        <w:t xml:space="preserve"> and </w:t>
      </w:r>
      <w:proofErr w:type="spellStart"/>
      <w:r>
        <w:rPr>
          <w:rFonts w:eastAsia="Calibri"/>
          <w:lang w:eastAsia="en-US"/>
        </w:rPr>
        <w:t>regular</w:t>
      </w:r>
      <w:proofErr w:type="spellEnd"/>
      <w:r>
        <w:rPr>
          <w:rFonts w:eastAsia="Calibri"/>
          <w:lang w:eastAsia="en-US"/>
        </w:rPr>
        <w:t xml:space="preserve">. </w:t>
      </w:r>
      <w:proofErr w:type="spellStart"/>
      <w:r>
        <w:rPr>
          <w:rFonts w:eastAsia="Calibri"/>
          <w:lang w:eastAsia="en-US"/>
        </w:rPr>
        <w:t>This</w:t>
      </w:r>
      <w:proofErr w:type="spellEnd"/>
      <w:r>
        <w:rPr>
          <w:rFonts w:eastAsia="Calibri"/>
          <w:lang w:eastAsia="en-US"/>
        </w:rPr>
        <w:t xml:space="preserve"> </w:t>
      </w:r>
      <w:proofErr w:type="spellStart"/>
      <w:r>
        <w:rPr>
          <w:rFonts w:eastAsia="Calibri"/>
          <w:lang w:eastAsia="en-US"/>
        </w:rPr>
        <w:t>provision</w:t>
      </w:r>
      <w:proofErr w:type="spellEnd"/>
      <w:r>
        <w:rPr>
          <w:rFonts w:eastAsia="Calibri"/>
          <w:lang w:eastAsia="en-US"/>
        </w:rPr>
        <w:t xml:space="preserve"> </w:t>
      </w:r>
      <w:proofErr w:type="spellStart"/>
      <w:r>
        <w:rPr>
          <w:rFonts w:eastAsia="Calibri"/>
          <w:lang w:eastAsia="en-US"/>
        </w:rPr>
        <w:t>therefore</w:t>
      </w:r>
      <w:proofErr w:type="spellEnd"/>
      <w:r>
        <w:rPr>
          <w:rFonts w:eastAsia="Calibri"/>
          <w:lang w:eastAsia="en-US"/>
        </w:rPr>
        <w:t xml:space="preserve"> </w:t>
      </w:r>
      <w:proofErr w:type="spellStart"/>
      <w:r>
        <w:rPr>
          <w:rFonts w:eastAsia="Calibri"/>
          <w:lang w:eastAsia="en-US"/>
        </w:rPr>
        <w:t>allows</w:t>
      </w:r>
      <w:proofErr w:type="spellEnd"/>
      <w:r>
        <w:rPr>
          <w:rFonts w:eastAsia="Calibri"/>
          <w:lang w:eastAsia="en-US"/>
        </w:rPr>
        <w:t xml:space="preserve"> to </w:t>
      </w:r>
      <w:proofErr w:type="spellStart"/>
      <w:r>
        <w:rPr>
          <w:rFonts w:eastAsia="Calibri"/>
          <w:lang w:eastAsia="en-US"/>
        </w:rPr>
        <w:t>exclude</w:t>
      </w:r>
      <w:proofErr w:type="spellEnd"/>
      <w:r>
        <w:rPr>
          <w:rFonts w:eastAsia="Calibri"/>
          <w:lang w:eastAsia="en-US"/>
        </w:rPr>
        <w:t xml:space="preserve"> </w:t>
      </w:r>
      <w:proofErr w:type="spellStart"/>
      <w:r w:rsidR="0024146F">
        <w:rPr>
          <w:rFonts w:eastAsia="Calibri"/>
          <w:lang w:eastAsia="en-US"/>
        </w:rPr>
        <w:t>expenditure</w:t>
      </w:r>
      <w:proofErr w:type="spellEnd"/>
      <w:r w:rsidR="0024146F">
        <w:rPr>
          <w:rFonts w:eastAsia="Calibri"/>
          <w:lang w:eastAsia="en-US"/>
        </w:rPr>
        <w:t xml:space="preserve"> </w:t>
      </w:r>
      <w:proofErr w:type="spellStart"/>
      <w:r>
        <w:rPr>
          <w:rFonts w:eastAsia="Calibri"/>
          <w:lang w:eastAsia="en-US"/>
        </w:rPr>
        <w:t>from</w:t>
      </w:r>
      <w:proofErr w:type="spellEnd"/>
      <w:r>
        <w:rPr>
          <w:rFonts w:eastAsia="Calibri"/>
          <w:lang w:eastAsia="en-US"/>
        </w:rPr>
        <w:t xml:space="preserve"> </w:t>
      </w:r>
      <w:proofErr w:type="spellStart"/>
      <w:r>
        <w:rPr>
          <w:rFonts w:eastAsia="Calibri"/>
          <w:lang w:eastAsia="en-US"/>
        </w:rPr>
        <w:t>the</w:t>
      </w:r>
      <w:proofErr w:type="spellEnd"/>
      <w:r>
        <w:rPr>
          <w:rFonts w:eastAsia="Calibri"/>
          <w:lang w:eastAsia="en-US"/>
        </w:rPr>
        <w:t xml:space="preserve"> </w:t>
      </w:r>
      <w:proofErr w:type="spellStart"/>
      <w:r>
        <w:rPr>
          <w:rFonts w:eastAsia="Calibri"/>
          <w:lang w:eastAsia="en-US"/>
        </w:rPr>
        <w:t>accounts</w:t>
      </w:r>
      <w:proofErr w:type="spellEnd"/>
      <w:r>
        <w:rPr>
          <w:rFonts w:eastAsia="Calibri"/>
          <w:lang w:eastAsia="en-US"/>
        </w:rPr>
        <w:t xml:space="preserve"> in </w:t>
      </w:r>
      <w:proofErr w:type="gramStart"/>
      <w:r>
        <w:rPr>
          <w:rFonts w:eastAsia="Calibri"/>
          <w:lang w:eastAsia="en-US"/>
        </w:rPr>
        <w:t>case</w:t>
      </w:r>
      <w:proofErr w:type="gramEnd"/>
      <w:r>
        <w:rPr>
          <w:rFonts w:eastAsia="Calibri"/>
          <w:lang w:eastAsia="en-US"/>
        </w:rPr>
        <w:t xml:space="preserve"> </w:t>
      </w:r>
      <w:proofErr w:type="spellStart"/>
      <w:r>
        <w:rPr>
          <w:rFonts w:eastAsia="Calibri"/>
          <w:lang w:eastAsia="en-US"/>
        </w:rPr>
        <w:t>doubts</w:t>
      </w:r>
      <w:proofErr w:type="spellEnd"/>
      <w:r>
        <w:rPr>
          <w:rFonts w:eastAsia="Calibri"/>
          <w:lang w:eastAsia="en-US"/>
        </w:rPr>
        <w:t xml:space="preserve"> </w:t>
      </w:r>
      <w:proofErr w:type="spellStart"/>
      <w:r w:rsidR="0024146F">
        <w:rPr>
          <w:rFonts w:eastAsia="Calibri"/>
          <w:lang w:eastAsia="en-US"/>
        </w:rPr>
        <w:t>have</w:t>
      </w:r>
      <w:proofErr w:type="spellEnd"/>
      <w:r w:rsidR="0024146F">
        <w:rPr>
          <w:rFonts w:eastAsia="Calibri"/>
          <w:lang w:eastAsia="en-US"/>
        </w:rPr>
        <w:t xml:space="preserve"> </w:t>
      </w:r>
      <w:proofErr w:type="spellStart"/>
      <w:r>
        <w:rPr>
          <w:rFonts w:eastAsia="Calibri"/>
          <w:lang w:eastAsia="en-US"/>
        </w:rPr>
        <w:t>ar</w:t>
      </w:r>
      <w:r w:rsidR="0024146F">
        <w:rPr>
          <w:rFonts w:eastAsia="Calibri"/>
          <w:lang w:eastAsia="en-US"/>
        </w:rPr>
        <w:t>i</w:t>
      </w:r>
      <w:r>
        <w:rPr>
          <w:rFonts w:eastAsia="Calibri"/>
          <w:lang w:eastAsia="en-US"/>
        </w:rPr>
        <w:t>se</w:t>
      </w:r>
      <w:r w:rsidR="0024146F">
        <w:rPr>
          <w:rFonts w:eastAsia="Calibri"/>
          <w:lang w:eastAsia="en-US"/>
        </w:rPr>
        <w:t>n</w:t>
      </w:r>
      <w:proofErr w:type="spellEnd"/>
      <w:r>
        <w:rPr>
          <w:rFonts w:eastAsia="Calibri"/>
          <w:lang w:eastAsia="en-US"/>
        </w:rPr>
        <w:t xml:space="preserve"> as to </w:t>
      </w:r>
      <w:proofErr w:type="spellStart"/>
      <w:r>
        <w:rPr>
          <w:rFonts w:eastAsia="Calibri"/>
          <w:lang w:eastAsia="en-US"/>
        </w:rPr>
        <w:t>its</w:t>
      </w:r>
      <w:proofErr w:type="spellEnd"/>
      <w:r>
        <w:rPr>
          <w:rFonts w:eastAsia="Calibri"/>
          <w:lang w:eastAsia="en-US"/>
        </w:rPr>
        <w:t xml:space="preserve"> legality and regularity </w:t>
      </w:r>
      <w:proofErr w:type="spellStart"/>
      <w:r>
        <w:rPr>
          <w:rFonts w:eastAsia="Calibri"/>
          <w:lang w:eastAsia="en-US"/>
        </w:rPr>
        <w:t>since</w:t>
      </w:r>
      <w:proofErr w:type="spellEnd"/>
      <w:r>
        <w:rPr>
          <w:rFonts w:eastAsia="Calibri"/>
          <w:lang w:eastAsia="en-US"/>
        </w:rPr>
        <w:t xml:space="preserve"> </w:t>
      </w:r>
      <w:proofErr w:type="spellStart"/>
      <w:r>
        <w:rPr>
          <w:rFonts w:eastAsia="Calibri"/>
          <w:lang w:eastAsia="en-US"/>
        </w:rPr>
        <w:t>its</w:t>
      </w:r>
      <w:proofErr w:type="spellEnd"/>
      <w:r>
        <w:rPr>
          <w:rFonts w:eastAsia="Calibri"/>
          <w:lang w:eastAsia="en-US"/>
        </w:rPr>
        <w:t xml:space="preserve"> </w:t>
      </w:r>
      <w:proofErr w:type="spellStart"/>
      <w:r>
        <w:rPr>
          <w:rFonts w:eastAsia="Calibri"/>
          <w:lang w:eastAsia="en-US"/>
        </w:rPr>
        <w:t>declaration</w:t>
      </w:r>
      <w:proofErr w:type="spellEnd"/>
      <w:r>
        <w:rPr>
          <w:rFonts w:eastAsia="Calibri"/>
          <w:lang w:eastAsia="en-US"/>
        </w:rPr>
        <w:t xml:space="preserve"> in a </w:t>
      </w:r>
      <w:proofErr w:type="spellStart"/>
      <w:r>
        <w:rPr>
          <w:rFonts w:eastAsia="Calibri"/>
          <w:lang w:eastAsia="en-US"/>
        </w:rPr>
        <w:t>previous</w:t>
      </w:r>
      <w:proofErr w:type="spellEnd"/>
      <w:r>
        <w:rPr>
          <w:rFonts w:eastAsia="Calibri"/>
          <w:lang w:eastAsia="en-US"/>
        </w:rPr>
        <w:t xml:space="preserve"> interim </w:t>
      </w:r>
      <w:proofErr w:type="spellStart"/>
      <w:r>
        <w:rPr>
          <w:rFonts w:eastAsia="Calibri"/>
          <w:lang w:eastAsia="en-US"/>
        </w:rPr>
        <w:t>payment</w:t>
      </w:r>
      <w:proofErr w:type="spellEnd"/>
      <w:r>
        <w:rPr>
          <w:rFonts w:eastAsia="Calibri"/>
          <w:lang w:eastAsia="en-US"/>
        </w:rPr>
        <w:t xml:space="preserve"> </w:t>
      </w:r>
      <w:proofErr w:type="spellStart"/>
      <w:r>
        <w:rPr>
          <w:rFonts w:eastAsia="Calibri"/>
          <w:lang w:eastAsia="en-US"/>
        </w:rPr>
        <w:t>claim</w:t>
      </w:r>
      <w:proofErr w:type="spellEnd"/>
      <w:r>
        <w:rPr>
          <w:rFonts w:eastAsia="Calibri"/>
          <w:lang w:eastAsia="en-US"/>
        </w:rPr>
        <w:t xml:space="preserve">. Such </w:t>
      </w:r>
      <w:proofErr w:type="spellStart"/>
      <w:r>
        <w:rPr>
          <w:rFonts w:eastAsia="Calibri"/>
          <w:lang w:eastAsia="en-US"/>
        </w:rPr>
        <w:t>doubts</w:t>
      </w:r>
      <w:proofErr w:type="spellEnd"/>
      <w:r>
        <w:rPr>
          <w:rFonts w:eastAsia="Calibri"/>
          <w:lang w:eastAsia="en-US"/>
        </w:rPr>
        <w:t xml:space="preserve"> </w:t>
      </w:r>
      <w:proofErr w:type="spellStart"/>
      <w:r>
        <w:rPr>
          <w:rFonts w:eastAsia="Calibri"/>
          <w:lang w:eastAsia="en-US"/>
        </w:rPr>
        <w:t>may</w:t>
      </w:r>
      <w:proofErr w:type="spellEnd"/>
      <w:r>
        <w:rPr>
          <w:rFonts w:eastAsia="Calibri"/>
          <w:lang w:eastAsia="en-US"/>
        </w:rPr>
        <w:t xml:space="preserve"> </w:t>
      </w:r>
      <w:proofErr w:type="spellStart"/>
      <w:r>
        <w:rPr>
          <w:rFonts w:eastAsia="Calibri"/>
          <w:lang w:eastAsia="en-US"/>
        </w:rPr>
        <w:t>have</w:t>
      </w:r>
      <w:proofErr w:type="spellEnd"/>
      <w:r>
        <w:rPr>
          <w:rFonts w:eastAsia="Calibri"/>
          <w:lang w:eastAsia="en-US"/>
        </w:rPr>
        <w:t xml:space="preserve"> </w:t>
      </w:r>
      <w:proofErr w:type="spellStart"/>
      <w:r>
        <w:rPr>
          <w:rFonts w:eastAsia="Calibri"/>
          <w:lang w:eastAsia="en-US"/>
        </w:rPr>
        <w:t>been</w:t>
      </w:r>
      <w:proofErr w:type="spellEnd"/>
      <w:r>
        <w:rPr>
          <w:rFonts w:eastAsia="Calibri"/>
          <w:lang w:eastAsia="en-US"/>
        </w:rPr>
        <w:t xml:space="preserve"> </w:t>
      </w:r>
      <w:proofErr w:type="spellStart"/>
      <w:r>
        <w:rPr>
          <w:rFonts w:eastAsia="Calibri"/>
          <w:lang w:eastAsia="en-US"/>
        </w:rPr>
        <w:t>raised</w:t>
      </w:r>
      <w:proofErr w:type="spellEnd"/>
      <w:r>
        <w:rPr>
          <w:rFonts w:eastAsia="Calibri"/>
          <w:lang w:eastAsia="en-US"/>
        </w:rPr>
        <w:t xml:space="preserve"> </w:t>
      </w:r>
      <w:proofErr w:type="spellStart"/>
      <w:r>
        <w:rPr>
          <w:rFonts w:eastAsia="Calibri"/>
          <w:lang w:eastAsia="en-US"/>
        </w:rPr>
        <w:t>through</w:t>
      </w:r>
      <w:proofErr w:type="spellEnd"/>
      <w:r>
        <w:rPr>
          <w:rFonts w:eastAsia="Calibri"/>
          <w:lang w:eastAsia="en-US"/>
        </w:rPr>
        <w:t xml:space="preserve"> </w:t>
      </w:r>
      <w:proofErr w:type="spellStart"/>
      <w:r>
        <w:rPr>
          <w:rFonts w:eastAsia="Calibri"/>
          <w:lang w:eastAsia="en-US"/>
        </w:rPr>
        <w:t>verification</w:t>
      </w:r>
      <w:proofErr w:type="spellEnd"/>
      <w:r>
        <w:rPr>
          <w:rFonts w:eastAsia="Calibri"/>
          <w:lang w:eastAsia="en-US"/>
        </w:rPr>
        <w:t xml:space="preserve"> </w:t>
      </w:r>
      <w:proofErr w:type="spellStart"/>
      <w:r>
        <w:rPr>
          <w:rFonts w:eastAsia="Calibri"/>
          <w:lang w:eastAsia="en-US"/>
        </w:rPr>
        <w:t>work</w:t>
      </w:r>
      <w:proofErr w:type="spellEnd"/>
      <w:r>
        <w:rPr>
          <w:rFonts w:eastAsia="Calibri"/>
          <w:lang w:eastAsia="en-US"/>
        </w:rPr>
        <w:t xml:space="preserve"> by </w:t>
      </w:r>
      <w:proofErr w:type="spellStart"/>
      <w:r>
        <w:rPr>
          <w:rFonts w:eastAsia="Calibri"/>
          <w:lang w:eastAsia="en-US"/>
        </w:rPr>
        <w:t>the</w:t>
      </w:r>
      <w:proofErr w:type="spellEnd"/>
      <w:r>
        <w:rPr>
          <w:rFonts w:eastAsia="Calibri"/>
          <w:lang w:eastAsia="en-US"/>
        </w:rPr>
        <w:t xml:space="preserve"> MA, </w:t>
      </w:r>
      <w:proofErr w:type="spellStart"/>
      <w:r>
        <w:rPr>
          <w:rFonts w:eastAsia="Calibri"/>
          <w:lang w:eastAsia="en-US"/>
        </w:rPr>
        <w:t>verifications</w:t>
      </w:r>
      <w:proofErr w:type="spellEnd"/>
      <w:r>
        <w:rPr>
          <w:rFonts w:eastAsia="Calibri"/>
          <w:lang w:eastAsia="en-US"/>
        </w:rPr>
        <w:t xml:space="preserve"> by </w:t>
      </w:r>
      <w:proofErr w:type="spellStart"/>
      <w:r>
        <w:rPr>
          <w:rFonts w:eastAsia="Calibri"/>
          <w:lang w:eastAsia="en-US"/>
        </w:rPr>
        <w:t>the</w:t>
      </w:r>
      <w:proofErr w:type="spellEnd"/>
      <w:r>
        <w:rPr>
          <w:rFonts w:eastAsia="Calibri"/>
          <w:lang w:eastAsia="en-US"/>
        </w:rPr>
        <w:t xml:space="preserve"> CA </w:t>
      </w:r>
      <w:proofErr w:type="spellStart"/>
      <w:r>
        <w:rPr>
          <w:rFonts w:eastAsia="Calibri"/>
          <w:lang w:eastAsia="en-US"/>
        </w:rPr>
        <w:t>or</w:t>
      </w:r>
      <w:proofErr w:type="spellEnd"/>
      <w:r>
        <w:rPr>
          <w:rFonts w:eastAsia="Calibri"/>
          <w:lang w:eastAsia="en-US"/>
        </w:rPr>
        <w:t xml:space="preserve"> </w:t>
      </w:r>
      <w:proofErr w:type="spellStart"/>
      <w:r>
        <w:rPr>
          <w:rFonts w:eastAsia="Calibri"/>
          <w:lang w:eastAsia="en-US"/>
        </w:rPr>
        <w:t>audits</w:t>
      </w:r>
      <w:proofErr w:type="spellEnd"/>
      <w:r>
        <w:rPr>
          <w:rFonts w:eastAsia="Calibri"/>
          <w:lang w:eastAsia="en-US"/>
        </w:rPr>
        <w:t xml:space="preserve"> by </w:t>
      </w:r>
      <w:proofErr w:type="spellStart"/>
      <w:r>
        <w:rPr>
          <w:rFonts w:eastAsia="Calibri"/>
          <w:lang w:eastAsia="en-US"/>
        </w:rPr>
        <w:t>the</w:t>
      </w:r>
      <w:proofErr w:type="spellEnd"/>
      <w:r>
        <w:rPr>
          <w:rFonts w:eastAsia="Calibri"/>
          <w:lang w:eastAsia="en-US"/>
        </w:rPr>
        <w:t xml:space="preserve"> AA </w:t>
      </w:r>
      <w:proofErr w:type="spellStart"/>
      <w:r>
        <w:rPr>
          <w:rFonts w:eastAsia="Calibri"/>
          <w:lang w:eastAsia="en-US"/>
        </w:rPr>
        <w:t>or</w:t>
      </w:r>
      <w:proofErr w:type="spellEnd"/>
      <w:r>
        <w:rPr>
          <w:rFonts w:eastAsia="Calibri"/>
          <w:lang w:eastAsia="en-US"/>
        </w:rPr>
        <w:t xml:space="preserve"> by EU </w:t>
      </w:r>
      <w:proofErr w:type="spellStart"/>
      <w:r>
        <w:rPr>
          <w:rFonts w:eastAsia="Calibri"/>
          <w:lang w:eastAsia="en-US"/>
        </w:rPr>
        <w:t>auditors</w:t>
      </w:r>
      <w:proofErr w:type="spellEnd"/>
      <w:r>
        <w:rPr>
          <w:rFonts w:eastAsia="Calibri"/>
          <w:lang w:eastAsia="en-US"/>
        </w:rPr>
        <w:t xml:space="preserve">, </w:t>
      </w:r>
      <w:proofErr w:type="spellStart"/>
      <w:r>
        <w:rPr>
          <w:rFonts w:eastAsia="Calibri"/>
          <w:lang w:eastAsia="en-US"/>
        </w:rPr>
        <w:t>for</w:t>
      </w:r>
      <w:proofErr w:type="spellEnd"/>
      <w:r>
        <w:rPr>
          <w:rFonts w:eastAsia="Calibri"/>
          <w:lang w:eastAsia="en-US"/>
        </w:rPr>
        <w:t xml:space="preserve"> </w:t>
      </w:r>
      <w:proofErr w:type="spellStart"/>
      <w:r>
        <w:rPr>
          <w:rFonts w:eastAsia="Calibri"/>
          <w:lang w:eastAsia="en-US"/>
        </w:rPr>
        <w:t>which</w:t>
      </w:r>
      <w:proofErr w:type="spellEnd"/>
      <w:r>
        <w:rPr>
          <w:rFonts w:eastAsia="Calibri"/>
          <w:lang w:eastAsia="en-US"/>
        </w:rPr>
        <w:t xml:space="preserve"> </w:t>
      </w:r>
      <w:proofErr w:type="spellStart"/>
      <w:r>
        <w:rPr>
          <w:rFonts w:eastAsia="Calibri"/>
          <w:lang w:eastAsia="en-US"/>
        </w:rPr>
        <w:t>definitive</w:t>
      </w:r>
      <w:proofErr w:type="spellEnd"/>
      <w:r>
        <w:rPr>
          <w:rFonts w:eastAsia="Calibri"/>
          <w:lang w:eastAsia="en-US"/>
        </w:rPr>
        <w:t xml:space="preserve"> </w:t>
      </w:r>
      <w:proofErr w:type="spellStart"/>
      <w:r>
        <w:rPr>
          <w:rFonts w:eastAsia="Calibri"/>
          <w:lang w:eastAsia="en-US"/>
        </w:rPr>
        <w:t>results</w:t>
      </w:r>
      <w:proofErr w:type="spellEnd"/>
      <w:r>
        <w:rPr>
          <w:rFonts w:eastAsia="Calibri"/>
          <w:lang w:eastAsia="en-US"/>
        </w:rPr>
        <w:t xml:space="preserve"> are not </w:t>
      </w:r>
      <w:proofErr w:type="spellStart"/>
      <w:r w:rsidR="00477CE6">
        <w:rPr>
          <w:rFonts w:eastAsia="Calibri"/>
          <w:lang w:eastAsia="en-US"/>
        </w:rPr>
        <w:t>yet</w:t>
      </w:r>
      <w:proofErr w:type="spellEnd"/>
      <w:r w:rsidR="00477CE6">
        <w:rPr>
          <w:rFonts w:eastAsia="Calibri"/>
          <w:lang w:eastAsia="en-US"/>
        </w:rPr>
        <w:t xml:space="preserve"> </w:t>
      </w:r>
      <w:proofErr w:type="spellStart"/>
      <w:r>
        <w:rPr>
          <w:rFonts w:eastAsia="Calibri"/>
          <w:lang w:eastAsia="en-US"/>
        </w:rPr>
        <w:t>available</w:t>
      </w:r>
      <w:proofErr w:type="spellEnd"/>
      <w:r>
        <w:rPr>
          <w:rFonts w:eastAsia="Calibri"/>
          <w:lang w:eastAsia="en-US"/>
        </w:rPr>
        <w:t xml:space="preserve"> (</w:t>
      </w:r>
      <w:proofErr w:type="spellStart"/>
      <w:r>
        <w:rPr>
          <w:rFonts w:eastAsia="Calibri"/>
          <w:lang w:eastAsia="en-US"/>
        </w:rPr>
        <w:t>pending</w:t>
      </w:r>
      <w:proofErr w:type="spellEnd"/>
      <w:r>
        <w:rPr>
          <w:rFonts w:eastAsia="Calibri"/>
          <w:lang w:eastAsia="en-US"/>
        </w:rPr>
        <w:t xml:space="preserve"> </w:t>
      </w:r>
      <w:proofErr w:type="spellStart"/>
      <w:r>
        <w:rPr>
          <w:rFonts w:eastAsia="Calibri"/>
          <w:lang w:eastAsia="en-US"/>
        </w:rPr>
        <w:t>required</w:t>
      </w:r>
      <w:proofErr w:type="spellEnd"/>
      <w:r>
        <w:rPr>
          <w:rFonts w:eastAsia="Calibri"/>
          <w:lang w:eastAsia="en-US"/>
        </w:rPr>
        <w:t xml:space="preserve"> </w:t>
      </w:r>
      <w:proofErr w:type="spellStart"/>
      <w:r>
        <w:rPr>
          <w:rFonts w:eastAsia="Calibri"/>
          <w:lang w:eastAsia="en-US"/>
        </w:rPr>
        <w:t>additional</w:t>
      </w:r>
      <w:proofErr w:type="spellEnd"/>
      <w:r>
        <w:rPr>
          <w:rFonts w:eastAsia="Calibri"/>
          <w:lang w:eastAsia="en-US"/>
        </w:rPr>
        <w:t xml:space="preserve"> </w:t>
      </w:r>
      <w:proofErr w:type="spellStart"/>
      <w:r>
        <w:rPr>
          <w:rFonts w:eastAsia="Calibri"/>
          <w:lang w:eastAsia="en-US"/>
        </w:rPr>
        <w:t>verifications</w:t>
      </w:r>
      <w:proofErr w:type="spellEnd"/>
      <w:r>
        <w:rPr>
          <w:rFonts w:eastAsia="Calibri"/>
          <w:lang w:eastAsia="en-US"/>
        </w:rPr>
        <w:t xml:space="preserve"> </w:t>
      </w:r>
      <w:proofErr w:type="spellStart"/>
      <w:r>
        <w:rPr>
          <w:rFonts w:eastAsia="Calibri"/>
          <w:lang w:eastAsia="en-US"/>
        </w:rPr>
        <w:t>or</w:t>
      </w:r>
      <w:proofErr w:type="spellEnd"/>
      <w:r>
        <w:rPr>
          <w:rFonts w:eastAsia="Calibri"/>
          <w:lang w:eastAsia="en-US"/>
        </w:rPr>
        <w:t xml:space="preserve"> </w:t>
      </w:r>
      <w:proofErr w:type="spellStart"/>
      <w:r w:rsidR="00477CE6">
        <w:rPr>
          <w:rFonts w:eastAsia="Calibri"/>
          <w:lang w:eastAsia="en-US"/>
        </w:rPr>
        <w:t>completion</w:t>
      </w:r>
      <w:proofErr w:type="spellEnd"/>
      <w:r w:rsidR="00477CE6">
        <w:rPr>
          <w:rFonts w:eastAsia="Calibri"/>
          <w:lang w:eastAsia="en-US"/>
        </w:rPr>
        <w:t xml:space="preserve"> of </w:t>
      </w:r>
      <w:proofErr w:type="spellStart"/>
      <w:r w:rsidR="00477CE6">
        <w:rPr>
          <w:rFonts w:eastAsia="Calibri"/>
          <w:lang w:eastAsia="en-US"/>
        </w:rPr>
        <w:t>the</w:t>
      </w:r>
      <w:proofErr w:type="spellEnd"/>
      <w:r w:rsidR="00477CE6">
        <w:rPr>
          <w:rFonts w:eastAsia="Calibri"/>
          <w:lang w:eastAsia="en-US"/>
        </w:rPr>
        <w:t xml:space="preserve"> </w:t>
      </w:r>
      <w:proofErr w:type="spellStart"/>
      <w:r>
        <w:rPr>
          <w:rFonts w:eastAsia="Calibri"/>
          <w:lang w:eastAsia="en-US"/>
        </w:rPr>
        <w:t>contradictory</w:t>
      </w:r>
      <w:proofErr w:type="spellEnd"/>
      <w:r>
        <w:rPr>
          <w:rFonts w:eastAsia="Calibri"/>
          <w:lang w:eastAsia="en-US"/>
        </w:rPr>
        <w:t xml:space="preserve"> </w:t>
      </w:r>
      <w:proofErr w:type="spellStart"/>
      <w:r>
        <w:rPr>
          <w:rFonts w:eastAsia="Calibri"/>
          <w:lang w:eastAsia="en-US"/>
        </w:rPr>
        <w:t>procedure</w:t>
      </w:r>
      <w:proofErr w:type="spellEnd"/>
      <w:r>
        <w:rPr>
          <w:rFonts w:eastAsia="Calibri"/>
          <w:lang w:eastAsia="en-US"/>
        </w:rPr>
        <w:t xml:space="preserve">, </w:t>
      </w:r>
      <w:proofErr w:type="spellStart"/>
      <w:r>
        <w:rPr>
          <w:rFonts w:eastAsia="Calibri"/>
          <w:lang w:eastAsia="en-US"/>
        </w:rPr>
        <w:t>for</w:t>
      </w:r>
      <w:proofErr w:type="spellEnd"/>
      <w:r>
        <w:rPr>
          <w:rFonts w:eastAsia="Calibri"/>
          <w:lang w:eastAsia="en-US"/>
        </w:rPr>
        <w:t xml:space="preserve"> </w:t>
      </w:r>
      <w:proofErr w:type="spellStart"/>
      <w:r>
        <w:rPr>
          <w:rFonts w:eastAsia="Calibri"/>
          <w:lang w:eastAsia="en-US"/>
        </w:rPr>
        <w:t>example</w:t>
      </w:r>
      <w:proofErr w:type="spellEnd"/>
      <w:r>
        <w:rPr>
          <w:rFonts w:eastAsia="Calibri"/>
          <w:lang w:eastAsia="en-US"/>
        </w:rPr>
        <w:t xml:space="preserve">). </w:t>
      </w:r>
    </w:p>
    <w:p w:rsidR="0097033A" w:rsidRDefault="0097033A" w:rsidP="00B00019">
      <w:pPr>
        <w:jc w:val="both"/>
        <w:rPr>
          <w:rFonts w:eastAsia="Calibri"/>
          <w:lang w:eastAsia="en-US"/>
        </w:rPr>
      </w:pPr>
    </w:p>
    <w:p w:rsidR="00355304" w:rsidRDefault="00424C84" w:rsidP="00B00019">
      <w:pPr>
        <w:jc w:val="both"/>
        <w:rPr>
          <w:rFonts w:eastAsia="Calibri"/>
          <w:lang w:eastAsia="en-US"/>
        </w:rPr>
      </w:pPr>
      <w:proofErr w:type="spellStart"/>
      <w:r>
        <w:rPr>
          <w:rFonts w:eastAsia="Calibri"/>
          <w:lang w:eastAsia="en-US"/>
        </w:rPr>
        <w:t>If</w:t>
      </w:r>
      <w:proofErr w:type="spellEnd"/>
      <w:r w:rsidR="00202701">
        <w:rPr>
          <w:rFonts w:eastAsia="Calibri"/>
          <w:lang w:eastAsia="en-US"/>
        </w:rPr>
        <w:t xml:space="preserve"> </w:t>
      </w:r>
      <w:proofErr w:type="spellStart"/>
      <w:r>
        <w:rPr>
          <w:rFonts w:eastAsia="Calibri"/>
          <w:lang w:eastAsia="en-US"/>
        </w:rPr>
        <w:t>the</w:t>
      </w:r>
      <w:proofErr w:type="spellEnd"/>
      <w:r w:rsidR="00957D4C">
        <w:rPr>
          <w:rFonts w:eastAsia="Calibri"/>
          <w:lang w:eastAsia="en-US"/>
        </w:rPr>
        <w:t xml:space="preserve"> MA has</w:t>
      </w:r>
      <w:r w:rsidR="007A7868">
        <w:rPr>
          <w:rFonts w:eastAsia="Calibri"/>
          <w:lang w:eastAsia="en-US"/>
        </w:rPr>
        <w:t xml:space="preserve"> </w:t>
      </w:r>
      <w:proofErr w:type="spellStart"/>
      <w:r w:rsidR="007A7868">
        <w:rPr>
          <w:rFonts w:eastAsia="Calibri"/>
          <w:lang w:eastAsia="en-US"/>
        </w:rPr>
        <w:t>doubts</w:t>
      </w:r>
      <w:proofErr w:type="spellEnd"/>
      <w:r w:rsidR="007A7868">
        <w:rPr>
          <w:rFonts w:eastAsia="Calibri"/>
          <w:lang w:eastAsia="en-US"/>
        </w:rPr>
        <w:t xml:space="preserve"> </w:t>
      </w:r>
      <w:proofErr w:type="spellStart"/>
      <w:r w:rsidR="007A7868">
        <w:rPr>
          <w:rFonts w:eastAsia="Calibri"/>
          <w:lang w:eastAsia="en-US"/>
        </w:rPr>
        <w:t>regarding</w:t>
      </w:r>
      <w:proofErr w:type="spellEnd"/>
      <w:r w:rsidR="007A7868">
        <w:rPr>
          <w:rFonts w:eastAsia="Calibri"/>
          <w:lang w:eastAsia="en-US"/>
        </w:rPr>
        <w:t xml:space="preserve"> </w:t>
      </w:r>
      <w:proofErr w:type="spellStart"/>
      <w:r w:rsidR="007A7868">
        <w:rPr>
          <w:rFonts w:eastAsia="Calibri"/>
          <w:lang w:eastAsia="en-US"/>
        </w:rPr>
        <w:t>the</w:t>
      </w:r>
      <w:proofErr w:type="spellEnd"/>
      <w:r>
        <w:rPr>
          <w:rFonts w:eastAsia="Calibri"/>
          <w:lang w:eastAsia="en-US"/>
        </w:rPr>
        <w:t xml:space="preserve"> legality and regularity of </w:t>
      </w:r>
      <w:proofErr w:type="spellStart"/>
      <w:r w:rsidR="00202701">
        <w:rPr>
          <w:rFonts w:eastAsia="Calibri"/>
          <w:lang w:eastAsia="en-US"/>
        </w:rPr>
        <w:t>expenditure</w:t>
      </w:r>
      <w:proofErr w:type="spellEnd"/>
      <w:r>
        <w:rPr>
          <w:rFonts w:eastAsia="Calibri"/>
          <w:lang w:eastAsia="en-US"/>
        </w:rPr>
        <w:t xml:space="preserve"> </w:t>
      </w:r>
      <w:proofErr w:type="spellStart"/>
      <w:r>
        <w:rPr>
          <w:rFonts w:eastAsia="Calibri"/>
          <w:lang w:eastAsia="en-US"/>
        </w:rPr>
        <w:t>following</w:t>
      </w:r>
      <w:proofErr w:type="spellEnd"/>
      <w:r>
        <w:rPr>
          <w:rFonts w:eastAsia="Calibri"/>
          <w:lang w:eastAsia="en-US"/>
        </w:rPr>
        <w:t xml:space="preserve"> </w:t>
      </w:r>
      <w:r w:rsidR="00370DA5">
        <w:rPr>
          <w:rFonts w:eastAsia="Calibri"/>
          <w:lang w:eastAsia="en-US"/>
        </w:rPr>
        <w:t xml:space="preserve"> </w:t>
      </w:r>
      <w:r>
        <w:rPr>
          <w:rFonts w:eastAsia="Calibri"/>
          <w:lang w:eastAsia="en-US"/>
        </w:rPr>
        <w:t xml:space="preserve">management </w:t>
      </w:r>
      <w:proofErr w:type="spellStart"/>
      <w:r>
        <w:rPr>
          <w:rFonts w:eastAsia="Calibri"/>
          <w:lang w:eastAsia="en-US"/>
        </w:rPr>
        <w:t>verifications</w:t>
      </w:r>
      <w:proofErr w:type="spellEnd"/>
      <w:r>
        <w:rPr>
          <w:rFonts w:eastAsia="Calibri"/>
          <w:lang w:eastAsia="en-US"/>
        </w:rPr>
        <w:t xml:space="preserve"> by </w:t>
      </w:r>
      <w:proofErr w:type="spellStart"/>
      <w:r>
        <w:rPr>
          <w:rFonts w:eastAsia="Calibri"/>
          <w:lang w:eastAsia="en-US"/>
        </w:rPr>
        <w:t>the</w:t>
      </w:r>
      <w:proofErr w:type="spellEnd"/>
      <w:r>
        <w:rPr>
          <w:rFonts w:eastAsia="Calibri"/>
          <w:lang w:eastAsia="en-US"/>
        </w:rPr>
        <w:t xml:space="preserve"> MA</w:t>
      </w:r>
      <w:r w:rsidR="0097033A">
        <w:rPr>
          <w:rFonts w:eastAsia="Calibri"/>
          <w:lang w:eastAsia="en-US"/>
        </w:rPr>
        <w:t xml:space="preserve">, </w:t>
      </w:r>
      <w:proofErr w:type="spellStart"/>
      <w:r w:rsidR="00957D4C">
        <w:rPr>
          <w:rFonts w:eastAsia="Calibri"/>
          <w:lang w:eastAsia="en-US"/>
        </w:rPr>
        <w:t>i</w:t>
      </w:r>
      <w:r w:rsidR="0097033A">
        <w:rPr>
          <w:rFonts w:eastAsia="Calibri"/>
          <w:lang w:eastAsia="en-US"/>
        </w:rPr>
        <w:t>t</w:t>
      </w:r>
      <w:proofErr w:type="spellEnd"/>
      <w:r w:rsidR="0097033A">
        <w:rPr>
          <w:rFonts w:eastAsia="Calibri"/>
          <w:lang w:eastAsia="en-US"/>
        </w:rPr>
        <w:t xml:space="preserve"> </w:t>
      </w:r>
      <w:proofErr w:type="spellStart"/>
      <w:r w:rsidR="0097033A">
        <w:rPr>
          <w:rFonts w:eastAsia="Calibri"/>
          <w:lang w:eastAsia="en-US"/>
        </w:rPr>
        <w:t>should</w:t>
      </w:r>
      <w:proofErr w:type="spellEnd"/>
      <w:r w:rsidR="0097033A">
        <w:rPr>
          <w:rFonts w:eastAsia="Calibri"/>
          <w:lang w:eastAsia="en-US"/>
        </w:rPr>
        <w:t xml:space="preserve"> not in </w:t>
      </w:r>
      <w:proofErr w:type="spellStart"/>
      <w:r w:rsidR="0097033A">
        <w:rPr>
          <w:rFonts w:eastAsia="Calibri"/>
          <w:lang w:eastAsia="en-US"/>
        </w:rPr>
        <w:t>first</w:t>
      </w:r>
      <w:proofErr w:type="spellEnd"/>
      <w:r w:rsidR="0097033A">
        <w:rPr>
          <w:rFonts w:eastAsia="Calibri"/>
          <w:lang w:eastAsia="en-US"/>
        </w:rPr>
        <w:t xml:space="preserve"> instance </w:t>
      </w:r>
      <w:proofErr w:type="spellStart"/>
      <w:r w:rsidR="0097033A">
        <w:rPr>
          <w:rFonts w:eastAsia="Calibri"/>
          <w:lang w:eastAsia="en-US"/>
        </w:rPr>
        <w:t>declare</w:t>
      </w:r>
      <w:proofErr w:type="spellEnd"/>
      <w:r w:rsidR="0097033A">
        <w:rPr>
          <w:rFonts w:eastAsia="Calibri"/>
          <w:lang w:eastAsia="en-US"/>
        </w:rPr>
        <w:t xml:space="preserve"> such </w:t>
      </w:r>
      <w:proofErr w:type="spellStart"/>
      <w:r w:rsidR="0097033A">
        <w:rPr>
          <w:rFonts w:eastAsia="Calibri"/>
          <w:lang w:eastAsia="en-US"/>
        </w:rPr>
        <w:t>expenditure</w:t>
      </w:r>
      <w:proofErr w:type="spellEnd"/>
      <w:r w:rsidR="0097033A">
        <w:rPr>
          <w:rFonts w:eastAsia="Calibri"/>
          <w:lang w:eastAsia="en-US"/>
        </w:rPr>
        <w:t xml:space="preserve"> to </w:t>
      </w:r>
      <w:proofErr w:type="spellStart"/>
      <w:r w:rsidR="0097033A">
        <w:rPr>
          <w:rFonts w:eastAsia="Calibri"/>
          <w:lang w:eastAsia="en-US"/>
        </w:rPr>
        <w:t>the</w:t>
      </w:r>
      <w:proofErr w:type="spellEnd"/>
      <w:r w:rsidR="0097033A">
        <w:rPr>
          <w:rFonts w:eastAsia="Calibri"/>
          <w:lang w:eastAsia="en-US"/>
        </w:rPr>
        <w:t xml:space="preserve"> CA </w:t>
      </w:r>
      <w:proofErr w:type="spellStart"/>
      <w:r w:rsidR="0097033A">
        <w:rPr>
          <w:rFonts w:eastAsia="Calibri"/>
          <w:lang w:eastAsia="en-US"/>
        </w:rPr>
        <w:t>until</w:t>
      </w:r>
      <w:proofErr w:type="spellEnd"/>
      <w:r w:rsidR="0097033A">
        <w:rPr>
          <w:rFonts w:eastAsia="Calibri"/>
          <w:lang w:eastAsia="en-US"/>
        </w:rPr>
        <w:t xml:space="preserve"> </w:t>
      </w:r>
      <w:proofErr w:type="spellStart"/>
      <w:r w:rsidR="0097033A">
        <w:rPr>
          <w:rFonts w:eastAsia="Calibri"/>
          <w:lang w:eastAsia="en-US"/>
        </w:rPr>
        <w:t>it</w:t>
      </w:r>
      <w:proofErr w:type="spellEnd"/>
      <w:r w:rsidR="0097033A">
        <w:rPr>
          <w:rFonts w:eastAsia="Calibri"/>
          <w:lang w:eastAsia="en-US"/>
        </w:rPr>
        <w:t xml:space="preserve"> has </w:t>
      </w:r>
      <w:proofErr w:type="spellStart"/>
      <w:r w:rsidR="0097033A">
        <w:rPr>
          <w:rFonts w:eastAsia="Calibri"/>
          <w:lang w:eastAsia="en-US"/>
        </w:rPr>
        <w:t>concluded</w:t>
      </w:r>
      <w:proofErr w:type="spellEnd"/>
      <w:r w:rsidR="0097033A">
        <w:rPr>
          <w:rFonts w:eastAsia="Calibri"/>
          <w:lang w:eastAsia="en-US"/>
        </w:rPr>
        <w:t xml:space="preserve"> on </w:t>
      </w:r>
      <w:proofErr w:type="spellStart"/>
      <w:r w:rsidR="0097033A">
        <w:rPr>
          <w:rFonts w:eastAsia="Calibri"/>
          <w:lang w:eastAsia="en-US"/>
        </w:rPr>
        <w:t>the</w:t>
      </w:r>
      <w:proofErr w:type="spellEnd"/>
      <w:r w:rsidR="0097033A">
        <w:rPr>
          <w:rFonts w:eastAsia="Calibri"/>
          <w:lang w:eastAsia="en-US"/>
        </w:rPr>
        <w:t xml:space="preserve"> legality and regularity of </w:t>
      </w:r>
      <w:proofErr w:type="spellStart"/>
      <w:r w:rsidR="0097033A">
        <w:rPr>
          <w:rFonts w:eastAsia="Calibri"/>
          <w:lang w:eastAsia="en-US"/>
        </w:rPr>
        <w:t>the</w:t>
      </w:r>
      <w:proofErr w:type="spellEnd"/>
      <w:r w:rsidR="0097033A">
        <w:rPr>
          <w:rFonts w:eastAsia="Calibri"/>
          <w:lang w:eastAsia="en-US"/>
        </w:rPr>
        <w:t xml:space="preserve"> </w:t>
      </w:r>
      <w:proofErr w:type="spellStart"/>
      <w:r w:rsidR="0097033A">
        <w:rPr>
          <w:rFonts w:eastAsia="Calibri"/>
          <w:lang w:eastAsia="en-US"/>
        </w:rPr>
        <w:t>concern</w:t>
      </w:r>
      <w:r w:rsidR="00982CEE">
        <w:rPr>
          <w:rFonts w:eastAsia="Calibri"/>
          <w:lang w:eastAsia="en-US"/>
        </w:rPr>
        <w:t>e</w:t>
      </w:r>
      <w:r w:rsidR="0097033A">
        <w:rPr>
          <w:rFonts w:eastAsia="Calibri"/>
          <w:lang w:eastAsia="en-US"/>
        </w:rPr>
        <w:t>d</w:t>
      </w:r>
      <w:proofErr w:type="spellEnd"/>
      <w:r w:rsidR="0097033A">
        <w:rPr>
          <w:rFonts w:eastAsia="Calibri"/>
          <w:lang w:eastAsia="en-US"/>
        </w:rPr>
        <w:t xml:space="preserve"> </w:t>
      </w:r>
      <w:proofErr w:type="spellStart"/>
      <w:r w:rsidR="0097033A">
        <w:rPr>
          <w:rFonts w:eastAsia="Calibri"/>
          <w:lang w:eastAsia="en-US"/>
        </w:rPr>
        <w:t>expenditure</w:t>
      </w:r>
      <w:proofErr w:type="spellEnd"/>
      <w:r w:rsidR="0097033A">
        <w:rPr>
          <w:rFonts w:eastAsia="Calibri"/>
          <w:lang w:eastAsia="en-US"/>
        </w:rPr>
        <w:t xml:space="preserve">. </w:t>
      </w:r>
    </w:p>
    <w:p w:rsidR="00B00019" w:rsidRDefault="00355304" w:rsidP="00B00019">
      <w:pPr>
        <w:jc w:val="both"/>
        <w:rPr>
          <w:rFonts w:eastAsia="Calibri"/>
          <w:lang w:val="en-US" w:eastAsia="en-US"/>
        </w:rPr>
      </w:pPr>
      <w:r>
        <w:rPr>
          <w:rFonts w:eastAsia="Calibri"/>
          <w:lang w:eastAsia="en-US"/>
        </w:rPr>
        <w:t>S</w:t>
      </w:r>
      <w:r w:rsidR="0097033A">
        <w:rPr>
          <w:rFonts w:eastAsia="Calibri"/>
          <w:lang w:eastAsia="en-US"/>
        </w:rPr>
        <w:t xml:space="preserve">uch </w:t>
      </w:r>
      <w:proofErr w:type="spellStart"/>
      <w:r w:rsidR="0097033A">
        <w:rPr>
          <w:rFonts w:eastAsia="Calibri"/>
          <w:lang w:eastAsia="en-US"/>
        </w:rPr>
        <w:t>doubts</w:t>
      </w:r>
      <w:proofErr w:type="spellEnd"/>
      <w:r w:rsidR="0097033A">
        <w:rPr>
          <w:rFonts w:eastAsia="Calibri"/>
          <w:lang w:eastAsia="en-US"/>
        </w:rPr>
        <w:t xml:space="preserve"> </w:t>
      </w:r>
      <w:r>
        <w:rPr>
          <w:rFonts w:eastAsia="Calibri"/>
          <w:lang w:eastAsia="en-US"/>
        </w:rPr>
        <w:t xml:space="preserve">as to </w:t>
      </w:r>
      <w:proofErr w:type="spellStart"/>
      <w:r>
        <w:rPr>
          <w:rFonts w:eastAsia="Calibri"/>
          <w:lang w:eastAsia="en-US"/>
        </w:rPr>
        <w:t>the</w:t>
      </w:r>
      <w:proofErr w:type="spellEnd"/>
      <w:r>
        <w:rPr>
          <w:rFonts w:eastAsia="Calibri"/>
          <w:lang w:eastAsia="en-US"/>
        </w:rPr>
        <w:t xml:space="preserve"> legality and regularity of </w:t>
      </w:r>
      <w:proofErr w:type="spellStart"/>
      <w:r>
        <w:rPr>
          <w:rFonts w:eastAsia="Calibri"/>
          <w:lang w:eastAsia="en-US"/>
        </w:rPr>
        <w:t>expenditure</w:t>
      </w:r>
      <w:proofErr w:type="spellEnd"/>
      <w:r>
        <w:rPr>
          <w:rFonts w:eastAsia="Calibri"/>
          <w:lang w:eastAsia="en-US"/>
        </w:rPr>
        <w:t xml:space="preserve"> </w:t>
      </w:r>
      <w:proofErr w:type="spellStart"/>
      <w:r>
        <w:rPr>
          <w:rFonts w:eastAsia="Calibri"/>
          <w:lang w:eastAsia="en-US"/>
        </w:rPr>
        <w:t>may</w:t>
      </w:r>
      <w:proofErr w:type="spellEnd"/>
      <w:r>
        <w:rPr>
          <w:rFonts w:eastAsia="Calibri"/>
          <w:lang w:eastAsia="en-US"/>
        </w:rPr>
        <w:t xml:space="preserve"> </w:t>
      </w:r>
      <w:proofErr w:type="spellStart"/>
      <w:r>
        <w:rPr>
          <w:rFonts w:eastAsia="Calibri"/>
          <w:lang w:eastAsia="en-US"/>
        </w:rPr>
        <w:t>also</w:t>
      </w:r>
      <w:proofErr w:type="spellEnd"/>
      <w:r>
        <w:rPr>
          <w:rFonts w:eastAsia="Calibri"/>
          <w:lang w:eastAsia="en-US"/>
        </w:rPr>
        <w:t xml:space="preserve"> </w:t>
      </w:r>
      <w:proofErr w:type="spellStart"/>
      <w:r w:rsidR="0097033A">
        <w:rPr>
          <w:rFonts w:eastAsia="Calibri"/>
          <w:lang w:eastAsia="en-US"/>
        </w:rPr>
        <w:t>arise</w:t>
      </w:r>
      <w:proofErr w:type="spellEnd"/>
      <w:r w:rsidR="0097033A">
        <w:rPr>
          <w:rFonts w:eastAsia="Calibri"/>
          <w:lang w:eastAsia="en-US"/>
        </w:rPr>
        <w:t xml:space="preserve"> </w:t>
      </w:r>
      <w:proofErr w:type="spellStart"/>
      <w:r w:rsidR="0097033A">
        <w:rPr>
          <w:rFonts w:eastAsia="Calibri"/>
          <w:lang w:eastAsia="en-US"/>
        </w:rPr>
        <w:t>due</w:t>
      </w:r>
      <w:proofErr w:type="spellEnd"/>
      <w:r w:rsidR="0097033A">
        <w:rPr>
          <w:rFonts w:eastAsia="Calibri"/>
          <w:lang w:eastAsia="en-US"/>
        </w:rPr>
        <w:t xml:space="preserve"> to management </w:t>
      </w:r>
      <w:proofErr w:type="spellStart"/>
      <w:r w:rsidR="0097033A">
        <w:rPr>
          <w:rFonts w:eastAsia="Calibri"/>
          <w:lang w:eastAsia="en-US"/>
        </w:rPr>
        <w:t>verifications</w:t>
      </w:r>
      <w:proofErr w:type="spellEnd"/>
      <w:r w:rsidR="0097033A">
        <w:rPr>
          <w:rFonts w:eastAsia="Calibri"/>
          <w:lang w:eastAsia="en-US"/>
        </w:rPr>
        <w:t xml:space="preserve"> </w:t>
      </w:r>
      <w:proofErr w:type="spellStart"/>
      <w:r w:rsidR="0097033A">
        <w:rPr>
          <w:rFonts w:eastAsia="Calibri"/>
          <w:lang w:eastAsia="en-US"/>
        </w:rPr>
        <w:t>carried</w:t>
      </w:r>
      <w:proofErr w:type="spellEnd"/>
      <w:r w:rsidR="0097033A">
        <w:rPr>
          <w:rFonts w:eastAsia="Calibri"/>
          <w:lang w:eastAsia="en-US"/>
        </w:rPr>
        <w:t xml:space="preserve"> </w:t>
      </w:r>
      <w:proofErr w:type="spellStart"/>
      <w:r w:rsidR="0097033A">
        <w:rPr>
          <w:rFonts w:eastAsia="Calibri"/>
          <w:lang w:eastAsia="en-US"/>
        </w:rPr>
        <w:t>out</w:t>
      </w:r>
      <w:proofErr w:type="spellEnd"/>
      <w:r w:rsidR="0097033A">
        <w:rPr>
          <w:rFonts w:eastAsia="Calibri"/>
          <w:lang w:eastAsia="en-US"/>
        </w:rPr>
        <w:t xml:space="preserve"> </w:t>
      </w:r>
      <w:proofErr w:type="spellStart"/>
      <w:r w:rsidR="0097033A">
        <w:rPr>
          <w:rFonts w:eastAsia="Calibri"/>
          <w:lang w:eastAsia="en-US"/>
        </w:rPr>
        <w:t>after</w:t>
      </w:r>
      <w:proofErr w:type="spellEnd"/>
      <w:r w:rsidR="0097033A">
        <w:rPr>
          <w:rFonts w:eastAsia="Calibri"/>
          <w:lang w:eastAsia="en-US"/>
        </w:rPr>
        <w:t xml:space="preserve"> </w:t>
      </w:r>
      <w:proofErr w:type="spellStart"/>
      <w:r w:rsidR="0097033A">
        <w:rPr>
          <w:rFonts w:eastAsia="Calibri"/>
          <w:lang w:eastAsia="en-US"/>
        </w:rPr>
        <w:t>inclusion</w:t>
      </w:r>
      <w:proofErr w:type="spellEnd"/>
      <w:r w:rsidR="0097033A">
        <w:rPr>
          <w:rFonts w:eastAsia="Calibri"/>
          <w:lang w:eastAsia="en-US"/>
        </w:rPr>
        <w:t xml:space="preserve"> of </w:t>
      </w:r>
      <w:proofErr w:type="spellStart"/>
      <w:r w:rsidR="00957D4C">
        <w:rPr>
          <w:rFonts w:eastAsia="Calibri"/>
          <w:lang w:eastAsia="en-US"/>
        </w:rPr>
        <w:t>the</w:t>
      </w:r>
      <w:proofErr w:type="spellEnd"/>
      <w:r w:rsidR="00957D4C">
        <w:rPr>
          <w:rFonts w:eastAsia="Calibri"/>
          <w:lang w:eastAsia="en-US"/>
        </w:rPr>
        <w:t xml:space="preserve"> </w:t>
      </w:r>
      <w:proofErr w:type="spellStart"/>
      <w:r w:rsidR="00957D4C">
        <w:rPr>
          <w:rFonts w:eastAsia="Calibri"/>
          <w:lang w:eastAsia="en-US"/>
        </w:rPr>
        <w:t>corresponding</w:t>
      </w:r>
      <w:proofErr w:type="spellEnd"/>
      <w:r w:rsidR="00957D4C">
        <w:rPr>
          <w:rFonts w:eastAsia="Calibri"/>
          <w:lang w:eastAsia="en-US"/>
        </w:rPr>
        <w:t xml:space="preserve"> </w:t>
      </w:r>
      <w:proofErr w:type="spellStart"/>
      <w:r w:rsidR="0097033A">
        <w:rPr>
          <w:rFonts w:eastAsia="Calibri"/>
          <w:lang w:eastAsia="en-US"/>
        </w:rPr>
        <w:t>expenditure</w:t>
      </w:r>
      <w:proofErr w:type="spellEnd"/>
      <w:r w:rsidR="0097033A">
        <w:rPr>
          <w:rFonts w:eastAsia="Calibri"/>
          <w:lang w:eastAsia="en-US"/>
        </w:rPr>
        <w:t xml:space="preserve"> in a </w:t>
      </w:r>
      <w:proofErr w:type="spellStart"/>
      <w:r w:rsidR="0097033A">
        <w:rPr>
          <w:rFonts w:eastAsia="Calibri"/>
          <w:lang w:eastAsia="en-US"/>
        </w:rPr>
        <w:t>payment</w:t>
      </w:r>
      <w:proofErr w:type="spellEnd"/>
      <w:r w:rsidR="0097033A">
        <w:rPr>
          <w:rFonts w:eastAsia="Calibri"/>
          <w:lang w:eastAsia="en-US"/>
        </w:rPr>
        <w:t xml:space="preserve"> </w:t>
      </w:r>
      <w:proofErr w:type="spellStart"/>
      <w:r w:rsidR="0097033A">
        <w:rPr>
          <w:rFonts w:eastAsia="Calibri"/>
          <w:lang w:eastAsia="en-US"/>
        </w:rPr>
        <w:t>claim</w:t>
      </w:r>
      <w:proofErr w:type="spellEnd"/>
      <w:r w:rsidR="0097033A">
        <w:rPr>
          <w:rFonts w:eastAsia="Calibri"/>
          <w:lang w:eastAsia="en-US"/>
        </w:rPr>
        <w:t xml:space="preserve"> (</w:t>
      </w:r>
      <w:proofErr w:type="spellStart"/>
      <w:r w:rsidR="0097033A">
        <w:rPr>
          <w:rFonts w:eastAsia="Calibri"/>
          <w:lang w:eastAsia="en-US"/>
        </w:rPr>
        <w:t>for</w:t>
      </w:r>
      <w:proofErr w:type="spellEnd"/>
      <w:r w:rsidR="0097033A">
        <w:rPr>
          <w:rFonts w:eastAsia="Calibri"/>
          <w:lang w:eastAsia="en-US"/>
        </w:rPr>
        <w:t xml:space="preserve"> </w:t>
      </w:r>
      <w:proofErr w:type="spellStart"/>
      <w:r w:rsidR="0097033A">
        <w:rPr>
          <w:rFonts w:eastAsia="Calibri"/>
          <w:lang w:eastAsia="en-US"/>
        </w:rPr>
        <w:t>ex</w:t>
      </w:r>
      <w:r w:rsidR="00477CE6">
        <w:rPr>
          <w:rFonts w:eastAsia="Calibri"/>
          <w:lang w:eastAsia="en-US"/>
        </w:rPr>
        <w:t>ample</w:t>
      </w:r>
      <w:proofErr w:type="spellEnd"/>
      <w:r w:rsidR="0097033A">
        <w:rPr>
          <w:rFonts w:eastAsia="Calibri"/>
          <w:lang w:eastAsia="en-US"/>
        </w:rPr>
        <w:t xml:space="preserve"> </w:t>
      </w:r>
      <w:proofErr w:type="spellStart"/>
      <w:r w:rsidR="0097033A">
        <w:rPr>
          <w:rFonts w:eastAsia="Calibri"/>
          <w:lang w:eastAsia="en-US"/>
        </w:rPr>
        <w:t>following</w:t>
      </w:r>
      <w:proofErr w:type="spellEnd"/>
      <w:r w:rsidR="0097033A">
        <w:rPr>
          <w:rFonts w:eastAsia="Calibri"/>
          <w:lang w:eastAsia="en-US"/>
        </w:rPr>
        <w:t xml:space="preserve"> on-</w:t>
      </w:r>
      <w:proofErr w:type="spellStart"/>
      <w:r w:rsidR="0097033A">
        <w:rPr>
          <w:rFonts w:eastAsia="Calibri"/>
          <w:lang w:eastAsia="en-US"/>
        </w:rPr>
        <w:t>the</w:t>
      </w:r>
      <w:proofErr w:type="spellEnd"/>
      <w:r w:rsidR="0097033A">
        <w:rPr>
          <w:rFonts w:eastAsia="Calibri"/>
          <w:lang w:eastAsia="en-US"/>
        </w:rPr>
        <w:t xml:space="preserve">-spot </w:t>
      </w:r>
      <w:proofErr w:type="spellStart"/>
      <w:r w:rsidR="0097033A">
        <w:rPr>
          <w:rFonts w:eastAsia="Calibri"/>
          <w:lang w:eastAsia="en-US"/>
        </w:rPr>
        <w:t>verifications</w:t>
      </w:r>
      <w:proofErr w:type="spellEnd"/>
      <w:r w:rsidR="0097033A">
        <w:rPr>
          <w:rFonts w:eastAsia="Calibri"/>
          <w:lang w:eastAsia="en-US"/>
        </w:rPr>
        <w:t xml:space="preserve"> </w:t>
      </w:r>
      <w:proofErr w:type="spellStart"/>
      <w:r w:rsidR="0097033A">
        <w:rPr>
          <w:rFonts w:eastAsia="Calibri"/>
          <w:lang w:eastAsia="en-US"/>
        </w:rPr>
        <w:t>or</w:t>
      </w:r>
      <w:proofErr w:type="spellEnd"/>
      <w:r w:rsidR="0097033A">
        <w:rPr>
          <w:rFonts w:eastAsia="Calibri"/>
          <w:lang w:eastAsia="en-US"/>
        </w:rPr>
        <w:t xml:space="preserve"> as a </w:t>
      </w:r>
      <w:proofErr w:type="spellStart"/>
      <w:r w:rsidR="0097033A">
        <w:rPr>
          <w:rFonts w:eastAsia="Calibri"/>
          <w:lang w:eastAsia="en-US"/>
        </w:rPr>
        <w:t>result</w:t>
      </w:r>
      <w:proofErr w:type="spellEnd"/>
      <w:r w:rsidR="0097033A">
        <w:rPr>
          <w:rFonts w:eastAsia="Calibri"/>
          <w:lang w:eastAsia="en-US"/>
        </w:rPr>
        <w:t xml:space="preserve"> of </w:t>
      </w:r>
      <w:proofErr w:type="spellStart"/>
      <w:r w:rsidR="0097033A">
        <w:rPr>
          <w:rFonts w:eastAsia="Calibri"/>
          <w:lang w:eastAsia="en-US"/>
        </w:rPr>
        <w:t>additional</w:t>
      </w:r>
      <w:proofErr w:type="spellEnd"/>
      <w:r w:rsidR="0097033A">
        <w:rPr>
          <w:rFonts w:eastAsia="Calibri"/>
          <w:lang w:eastAsia="en-US"/>
        </w:rPr>
        <w:t xml:space="preserve"> </w:t>
      </w:r>
      <w:proofErr w:type="spellStart"/>
      <w:r w:rsidR="0097033A">
        <w:rPr>
          <w:rFonts w:eastAsia="Calibri"/>
          <w:lang w:eastAsia="en-US"/>
        </w:rPr>
        <w:t>veri</w:t>
      </w:r>
      <w:r>
        <w:rPr>
          <w:rFonts w:eastAsia="Calibri"/>
          <w:lang w:eastAsia="en-US"/>
        </w:rPr>
        <w:t>fications</w:t>
      </w:r>
      <w:proofErr w:type="spellEnd"/>
      <w:r>
        <w:rPr>
          <w:rFonts w:eastAsia="Calibri"/>
          <w:lang w:eastAsia="en-US"/>
        </w:rPr>
        <w:t xml:space="preserve"> of </w:t>
      </w:r>
      <w:proofErr w:type="spellStart"/>
      <w:r>
        <w:rPr>
          <w:rFonts w:eastAsia="Calibri"/>
          <w:lang w:eastAsia="en-US"/>
        </w:rPr>
        <w:t>systemic</w:t>
      </w:r>
      <w:proofErr w:type="spellEnd"/>
      <w:r>
        <w:rPr>
          <w:rFonts w:eastAsia="Calibri"/>
          <w:lang w:eastAsia="en-US"/>
        </w:rPr>
        <w:t xml:space="preserve"> </w:t>
      </w:r>
      <w:proofErr w:type="spellStart"/>
      <w:r>
        <w:rPr>
          <w:rFonts w:eastAsia="Calibri"/>
          <w:lang w:eastAsia="en-US"/>
        </w:rPr>
        <w:t>issues</w:t>
      </w:r>
      <w:proofErr w:type="spellEnd"/>
      <w:r>
        <w:rPr>
          <w:rFonts w:eastAsia="Calibri"/>
          <w:lang w:eastAsia="en-US"/>
        </w:rPr>
        <w:t xml:space="preserve">), </w:t>
      </w:r>
      <w:proofErr w:type="spellStart"/>
      <w:r>
        <w:rPr>
          <w:rFonts w:eastAsia="Calibri"/>
          <w:lang w:eastAsia="en-US"/>
        </w:rPr>
        <w:t>additional</w:t>
      </w:r>
      <w:proofErr w:type="spellEnd"/>
      <w:r>
        <w:rPr>
          <w:rFonts w:eastAsia="Calibri"/>
          <w:lang w:eastAsia="en-US"/>
        </w:rPr>
        <w:t xml:space="preserve"> </w:t>
      </w:r>
      <w:proofErr w:type="spellStart"/>
      <w:r>
        <w:rPr>
          <w:rFonts w:eastAsia="Calibri"/>
          <w:lang w:eastAsia="en-US"/>
        </w:rPr>
        <w:t>verifications</w:t>
      </w:r>
      <w:proofErr w:type="spellEnd"/>
      <w:r>
        <w:rPr>
          <w:rFonts w:eastAsia="Calibri"/>
          <w:lang w:eastAsia="en-US"/>
        </w:rPr>
        <w:t xml:space="preserve"> by </w:t>
      </w:r>
      <w:proofErr w:type="spellStart"/>
      <w:r>
        <w:rPr>
          <w:rFonts w:eastAsia="Calibri"/>
          <w:lang w:eastAsia="en-US"/>
        </w:rPr>
        <w:t>the</w:t>
      </w:r>
      <w:proofErr w:type="spellEnd"/>
      <w:r>
        <w:rPr>
          <w:rFonts w:eastAsia="Calibri"/>
          <w:lang w:eastAsia="en-US"/>
        </w:rPr>
        <w:t xml:space="preserve"> CA </w:t>
      </w:r>
      <w:proofErr w:type="spellStart"/>
      <w:r>
        <w:rPr>
          <w:rFonts w:eastAsia="Calibri"/>
          <w:lang w:eastAsia="en-US"/>
        </w:rPr>
        <w:t>or</w:t>
      </w:r>
      <w:proofErr w:type="spellEnd"/>
      <w:r>
        <w:rPr>
          <w:rFonts w:eastAsia="Calibri"/>
          <w:lang w:eastAsia="en-US"/>
        </w:rPr>
        <w:t xml:space="preserve"> </w:t>
      </w:r>
      <w:proofErr w:type="spellStart"/>
      <w:r>
        <w:rPr>
          <w:rFonts w:eastAsia="Calibri"/>
          <w:lang w:eastAsia="en-US"/>
        </w:rPr>
        <w:t>pre</w:t>
      </w:r>
      <w:r w:rsidR="00957D4C">
        <w:rPr>
          <w:rFonts w:eastAsia="Calibri"/>
          <w:lang w:eastAsia="en-US"/>
        </w:rPr>
        <w:t>l</w:t>
      </w:r>
      <w:r>
        <w:rPr>
          <w:rFonts w:eastAsia="Calibri"/>
          <w:lang w:eastAsia="en-US"/>
        </w:rPr>
        <w:t>iminary</w:t>
      </w:r>
      <w:proofErr w:type="spellEnd"/>
      <w:r>
        <w:rPr>
          <w:rFonts w:eastAsia="Calibri"/>
          <w:lang w:eastAsia="en-US"/>
        </w:rPr>
        <w:t xml:space="preserve"> </w:t>
      </w:r>
      <w:proofErr w:type="spellStart"/>
      <w:r>
        <w:rPr>
          <w:rFonts w:eastAsia="Calibri"/>
          <w:lang w:eastAsia="en-US"/>
        </w:rPr>
        <w:t>or</w:t>
      </w:r>
      <w:proofErr w:type="spellEnd"/>
      <w:r>
        <w:rPr>
          <w:rFonts w:eastAsia="Calibri"/>
          <w:lang w:eastAsia="en-US"/>
        </w:rPr>
        <w:t xml:space="preserve"> draft audit </w:t>
      </w:r>
      <w:proofErr w:type="spellStart"/>
      <w:r>
        <w:rPr>
          <w:rFonts w:eastAsia="Calibri"/>
          <w:lang w:eastAsia="en-US"/>
        </w:rPr>
        <w:t>results</w:t>
      </w:r>
      <w:proofErr w:type="spellEnd"/>
      <w:r>
        <w:rPr>
          <w:rFonts w:eastAsia="Calibri"/>
          <w:lang w:eastAsia="en-US"/>
        </w:rPr>
        <w:t xml:space="preserve"> </w:t>
      </w:r>
      <w:proofErr w:type="spellStart"/>
      <w:r>
        <w:rPr>
          <w:rFonts w:eastAsia="Calibri"/>
          <w:lang w:eastAsia="en-US"/>
        </w:rPr>
        <w:t>which</w:t>
      </w:r>
      <w:proofErr w:type="spellEnd"/>
      <w:r>
        <w:rPr>
          <w:rFonts w:eastAsia="Calibri"/>
          <w:lang w:eastAsia="en-US"/>
        </w:rPr>
        <w:t xml:space="preserve"> are </w:t>
      </w:r>
      <w:proofErr w:type="spellStart"/>
      <w:r>
        <w:rPr>
          <w:rFonts w:eastAsia="Calibri"/>
          <w:lang w:eastAsia="en-US"/>
        </w:rPr>
        <w:t>under</w:t>
      </w:r>
      <w:proofErr w:type="spellEnd"/>
      <w:r>
        <w:rPr>
          <w:rFonts w:eastAsia="Calibri"/>
          <w:lang w:eastAsia="en-US"/>
        </w:rPr>
        <w:t xml:space="preserve"> </w:t>
      </w:r>
      <w:proofErr w:type="spellStart"/>
      <w:r>
        <w:rPr>
          <w:rFonts w:eastAsia="Calibri"/>
          <w:lang w:eastAsia="en-US"/>
        </w:rPr>
        <w:t>contradictory</w:t>
      </w:r>
      <w:proofErr w:type="spellEnd"/>
      <w:r>
        <w:rPr>
          <w:rFonts w:eastAsia="Calibri"/>
          <w:lang w:eastAsia="en-US"/>
        </w:rPr>
        <w:t xml:space="preserve"> </w:t>
      </w:r>
      <w:proofErr w:type="spellStart"/>
      <w:r>
        <w:rPr>
          <w:rFonts w:eastAsia="Calibri"/>
          <w:lang w:eastAsia="en-US"/>
        </w:rPr>
        <w:t>procedure</w:t>
      </w:r>
      <w:proofErr w:type="spellEnd"/>
      <w:r>
        <w:rPr>
          <w:rFonts w:eastAsia="Calibri"/>
          <w:lang w:eastAsia="en-US"/>
        </w:rPr>
        <w:t xml:space="preserve"> at </w:t>
      </w:r>
      <w:proofErr w:type="spellStart"/>
      <w:r>
        <w:rPr>
          <w:rFonts w:eastAsia="Calibri"/>
          <w:lang w:eastAsia="en-US"/>
        </w:rPr>
        <w:t>the</w:t>
      </w:r>
      <w:proofErr w:type="spellEnd"/>
      <w:r>
        <w:rPr>
          <w:rFonts w:eastAsia="Calibri"/>
          <w:lang w:eastAsia="en-US"/>
        </w:rPr>
        <w:t xml:space="preserve"> </w:t>
      </w:r>
      <w:proofErr w:type="spellStart"/>
      <w:r>
        <w:rPr>
          <w:rFonts w:eastAsia="Calibri"/>
          <w:lang w:eastAsia="en-US"/>
        </w:rPr>
        <w:t>time</w:t>
      </w:r>
      <w:proofErr w:type="spellEnd"/>
      <w:r>
        <w:rPr>
          <w:rFonts w:eastAsia="Calibri"/>
          <w:lang w:eastAsia="en-US"/>
        </w:rPr>
        <w:t xml:space="preserve"> of </w:t>
      </w:r>
      <w:proofErr w:type="spellStart"/>
      <w:r w:rsidR="0067028F">
        <w:rPr>
          <w:rFonts w:eastAsia="Calibri"/>
          <w:lang w:eastAsia="en-US"/>
        </w:rPr>
        <w:t>preparing</w:t>
      </w:r>
      <w:proofErr w:type="spellEnd"/>
      <w:r w:rsidR="0067028F">
        <w:rPr>
          <w:rFonts w:eastAsia="Calibri"/>
          <w:lang w:eastAsia="en-US"/>
        </w:rPr>
        <w:t xml:space="preserve"> </w:t>
      </w:r>
      <w:proofErr w:type="spellStart"/>
      <w:r>
        <w:rPr>
          <w:rFonts w:eastAsia="Calibri"/>
          <w:lang w:eastAsia="en-US"/>
        </w:rPr>
        <w:t>the</w:t>
      </w:r>
      <w:proofErr w:type="spellEnd"/>
      <w:r>
        <w:rPr>
          <w:rFonts w:eastAsia="Calibri"/>
          <w:lang w:eastAsia="en-US"/>
        </w:rPr>
        <w:t xml:space="preserve"> acc</w:t>
      </w:r>
      <w:r w:rsidR="00477CE6">
        <w:rPr>
          <w:rFonts w:eastAsia="Calibri"/>
          <w:lang w:eastAsia="en-US"/>
        </w:rPr>
        <w:t>o</w:t>
      </w:r>
      <w:r>
        <w:rPr>
          <w:rFonts w:eastAsia="Calibri"/>
          <w:lang w:eastAsia="en-US"/>
        </w:rPr>
        <w:t xml:space="preserve">unts. In </w:t>
      </w:r>
      <w:proofErr w:type="spellStart"/>
      <w:r>
        <w:rPr>
          <w:rFonts w:eastAsia="Calibri"/>
          <w:lang w:eastAsia="en-US"/>
        </w:rPr>
        <w:t>this</w:t>
      </w:r>
      <w:proofErr w:type="spellEnd"/>
      <w:r>
        <w:rPr>
          <w:rFonts w:eastAsia="Calibri"/>
          <w:lang w:eastAsia="en-US"/>
        </w:rPr>
        <w:t xml:space="preserve"> case</w:t>
      </w:r>
      <w:r w:rsidR="00477CE6">
        <w:rPr>
          <w:rFonts w:eastAsia="Calibri"/>
          <w:lang w:eastAsia="en-US"/>
        </w:rPr>
        <w:t>,</w:t>
      </w:r>
      <w:r>
        <w:rPr>
          <w:rFonts w:eastAsia="Calibri"/>
          <w:lang w:eastAsia="en-US"/>
        </w:rPr>
        <w:t xml:space="preserve"> </w:t>
      </w:r>
      <w:proofErr w:type="spellStart"/>
      <w:r>
        <w:rPr>
          <w:rFonts w:eastAsia="Calibri"/>
          <w:lang w:eastAsia="en-US"/>
        </w:rPr>
        <w:t>it</w:t>
      </w:r>
      <w:proofErr w:type="spellEnd"/>
      <w:r>
        <w:rPr>
          <w:rFonts w:eastAsia="Calibri"/>
          <w:lang w:eastAsia="en-US"/>
        </w:rPr>
        <w:t xml:space="preserve"> </w:t>
      </w:r>
      <w:proofErr w:type="spellStart"/>
      <w:r>
        <w:rPr>
          <w:rFonts w:eastAsia="Calibri"/>
          <w:lang w:eastAsia="en-US"/>
        </w:rPr>
        <w:t>is</w:t>
      </w:r>
      <w:proofErr w:type="spellEnd"/>
      <w:r>
        <w:rPr>
          <w:rFonts w:eastAsia="Calibri"/>
          <w:lang w:eastAsia="en-US"/>
        </w:rPr>
        <w:t xml:space="preserve"> </w:t>
      </w:r>
      <w:proofErr w:type="spellStart"/>
      <w:r>
        <w:rPr>
          <w:rFonts w:eastAsia="Calibri"/>
          <w:lang w:eastAsia="en-US"/>
        </w:rPr>
        <w:t>recommended</w:t>
      </w:r>
      <w:proofErr w:type="spellEnd"/>
      <w:r>
        <w:rPr>
          <w:rFonts w:eastAsia="Calibri"/>
          <w:lang w:eastAsia="en-US"/>
        </w:rPr>
        <w:t xml:space="preserve"> </w:t>
      </w:r>
      <w:proofErr w:type="spellStart"/>
      <w:r>
        <w:rPr>
          <w:rFonts w:eastAsia="Calibri"/>
          <w:lang w:eastAsia="en-US"/>
        </w:rPr>
        <w:t>that</w:t>
      </w:r>
      <w:proofErr w:type="spellEnd"/>
      <w:r>
        <w:rPr>
          <w:rFonts w:eastAsia="Calibri"/>
          <w:lang w:eastAsia="en-US"/>
        </w:rPr>
        <w:t xml:space="preserve"> </w:t>
      </w:r>
      <w:proofErr w:type="spellStart"/>
      <w:r>
        <w:rPr>
          <w:rFonts w:eastAsia="Calibri"/>
          <w:lang w:eastAsia="en-US"/>
        </w:rPr>
        <w:t>the</w:t>
      </w:r>
      <w:proofErr w:type="spellEnd"/>
      <w:r>
        <w:rPr>
          <w:rFonts w:eastAsia="Calibri"/>
          <w:lang w:eastAsia="en-US"/>
        </w:rPr>
        <w:t xml:space="preserve"> CA</w:t>
      </w:r>
      <w:r w:rsidR="00982CEE">
        <w:rPr>
          <w:rFonts w:eastAsia="Calibri"/>
          <w:lang w:eastAsia="en-US"/>
        </w:rPr>
        <w:t xml:space="preserve">, at </w:t>
      </w:r>
      <w:proofErr w:type="spellStart"/>
      <w:r w:rsidR="00982CEE">
        <w:rPr>
          <w:rFonts w:eastAsia="Calibri"/>
          <w:lang w:eastAsia="en-US"/>
        </w:rPr>
        <w:t>the</w:t>
      </w:r>
      <w:proofErr w:type="spellEnd"/>
      <w:r w:rsidR="00982CEE">
        <w:rPr>
          <w:rFonts w:eastAsia="Calibri"/>
          <w:lang w:eastAsia="en-US"/>
        </w:rPr>
        <w:t xml:space="preserve"> MA </w:t>
      </w:r>
      <w:proofErr w:type="spellStart"/>
      <w:r w:rsidR="00982CEE">
        <w:rPr>
          <w:rFonts w:eastAsia="Calibri"/>
          <w:lang w:eastAsia="en-US"/>
        </w:rPr>
        <w:t>request</w:t>
      </w:r>
      <w:proofErr w:type="spellEnd"/>
      <w:r w:rsidR="00982CEE">
        <w:rPr>
          <w:rFonts w:eastAsia="Calibri"/>
          <w:lang w:eastAsia="en-US"/>
        </w:rPr>
        <w:t xml:space="preserve"> </w:t>
      </w:r>
      <w:proofErr w:type="spellStart"/>
      <w:r w:rsidR="00982CEE">
        <w:rPr>
          <w:rFonts w:eastAsia="Calibri"/>
          <w:lang w:eastAsia="en-US"/>
        </w:rPr>
        <w:t>or</w:t>
      </w:r>
      <w:proofErr w:type="spellEnd"/>
      <w:r w:rsidR="00982CEE">
        <w:rPr>
          <w:rFonts w:eastAsia="Calibri"/>
          <w:lang w:eastAsia="en-US"/>
        </w:rPr>
        <w:t xml:space="preserve"> </w:t>
      </w:r>
      <w:r w:rsidR="00957D4C">
        <w:rPr>
          <w:rFonts w:eastAsia="Calibri"/>
          <w:lang w:eastAsia="en-US"/>
        </w:rPr>
        <w:t xml:space="preserve">as a </w:t>
      </w:r>
      <w:proofErr w:type="spellStart"/>
      <w:r w:rsidR="00957D4C">
        <w:rPr>
          <w:rFonts w:eastAsia="Calibri"/>
          <w:lang w:eastAsia="en-US"/>
        </w:rPr>
        <w:t>result</w:t>
      </w:r>
      <w:proofErr w:type="spellEnd"/>
      <w:r w:rsidR="00957D4C">
        <w:rPr>
          <w:rFonts w:eastAsia="Calibri"/>
          <w:lang w:eastAsia="en-US"/>
        </w:rPr>
        <w:t xml:space="preserve"> of</w:t>
      </w:r>
      <w:r w:rsidR="00982CEE">
        <w:rPr>
          <w:rFonts w:eastAsia="Calibri"/>
          <w:lang w:eastAsia="en-US"/>
        </w:rPr>
        <w:t xml:space="preserve"> </w:t>
      </w:r>
      <w:proofErr w:type="spellStart"/>
      <w:r w:rsidR="00982CEE">
        <w:rPr>
          <w:rFonts w:eastAsia="Calibri"/>
          <w:lang w:eastAsia="en-US"/>
        </w:rPr>
        <w:t>its</w:t>
      </w:r>
      <w:proofErr w:type="spellEnd"/>
      <w:r w:rsidR="00982CEE">
        <w:rPr>
          <w:rFonts w:eastAsia="Calibri"/>
          <w:lang w:eastAsia="en-US"/>
        </w:rPr>
        <w:t xml:space="preserve"> </w:t>
      </w:r>
      <w:proofErr w:type="spellStart"/>
      <w:r w:rsidR="00982CEE">
        <w:rPr>
          <w:rFonts w:eastAsia="Calibri"/>
          <w:lang w:eastAsia="en-US"/>
        </w:rPr>
        <w:t>own</w:t>
      </w:r>
      <w:proofErr w:type="spellEnd"/>
      <w:r w:rsidR="00957D4C">
        <w:rPr>
          <w:rFonts w:eastAsia="Calibri"/>
          <w:lang w:eastAsia="en-US"/>
        </w:rPr>
        <w:t xml:space="preserve"> </w:t>
      </w:r>
      <w:proofErr w:type="spellStart"/>
      <w:r w:rsidR="00957D4C">
        <w:rPr>
          <w:rFonts w:eastAsia="Calibri"/>
          <w:lang w:eastAsia="en-US"/>
        </w:rPr>
        <w:t>responsibilities</w:t>
      </w:r>
      <w:proofErr w:type="spellEnd"/>
      <w:r w:rsidR="00982CEE">
        <w:rPr>
          <w:rFonts w:eastAsia="Calibri"/>
          <w:lang w:eastAsia="en-US"/>
        </w:rPr>
        <w:t xml:space="preserve">, </w:t>
      </w:r>
      <w:proofErr w:type="spellStart"/>
      <w:r>
        <w:rPr>
          <w:rFonts w:eastAsia="Calibri"/>
          <w:lang w:eastAsia="en-US"/>
        </w:rPr>
        <w:t>excludes</w:t>
      </w:r>
      <w:proofErr w:type="spellEnd"/>
      <w:r>
        <w:rPr>
          <w:rFonts w:eastAsia="Calibri"/>
          <w:lang w:eastAsia="en-US"/>
        </w:rPr>
        <w:t xml:space="preserve"> </w:t>
      </w:r>
      <w:proofErr w:type="spellStart"/>
      <w:r>
        <w:rPr>
          <w:rFonts w:eastAsia="Calibri"/>
          <w:lang w:eastAsia="en-US"/>
        </w:rPr>
        <w:t>the</w:t>
      </w:r>
      <w:proofErr w:type="spellEnd"/>
      <w:r>
        <w:rPr>
          <w:rFonts w:eastAsia="Calibri"/>
          <w:lang w:eastAsia="en-US"/>
        </w:rPr>
        <w:t xml:space="preserve"> </w:t>
      </w:r>
      <w:proofErr w:type="spellStart"/>
      <w:r>
        <w:rPr>
          <w:rFonts w:eastAsia="Calibri"/>
          <w:lang w:eastAsia="en-US"/>
        </w:rPr>
        <w:t>concerned</w:t>
      </w:r>
      <w:proofErr w:type="spellEnd"/>
      <w:r>
        <w:rPr>
          <w:rFonts w:eastAsia="Calibri"/>
          <w:lang w:eastAsia="en-US"/>
        </w:rPr>
        <w:t xml:space="preserve"> </w:t>
      </w:r>
      <w:proofErr w:type="spellStart"/>
      <w:r>
        <w:rPr>
          <w:rFonts w:eastAsia="Calibri"/>
          <w:lang w:eastAsia="en-US"/>
        </w:rPr>
        <w:t>expenditure</w:t>
      </w:r>
      <w:proofErr w:type="spellEnd"/>
      <w:r>
        <w:rPr>
          <w:rFonts w:eastAsia="Calibri"/>
          <w:lang w:eastAsia="en-US"/>
        </w:rPr>
        <w:t xml:space="preserve"> </w:t>
      </w:r>
      <w:proofErr w:type="spellStart"/>
      <w:r w:rsidR="00424C84">
        <w:rPr>
          <w:rFonts w:eastAsia="Calibri"/>
          <w:lang w:eastAsia="en-US"/>
        </w:rPr>
        <w:t>from</w:t>
      </w:r>
      <w:proofErr w:type="spellEnd"/>
      <w:r w:rsidR="00424C84">
        <w:rPr>
          <w:rFonts w:eastAsia="Calibri"/>
          <w:lang w:eastAsia="en-US"/>
        </w:rPr>
        <w:t xml:space="preserve"> </w:t>
      </w:r>
      <w:proofErr w:type="spellStart"/>
      <w:r w:rsidR="00424C84">
        <w:rPr>
          <w:rFonts w:eastAsia="Calibri"/>
          <w:lang w:eastAsia="en-US"/>
        </w:rPr>
        <w:t>the</w:t>
      </w:r>
      <w:proofErr w:type="spellEnd"/>
      <w:r w:rsidR="00424C84">
        <w:rPr>
          <w:rFonts w:eastAsia="Calibri"/>
          <w:lang w:eastAsia="en-US"/>
        </w:rPr>
        <w:t xml:space="preserve"> </w:t>
      </w:r>
      <w:proofErr w:type="spellStart"/>
      <w:r w:rsidR="00424C84">
        <w:rPr>
          <w:rFonts w:eastAsia="Calibri"/>
          <w:lang w:eastAsia="en-US"/>
        </w:rPr>
        <w:t>accounts</w:t>
      </w:r>
      <w:proofErr w:type="spellEnd"/>
      <w:r w:rsidR="00957D4C">
        <w:rPr>
          <w:rFonts w:eastAsia="Calibri"/>
          <w:lang w:eastAsia="en-US"/>
        </w:rPr>
        <w:t xml:space="preserve"> in </w:t>
      </w:r>
      <w:proofErr w:type="spellStart"/>
      <w:r w:rsidR="00957D4C">
        <w:rPr>
          <w:rFonts w:eastAsia="Calibri"/>
          <w:lang w:eastAsia="en-US"/>
        </w:rPr>
        <w:t>relation</w:t>
      </w:r>
      <w:proofErr w:type="spellEnd"/>
      <w:r w:rsidR="00957D4C">
        <w:rPr>
          <w:rFonts w:eastAsia="Calibri"/>
          <w:lang w:eastAsia="en-US"/>
        </w:rPr>
        <w:t xml:space="preserve"> to </w:t>
      </w:r>
      <w:r w:rsidR="00477CE6">
        <w:rPr>
          <w:rFonts w:eastAsia="Calibri"/>
          <w:lang w:eastAsia="en-US"/>
        </w:rPr>
        <w:t xml:space="preserve">a </w:t>
      </w:r>
      <w:proofErr w:type="spellStart"/>
      <w:r w:rsidR="00477CE6">
        <w:rPr>
          <w:rFonts w:eastAsia="Calibri"/>
          <w:lang w:eastAsia="en-US"/>
        </w:rPr>
        <w:t>particular</w:t>
      </w:r>
      <w:proofErr w:type="spellEnd"/>
      <w:r w:rsidR="00477CE6">
        <w:rPr>
          <w:rFonts w:eastAsia="Calibri"/>
          <w:lang w:eastAsia="en-US"/>
        </w:rPr>
        <w:t xml:space="preserve"> </w:t>
      </w:r>
      <w:proofErr w:type="spellStart"/>
      <w:r w:rsidR="00957D4C">
        <w:rPr>
          <w:rFonts w:eastAsia="Calibri"/>
          <w:lang w:eastAsia="en-US"/>
        </w:rPr>
        <w:t>accounting</w:t>
      </w:r>
      <w:proofErr w:type="spellEnd"/>
      <w:r w:rsidR="00957D4C">
        <w:rPr>
          <w:rFonts w:eastAsia="Calibri"/>
          <w:lang w:eastAsia="en-US"/>
        </w:rPr>
        <w:t xml:space="preserve"> </w:t>
      </w:r>
      <w:proofErr w:type="spellStart"/>
      <w:r w:rsidR="00957D4C">
        <w:rPr>
          <w:rFonts w:eastAsia="Calibri"/>
          <w:lang w:eastAsia="en-US"/>
        </w:rPr>
        <w:t>year</w:t>
      </w:r>
      <w:proofErr w:type="spellEnd"/>
      <w:r w:rsidR="00957D4C">
        <w:rPr>
          <w:rFonts w:eastAsia="Calibri"/>
          <w:lang w:eastAsia="en-US"/>
        </w:rPr>
        <w:t>,</w:t>
      </w:r>
      <w:r w:rsidR="0045374A">
        <w:rPr>
          <w:rFonts w:eastAsia="Calibri"/>
          <w:lang w:eastAsia="en-US"/>
        </w:rPr>
        <w:t xml:space="preserve"> </w:t>
      </w:r>
      <w:proofErr w:type="spellStart"/>
      <w:r>
        <w:rPr>
          <w:rFonts w:eastAsia="Calibri"/>
          <w:lang w:eastAsia="en-US"/>
        </w:rPr>
        <w:t>until</w:t>
      </w:r>
      <w:proofErr w:type="spellEnd"/>
      <w:r>
        <w:rPr>
          <w:rFonts w:eastAsia="Calibri"/>
          <w:lang w:eastAsia="en-US"/>
        </w:rPr>
        <w:t xml:space="preserve"> all </w:t>
      </w:r>
      <w:proofErr w:type="spellStart"/>
      <w:r w:rsidR="00477CE6">
        <w:rPr>
          <w:rFonts w:eastAsia="Calibri"/>
          <w:lang w:eastAsia="en-US"/>
        </w:rPr>
        <w:t>the</w:t>
      </w:r>
      <w:proofErr w:type="spellEnd"/>
      <w:r w:rsidR="00477CE6">
        <w:rPr>
          <w:rFonts w:eastAsia="Calibri"/>
          <w:lang w:eastAsia="en-US"/>
        </w:rPr>
        <w:t xml:space="preserve"> </w:t>
      </w:r>
      <w:proofErr w:type="spellStart"/>
      <w:r>
        <w:rPr>
          <w:rFonts w:eastAsia="Calibri"/>
          <w:lang w:eastAsia="en-US"/>
        </w:rPr>
        <w:t>verification</w:t>
      </w:r>
      <w:proofErr w:type="spellEnd"/>
      <w:r>
        <w:rPr>
          <w:rFonts w:eastAsia="Calibri"/>
          <w:lang w:eastAsia="en-US"/>
        </w:rPr>
        <w:t xml:space="preserve"> </w:t>
      </w:r>
      <w:proofErr w:type="spellStart"/>
      <w:r>
        <w:rPr>
          <w:rFonts w:eastAsia="Calibri"/>
          <w:lang w:eastAsia="en-US"/>
        </w:rPr>
        <w:t>work</w:t>
      </w:r>
      <w:proofErr w:type="spellEnd"/>
      <w:r>
        <w:rPr>
          <w:rFonts w:eastAsia="Calibri"/>
          <w:lang w:eastAsia="en-US"/>
        </w:rPr>
        <w:t xml:space="preserve"> has </w:t>
      </w:r>
      <w:proofErr w:type="spellStart"/>
      <w:r>
        <w:rPr>
          <w:rFonts w:eastAsia="Calibri"/>
          <w:lang w:eastAsia="en-US"/>
        </w:rPr>
        <w:t>been</w:t>
      </w:r>
      <w:proofErr w:type="spellEnd"/>
      <w:r>
        <w:rPr>
          <w:rFonts w:eastAsia="Calibri"/>
          <w:lang w:eastAsia="en-US"/>
        </w:rPr>
        <w:t xml:space="preserve"> </w:t>
      </w:r>
      <w:proofErr w:type="spellStart"/>
      <w:r>
        <w:rPr>
          <w:rFonts w:eastAsia="Calibri"/>
          <w:lang w:eastAsia="en-US"/>
        </w:rPr>
        <w:t>carried</w:t>
      </w:r>
      <w:proofErr w:type="spellEnd"/>
      <w:r>
        <w:rPr>
          <w:rFonts w:eastAsia="Calibri"/>
          <w:lang w:eastAsia="en-US"/>
        </w:rPr>
        <w:t xml:space="preserve"> </w:t>
      </w:r>
      <w:proofErr w:type="spellStart"/>
      <w:r>
        <w:rPr>
          <w:rFonts w:eastAsia="Calibri"/>
          <w:lang w:eastAsia="en-US"/>
        </w:rPr>
        <w:t>out</w:t>
      </w:r>
      <w:proofErr w:type="spellEnd"/>
      <w:r>
        <w:rPr>
          <w:rFonts w:eastAsia="Calibri"/>
          <w:lang w:eastAsia="en-US"/>
        </w:rPr>
        <w:t xml:space="preserve"> and </w:t>
      </w:r>
      <w:proofErr w:type="spellStart"/>
      <w:r w:rsidR="0045374A">
        <w:rPr>
          <w:rFonts w:eastAsia="Calibri"/>
          <w:lang w:eastAsia="en-US"/>
        </w:rPr>
        <w:t>pending</w:t>
      </w:r>
      <w:proofErr w:type="spellEnd"/>
      <w:r w:rsidR="0045374A">
        <w:rPr>
          <w:rFonts w:eastAsia="Calibri"/>
          <w:lang w:eastAsia="en-US"/>
        </w:rPr>
        <w:t xml:space="preserve"> </w:t>
      </w:r>
      <w:proofErr w:type="spellStart"/>
      <w:r w:rsidR="0045374A">
        <w:rPr>
          <w:rFonts w:eastAsia="Calibri"/>
          <w:lang w:eastAsia="en-US"/>
        </w:rPr>
        <w:t>conclusion</w:t>
      </w:r>
      <w:proofErr w:type="spellEnd"/>
      <w:r w:rsidR="0045374A">
        <w:rPr>
          <w:rFonts w:eastAsia="Calibri"/>
          <w:lang w:eastAsia="en-US"/>
        </w:rPr>
        <w:t xml:space="preserve"> of </w:t>
      </w:r>
      <w:proofErr w:type="spellStart"/>
      <w:r w:rsidR="0045374A">
        <w:rPr>
          <w:rFonts w:eastAsia="Calibri"/>
          <w:lang w:eastAsia="en-US"/>
        </w:rPr>
        <w:t>the</w:t>
      </w:r>
      <w:proofErr w:type="spellEnd"/>
      <w:r w:rsidR="0045374A">
        <w:rPr>
          <w:rFonts w:eastAsia="Calibri"/>
          <w:lang w:eastAsia="en-US"/>
        </w:rPr>
        <w:t xml:space="preserve"> assessment</w:t>
      </w:r>
      <w:r w:rsidR="00424C84">
        <w:rPr>
          <w:rFonts w:eastAsia="Calibri"/>
          <w:lang w:eastAsia="en-US"/>
        </w:rPr>
        <w:t xml:space="preserve">. </w:t>
      </w:r>
      <w:proofErr w:type="spellStart"/>
      <w:r w:rsidR="00982CEE">
        <w:rPr>
          <w:rFonts w:eastAsia="Calibri"/>
          <w:lang w:eastAsia="en-US"/>
        </w:rPr>
        <w:t>The</w:t>
      </w:r>
      <w:proofErr w:type="spellEnd"/>
      <w:r w:rsidR="00982CEE">
        <w:rPr>
          <w:rFonts w:eastAsia="Calibri"/>
          <w:lang w:eastAsia="en-US"/>
        </w:rPr>
        <w:t xml:space="preserve"> MA and AA are </w:t>
      </w:r>
      <w:proofErr w:type="spellStart"/>
      <w:r w:rsidR="00982CEE">
        <w:rPr>
          <w:rFonts w:eastAsia="Calibri"/>
          <w:lang w:eastAsia="en-US"/>
        </w:rPr>
        <w:t>kept</w:t>
      </w:r>
      <w:proofErr w:type="spellEnd"/>
      <w:r w:rsidR="00982CEE">
        <w:rPr>
          <w:rFonts w:eastAsia="Calibri"/>
          <w:lang w:eastAsia="en-US"/>
        </w:rPr>
        <w:t xml:space="preserve"> </w:t>
      </w:r>
      <w:proofErr w:type="spellStart"/>
      <w:r w:rsidR="00982CEE">
        <w:rPr>
          <w:rFonts w:eastAsia="Calibri"/>
          <w:lang w:eastAsia="en-US"/>
        </w:rPr>
        <w:t>informed</w:t>
      </w:r>
      <w:proofErr w:type="spellEnd"/>
      <w:r w:rsidR="00982CEE">
        <w:rPr>
          <w:rFonts w:eastAsia="Calibri"/>
          <w:lang w:eastAsia="en-US"/>
        </w:rPr>
        <w:t xml:space="preserve"> of such</w:t>
      </w:r>
      <w:r w:rsidR="002E2D71">
        <w:rPr>
          <w:rFonts w:eastAsia="Calibri"/>
          <w:lang w:eastAsia="en-US"/>
        </w:rPr>
        <w:t xml:space="preserve"> </w:t>
      </w:r>
      <w:proofErr w:type="spellStart"/>
      <w:r w:rsidR="002E2D71">
        <w:rPr>
          <w:rFonts w:eastAsia="Calibri"/>
          <w:lang w:eastAsia="en-US"/>
        </w:rPr>
        <w:t>exclusion</w:t>
      </w:r>
      <w:proofErr w:type="spellEnd"/>
      <w:r w:rsidR="00982CEE">
        <w:rPr>
          <w:rFonts w:eastAsia="Calibri"/>
          <w:lang w:eastAsia="en-US"/>
        </w:rPr>
        <w:t xml:space="preserve">, </w:t>
      </w:r>
      <w:proofErr w:type="spellStart"/>
      <w:r w:rsidR="00982CEE">
        <w:rPr>
          <w:rFonts w:eastAsia="Calibri"/>
          <w:lang w:eastAsia="en-US"/>
        </w:rPr>
        <w:t>that</w:t>
      </w:r>
      <w:proofErr w:type="spellEnd"/>
      <w:r w:rsidR="002E2D71">
        <w:rPr>
          <w:rFonts w:eastAsia="Calibri"/>
          <w:lang w:eastAsia="en-US"/>
        </w:rPr>
        <w:t xml:space="preserve"> </w:t>
      </w:r>
      <w:proofErr w:type="spellStart"/>
      <w:r w:rsidR="00957D4C">
        <w:rPr>
          <w:rFonts w:eastAsia="Calibri"/>
          <w:lang w:eastAsia="en-US"/>
        </w:rPr>
        <w:t>is</w:t>
      </w:r>
      <w:proofErr w:type="spellEnd"/>
      <w:r w:rsidR="00957D4C">
        <w:rPr>
          <w:rFonts w:eastAsia="Calibri"/>
          <w:lang w:eastAsia="en-US"/>
        </w:rPr>
        <w:t xml:space="preserve"> </w:t>
      </w:r>
      <w:proofErr w:type="spellStart"/>
      <w:r w:rsidR="00957D4C">
        <w:rPr>
          <w:rFonts w:eastAsia="Calibri"/>
          <w:lang w:eastAsia="en-US"/>
        </w:rPr>
        <w:t>indicat</w:t>
      </w:r>
      <w:r w:rsidR="00D068FE">
        <w:rPr>
          <w:rFonts w:eastAsia="Calibri"/>
          <w:lang w:eastAsia="en-US"/>
        </w:rPr>
        <w:t>e</w:t>
      </w:r>
      <w:r w:rsidR="00957D4C">
        <w:rPr>
          <w:rFonts w:eastAsia="Calibri"/>
          <w:lang w:eastAsia="en-US"/>
        </w:rPr>
        <w:t>d</w:t>
      </w:r>
      <w:proofErr w:type="spellEnd"/>
      <w:r w:rsidR="00957D4C">
        <w:rPr>
          <w:rFonts w:eastAsia="Calibri"/>
          <w:lang w:eastAsia="en-US"/>
        </w:rPr>
        <w:t xml:space="preserve"> </w:t>
      </w:r>
      <w:proofErr w:type="spellStart"/>
      <w:r w:rsidR="00957D4C">
        <w:rPr>
          <w:rFonts w:eastAsia="Calibri"/>
          <w:lang w:eastAsia="en-US"/>
        </w:rPr>
        <w:t>through</w:t>
      </w:r>
      <w:proofErr w:type="spellEnd"/>
      <w:r w:rsidR="002E2D71">
        <w:rPr>
          <w:rFonts w:eastAsia="Calibri"/>
          <w:lang w:eastAsia="en-US"/>
        </w:rPr>
        <w:t xml:space="preserve"> a comment in </w:t>
      </w:r>
      <w:proofErr w:type="spellStart"/>
      <w:r w:rsidR="002E2D71">
        <w:rPr>
          <w:rFonts w:eastAsia="Calibri"/>
          <w:lang w:eastAsia="en-US"/>
        </w:rPr>
        <w:t>the</w:t>
      </w:r>
      <w:proofErr w:type="spellEnd"/>
      <w:r w:rsidR="002E2D71">
        <w:rPr>
          <w:rFonts w:eastAsia="Calibri"/>
          <w:lang w:eastAsia="en-US"/>
        </w:rPr>
        <w:t xml:space="preserve"> </w:t>
      </w:r>
      <w:r w:rsidR="0067028F">
        <w:rPr>
          <w:rFonts w:eastAsia="Calibri"/>
          <w:lang w:eastAsia="en-US"/>
        </w:rPr>
        <w:t xml:space="preserve">table on </w:t>
      </w:r>
      <w:proofErr w:type="spellStart"/>
      <w:r w:rsidR="00982CEE">
        <w:rPr>
          <w:rFonts w:eastAsia="Calibri"/>
          <w:lang w:eastAsia="en-US"/>
        </w:rPr>
        <w:t>reconciliation</w:t>
      </w:r>
      <w:proofErr w:type="spellEnd"/>
      <w:r w:rsidR="00982CEE">
        <w:rPr>
          <w:rFonts w:eastAsia="Calibri"/>
          <w:lang w:eastAsia="en-US"/>
        </w:rPr>
        <w:t xml:space="preserve"> </w:t>
      </w:r>
      <w:r w:rsidR="0067028F">
        <w:rPr>
          <w:rFonts w:eastAsia="Calibri"/>
          <w:lang w:eastAsia="en-US"/>
        </w:rPr>
        <w:t xml:space="preserve">of </w:t>
      </w:r>
      <w:proofErr w:type="spellStart"/>
      <w:r w:rsidR="0067028F">
        <w:rPr>
          <w:rFonts w:eastAsia="Calibri"/>
          <w:lang w:eastAsia="en-US"/>
        </w:rPr>
        <w:t>expenditure</w:t>
      </w:r>
      <w:proofErr w:type="spellEnd"/>
      <w:r w:rsidR="0067028F">
        <w:rPr>
          <w:rFonts w:eastAsia="Calibri"/>
          <w:lang w:eastAsia="en-US"/>
        </w:rPr>
        <w:t xml:space="preserve"> </w:t>
      </w:r>
      <w:r w:rsidR="00982CEE">
        <w:rPr>
          <w:rFonts w:eastAsia="Calibri"/>
          <w:lang w:eastAsia="en-US"/>
        </w:rPr>
        <w:t xml:space="preserve">in </w:t>
      </w:r>
      <w:proofErr w:type="spellStart"/>
      <w:r w:rsidR="00982CEE">
        <w:rPr>
          <w:rFonts w:eastAsia="Calibri"/>
          <w:lang w:eastAsia="en-US"/>
        </w:rPr>
        <w:t>the</w:t>
      </w:r>
      <w:proofErr w:type="spellEnd"/>
      <w:r w:rsidR="00982CEE">
        <w:rPr>
          <w:rFonts w:eastAsia="Calibri"/>
          <w:lang w:eastAsia="en-US"/>
        </w:rPr>
        <w:t xml:space="preserve"> </w:t>
      </w:r>
      <w:proofErr w:type="spellStart"/>
      <w:r w:rsidR="002E2D71">
        <w:rPr>
          <w:rFonts w:eastAsia="Calibri"/>
          <w:lang w:eastAsia="en-US"/>
        </w:rPr>
        <w:t>accounts</w:t>
      </w:r>
      <w:proofErr w:type="spellEnd"/>
      <w:r w:rsidR="002E2D71">
        <w:rPr>
          <w:rFonts w:eastAsia="Calibri"/>
          <w:lang w:eastAsia="en-US"/>
        </w:rPr>
        <w:t xml:space="preserve"> (</w:t>
      </w:r>
      <w:proofErr w:type="spellStart"/>
      <w:r w:rsidR="002E2D71">
        <w:rPr>
          <w:rFonts w:eastAsia="Calibri"/>
          <w:lang w:eastAsia="en-US"/>
        </w:rPr>
        <w:t>a</w:t>
      </w:r>
      <w:r w:rsidR="0067028F">
        <w:rPr>
          <w:rFonts w:eastAsia="Calibri"/>
          <w:lang w:eastAsia="en-US"/>
        </w:rPr>
        <w:t>ppendix</w:t>
      </w:r>
      <w:proofErr w:type="spellEnd"/>
      <w:r w:rsidR="002E2D71">
        <w:rPr>
          <w:rFonts w:eastAsia="Calibri"/>
          <w:lang w:eastAsia="en-US"/>
        </w:rPr>
        <w:t xml:space="preserve"> 8</w:t>
      </w:r>
      <w:r w:rsidR="00982CEE">
        <w:rPr>
          <w:rFonts w:eastAsia="Calibri"/>
          <w:lang w:eastAsia="en-US"/>
        </w:rPr>
        <w:t xml:space="preserve">, </w:t>
      </w:r>
      <w:proofErr w:type="spellStart"/>
      <w:r w:rsidR="00982CEE">
        <w:rPr>
          <w:rFonts w:eastAsia="Calibri"/>
          <w:lang w:eastAsia="en-US"/>
        </w:rPr>
        <w:t>cf</w:t>
      </w:r>
      <w:proofErr w:type="spellEnd"/>
      <w:r w:rsidR="00982CEE">
        <w:rPr>
          <w:rFonts w:eastAsia="Calibri"/>
          <w:lang w:eastAsia="en-US"/>
        </w:rPr>
        <w:t xml:space="preserve">. </w:t>
      </w:r>
      <w:r w:rsidR="002E2D71" w:rsidRPr="00692CA3">
        <w:rPr>
          <w:lang w:val="en-GB" w:eastAsia="en-GB"/>
        </w:rPr>
        <w:t xml:space="preserve">the guidance note </w:t>
      </w:r>
      <w:r w:rsidR="002E2D71" w:rsidRPr="00652091">
        <w:rPr>
          <w:lang w:val="en-GB" w:eastAsia="en-GB"/>
        </w:rPr>
        <w:t>on the accounts</w:t>
      </w:r>
      <w:r w:rsidR="002E2D71">
        <w:rPr>
          <w:lang w:val="en-GB" w:eastAsia="en-GB"/>
        </w:rPr>
        <w:t xml:space="preserve"> E</w:t>
      </w:r>
      <w:r w:rsidR="00B11A77">
        <w:rPr>
          <w:lang w:val="en-GB" w:eastAsia="en-GB"/>
        </w:rPr>
        <w:t>GESIF</w:t>
      </w:r>
      <w:r w:rsidR="002E2D71">
        <w:rPr>
          <w:lang w:val="en-GB" w:eastAsia="en-GB"/>
        </w:rPr>
        <w:t xml:space="preserve"> </w:t>
      </w:r>
      <w:proofErr w:type="gramStart"/>
      <w:r w:rsidR="002E2D71">
        <w:rPr>
          <w:lang w:val="en-GB" w:eastAsia="en-GB"/>
        </w:rPr>
        <w:t>XX.XXX</w:t>
      </w:r>
      <w:proofErr w:type="gramEnd"/>
      <w:r w:rsidR="002E2D71">
        <w:rPr>
          <w:lang w:val="en-GB" w:eastAsia="en-GB"/>
        </w:rPr>
        <w:t>, section xx).</w:t>
      </w:r>
      <w:r w:rsidR="00477CE6">
        <w:rPr>
          <w:lang w:val="en-GB" w:eastAsia="en-GB"/>
        </w:rPr>
        <w:t xml:space="preserve"> </w:t>
      </w:r>
      <w:r w:rsidR="00B00019">
        <w:rPr>
          <w:rFonts w:eastAsia="Calibri"/>
          <w:lang w:val="en-US" w:eastAsia="en-US"/>
        </w:rPr>
        <w:t>I</w:t>
      </w:r>
      <w:r w:rsidR="0069334A" w:rsidRPr="0069334A">
        <w:rPr>
          <w:rFonts w:eastAsia="Calibri"/>
          <w:lang w:val="en-US" w:eastAsia="en-US"/>
        </w:rPr>
        <w:t xml:space="preserve">f the amounts </w:t>
      </w:r>
      <w:r w:rsidR="00B00019">
        <w:rPr>
          <w:rFonts w:eastAsia="Calibri"/>
          <w:lang w:val="en-US" w:eastAsia="en-US"/>
        </w:rPr>
        <w:t xml:space="preserve">provisionally excluded </w:t>
      </w:r>
      <w:r w:rsidR="0069334A" w:rsidRPr="0069334A">
        <w:rPr>
          <w:rFonts w:eastAsia="Calibri"/>
          <w:lang w:val="en-US" w:eastAsia="en-US"/>
        </w:rPr>
        <w:t>are found to be eligible</w:t>
      </w:r>
      <w:r w:rsidR="00B00019">
        <w:rPr>
          <w:rFonts w:eastAsia="Calibri"/>
          <w:lang w:val="en-US" w:eastAsia="en-US"/>
        </w:rPr>
        <w:t xml:space="preserve"> after the submission of the accounts for </w:t>
      </w:r>
      <w:r w:rsidR="00F0732D">
        <w:rPr>
          <w:rFonts w:eastAsia="Calibri"/>
          <w:lang w:val="en-US" w:eastAsia="en-US"/>
        </w:rPr>
        <w:t xml:space="preserve">an </w:t>
      </w:r>
      <w:r w:rsidR="00B00019">
        <w:rPr>
          <w:rFonts w:eastAsia="Calibri"/>
          <w:lang w:val="en-US" w:eastAsia="en-US"/>
        </w:rPr>
        <w:t>accounting year</w:t>
      </w:r>
      <w:r w:rsidR="0069334A" w:rsidRPr="0069334A">
        <w:rPr>
          <w:rFonts w:eastAsia="Calibri"/>
          <w:lang w:val="en-US" w:eastAsia="en-US"/>
        </w:rPr>
        <w:t>, they may be included in a</w:t>
      </w:r>
      <w:r>
        <w:rPr>
          <w:rFonts w:eastAsia="Calibri"/>
          <w:lang w:val="en-US" w:eastAsia="en-US"/>
        </w:rPr>
        <w:t xml:space="preserve"> subseque</w:t>
      </w:r>
      <w:r w:rsidR="0069334A" w:rsidRPr="0069334A">
        <w:rPr>
          <w:rFonts w:eastAsia="Calibri"/>
          <w:lang w:val="en-US" w:eastAsia="en-US"/>
        </w:rPr>
        <w:t>n</w:t>
      </w:r>
      <w:r>
        <w:rPr>
          <w:rFonts w:eastAsia="Calibri"/>
          <w:lang w:val="en-US" w:eastAsia="en-US"/>
        </w:rPr>
        <w:t>t</w:t>
      </w:r>
      <w:r w:rsidR="0069334A" w:rsidRPr="0069334A">
        <w:rPr>
          <w:rFonts w:eastAsia="Calibri"/>
          <w:lang w:val="en-US" w:eastAsia="en-US"/>
        </w:rPr>
        <w:t xml:space="preserve"> application for interim payment </w:t>
      </w:r>
      <w:r>
        <w:rPr>
          <w:rFonts w:eastAsia="Calibri"/>
          <w:lang w:val="en-US" w:eastAsia="en-US"/>
        </w:rPr>
        <w:t>o</w:t>
      </w:r>
      <w:r w:rsidR="00370DA5">
        <w:rPr>
          <w:rFonts w:eastAsia="Calibri"/>
          <w:lang w:val="en-US" w:eastAsia="en-US"/>
        </w:rPr>
        <w:t>f</w:t>
      </w:r>
      <w:r>
        <w:rPr>
          <w:rFonts w:eastAsia="Calibri"/>
          <w:lang w:val="en-US" w:eastAsia="en-US"/>
        </w:rPr>
        <w:t xml:space="preserve"> the following</w:t>
      </w:r>
      <w:r w:rsidR="0069334A" w:rsidRPr="0069334A">
        <w:rPr>
          <w:rFonts w:eastAsia="Calibri"/>
          <w:lang w:val="en-US" w:eastAsia="en-US"/>
        </w:rPr>
        <w:t xml:space="preserve"> accounting year</w:t>
      </w:r>
      <w:r w:rsidR="002E2D71">
        <w:rPr>
          <w:rFonts w:eastAsia="Calibri"/>
          <w:lang w:val="en-US" w:eastAsia="en-US"/>
        </w:rPr>
        <w:t>, in line with</w:t>
      </w:r>
      <w:r w:rsidR="00E24776">
        <w:rPr>
          <w:rFonts w:eastAsia="Calibri"/>
          <w:lang w:val="en-US" w:eastAsia="en-US"/>
        </w:rPr>
        <w:t xml:space="preserve"> </w:t>
      </w:r>
      <w:r w:rsidR="0069334A" w:rsidRPr="0069334A">
        <w:rPr>
          <w:rFonts w:eastAsia="Calibri"/>
          <w:lang w:val="en-US" w:eastAsia="en-US"/>
        </w:rPr>
        <w:t>Article 137(2)</w:t>
      </w:r>
      <w:r w:rsidR="00EB0F58">
        <w:rPr>
          <w:rFonts w:eastAsia="Calibri"/>
          <w:lang w:val="en-US" w:eastAsia="en-US"/>
        </w:rPr>
        <w:t xml:space="preserve"> CPR</w:t>
      </w:r>
      <w:r w:rsidR="00B00019">
        <w:rPr>
          <w:rFonts w:eastAsia="Calibri"/>
          <w:lang w:val="en-US" w:eastAsia="en-US"/>
        </w:rPr>
        <w:t>.</w:t>
      </w:r>
    </w:p>
    <w:p w:rsidR="00982CEE" w:rsidRDefault="00982CEE" w:rsidP="00B00019">
      <w:pPr>
        <w:jc w:val="both"/>
        <w:rPr>
          <w:rFonts w:eastAsia="Calibri"/>
          <w:lang w:val="en-US" w:eastAsia="en-US"/>
        </w:rPr>
      </w:pPr>
    </w:p>
    <w:p w:rsidR="000D3D8E" w:rsidRPr="00EB0F58" w:rsidRDefault="00C533DD" w:rsidP="00AA4CCA">
      <w:pPr>
        <w:pStyle w:val="Heading2"/>
        <w:spacing w:after="240"/>
        <w:ind w:left="709"/>
        <w:jc w:val="both"/>
        <w:rPr>
          <w:rFonts w:ascii="Times New Roman" w:hAnsi="Times New Roman" w:cs="Times New Roman"/>
          <w:i w:val="0"/>
          <w:sz w:val="24"/>
          <w:szCs w:val="24"/>
          <w:lang w:val="en"/>
        </w:rPr>
      </w:pPr>
      <w:bookmarkStart w:id="34" w:name="_Toc420863617"/>
      <w:bookmarkStart w:id="35" w:name="_Toc411489384"/>
      <w:r>
        <w:rPr>
          <w:rFonts w:ascii="Times New Roman" w:hAnsi="Times New Roman" w:cs="Times New Roman"/>
          <w:i w:val="0"/>
          <w:sz w:val="24"/>
          <w:szCs w:val="24"/>
          <w:lang w:val="en"/>
        </w:rPr>
        <w:t>1</w:t>
      </w:r>
      <w:r w:rsidR="000D3D8E" w:rsidRPr="00EB0F58">
        <w:rPr>
          <w:rFonts w:ascii="Times New Roman" w:hAnsi="Times New Roman" w:cs="Times New Roman"/>
          <w:i w:val="0"/>
          <w:sz w:val="24"/>
          <w:szCs w:val="24"/>
          <w:lang w:val="en"/>
        </w:rPr>
        <w:t>.</w:t>
      </w:r>
      <w:r w:rsidR="00C86EEA">
        <w:rPr>
          <w:rFonts w:ascii="Times New Roman" w:hAnsi="Times New Roman" w:cs="Times New Roman"/>
          <w:i w:val="0"/>
          <w:sz w:val="24"/>
          <w:szCs w:val="24"/>
          <w:lang w:val="en"/>
        </w:rPr>
        <w:t>4</w:t>
      </w:r>
      <w:r w:rsidR="000D3D8E" w:rsidRPr="00EB0F58">
        <w:rPr>
          <w:rFonts w:ascii="Times New Roman" w:hAnsi="Times New Roman" w:cs="Times New Roman"/>
          <w:i w:val="0"/>
          <w:sz w:val="24"/>
          <w:szCs w:val="24"/>
          <w:lang w:val="en"/>
        </w:rPr>
        <w:t xml:space="preserve"> </w:t>
      </w:r>
      <w:r>
        <w:rPr>
          <w:rFonts w:ascii="Times New Roman" w:hAnsi="Times New Roman" w:cs="Times New Roman"/>
          <w:i w:val="0"/>
          <w:sz w:val="24"/>
          <w:szCs w:val="24"/>
          <w:lang w:val="en"/>
        </w:rPr>
        <w:t>D</w:t>
      </w:r>
      <w:r w:rsidR="000D3D8E" w:rsidRPr="00EB0F58">
        <w:rPr>
          <w:rFonts w:ascii="Times New Roman" w:hAnsi="Times New Roman" w:cs="Times New Roman"/>
          <w:i w:val="0"/>
          <w:sz w:val="24"/>
          <w:szCs w:val="24"/>
          <w:lang w:val="en"/>
        </w:rPr>
        <w:t>ata relating to indicators</w:t>
      </w:r>
      <w:r w:rsidR="009E129F">
        <w:rPr>
          <w:rFonts w:ascii="Times New Roman" w:hAnsi="Times New Roman" w:cs="Times New Roman"/>
          <w:i w:val="0"/>
          <w:sz w:val="24"/>
          <w:szCs w:val="24"/>
          <w:lang w:val="en"/>
        </w:rPr>
        <w:t>,</w:t>
      </w:r>
      <w:r w:rsidR="00784F42" w:rsidRPr="00EB0F58">
        <w:rPr>
          <w:rFonts w:ascii="Times New Roman" w:hAnsi="Times New Roman" w:cs="Times New Roman"/>
          <w:i w:val="0"/>
          <w:sz w:val="24"/>
          <w:szCs w:val="24"/>
          <w:lang w:val="en"/>
        </w:rPr>
        <w:t xml:space="preserve"> </w:t>
      </w:r>
      <w:r w:rsidR="000D3D8E" w:rsidRPr="00EB0F58">
        <w:rPr>
          <w:rFonts w:ascii="Times New Roman" w:hAnsi="Times New Roman" w:cs="Times New Roman"/>
          <w:i w:val="0"/>
          <w:sz w:val="24"/>
          <w:szCs w:val="24"/>
          <w:lang w:val="en"/>
        </w:rPr>
        <w:t xml:space="preserve">milestones </w:t>
      </w:r>
      <w:r w:rsidR="009E129F">
        <w:rPr>
          <w:rFonts w:ascii="Times New Roman" w:hAnsi="Times New Roman" w:cs="Times New Roman"/>
          <w:i w:val="0"/>
          <w:sz w:val="24"/>
          <w:szCs w:val="24"/>
          <w:lang w:val="en"/>
        </w:rPr>
        <w:t>and the progress of the operational programme required under Article 125(2</w:t>
      </w:r>
      <w:proofErr w:type="gramStart"/>
      <w:r w:rsidR="009E129F">
        <w:rPr>
          <w:rFonts w:ascii="Times New Roman" w:hAnsi="Times New Roman" w:cs="Times New Roman"/>
          <w:i w:val="0"/>
          <w:sz w:val="24"/>
          <w:szCs w:val="24"/>
          <w:lang w:val="en"/>
        </w:rPr>
        <w:t>)(</w:t>
      </w:r>
      <w:proofErr w:type="gramEnd"/>
      <w:r w:rsidR="009E129F">
        <w:rPr>
          <w:rFonts w:ascii="Times New Roman" w:hAnsi="Times New Roman" w:cs="Times New Roman"/>
          <w:i w:val="0"/>
          <w:sz w:val="24"/>
          <w:szCs w:val="24"/>
          <w:lang w:val="en"/>
        </w:rPr>
        <w:t xml:space="preserve">a) is </w:t>
      </w:r>
      <w:r w:rsidR="00784F42" w:rsidRPr="00EB0F58">
        <w:rPr>
          <w:rFonts w:ascii="Times New Roman" w:hAnsi="Times New Roman" w:cs="Times New Roman"/>
          <w:i w:val="0"/>
          <w:sz w:val="24"/>
          <w:szCs w:val="24"/>
          <w:lang w:val="en"/>
        </w:rPr>
        <w:t>reliable</w:t>
      </w:r>
      <w:bookmarkEnd w:id="34"/>
      <w:r w:rsidR="00784F42" w:rsidRPr="00EB0F58">
        <w:rPr>
          <w:rFonts w:ascii="Times New Roman" w:hAnsi="Times New Roman" w:cs="Times New Roman"/>
          <w:i w:val="0"/>
          <w:sz w:val="24"/>
          <w:szCs w:val="24"/>
          <w:lang w:val="en"/>
        </w:rPr>
        <w:t xml:space="preserve"> </w:t>
      </w:r>
      <w:bookmarkEnd w:id="35"/>
      <w:r w:rsidR="000D3D8E" w:rsidRPr="00EB0F58">
        <w:rPr>
          <w:rFonts w:ascii="Times New Roman" w:hAnsi="Times New Roman" w:cs="Times New Roman"/>
          <w:i w:val="0"/>
          <w:sz w:val="24"/>
          <w:szCs w:val="24"/>
          <w:lang w:val="en"/>
        </w:rPr>
        <w:t xml:space="preserve"> </w:t>
      </w:r>
    </w:p>
    <w:p w:rsidR="008F191C" w:rsidRDefault="008E0E2A" w:rsidP="0045374A">
      <w:pPr>
        <w:autoSpaceDE w:val="0"/>
        <w:autoSpaceDN w:val="0"/>
        <w:adjustRightInd w:val="0"/>
        <w:jc w:val="both"/>
        <w:rPr>
          <w:lang w:val="en-GB"/>
        </w:rPr>
      </w:pPr>
      <w:r>
        <w:rPr>
          <w:lang w:val="en-GB" w:eastAsia="en-GB"/>
        </w:rPr>
        <w:t xml:space="preserve">The MA is able </w:t>
      </w:r>
      <w:r w:rsidR="0045374A">
        <w:rPr>
          <w:lang w:val="en-GB" w:eastAsia="en-GB"/>
        </w:rPr>
        <w:t xml:space="preserve">to provide confirmation on the reliability of the </w:t>
      </w:r>
      <w:r w:rsidR="00D068FE">
        <w:rPr>
          <w:lang w:val="en-GB" w:eastAsia="en-GB"/>
        </w:rPr>
        <w:t xml:space="preserve">data relating to </w:t>
      </w:r>
      <w:r w:rsidR="0045374A">
        <w:rPr>
          <w:lang w:val="en-GB" w:eastAsia="en-GB"/>
        </w:rPr>
        <w:t>indicators</w:t>
      </w:r>
      <w:r w:rsidR="00AF1AE8">
        <w:rPr>
          <w:lang w:val="en-GB" w:eastAsia="en-GB"/>
        </w:rPr>
        <w:t>,</w:t>
      </w:r>
      <w:r w:rsidR="0045374A">
        <w:rPr>
          <w:lang w:val="en-GB" w:eastAsia="en-GB"/>
        </w:rPr>
        <w:t xml:space="preserve"> milestones</w:t>
      </w:r>
      <w:r w:rsidR="00AF1AE8">
        <w:rPr>
          <w:lang w:val="en-GB" w:eastAsia="en-GB"/>
        </w:rPr>
        <w:t xml:space="preserve"> and the progress of the operational programme</w:t>
      </w:r>
      <w:r w:rsidR="005B0D23" w:rsidRPr="005B0D23">
        <w:rPr>
          <w:lang w:val="en-GB" w:eastAsia="en-GB"/>
        </w:rPr>
        <w:t xml:space="preserve"> </w:t>
      </w:r>
      <w:r w:rsidR="005B0D23">
        <w:rPr>
          <w:lang w:val="en-GB" w:eastAsia="en-GB"/>
        </w:rPr>
        <w:t xml:space="preserve">(common and programme-specific indicators as well </w:t>
      </w:r>
      <w:proofErr w:type="gramStart"/>
      <w:r w:rsidR="005B0D23">
        <w:rPr>
          <w:lang w:val="en-GB" w:eastAsia="en-GB"/>
        </w:rPr>
        <w:t>as  the</w:t>
      </w:r>
      <w:proofErr w:type="gramEnd"/>
      <w:r w:rsidR="005B0D23">
        <w:rPr>
          <w:lang w:val="en-GB" w:eastAsia="en-GB"/>
        </w:rPr>
        <w:t xml:space="preserve"> financial data related to the operational programme)</w:t>
      </w:r>
      <w:r w:rsidR="0045374A">
        <w:rPr>
          <w:lang w:val="en-GB" w:eastAsia="en-GB"/>
        </w:rPr>
        <w:t xml:space="preserve"> </w:t>
      </w:r>
      <w:r>
        <w:rPr>
          <w:lang w:val="en-GB" w:eastAsia="en-GB"/>
        </w:rPr>
        <w:t xml:space="preserve">when it has </w:t>
      </w:r>
      <w:r w:rsidR="0045374A">
        <w:rPr>
          <w:lang w:val="en-GB" w:eastAsia="en-GB"/>
        </w:rPr>
        <w:t xml:space="preserve">in place an </w:t>
      </w:r>
      <w:r>
        <w:rPr>
          <w:lang w:val="en-GB" w:eastAsia="en-GB"/>
        </w:rPr>
        <w:t>effective</w:t>
      </w:r>
      <w:r w:rsidR="0045374A">
        <w:rPr>
          <w:lang w:val="en-GB" w:eastAsia="en-GB"/>
        </w:rPr>
        <w:t xml:space="preserve"> </w:t>
      </w:r>
      <w:r w:rsidR="00AF1AE8">
        <w:rPr>
          <w:lang w:val="en-GB" w:eastAsia="en-GB"/>
        </w:rPr>
        <w:t xml:space="preserve">computerised </w:t>
      </w:r>
      <w:r w:rsidR="0045374A">
        <w:rPr>
          <w:lang w:val="en-GB" w:eastAsia="en-GB"/>
        </w:rPr>
        <w:t xml:space="preserve">system to </w:t>
      </w:r>
      <w:r w:rsidR="00AF1AE8" w:rsidRPr="00C07C9A">
        <w:rPr>
          <w:lang w:val="en-GB"/>
        </w:rPr>
        <w:t>collect, record and store</w:t>
      </w:r>
      <w:r w:rsidR="00AF1AE8">
        <w:rPr>
          <w:lang w:val="en-GB"/>
        </w:rPr>
        <w:t xml:space="preserve"> data </w:t>
      </w:r>
      <w:r w:rsidR="00AF1AE8" w:rsidRPr="00C07C9A">
        <w:rPr>
          <w:lang w:val="en-GB"/>
        </w:rPr>
        <w:t>on each operation</w:t>
      </w:r>
      <w:r w:rsidR="008F191C">
        <w:rPr>
          <w:lang w:val="en-GB"/>
        </w:rPr>
        <w:t>,</w:t>
      </w:r>
      <w:r w:rsidR="00AF1AE8" w:rsidRPr="00C07C9A">
        <w:rPr>
          <w:lang w:val="en-GB"/>
        </w:rPr>
        <w:t xml:space="preserve"> </w:t>
      </w:r>
      <w:r w:rsidR="00AF1AE8">
        <w:rPr>
          <w:lang w:val="en-GB"/>
        </w:rPr>
        <w:t xml:space="preserve">as indicated in section </w:t>
      </w:r>
      <w:r>
        <w:rPr>
          <w:lang w:val="en-GB"/>
        </w:rPr>
        <w:t>1.</w:t>
      </w:r>
      <w:r w:rsidR="00AF1AE8">
        <w:rPr>
          <w:lang w:val="en-GB"/>
        </w:rPr>
        <w:t>1.3 above.</w:t>
      </w:r>
      <w:r w:rsidR="00753DBF">
        <w:rPr>
          <w:lang w:val="en-GB"/>
        </w:rPr>
        <w:t xml:space="preserve"> The </w:t>
      </w:r>
      <w:r>
        <w:rPr>
          <w:lang w:val="en-GB"/>
        </w:rPr>
        <w:t xml:space="preserve">MA has satisfied itself that </w:t>
      </w:r>
      <w:r w:rsidR="00A5022B">
        <w:rPr>
          <w:lang w:val="en-GB"/>
        </w:rPr>
        <w:t xml:space="preserve">the </w:t>
      </w:r>
      <w:r w:rsidR="00753DBF">
        <w:rPr>
          <w:lang w:val="en-GB"/>
        </w:rPr>
        <w:t xml:space="preserve">procedures </w:t>
      </w:r>
      <w:r>
        <w:rPr>
          <w:lang w:val="en-GB"/>
        </w:rPr>
        <w:t>set-</w:t>
      </w:r>
      <w:proofErr w:type="gramStart"/>
      <w:r>
        <w:rPr>
          <w:lang w:val="en-GB"/>
        </w:rPr>
        <w:t xml:space="preserve">out </w:t>
      </w:r>
      <w:r w:rsidR="00565030">
        <w:rPr>
          <w:lang w:val="en-GB"/>
        </w:rPr>
        <w:t xml:space="preserve"> in</w:t>
      </w:r>
      <w:proofErr w:type="gramEnd"/>
      <w:r w:rsidR="00565030">
        <w:rPr>
          <w:lang w:val="en-GB"/>
        </w:rPr>
        <w:t xml:space="preserve"> line with internationally accepted standards</w:t>
      </w:r>
      <w:r>
        <w:rPr>
          <w:lang w:val="en-GB"/>
        </w:rPr>
        <w:t xml:space="preserve"> effectively functioned to ensure the system security</w:t>
      </w:r>
      <w:r w:rsidR="00565030">
        <w:rPr>
          <w:lang w:val="en-GB"/>
        </w:rPr>
        <w:t>.</w:t>
      </w:r>
      <w:r w:rsidR="00AF1AE8">
        <w:rPr>
          <w:lang w:val="en-GB"/>
        </w:rPr>
        <w:t xml:space="preserve"> </w:t>
      </w:r>
    </w:p>
    <w:p w:rsidR="008F191C" w:rsidRDefault="008F191C" w:rsidP="00B11A77">
      <w:pPr>
        <w:autoSpaceDE w:val="0"/>
        <w:autoSpaceDN w:val="0"/>
        <w:adjustRightInd w:val="0"/>
        <w:jc w:val="both"/>
        <w:rPr>
          <w:lang w:val="en-GB" w:eastAsia="en-GB"/>
        </w:rPr>
      </w:pPr>
    </w:p>
    <w:p w:rsidR="004905B4" w:rsidRPr="00FD2FF4" w:rsidRDefault="006030BE" w:rsidP="00B11A77">
      <w:pPr>
        <w:spacing w:after="120"/>
        <w:jc w:val="both"/>
        <w:rPr>
          <w:lang w:val="en-GB" w:eastAsia="en-GB"/>
        </w:rPr>
      </w:pPr>
      <w:r>
        <w:rPr>
          <w:lang w:val="en-GB" w:eastAsia="en-GB"/>
        </w:rPr>
        <w:t>Moreover, t</w:t>
      </w:r>
      <w:r w:rsidR="008F191C">
        <w:rPr>
          <w:lang w:val="en-GB" w:eastAsia="en-GB"/>
        </w:rPr>
        <w:t xml:space="preserve">he </w:t>
      </w:r>
      <w:r w:rsidR="008E0E2A">
        <w:rPr>
          <w:lang w:val="en-GB" w:eastAsia="en-GB"/>
        </w:rPr>
        <w:t>MA has satisfied itself</w:t>
      </w:r>
      <w:r w:rsidR="005B0D23">
        <w:rPr>
          <w:lang w:val="en-GB" w:eastAsia="en-GB"/>
        </w:rPr>
        <w:t xml:space="preserve"> through its procedures, instructions and verifications </w:t>
      </w:r>
      <w:r w:rsidR="008F191C">
        <w:rPr>
          <w:lang w:val="en-GB" w:eastAsia="en-GB"/>
        </w:rPr>
        <w:t xml:space="preserve">that detailed accounting records and supporting documents </w:t>
      </w:r>
      <w:r w:rsidR="005B0D23">
        <w:rPr>
          <w:lang w:val="en-GB" w:eastAsia="en-GB"/>
        </w:rPr>
        <w:t xml:space="preserve">are kept at the appropriate management level </w:t>
      </w:r>
      <w:r w:rsidR="008F191C">
        <w:rPr>
          <w:lang w:val="en-GB" w:eastAsia="en-GB"/>
        </w:rPr>
        <w:t>for each operation</w:t>
      </w:r>
      <w:r w:rsidR="001B39C3">
        <w:rPr>
          <w:lang w:val="en-GB" w:eastAsia="en-GB"/>
        </w:rPr>
        <w:t xml:space="preserve">, </w:t>
      </w:r>
      <w:r w:rsidR="005B0D23">
        <w:rPr>
          <w:lang w:val="en-GB" w:eastAsia="en-GB"/>
        </w:rPr>
        <w:t>thus ensuring</w:t>
      </w:r>
      <w:r w:rsidR="001B39C3">
        <w:rPr>
          <w:lang w:val="en-GB" w:eastAsia="en-GB"/>
        </w:rPr>
        <w:t xml:space="preserve"> an adequate audit trail. </w:t>
      </w:r>
      <w:r>
        <w:rPr>
          <w:lang w:val="en-GB" w:eastAsia="en-GB"/>
        </w:rPr>
        <w:t>Finally, t</w:t>
      </w:r>
      <w:r w:rsidR="00FD2FF4" w:rsidRPr="00AA4CCA">
        <w:rPr>
          <w:rFonts w:cs="EUAlbertina"/>
          <w:color w:val="000000"/>
        </w:rPr>
        <w:t xml:space="preserve">he MA </w:t>
      </w:r>
      <w:r w:rsidR="005B0D23">
        <w:rPr>
          <w:rFonts w:cs="EUAlbertina"/>
          <w:color w:val="000000"/>
        </w:rPr>
        <w:t xml:space="preserve">has </w:t>
      </w:r>
      <w:proofErr w:type="spellStart"/>
      <w:r w:rsidR="00FD2FF4" w:rsidRPr="00AA4CCA">
        <w:rPr>
          <w:rFonts w:cs="EUAlbertina"/>
          <w:color w:val="000000"/>
        </w:rPr>
        <w:t>also</w:t>
      </w:r>
      <w:proofErr w:type="spellEnd"/>
      <w:r w:rsidR="00FD2FF4" w:rsidRPr="00AA4CCA">
        <w:rPr>
          <w:rFonts w:cs="EUAlbertina"/>
          <w:color w:val="000000"/>
        </w:rPr>
        <w:t xml:space="preserve"> </w:t>
      </w:r>
      <w:proofErr w:type="spellStart"/>
      <w:r w:rsidR="00FD2FF4" w:rsidRPr="00AA4CCA">
        <w:rPr>
          <w:rFonts w:cs="EUAlbertina"/>
          <w:color w:val="000000"/>
        </w:rPr>
        <w:t>take</w:t>
      </w:r>
      <w:r w:rsidR="005B0D23">
        <w:rPr>
          <w:rFonts w:cs="EUAlbertina"/>
          <w:color w:val="000000"/>
        </w:rPr>
        <w:t>n</w:t>
      </w:r>
      <w:proofErr w:type="spellEnd"/>
      <w:r w:rsidR="00FD2FF4" w:rsidRPr="00AA4CCA">
        <w:rPr>
          <w:rFonts w:cs="EUAlbertina"/>
          <w:color w:val="000000"/>
        </w:rPr>
        <w:t xml:space="preserve"> </w:t>
      </w:r>
      <w:proofErr w:type="spellStart"/>
      <w:r w:rsidR="00FD2FF4" w:rsidRPr="00AA4CCA">
        <w:rPr>
          <w:rFonts w:cs="EUAlbertina"/>
          <w:color w:val="000000"/>
        </w:rPr>
        <w:t>into</w:t>
      </w:r>
      <w:proofErr w:type="spellEnd"/>
      <w:r w:rsidR="00FD2FF4" w:rsidRPr="00AA4CCA">
        <w:rPr>
          <w:rFonts w:cs="EUAlbertina"/>
          <w:color w:val="000000"/>
        </w:rPr>
        <w:t xml:space="preserve"> </w:t>
      </w:r>
      <w:proofErr w:type="spellStart"/>
      <w:r w:rsidR="00FD2FF4" w:rsidRPr="00AA4CCA">
        <w:rPr>
          <w:rFonts w:cs="EUAlbertina"/>
          <w:color w:val="000000"/>
        </w:rPr>
        <w:t>accounts</w:t>
      </w:r>
      <w:proofErr w:type="spellEnd"/>
      <w:r w:rsidR="00FD2FF4" w:rsidRPr="00AA4CCA">
        <w:rPr>
          <w:rFonts w:cs="EUAlbertina"/>
          <w:color w:val="000000"/>
        </w:rPr>
        <w:t xml:space="preserve"> </w:t>
      </w:r>
      <w:proofErr w:type="spellStart"/>
      <w:r w:rsidR="00FD2FF4" w:rsidRPr="00AA4CCA">
        <w:rPr>
          <w:rFonts w:cs="EUAlbertina"/>
          <w:color w:val="000000"/>
        </w:rPr>
        <w:t>the</w:t>
      </w:r>
      <w:proofErr w:type="spellEnd"/>
      <w:r w:rsidR="00FD2FF4" w:rsidRPr="00AA4CCA">
        <w:rPr>
          <w:rFonts w:cs="EUAlbertina"/>
          <w:color w:val="000000"/>
        </w:rPr>
        <w:t xml:space="preserve"> </w:t>
      </w:r>
      <w:proofErr w:type="spellStart"/>
      <w:r w:rsidR="00FD2FF4" w:rsidRPr="00AA4CCA">
        <w:rPr>
          <w:rFonts w:cs="EUAlbertina"/>
          <w:color w:val="000000"/>
        </w:rPr>
        <w:t>results</w:t>
      </w:r>
      <w:proofErr w:type="spellEnd"/>
      <w:r w:rsidR="00FD2FF4" w:rsidRPr="00AA4CCA">
        <w:rPr>
          <w:rFonts w:cs="EUAlbertina"/>
          <w:color w:val="000000"/>
        </w:rPr>
        <w:t xml:space="preserve"> of </w:t>
      </w:r>
      <w:proofErr w:type="spellStart"/>
      <w:r w:rsidR="00FD2FF4" w:rsidRPr="00AA4CCA">
        <w:rPr>
          <w:rFonts w:cs="EUAlbertina"/>
          <w:color w:val="000000"/>
        </w:rPr>
        <w:t>audits</w:t>
      </w:r>
      <w:proofErr w:type="spellEnd"/>
      <w:r w:rsidR="00FD2FF4" w:rsidRPr="00AA4CCA">
        <w:rPr>
          <w:rFonts w:cs="EUAlbertina"/>
          <w:color w:val="000000"/>
        </w:rPr>
        <w:t xml:space="preserve"> </w:t>
      </w:r>
      <w:proofErr w:type="spellStart"/>
      <w:r w:rsidR="00FD2FF4" w:rsidRPr="00AA4CCA">
        <w:rPr>
          <w:rFonts w:cs="EUAlbertina"/>
          <w:color w:val="000000"/>
        </w:rPr>
        <w:t>carried</w:t>
      </w:r>
      <w:proofErr w:type="spellEnd"/>
      <w:r w:rsidR="00FD2FF4" w:rsidRPr="00AA4CCA">
        <w:rPr>
          <w:rFonts w:cs="EUAlbertina"/>
          <w:color w:val="000000"/>
        </w:rPr>
        <w:t xml:space="preserve"> </w:t>
      </w:r>
      <w:proofErr w:type="spellStart"/>
      <w:r w:rsidR="00FD2FF4" w:rsidRPr="00AA4CCA">
        <w:rPr>
          <w:rFonts w:cs="EUAlbertina"/>
          <w:color w:val="000000"/>
        </w:rPr>
        <w:t>out</w:t>
      </w:r>
      <w:proofErr w:type="spellEnd"/>
      <w:r w:rsidR="00FD2FF4" w:rsidRPr="00AA4CCA">
        <w:rPr>
          <w:rFonts w:cs="EUAlbertina"/>
          <w:color w:val="000000"/>
        </w:rPr>
        <w:t xml:space="preserve"> </w:t>
      </w:r>
      <w:r w:rsidR="005B0D23">
        <w:rPr>
          <w:rFonts w:cs="EUAlbertina"/>
          <w:color w:val="000000"/>
        </w:rPr>
        <w:t xml:space="preserve">by </w:t>
      </w:r>
      <w:proofErr w:type="spellStart"/>
      <w:r w:rsidR="005B0D23">
        <w:rPr>
          <w:rFonts w:cs="EUAlbertina"/>
          <w:color w:val="000000"/>
        </w:rPr>
        <w:t>the</w:t>
      </w:r>
      <w:proofErr w:type="spellEnd"/>
      <w:r w:rsidR="005B0D23">
        <w:rPr>
          <w:rFonts w:cs="EUAlbertina"/>
          <w:color w:val="000000"/>
        </w:rPr>
        <w:t xml:space="preserve"> AA </w:t>
      </w:r>
      <w:proofErr w:type="spellStart"/>
      <w:r w:rsidR="005B0D23">
        <w:rPr>
          <w:rFonts w:cs="EUAlbertina"/>
          <w:color w:val="000000"/>
        </w:rPr>
        <w:t>or</w:t>
      </w:r>
      <w:proofErr w:type="spellEnd"/>
      <w:r w:rsidR="005B0D23">
        <w:rPr>
          <w:rFonts w:cs="EUAlbertina"/>
          <w:color w:val="000000"/>
        </w:rPr>
        <w:t xml:space="preserve"> </w:t>
      </w:r>
      <w:proofErr w:type="spellStart"/>
      <w:r w:rsidR="005B0D23">
        <w:rPr>
          <w:rFonts w:cs="EUAlbertina"/>
          <w:color w:val="000000"/>
        </w:rPr>
        <w:t>other</w:t>
      </w:r>
      <w:proofErr w:type="spellEnd"/>
      <w:r w:rsidR="005B0D23">
        <w:rPr>
          <w:rFonts w:cs="EUAlbertina"/>
          <w:color w:val="000000"/>
        </w:rPr>
        <w:t xml:space="preserve"> EU </w:t>
      </w:r>
      <w:proofErr w:type="spellStart"/>
      <w:r w:rsidR="005B0D23">
        <w:rPr>
          <w:rFonts w:cs="EUAlbertina"/>
          <w:color w:val="000000"/>
        </w:rPr>
        <w:t>bodies</w:t>
      </w:r>
      <w:proofErr w:type="spellEnd"/>
      <w:r w:rsidR="005B0D23">
        <w:rPr>
          <w:rFonts w:cs="EUAlbertina"/>
          <w:color w:val="000000"/>
        </w:rPr>
        <w:t xml:space="preserve"> </w:t>
      </w:r>
      <w:r w:rsidR="00FD2FF4" w:rsidRPr="00AA4CCA">
        <w:rPr>
          <w:rFonts w:cs="EUAlbertina"/>
          <w:color w:val="000000"/>
        </w:rPr>
        <w:t xml:space="preserve">on </w:t>
      </w:r>
      <w:proofErr w:type="spellStart"/>
      <w:r w:rsidR="00FD2FF4" w:rsidRPr="00AA4CCA">
        <w:rPr>
          <w:rFonts w:cs="EUAlbertina"/>
          <w:color w:val="000000"/>
        </w:rPr>
        <w:t>the</w:t>
      </w:r>
      <w:proofErr w:type="spellEnd"/>
      <w:r w:rsidR="00FD2FF4" w:rsidRPr="00AA4CCA">
        <w:rPr>
          <w:rFonts w:cs="EUAlbertina"/>
          <w:color w:val="000000"/>
        </w:rPr>
        <w:t xml:space="preserve"> reliability of </w:t>
      </w:r>
      <w:r w:rsidR="00A479CD">
        <w:rPr>
          <w:rFonts w:cs="EUAlbertina"/>
          <w:color w:val="000000"/>
        </w:rPr>
        <w:t xml:space="preserve">data </w:t>
      </w:r>
      <w:proofErr w:type="spellStart"/>
      <w:r w:rsidR="00A479CD">
        <w:rPr>
          <w:rFonts w:cs="EUAlbertina"/>
          <w:color w:val="000000"/>
        </w:rPr>
        <w:t>relating</w:t>
      </w:r>
      <w:proofErr w:type="spellEnd"/>
      <w:r w:rsidR="00A479CD">
        <w:rPr>
          <w:rFonts w:cs="EUAlbertina"/>
          <w:color w:val="000000"/>
        </w:rPr>
        <w:t xml:space="preserve"> to </w:t>
      </w:r>
      <w:proofErr w:type="spellStart"/>
      <w:r w:rsidR="00FD2FF4" w:rsidRPr="00AA4CCA">
        <w:rPr>
          <w:rFonts w:cs="EUAlbertina"/>
          <w:color w:val="000000"/>
        </w:rPr>
        <w:t>indicators</w:t>
      </w:r>
      <w:proofErr w:type="spellEnd"/>
      <w:r w:rsidR="00FD2FF4" w:rsidRPr="00AA4CCA">
        <w:rPr>
          <w:rFonts w:cs="EUAlbertina"/>
          <w:color w:val="000000"/>
        </w:rPr>
        <w:t xml:space="preserve"> and </w:t>
      </w:r>
      <w:proofErr w:type="spellStart"/>
      <w:r w:rsidR="00FD2FF4" w:rsidRPr="00AA4CCA">
        <w:rPr>
          <w:rFonts w:cs="EUAlbertina"/>
          <w:color w:val="000000"/>
        </w:rPr>
        <w:t>milestones</w:t>
      </w:r>
      <w:proofErr w:type="spellEnd"/>
      <w:r w:rsidR="00A479CD">
        <w:rPr>
          <w:rFonts w:cs="EUAlbertina"/>
          <w:color w:val="000000"/>
        </w:rPr>
        <w:t xml:space="preserve"> </w:t>
      </w:r>
      <w:proofErr w:type="spellStart"/>
      <w:r w:rsidR="00A479CD">
        <w:rPr>
          <w:rFonts w:cs="EUAlbertina"/>
          <w:color w:val="000000"/>
        </w:rPr>
        <w:t>provided</w:t>
      </w:r>
      <w:proofErr w:type="spellEnd"/>
      <w:r w:rsidR="00A479CD">
        <w:rPr>
          <w:rFonts w:cs="EUAlbertina"/>
          <w:color w:val="000000"/>
        </w:rPr>
        <w:t xml:space="preserve"> </w:t>
      </w:r>
      <w:proofErr w:type="spellStart"/>
      <w:r w:rsidR="00A479CD">
        <w:rPr>
          <w:rFonts w:cs="EUAlbertina"/>
          <w:color w:val="000000"/>
        </w:rPr>
        <w:t>under</w:t>
      </w:r>
      <w:proofErr w:type="spellEnd"/>
      <w:r w:rsidR="00A479CD">
        <w:rPr>
          <w:rFonts w:cs="EUAlbertina"/>
          <w:color w:val="000000"/>
        </w:rPr>
        <w:t xml:space="preserve"> </w:t>
      </w:r>
      <w:proofErr w:type="spellStart"/>
      <w:r w:rsidR="00A479CD">
        <w:rPr>
          <w:rFonts w:cs="EUAlbertina"/>
          <w:color w:val="000000"/>
        </w:rPr>
        <w:t>Article</w:t>
      </w:r>
      <w:proofErr w:type="spellEnd"/>
      <w:r w:rsidR="00A479CD">
        <w:rPr>
          <w:rFonts w:cs="EUAlbertina"/>
          <w:color w:val="000000"/>
        </w:rPr>
        <w:t xml:space="preserve"> 125(2</w:t>
      </w:r>
      <w:proofErr w:type="gramStart"/>
      <w:r w:rsidR="00A479CD">
        <w:rPr>
          <w:rFonts w:cs="EUAlbertina"/>
          <w:color w:val="000000"/>
        </w:rPr>
        <w:t>)(</w:t>
      </w:r>
      <w:proofErr w:type="gramEnd"/>
      <w:r w:rsidR="00A479CD">
        <w:rPr>
          <w:rFonts w:cs="EUAlbertina"/>
          <w:color w:val="000000"/>
        </w:rPr>
        <w:t xml:space="preserve">a) of </w:t>
      </w:r>
      <w:proofErr w:type="spellStart"/>
      <w:r w:rsidR="00A479CD">
        <w:rPr>
          <w:rFonts w:cs="EUAlbertina"/>
          <w:color w:val="000000"/>
        </w:rPr>
        <w:t>the</w:t>
      </w:r>
      <w:proofErr w:type="spellEnd"/>
      <w:r w:rsidR="00A479CD">
        <w:rPr>
          <w:rFonts w:cs="EUAlbertina"/>
          <w:color w:val="000000"/>
        </w:rPr>
        <w:t xml:space="preserve"> CPR. </w:t>
      </w:r>
      <w:r w:rsidR="00FD2FF4" w:rsidRPr="00AA4CCA">
        <w:rPr>
          <w:rFonts w:cs="EUAlbertina"/>
          <w:color w:val="000000"/>
        </w:rPr>
        <w:t xml:space="preserve"> </w:t>
      </w:r>
    </w:p>
    <w:p w:rsidR="00B82081" w:rsidRDefault="00B82081" w:rsidP="00EE28F1">
      <w:pPr>
        <w:autoSpaceDE w:val="0"/>
        <w:autoSpaceDN w:val="0"/>
        <w:adjustRightInd w:val="0"/>
        <w:jc w:val="both"/>
        <w:rPr>
          <w:lang w:val="en-GB" w:eastAsia="en-GB"/>
        </w:rPr>
      </w:pPr>
    </w:p>
    <w:p w:rsidR="000D3D8E" w:rsidRPr="00580EFC" w:rsidRDefault="00E55471" w:rsidP="00B11A77">
      <w:pPr>
        <w:pStyle w:val="Heading2"/>
        <w:spacing w:after="240"/>
        <w:ind w:left="709"/>
        <w:jc w:val="both"/>
        <w:rPr>
          <w:rFonts w:ascii="Times New Roman" w:hAnsi="Times New Roman" w:cs="Times New Roman"/>
          <w:i w:val="0"/>
          <w:sz w:val="24"/>
          <w:szCs w:val="24"/>
          <w:lang w:val="en"/>
        </w:rPr>
      </w:pPr>
      <w:bookmarkStart w:id="36" w:name="_Toc411489385"/>
      <w:bookmarkStart w:id="37" w:name="_Toc420863618"/>
      <w:r>
        <w:rPr>
          <w:rFonts w:ascii="Times New Roman" w:hAnsi="Times New Roman" w:cs="Times New Roman"/>
          <w:i w:val="0"/>
          <w:sz w:val="24"/>
          <w:szCs w:val="24"/>
          <w:lang w:val="en"/>
        </w:rPr>
        <w:t>1</w:t>
      </w:r>
      <w:r w:rsidR="000D3D8E" w:rsidRPr="00580EFC">
        <w:rPr>
          <w:rFonts w:ascii="Times New Roman" w:hAnsi="Times New Roman" w:cs="Times New Roman"/>
          <w:i w:val="0"/>
          <w:sz w:val="24"/>
          <w:szCs w:val="24"/>
          <w:lang w:val="en"/>
        </w:rPr>
        <w:t>.</w:t>
      </w:r>
      <w:r w:rsidR="00C86EEA">
        <w:rPr>
          <w:rFonts w:ascii="Times New Roman" w:hAnsi="Times New Roman" w:cs="Times New Roman"/>
          <w:i w:val="0"/>
          <w:sz w:val="24"/>
          <w:szCs w:val="24"/>
          <w:lang w:val="en"/>
        </w:rPr>
        <w:t>5</w:t>
      </w:r>
      <w:r w:rsidR="000D3D8E" w:rsidRPr="00580EFC">
        <w:rPr>
          <w:rFonts w:ascii="Times New Roman" w:hAnsi="Times New Roman" w:cs="Times New Roman"/>
          <w:i w:val="0"/>
          <w:sz w:val="24"/>
          <w:szCs w:val="24"/>
          <w:lang w:val="en"/>
        </w:rPr>
        <w:t xml:space="preserve"> </w:t>
      </w:r>
      <w:r>
        <w:rPr>
          <w:rFonts w:ascii="Times New Roman" w:hAnsi="Times New Roman" w:cs="Times New Roman"/>
          <w:i w:val="0"/>
          <w:sz w:val="24"/>
          <w:szCs w:val="24"/>
          <w:lang w:val="en"/>
        </w:rPr>
        <w:t>E</w:t>
      </w:r>
      <w:r w:rsidR="000D3D8E" w:rsidRPr="00580EFC">
        <w:rPr>
          <w:rFonts w:ascii="Times New Roman" w:hAnsi="Times New Roman" w:cs="Times New Roman"/>
          <w:i w:val="0"/>
          <w:sz w:val="24"/>
          <w:szCs w:val="24"/>
          <w:lang w:val="en"/>
        </w:rPr>
        <w:t>ffective and proportionate anti-fraud measures are in place</w:t>
      </w:r>
      <w:bookmarkEnd w:id="36"/>
      <w:r>
        <w:rPr>
          <w:rFonts w:ascii="Times New Roman" w:hAnsi="Times New Roman" w:cs="Times New Roman"/>
          <w:i w:val="0"/>
          <w:sz w:val="24"/>
          <w:szCs w:val="24"/>
          <w:lang w:val="en"/>
        </w:rPr>
        <w:t xml:space="preserve"> and take account of the risks identified</w:t>
      </w:r>
      <w:bookmarkEnd w:id="37"/>
      <w:r w:rsidR="000D3D8E" w:rsidRPr="00580EFC">
        <w:rPr>
          <w:rFonts w:ascii="Times New Roman" w:hAnsi="Times New Roman" w:cs="Times New Roman"/>
          <w:i w:val="0"/>
          <w:sz w:val="24"/>
          <w:szCs w:val="24"/>
          <w:lang w:val="en"/>
        </w:rPr>
        <w:t xml:space="preserve"> </w:t>
      </w:r>
    </w:p>
    <w:p w:rsidR="00E225D6" w:rsidRDefault="00364D9A" w:rsidP="00EE28F1">
      <w:pPr>
        <w:autoSpaceDE w:val="0"/>
        <w:autoSpaceDN w:val="0"/>
        <w:adjustRightInd w:val="0"/>
        <w:jc w:val="both"/>
        <w:rPr>
          <w:lang w:val="en-GB" w:eastAsia="en-GB"/>
        </w:rPr>
      </w:pPr>
      <w:r>
        <w:rPr>
          <w:lang w:val="en-GB" w:eastAsia="en-GB"/>
        </w:rPr>
        <w:t xml:space="preserve">Article 125(4)(c) </w:t>
      </w:r>
      <w:r w:rsidR="00A20015">
        <w:rPr>
          <w:lang w:val="en-GB" w:eastAsia="en-GB"/>
        </w:rPr>
        <w:t xml:space="preserve">of the </w:t>
      </w:r>
      <w:r>
        <w:rPr>
          <w:lang w:val="en-GB" w:eastAsia="en-GB"/>
        </w:rPr>
        <w:t xml:space="preserve">CPR lays down that the MA shall put in place effective and proportionate anti-fraud measures taking into account the risks identified. </w:t>
      </w:r>
      <w:r w:rsidR="00E225D6">
        <w:rPr>
          <w:lang w:val="en-GB" w:eastAsia="en-GB"/>
        </w:rPr>
        <w:t xml:space="preserve">The guidance note "Fraud risk assessment and effective and proportionate anti-fraud measures" (EGESIF 14-0021-00 of 16/06/2014) provides assistance and recommendations to MAs </w:t>
      </w:r>
      <w:r>
        <w:rPr>
          <w:lang w:val="en-GB" w:eastAsia="en-GB"/>
        </w:rPr>
        <w:t>in this respect.</w:t>
      </w:r>
      <w:r w:rsidDel="00364D9A">
        <w:rPr>
          <w:lang w:val="en-GB" w:eastAsia="en-GB"/>
        </w:rPr>
        <w:t xml:space="preserve"> </w:t>
      </w:r>
    </w:p>
    <w:p w:rsidR="008B5CC5" w:rsidRDefault="008B5CC5" w:rsidP="00D41FA1">
      <w:pPr>
        <w:autoSpaceDE w:val="0"/>
        <w:autoSpaceDN w:val="0"/>
        <w:adjustRightInd w:val="0"/>
        <w:spacing w:before="240"/>
        <w:jc w:val="both"/>
        <w:rPr>
          <w:lang w:val="en-GB" w:eastAsia="en-GB"/>
        </w:rPr>
      </w:pPr>
      <w:r>
        <w:rPr>
          <w:lang w:val="en-GB" w:eastAsia="en-GB"/>
        </w:rPr>
        <w:t>T</w:t>
      </w:r>
      <w:r w:rsidR="00A71B4D">
        <w:rPr>
          <w:lang w:val="en-GB" w:eastAsia="en-GB"/>
        </w:rPr>
        <w:t xml:space="preserve">he MA </w:t>
      </w:r>
      <w:r w:rsidR="00370DA5">
        <w:rPr>
          <w:lang w:val="en-GB" w:eastAsia="en-GB"/>
        </w:rPr>
        <w:t xml:space="preserve">is </w:t>
      </w:r>
      <w:r>
        <w:rPr>
          <w:lang w:val="en-GB" w:eastAsia="en-GB"/>
        </w:rPr>
        <w:t xml:space="preserve">in a position </w:t>
      </w:r>
      <w:r w:rsidR="00A71B4D">
        <w:rPr>
          <w:lang w:val="en-GB" w:eastAsia="en-GB"/>
        </w:rPr>
        <w:t xml:space="preserve">to </w:t>
      </w:r>
      <w:r>
        <w:rPr>
          <w:lang w:val="en-GB" w:eastAsia="en-GB"/>
        </w:rPr>
        <w:t xml:space="preserve">provide </w:t>
      </w:r>
      <w:r w:rsidR="00364D9A">
        <w:rPr>
          <w:lang w:val="en-GB" w:eastAsia="en-GB"/>
        </w:rPr>
        <w:t>the required confirmation when it has put in place anti-</w:t>
      </w:r>
      <w:r w:rsidR="00A71B4D">
        <w:rPr>
          <w:lang w:val="en-GB" w:eastAsia="en-GB"/>
        </w:rPr>
        <w:t xml:space="preserve">fraud responses which are proportionate to the </w:t>
      </w:r>
      <w:r w:rsidR="00364D9A">
        <w:rPr>
          <w:lang w:val="en-GB" w:eastAsia="en-GB"/>
        </w:rPr>
        <w:t xml:space="preserve">identified </w:t>
      </w:r>
      <w:r w:rsidR="00A71B4D">
        <w:rPr>
          <w:lang w:val="en-GB" w:eastAsia="en-GB"/>
        </w:rPr>
        <w:t xml:space="preserve">risks and tailored to the specific situations related to the delivery of the </w:t>
      </w:r>
      <w:r w:rsidR="00AF4281">
        <w:rPr>
          <w:lang w:val="en-GB" w:eastAsia="en-GB"/>
        </w:rPr>
        <w:t>ESIF</w:t>
      </w:r>
      <w:r w:rsidR="00A71B4D">
        <w:rPr>
          <w:lang w:val="en-GB" w:eastAsia="en-GB"/>
        </w:rPr>
        <w:t xml:space="preserve"> in a particular programme</w:t>
      </w:r>
      <w:r w:rsidR="00364D9A">
        <w:rPr>
          <w:lang w:val="en-GB" w:eastAsia="en-GB"/>
        </w:rPr>
        <w:t xml:space="preserve"> and region</w:t>
      </w:r>
      <w:r w:rsidR="00A71B4D">
        <w:rPr>
          <w:lang w:val="en-GB" w:eastAsia="en-GB"/>
        </w:rPr>
        <w:t xml:space="preserve">. </w:t>
      </w:r>
      <w:r w:rsidR="00D41FA1" w:rsidRPr="00881B0E">
        <w:rPr>
          <w:lang w:val="en-GB" w:eastAsia="en-GB"/>
        </w:rPr>
        <w:t>A</w:t>
      </w:r>
      <w:r w:rsidR="00370DA5">
        <w:rPr>
          <w:lang w:val="en-GB" w:eastAsia="en-GB"/>
        </w:rPr>
        <w:t xml:space="preserve"> </w:t>
      </w:r>
      <w:r w:rsidR="00D41FA1" w:rsidRPr="00881B0E">
        <w:rPr>
          <w:lang w:val="en-GB" w:eastAsia="en-GB"/>
        </w:rPr>
        <w:t xml:space="preserve">well-targeted fraud risk </w:t>
      </w:r>
      <w:r w:rsidR="00364D9A">
        <w:rPr>
          <w:lang w:val="en-GB" w:eastAsia="en-GB"/>
        </w:rPr>
        <w:t xml:space="preserve">response should be based on an </w:t>
      </w:r>
      <w:r w:rsidR="00D41FA1" w:rsidRPr="00881B0E">
        <w:rPr>
          <w:lang w:val="en-GB" w:eastAsia="en-GB"/>
        </w:rPr>
        <w:t>assessmen</w:t>
      </w:r>
      <w:r w:rsidR="00A20015">
        <w:rPr>
          <w:lang w:val="en-GB" w:eastAsia="en-GB"/>
        </w:rPr>
        <w:t>t</w:t>
      </w:r>
      <w:r w:rsidR="00364D9A">
        <w:rPr>
          <w:lang w:val="en-GB" w:eastAsia="en-GB"/>
        </w:rPr>
        <w:t>,</w:t>
      </w:r>
      <w:r w:rsidR="001A67BE">
        <w:rPr>
          <w:lang w:val="en-GB" w:eastAsia="en-GB"/>
        </w:rPr>
        <w:t xml:space="preserve"> and should be completed by different</w:t>
      </w:r>
      <w:r w:rsidR="00A71B4D">
        <w:rPr>
          <w:lang w:val="en-GB" w:eastAsia="en-GB"/>
        </w:rPr>
        <w:t xml:space="preserve"> mitigating controls </w:t>
      </w:r>
      <w:r w:rsidR="001A67BE">
        <w:rPr>
          <w:lang w:val="en-GB" w:eastAsia="en-GB"/>
        </w:rPr>
        <w:t>such as</w:t>
      </w:r>
      <w:r w:rsidR="00A71B4D">
        <w:rPr>
          <w:lang w:val="en-GB" w:eastAsia="en-GB"/>
        </w:rPr>
        <w:t xml:space="preserve"> </w:t>
      </w:r>
      <w:r w:rsidR="00370DA5">
        <w:rPr>
          <w:lang w:val="en-GB" w:eastAsia="en-GB"/>
        </w:rPr>
        <w:t xml:space="preserve">setting the </w:t>
      </w:r>
      <w:r w:rsidR="00A71B4D">
        <w:rPr>
          <w:lang w:val="en-GB" w:eastAsia="en-GB"/>
        </w:rPr>
        <w:t xml:space="preserve">right tone from the top, where the highest standard of ethical </w:t>
      </w:r>
      <w:proofErr w:type="spellStart"/>
      <w:r w:rsidR="00A71B4D">
        <w:rPr>
          <w:lang w:val="en-GB" w:eastAsia="en-GB"/>
        </w:rPr>
        <w:t>behavious</w:t>
      </w:r>
      <w:proofErr w:type="spellEnd"/>
      <w:r w:rsidR="00A71B4D">
        <w:rPr>
          <w:lang w:val="en-GB" w:eastAsia="en-GB"/>
        </w:rPr>
        <w:t xml:space="preserve"> is expected, codes of conduct, training and awareness raising actions</w:t>
      </w:r>
      <w:r w:rsidR="00370DA5">
        <w:rPr>
          <w:lang w:val="en-GB" w:eastAsia="en-GB"/>
        </w:rPr>
        <w:t xml:space="preserve"> and</w:t>
      </w:r>
      <w:r w:rsidR="00A71B4D">
        <w:rPr>
          <w:lang w:val="en-GB" w:eastAsia="en-GB"/>
        </w:rPr>
        <w:t xml:space="preserve"> clear mission statements.</w:t>
      </w:r>
      <w:r w:rsidR="001A67BE">
        <w:rPr>
          <w:lang w:val="en-GB" w:eastAsia="en-GB"/>
        </w:rPr>
        <w:t xml:space="preserve"> </w:t>
      </w:r>
      <w:r w:rsidR="006326DF">
        <w:rPr>
          <w:lang w:val="en-GB" w:eastAsia="en-GB"/>
        </w:rPr>
        <w:t xml:space="preserve">Another important </w:t>
      </w:r>
      <w:r w:rsidR="00D41FA1" w:rsidRPr="00881B0E">
        <w:rPr>
          <w:lang w:val="en-GB" w:eastAsia="en-GB"/>
        </w:rPr>
        <w:t xml:space="preserve">mitigating control </w:t>
      </w:r>
      <w:r w:rsidR="006326DF">
        <w:rPr>
          <w:lang w:val="en-GB" w:eastAsia="en-GB"/>
        </w:rPr>
        <w:t xml:space="preserve">available to the MA </w:t>
      </w:r>
      <w:proofErr w:type="gramStart"/>
      <w:r w:rsidR="006326DF">
        <w:rPr>
          <w:lang w:val="en-GB" w:eastAsia="en-GB"/>
        </w:rPr>
        <w:t>is  the</w:t>
      </w:r>
      <w:proofErr w:type="gramEnd"/>
      <w:r w:rsidR="006326DF">
        <w:rPr>
          <w:lang w:val="en-GB" w:eastAsia="en-GB"/>
        </w:rPr>
        <w:t xml:space="preserve"> carrying out of effective </w:t>
      </w:r>
      <w:r w:rsidR="00881B0E" w:rsidRPr="00881B0E">
        <w:rPr>
          <w:lang w:val="en-GB" w:eastAsia="en-GB"/>
        </w:rPr>
        <w:t>m</w:t>
      </w:r>
      <w:r w:rsidR="00D41FA1" w:rsidRPr="00881B0E">
        <w:rPr>
          <w:lang w:val="en-GB" w:eastAsia="en-GB"/>
        </w:rPr>
        <w:t xml:space="preserve">anagement verifications. </w:t>
      </w:r>
      <w:r w:rsidR="00D41FA1" w:rsidRPr="002C44C6">
        <w:rPr>
          <w:bCs/>
          <w:lang w:val="en-GB" w:eastAsia="en-GB"/>
        </w:rPr>
        <w:t>The</w:t>
      </w:r>
      <w:r w:rsidR="00881B0E" w:rsidRPr="002C44C6">
        <w:rPr>
          <w:bCs/>
          <w:lang w:val="en-GB" w:eastAsia="en-GB"/>
        </w:rPr>
        <w:t xml:space="preserve"> </w:t>
      </w:r>
      <w:r w:rsidR="00D41FA1" w:rsidRPr="002C44C6">
        <w:rPr>
          <w:bCs/>
          <w:lang w:val="en-GB" w:eastAsia="en-GB"/>
        </w:rPr>
        <w:t>likelihood of detecting potential fraud cases will increase when</w:t>
      </w:r>
      <w:r w:rsidR="00881B0E" w:rsidRPr="002C44C6">
        <w:rPr>
          <w:bCs/>
          <w:lang w:val="en-GB" w:eastAsia="en-GB"/>
        </w:rPr>
        <w:t xml:space="preserve"> </w:t>
      </w:r>
      <w:r w:rsidR="00D41FA1" w:rsidRPr="002C44C6">
        <w:rPr>
          <w:bCs/>
          <w:lang w:val="en-GB" w:eastAsia="en-GB"/>
        </w:rPr>
        <w:t xml:space="preserve">management verifications are </w:t>
      </w:r>
      <w:r w:rsidR="00370DA5">
        <w:rPr>
          <w:bCs/>
          <w:lang w:val="en-GB" w:eastAsia="en-GB"/>
        </w:rPr>
        <w:t xml:space="preserve">regular and </w:t>
      </w:r>
      <w:r w:rsidR="00D41FA1" w:rsidRPr="002C44C6">
        <w:rPr>
          <w:bCs/>
          <w:lang w:val="en-GB" w:eastAsia="en-GB"/>
        </w:rPr>
        <w:t>thorough</w:t>
      </w:r>
      <w:r w:rsidR="00D41FA1" w:rsidRPr="00881B0E">
        <w:rPr>
          <w:lang w:val="en-GB" w:eastAsia="en-GB"/>
        </w:rPr>
        <w:t xml:space="preserve">. </w:t>
      </w:r>
      <w:r w:rsidR="001A67BE">
        <w:rPr>
          <w:lang w:val="en-GB" w:eastAsia="en-GB"/>
        </w:rPr>
        <w:t>It is recommended that t</w:t>
      </w:r>
      <w:r>
        <w:rPr>
          <w:lang w:val="en-GB" w:eastAsia="en-GB"/>
        </w:rPr>
        <w:t xml:space="preserve">he </w:t>
      </w:r>
      <w:proofErr w:type="gramStart"/>
      <w:r>
        <w:rPr>
          <w:lang w:val="en-GB" w:eastAsia="en-GB"/>
        </w:rPr>
        <w:t xml:space="preserve">MA </w:t>
      </w:r>
      <w:r w:rsidR="001A67BE">
        <w:rPr>
          <w:lang w:val="en-GB" w:eastAsia="en-GB"/>
        </w:rPr>
        <w:t xml:space="preserve"> </w:t>
      </w:r>
      <w:r>
        <w:rPr>
          <w:lang w:val="en-GB" w:eastAsia="en-GB"/>
        </w:rPr>
        <w:t>corroborate</w:t>
      </w:r>
      <w:r w:rsidR="001A67BE">
        <w:rPr>
          <w:lang w:val="en-GB" w:eastAsia="en-GB"/>
        </w:rPr>
        <w:t>s</w:t>
      </w:r>
      <w:proofErr w:type="gramEnd"/>
      <w:r>
        <w:rPr>
          <w:lang w:val="en-GB" w:eastAsia="en-GB"/>
        </w:rPr>
        <w:t xml:space="preserve"> its confirmation on the existence of effective and proportionate anti-fraud measures by </w:t>
      </w:r>
      <w:r w:rsidR="006C4E9E">
        <w:rPr>
          <w:lang w:val="en-GB" w:eastAsia="en-GB"/>
        </w:rPr>
        <w:t>keeping updat</w:t>
      </w:r>
      <w:r w:rsidR="001A67BE">
        <w:rPr>
          <w:lang w:val="en-GB" w:eastAsia="en-GB"/>
        </w:rPr>
        <w:t>ed</w:t>
      </w:r>
      <w:r>
        <w:rPr>
          <w:lang w:val="en-GB" w:eastAsia="en-GB"/>
        </w:rPr>
        <w:t xml:space="preserve"> information on the number of suspected and established fraud cases dealt with and by </w:t>
      </w:r>
      <w:r w:rsidR="001A67BE">
        <w:rPr>
          <w:lang w:val="en-GB" w:eastAsia="en-GB"/>
        </w:rPr>
        <w:t xml:space="preserve">analysing the modus operandi of such cases and the missing controls that made such suspected </w:t>
      </w:r>
      <w:r w:rsidR="00EA77D0">
        <w:rPr>
          <w:lang w:val="en-GB" w:eastAsia="en-GB"/>
        </w:rPr>
        <w:t>or</w:t>
      </w:r>
      <w:r w:rsidR="001A67BE">
        <w:rPr>
          <w:lang w:val="en-GB" w:eastAsia="en-GB"/>
        </w:rPr>
        <w:t xml:space="preserve"> established cases possible.</w:t>
      </w:r>
      <w:r>
        <w:rPr>
          <w:lang w:val="en-GB" w:eastAsia="en-GB"/>
        </w:rPr>
        <w:t xml:space="preserve">    </w:t>
      </w:r>
    </w:p>
    <w:p w:rsidR="000D3D8E" w:rsidRPr="00580EFC" w:rsidRDefault="00E55471" w:rsidP="00580EFC">
      <w:pPr>
        <w:pStyle w:val="Heading2"/>
        <w:spacing w:after="240"/>
        <w:ind w:left="709"/>
        <w:rPr>
          <w:rFonts w:ascii="Times New Roman" w:hAnsi="Times New Roman" w:cs="Times New Roman"/>
          <w:i w:val="0"/>
          <w:sz w:val="24"/>
          <w:szCs w:val="24"/>
          <w:lang w:val="en"/>
        </w:rPr>
      </w:pPr>
      <w:bookmarkStart w:id="38" w:name="_Toc411489386"/>
      <w:bookmarkStart w:id="39" w:name="_Toc420863619"/>
      <w:r>
        <w:rPr>
          <w:rFonts w:ascii="Times New Roman" w:hAnsi="Times New Roman" w:cs="Times New Roman"/>
          <w:i w:val="0"/>
          <w:sz w:val="24"/>
          <w:szCs w:val="24"/>
          <w:lang w:val="en"/>
        </w:rPr>
        <w:t>1</w:t>
      </w:r>
      <w:r w:rsidR="000D3D8E" w:rsidRPr="00580EFC">
        <w:rPr>
          <w:rFonts w:ascii="Times New Roman" w:hAnsi="Times New Roman" w:cs="Times New Roman"/>
          <w:i w:val="0"/>
          <w:sz w:val="24"/>
          <w:szCs w:val="24"/>
          <w:lang w:val="en"/>
        </w:rPr>
        <w:t>.</w:t>
      </w:r>
      <w:r w:rsidR="00C86EEA">
        <w:rPr>
          <w:rFonts w:ascii="Times New Roman" w:hAnsi="Times New Roman" w:cs="Times New Roman"/>
          <w:i w:val="0"/>
          <w:sz w:val="24"/>
          <w:szCs w:val="24"/>
          <w:lang w:val="en"/>
        </w:rPr>
        <w:t>6</w:t>
      </w:r>
      <w:r w:rsidR="000D3D8E" w:rsidRPr="00580EFC">
        <w:rPr>
          <w:rFonts w:ascii="Times New Roman" w:hAnsi="Times New Roman" w:cs="Times New Roman"/>
          <w:i w:val="0"/>
          <w:sz w:val="24"/>
          <w:szCs w:val="24"/>
          <w:lang w:val="en"/>
        </w:rPr>
        <w:t xml:space="preserve"> </w:t>
      </w:r>
      <w:r>
        <w:rPr>
          <w:rFonts w:ascii="Times New Roman" w:hAnsi="Times New Roman" w:cs="Times New Roman"/>
          <w:i w:val="0"/>
          <w:sz w:val="24"/>
          <w:szCs w:val="24"/>
          <w:lang w:val="en"/>
        </w:rPr>
        <w:t>T</w:t>
      </w:r>
      <w:r w:rsidR="000D3D8E" w:rsidRPr="00580EFC">
        <w:rPr>
          <w:rFonts w:ascii="Times New Roman" w:hAnsi="Times New Roman" w:cs="Times New Roman"/>
          <w:i w:val="0"/>
          <w:sz w:val="24"/>
          <w:szCs w:val="24"/>
          <w:lang w:val="en"/>
        </w:rPr>
        <w:t>here is no undisclosed matter which could be damaging to the reputation of the cohesion policy</w:t>
      </w:r>
      <w:bookmarkEnd w:id="38"/>
      <w:bookmarkEnd w:id="39"/>
    </w:p>
    <w:p w:rsidR="00716815" w:rsidRDefault="00DA1BA2" w:rsidP="00DA1BA2">
      <w:pPr>
        <w:widowControl w:val="0"/>
        <w:overflowPunct w:val="0"/>
        <w:adjustRightInd w:val="0"/>
        <w:spacing w:before="120"/>
        <w:jc w:val="both"/>
        <w:rPr>
          <w:lang w:val="en-GB"/>
        </w:rPr>
      </w:pPr>
      <w:r>
        <w:rPr>
          <w:lang w:val="en-GB" w:eastAsia="en-GB"/>
        </w:rPr>
        <w:t>For the purpose of this confirmation t</w:t>
      </w:r>
      <w:r w:rsidR="006C4074">
        <w:rPr>
          <w:lang w:val="en-GB" w:eastAsia="en-GB"/>
        </w:rPr>
        <w:t xml:space="preserve">he MA </w:t>
      </w:r>
      <w:r w:rsidR="00A20015">
        <w:rPr>
          <w:lang w:val="en-GB" w:eastAsia="en-GB"/>
        </w:rPr>
        <w:t>s</w:t>
      </w:r>
      <w:r>
        <w:rPr>
          <w:lang w:val="en-GB"/>
        </w:rPr>
        <w:t xml:space="preserve">atisfies itself that it </w:t>
      </w:r>
      <w:r w:rsidR="001A67BE">
        <w:rPr>
          <w:lang w:val="en-GB"/>
        </w:rPr>
        <w:t>has disclosed</w:t>
      </w:r>
      <w:r w:rsidR="00154923">
        <w:rPr>
          <w:lang w:val="en-GB"/>
        </w:rPr>
        <w:t xml:space="preserve"> and shared </w:t>
      </w:r>
      <w:r w:rsidR="00DD3EA7">
        <w:rPr>
          <w:lang w:val="en-GB"/>
        </w:rPr>
        <w:t xml:space="preserve">all the information available </w:t>
      </w:r>
      <w:r w:rsidR="00174977">
        <w:rPr>
          <w:lang w:val="en-GB"/>
        </w:rPr>
        <w:t xml:space="preserve">to it </w:t>
      </w:r>
      <w:r>
        <w:rPr>
          <w:lang w:val="en-GB"/>
        </w:rPr>
        <w:t>with</w:t>
      </w:r>
      <w:r w:rsidR="00F40873">
        <w:rPr>
          <w:lang w:val="en-GB"/>
        </w:rPr>
        <w:t xml:space="preserve"> the </w:t>
      </w:r>
      <w:r w:rsidR="001A67BE">
        <w:rPr>
          <w:lang w:val="en-GB"/>
        </w:rPr>
        <w:t>programme authorities</w:t>
      </w:r>
      <w:r w:rsidR="00154923">
        <w:rPr>
          <w:lang w:val="en-GB"/>
        </w:rPr>
        <w:t>,</w:t>
      </w:r>
      <w:r w:rsidR="001A67BE">
        <w:rPr>
          <w:lang w:val="en-GB"/>
        </w:rPr>
        <w:t xml:space="preserve"> national services </w:t>
      </w:r>
      <w:r w:rsidR="00154923">
        <w:rPr>
          <w:lang w:val="en-GB"/>
        </w:rPr>
        <w:t xml:space="preserve">competent for </w:t>
      </w:r>
      <w:r w:rsidR="001A67BE">
        <w:rPr>
          <w:lang w:val="en-GB"/>
        </w:rPr>
        <w:t xml:space="preserve">fraud investigation and the </w:t>
      </w:r>
      <w:r w:rsidR="00F40873">
        <w:rPr>
          <w:lang w:val="en-GB"/>
        </w:rPr>
        <w:t>Commission</w:t>
      </w:r>
      <w:r w:rsidR="00154923">
        <w:rPr>
          <w:lang w:val="en-GB"/>
        </w:rPr>
        <w:t xml:space="preserve">. This </w:t>
      </w:r>
      <w:r w:rsidR="00DD3EA7">
        <w:rPr>
          <w:lang w:val="en-GB"/>
        </w:rPr>
        <w:t>includ</w:t>
      </w:r>
      <w:r w:rsidR="00154923">
        <w:rPr>
          <w:lang w:val="en-GB"/>
        </w:rPr>
        <w:t>es</w:t>
      </w:r>
      <w:r w:rsidR="00DD3EA7">
        <w:rPr>
          <w:lang w:val="en-GB"/>
        </w:rPr>
        <w:t xml:space="preserve"> </w:t>
      </w:r>
      <w:r w:rsidR="00BE2924">
        <w:rPr>
          <w:lang w:val="en-GB"/>
        </w:rPr>
        <w:t>information</w:t>
      </w:r>
      <w:r w:rsidR="00DD3EA7">
        <w:rPr>
          <w:lang w:val="en-GB"/>
        </w:rPr>
        <w:t xml:space="preserve"> linked to </w:t>
      </w:r>
      <w:proofErr w:type="gramStart"/>
      <w:r w:rsidR="00154923">
        <w:rPr>
          <w:lang w:val="en-GB"/>
        </w:rPr>
        <w:t>identified</w:t>
      </w:r>
      <w:proofErr w:type="gramEnd"/>
      <w:r w:rsidR="00154923">
        <w:rPr>
          <w:lang w:val="en-GB"/>
        </w:rPr>
        <w:t xml:space="preserve"> </w:t>
      </w:r>
      <w:r w:rsidR="00DD3EA7">
        <w:rPr>
          <w:lang w:val="en-GB"/>
        </w:rPr>
        <w:t xml:space="preserve">weaknesses in the management and control systems, irregularities or </w:t>
      </w:r>
      <w:r w:rsidR="00F40873">
        <w:rPr>
          <w:lang w:val="en-GB"/>
        </w:rPr>
        <w:t xml:space="preserve">suspicion of </w:t>
      </w:r>
      <w:r w:rsidR="00DD3EA7">
        <w:rPr>
          <w:lang w:val="en-GB"/>
        </w:rPr>
        <w:t>fraud</w:t>
      </w:r>
      <w:r>
        <w:rPr>
          <w:lang w:val="en-GB"/>
        </w:rPr>
        <w:t xml:space="preserve"> or corruption</w:t>
      </w:r>
      <w:r w:rsidR="00DD3EA7">
        <w:rPr>
          <w:lang w:val="en-GB"/>
        </w:rPr>
        <w:t>.</w:t>
      </w:r>
      <w:r w:rsidR="00FE6DA2">
        <w:rPr>
          <w:lang w:val="en-GB"/>
        </w:rPr>
        <w:t xml:space="preserve"> </w:t>
      </w:r>
    </w:p>
    <w:p w:rsidR="00DA1BA2" w:rsidRPr="00DA1BA2" w:rsidRDefault="00DA1BA2" w:rsidP="00DA1BA2">
      <w:pPr>
        <w:rPr>
          <w:lang w:val="en-GB"/>
        </w:rPr>
      </w:pPr>
      <w:r>
        <w:rPr>
          <w:lang w:val="en-GB"/>
        </w:rPr>
        <w:br w:type="page"/>
      </w:r>
    </w:p>
    <w:p w:rsidR="00312CA0" w:rsidRPr="00580EFC" w:rsidRDefault="00971297" w:rsidP="00580EFC">
      <w:pPr>
        <w:pStyle w:val="Heading2"/>
        <w:spacing w:after="240"/>
        <w:rPr>
          <w:rFonts w:ascii="Times New Roman" w:hAnsi="Times New Roman"/>
          <w:i w:val="0"/>
          <w:sz w:val="24"/>
          <w:szCs w:val="24"/>
        </w:rPr>
      </w:pPr>
      <w:bookmarkStart w:id="40" w:name="_Toc411489387"/>
      <w:bookmarkStart w:id="41" w:name="_Toc420863620"/>
      <w:r>
        <w:rPr>
          <w:rFonts w:ascii="Times New Roman" w:hAnsi="Times New Roman"/>
          <w:i w:val="0"/>
          <w:sz w:val="24"/>
          <w:szCs w:val="24"/>
        </w:rPr>
        <w:lastRenderedPageBreak/>
        <w:t>2</w:t>
      </w:r>
      <w:r w:rsidR="00312CA0" w:rsidRPr="00580EFC">
        <w:rPr>
          <w:rFonts w:ascii="Times New Roman" w:hAnsi="Times New Roman"/>
          <w:i w:val="0"/>
          <w:sz w:val="24"/>
          <w:szCs w:val="24"/>
        </w:rPr>
        <w:t>.</w:t>
      </w:r>
      <w:r w:rsidR="00312CA0" w:rsidRPr="00580EFC">
        <w:rPr>
          <w:rFonts w:ascii="Times New Roman" w:hAnsi="Times New Roman"/>
          <w:i w:val="0"/>
          <w:sz w:val="24"/>
          <w:szCs w:val="24"/>
        </w:rPr>
        <w:tab/>
      </w:r>
      <w:proofErr w:type="spellStart"/>
      <w:r w:rsidR="00360B0F" w:rsidRPr="00580EFC">
        <w:rPr>
          <w:rFonts w:ascii="Times New Roman" w:hAnsi="Times New Roman"/>
          <w:i w:val="0"/>
          <w:sz w:val="24"/>
          <w:szCs w:val="24"/>
        </w:rPr>
        <w:t>The</w:t>
      </w:r>
      <w:proofErr w:type="spellEnd"/>
      <w:r w:rsidR="00360B0F" w:rsidRPr="00580EFC">
        <w:rPr>
          <w:rFonts w:ascii="Times New Roman" w:hAnsi="Times New Roman"/>
          <w:i w:val="0"/>
          <w:sz w:val="24"/>
          <w:szCs w:val="24"/>
        </w:rPr>
        <w:t xml:space="preserve"> </w:t>
      </w:r>
      <w:proofErr w:type="spellStart"/>
      <w:r w:rsidR="00D3210B" w:rsidRPr="00580EFC">
        <w:rPr>
          <w:rFonts w:ascii="Times New Roman" w:hAnsi="Times New Roman"/>
          <w:i w:val="0"/>
          <w:sz w:val="24"/>
          <w:szCs w:val="24"/>
        </w:rPr>
        <w:t>Annual</w:t>
      </w:r>
      <w:proofErr w:type="spellEnd"/>
      <w:r w:rsidR="00D3210B" w:rsidRPr="00580EFC">
        <w:rPr>
          <w:rFonts w:ascii="Times New Roman" w:hAnsi="Times New Roman"/>
          <w:i w:val="0"/>
          <w:sz w:val="24"/>
          <w:szCs w:val="24"/>
        </w:rPr>
        <w:t xml:space="preserve"> </w:t>
      </w:r>
      <w:proofErr w:type="spellStart"/>
      <w:r w:rsidR="00D3210B" w:rsidRPr="00580EFC">
        <w:rPr>
          <w:rFonts w:ascii="Times New Roman" w:hAnsi="Times New Roman"/>
          <w:i w:val="0"/>
          <w:sz w:val="24"/>
          <w:szCs w:val="24"/>
        </w:rPr>
        <w:t>Summary</w:t>
      </w:r>
      <w:bookmarkEnd w:id="40"/>
      <w:bookmarkEnd w:id="41"/>
      <w:proofErr w:type="spellEnd"/>
      <w:r w:rsidR="00D3210B" w:rsidRPr="00580EFC">
        <w:rPr>
          <w:rFonts w:ascii="Times New Roman" w:hAnsi="Times New Roman"/>
          <w:i w:val="0"/>
          <w:sz w:val="24"/>
          <w:szCs w:val="24"/>
        </w:rPr>
        <w:t xml:space="preserve"> </w:t>
      </w:r>
    </w:p>
    <w:p w:rsidR="00B960DA" w:rsidRDefault="00B21010" w:rsidP="00B21010">
      <w:pPr>
        <w:spacing w:after="240"/>
        <w:jc w:val="both"/>
        <w:rPr>
          <w:color w:val="000000"/>
          <w:lang w:val="en-US" w:eastAsia="en-US"/>
        </w:rPr>
      </w:pPr>
      <w:r w:rsidRPr="004E5E37">
        <w:rPr>
          <w:lang w:val="en-GB"/>
        </w:rPr>
        <w:t xml:space="preserve">The </w:t>
      </w:r>
      <w:r>
        <w:rPr>
          <w:lang w:val="en-GB"/>
        </w:rPr>
        <w:t xml:space="preserve">MA </w:t>
      </w:r>
      <w:r w:rsidRPr="004E5E37">
        <w:rPr>
          <w:lang w:val="en-GB"/>
        </w:rPr>
        <w:t xml:space="preserve">shall draw up </w:t>
      </w:r>
      <w:r>
        <w:rPr>
          <w:lang w:val="en-GB"/>
        </w:rPr>
        <w:t xml:space="preserve">an annual summary of the final audit reports and of controls carried out, including an analysis of the nature and extent of errors and weaknesses identified in systems, as well as the corrective action taken or planned. </w:t>
      </w:r>
      <w:r w:rsidR="00C4133B">
        <w:rPr>
          <w:color w:val="000000"/>
          <w:lang w:val="en-US" w:eastAsia="en-US"/>
        </w:rPr>
        <w:t>There is no model for the annual summary in the EU regulations</w:t>
      </w:r>
      <w:r w:rsidR="00F8105F">
        <w:rPr>
          <w:color w:val="000000"/>
          <w:lang w:val="en-US" w:eastAsia="en-US"/>
        </w:rPr>
        <w:t>, therefore a</w:t>
      </w:r>
      <w:r w:rsidR="00B960DA">
        <w:rPr>
          <w:lang w:val="en-GB"/>
        </w:rPr>
        <w:t xml:space="preserve"> </w:t>
      </w:r>
      <w:r w:rsidR="00370DA5">
        <w:rPr>
          <w:lang w:val="en-GB"/>
        </w:rPr>
        <w:t xml:space="preserve">proposed </w:t>
      </w:r>
      <w:r w:rsidR="00F8105F">
        <w:rPr>
          <w:lang w:val="en-GB"/>
        </w:rPr>
        <w:t>template</w:t>
      </w:r>
      <w:r w:rsidR="00B960DA" w:rsidRPr="00A6524D">
        <w:rPr>
          <w:lang w:val="en-GB"/>
        </w:rPr>
        <w:t xml:space="preserve"> </w:t>
      </w:r>
      <w:r w:rsidR="00BD3E5C">
        <w:rPr>
          <w:lang w:val="en-GB"/>
        </w:rPr>
        <w:t xml:space="preserve">to guide the MA </w:t>
      </w:r>
      <w:proofErr w:type="gramStart"/>
      <w:r w:rsidR="00BD3E5C">
        <w:rPr>
          <w:lang w:val="en-GB"/>
        </w:rPr>
        <w:t xml:space="preserve">is  </w:t>
      </w:r>
      <w:r w:rsidR="00B960DA">
        <w:rPr>
          <w:lang w:val="en-GB"/>
        </w:rPr>
        <w:t>attached</w:t>
      </w:r>
      <w:proofErr w:type="gramEnd"/>
      <w:r w:rsidR="00B960DA">
        <w:rPr>
          <w:lang w:val="en-GB"/>
        </w:rPr>
        <w:t xml:space="preserve"> </w:t>
      </w:r>
      <w:r w:rsidR="00DA1BA2">
        <w:rPr>
          <w:lang w:val="en-GB"/>
        </w:rPr>
        <w:t>to this guidance note</w:t>
      </w:r>
      <w:r w:rsidR="009C140A">
        <w:rPr>
          <w:lang w:val="en-GB"/>
        </w:rPr>
        <w:t xml:space="preserve"> </w:t>
      </w:r>
      <w:r w:rsidR="00DA1BA2">
        <w:rPr>
          <w:lang w:val="en-GB"/>
        </w:rPr>
        <w:t xml:space="preserve">as </w:t>
      </w:r>
      <w:r w:rsidR="00B960DA">
        <w:rPr>
          <w:lang w:val="en-GB"/>
        </w:rPr>
        <w:t xml:space="preserve">Annex </w:t>
      </w:r>
      <w:r w:rsidR="00BD3E5C">
        <w:rPr>
          <w:lang w:val="en-GB"/>
        </w:rPr>
        <w:t>1</w:t>
      </w:r>
      <w:r w:rsidR="00B960DA">
        <w:rPr>
          <w:lang w:val="en-GB"/>
        </w:rPr>
        <w:t>.</w:t>
      </w:r>
    </w:p>
    <w:p w:rsidR="00DA1BA2" w:rsidRDefault="001977AB" w:rsidP="00B21010">
      <w:pPr>
        <w:spacing w:after="240"/>
        <w:jc w:val="both"/>
        <w:rPr>
          <w:lang w:val="en-GB"/>
        </w:rPr>
      </w:pPr>
      <w:r>
        <w:rPr>
          <w:lang w:val="en-GB"/>
        </w:rPr>
        <w:t xml:space="preserve">The annual summary </w:t>
      </w:r>
      <w:r w:rsidR="00370DA5">
        <w:rPr>
          <w:lang w:val="en-GB"/>
        </w:rPr>
        <w:t xml:space="preserve">should </w:t>
      </w:r>
      <w:r w:rsidR="00F51713">
        <w:rPr>
          <w:lang w:val="en-GB"/>
        </w:rPr>
        <w:t xml:space="preserve">provide a global </w:t>
      </w:r>
      <w:r w:rsidR="00DA1BA2">
        <w:rPr>
          <w:lang w:val="en-GB"/>
        </w:rPr>
        <w:t xml:space="preserve">and synthetic </w:t>
      </w:r>
      <w:r w:rsidR="00F51713">
        <w:rPr>
          <w:lang w:val="en-GB"/>
        </w:rPr>
        <w:t xml:space="preserve">picture of </w:t>
      </w:r>
      <w:r w:rsidR="00F8105F">
        <w:rPr>
          <w:lang w:val="en-GB"/>
        </w:rPr>
        <w:t xml:space="preserve">management verifications, controls and </w:t>
      </w:r>
      <w:r w:rsidR="00F51713">
        <w:rPr>
          <w:lang w:val="en-GB"/>
        </w:rPr>
        <w:t xml:space="preserve">audits performed </w:t>
      </w:r>
      <w:r w:rsidR="006C4E9E">
        <w:rPr>
          <w:lang w:val="en-GB"/>
        </w:rPr>
        <w:t xml:space="preserve">in relation to expenditure declared </w:t>
      </w:r>
      <w:r w:rsidR="00F51713">
        <w:rPr>
          <w:lang w:val="en-GB"/>
        </w:rPr>
        <w:t>during an accounting year</w:t>
      </w:r>
      <w:r w:rsidR="00DA1BA2">
        <w:rPr>
          <w:lang w:val="en-GB"/>
        </w:rPr>
        <w:t xml:space="preserve"> and entered into the accounts</w:t>
      </w:r>
      <w:r w:rsidR="00F51713">
        <w:rPr>
          <w:lang w:val="en-GB"/>
        </w:rPr>
        <w:t xml:space="preserve">. It is one of the main foundations on which </w:t>
      </w:r>
      <w:r w:rsidR="003104B0">
        <w:rPr>
          <w:lang w:val="en-GB"/>
        </w:rPr>
        <w:t xml:space="preserve">the management declaration </w:t>
      </w:r>
      <w:r w:rsidR="00370DA5">
        <w:rPr>
          <w:lang w:val="en-GB"/>
        </w:rPr>
        <w:t>is built</w:t>
      </w:r>
      <w:r w:rsidR="00C66A88">
        <w:rPr>
          <w:lang w:val="en-GB"/>
        </w:rPr>
        <w:t xml:space="preserve"> </w:t>
      </w:r>
      <w:r w:rsidR="003104B0">
        <w:rPr>
          <w:lang w:val="en-GB"/>
        </w:rPr>
        <w:t xml:space="preserve">and </w:t>
      </w:r>
      <w:r w:rsidR="00F51713">
        <w:rPr>
          <w:lang w:val="en-GB"/>
        </w:rPr>
        <w:t xml:space="preserve">it complements the information included </w:t>
      </w:r>
      <w:r w:rsidR="003104B0">
        <w:rPr>
          <w:lang w:val="en-GB"/>
        </w:rPr>
        <w:t>in the accounts</w:t>
      </w:r>
      <w:r w:rsidR="00F8105F">
        <w:rPr>
          <w:lang w:val="en-GB"/>
        </w:rPr>
        <w:t xml:space="preserve"> and annual control report</w:t>
      </w:r>
      <w:r w:rsidR="003104B0">
        <w:rPr>
          <w:lang w:val="en-GB"/>
        </w:rPr>
        <w:t>.</w:t>
      </w:r>
    </w:p>
    <w:p w:rsidR="000D3D8E" w:rsidRDefault="00F50D0D" w:rsidP="00B21010">
      <w:pPr>
        <w:spacing w:after="240"/>
        <w:jc w:val="both"/>
        <w:rPr>
          <w:color w:val="000000"/>
          <w:lang w:val="en-US" w:eastAsia="en-US"/>
        </w:rPr>
      </w:pPr>
      <w:r>
        <w:rPr>
          <w:color w:val="000000"/>
          <w:lang w:val="en-US" w:eastAsia="en-US"/>
        </w:rPr>
        <w:t>In order to avoid administrative burden and overlaps, the Commission recommends that t</w:t>
      </w:r>
      <w:r w:rsidR="000D3D8E">
        <w:rPr>
          <w:color w:val="000000"/>
          <w:lang w:val="en-US" w:eastAsia="en-US"/>
        </w:rPr>
        <w:t xml:space="preserve">he annual summary should not </w:t>
      </w:r>
      <w:r w:rsidR="000D007D">
        <w:rPr>
          <w:color w:val="000000"/>
          <w:lang w:val="en-US" w:eastAsia="en-US"/>
        </w:rPr>
        <w:t xml:space="preserve">repeat </w:t>
      </w:r>
      <w:r w:rsidR="000D3D8E">
        <w:rPr>
          <w:color w:val="000000"/>
          <w:lang w:val="en-US" w:eastAsia="en-US"/>
        </w:rPr>
        <w:t xml:space="preserve">information already available in the </w:t>
      </w:r>
      <w:r w:rsidR="007411E5">
        <w:rPr>
          <w:color w:val="000000"/>
          <w:lang w:val="en-US" w:eastAsia="en-US"/>
        </w:rPr>
        <w:t xml:space="preserve">annual </w:t>
      </w:r>
      <w:r w:rsidR="000D3D8E">
        <w:rPr>
          <w:color w:val="000000"/>
          <w:lang w:val="en-US" w:eastAsia="en-US"/>
        </w:rPr>
        <w:t xml:space="preserve">control report to be submitted by the AA. </w:t>
      </w:r>
      <w:r w:rsidR="00B21010">
        <w:rPr>
          <w:color w:val="000000"/>
          <w:lang w:val="en-US" w:eastAsia="en-US"/>
        </w:rPr>
        <w:t>Instead</w:t>
      </w:r>
      <w:r w:rsidR="0037363F">
        <w:rPr>
          <w:color w:val="000000"/>
          <w:lang w:val="en-US" w:eastAsia="en-US"/>
        </w:rPr>
        <w:t>, c</w:t>
      </w:r>
      <w:r w:rsidR="000D3D8E">
        <w:rPr>
          <w:color w:val="000000"/>
          <w:lang w:val="en-US" w:eastAsia="en-US"/>
        </w:rPr>
        <w:t>ross-</w:t>
      </w:r>
      <w:proofErr w:type="gramStart"/>
      <w:r w:rsidR="000D3D8E">
        <w:rPr>
          <w:color w:val="000000"/>
          <w:lang w:val="en-US" w:eastAsia="en-US"/>
        </w:rPr>
        <w:t xml:space="preserve">references </w:t>
      </w:r>
      <w:r w:rsidR="00F8105F">
        <w:rPr>
          <w:color w:val="000000"/>
          <w:lang w:val="en-US" w:eastAsia="en-US"/>
        </w:rPr>
        <w:t xml:space="preserve"> to</w:t>
      </w:r>
      <w:proofErr w:type="gramEnd"/>
      <w:r w:rsidR="009C140A">
        <w:rPr>
          <w:color w:val="000000"/>
          <w:lang w:val="en-US" w:eastAsia="en-US"/>
        </w:rPr>
        <w:t xml:space="preserve"> </w:t>
      </w:r>
      <w:r w:rsidR="00C66A88">
        <w:rPr>
          <w:color w:val="000000"/>
          <w:lang w:val="en-US" w:eastAsia="en-US"/>
        </w:rPr>
        <w:t xml:space="preserve">the </w:t>
      </w:r>
      <w:r w:rsidR="00B21010">
        <w:rPr>
          <w:color w:val="000000"/>
          <w:lang w:val="en-US" w:eastAsia="en-US"/>
        </w:rPr>
        <w:t xml:space="preserve">specific sections of the </w:t>
      </w:r>
      <w:r w:rsidR="007411E5">
        <w:rPr>
          <w:color w:val="000000"/>
          <w:lang w:val="en-US" w:eastAsia="en-US"/>
        </w:rPr>
        <w:t xml:space="preserve">annual </w:t>
      </w:r>
      <w:r w:rsidR="00C66A88">
        <w:rPr>
          <w:color w:val="000000"/>
          <w:lang w:val="en-US" w:eastAsia="en-US"/>
        </w:rPr>
        <w:t>c</w:t>
      </w:r>
      <w:r w:rsidR="000D3D8E">
        <w:rPr>
          <w:color w:val="000000"/>
          <w:lang w:val="en-US" w:eastAsia="en-US"/>
        </w:rPr>
        <w:t>ontrol report should be considered</w:t>
      </w:r>
      <w:r w:rsidR="0037363F">
        <w:rPr>
          <w:color w:val="000000"/>
          <w:lang w:val="en-US" w:eastAsia="en-US"/>
        </w:rPr>
        <w:t xml:space="preserve"> </w:t>
      </w:r>
      <w:r w:rsidR="00F8105F">
        <w:rPr>
          <w:color w:val="000000"/>
          <w:lang w:val="en-US" w:eastAsia="en-US"/>
        </w:rPr>
        <w:t xml:space="preserve">in the annual summary </w:t>
      </w:r>
      <w:r w:rsidR="0037363F">
        <w:rPr>
          <w:color w:val="000000"/>
          <w:lang w:val="en-US" w:eastAsia="en-US"/>
        </w:rPr>
        <w:t xml:space="preserve">as </w:t>
      </w:r>
      <w:r w:rsidR="00370DA5">
        <w:rPr>
          <w:color w:val="000000"/>
          <w:lang w:val="en-US" w:eastAsia="en-US"/>
        </w:rPr>
        <w:t>a</w:t>
      </w:r>
      <w:r w:rsidR="0037363F">
        <w:rPr>
          <w:color w:val="000000"/>
          <w:lang w:val="en-US" w:eastAsia="en-US"/>
        </w:rPr>
        <w:t xml:space="preserve"> best option</w:t>
      </w:r>
      <w:r w:rsidR="000D3D8E">
        <w:rPr>
          <w:color w:val="000000"/>
          <w:lang w:val="en-US" w:eastAsia="en-US"/>
        </w:rPr>
        <w:t>.</w:t>
      </w:r>
      <w:r w:rsidR="00B21010">
        <w:rPr>
          <w:color w:val="000000"/>
          <w:lang w:val="en-US" w:eastAsia="en-US"/>
        </w:rPr>
        <w:t xml:space="preserve"> The </w:t>
      </w:r>
      <w:proofErr w:type="spellStart"/>
      <w:r w:rsidR="00B21010">
        <w:rPr>
          <w:color w:val="000000"/>
          <w:lang w:val="en-US" w:eastAsia="en-US"/>
        </w:rPr>
        <w:t>correspondiong</w:t>
      </w:r>
      <w:proofErr w:type="spellEnd"/>
      <w:r w:rsidR="00B21010">
        <w:rPr>
          <w:color w:val="000000"/>
          <w:lang w:val="en-US" w:eastAsia="en-US"/>
        </w:rPr>
        <w:t xml:space="preserve"> sections of the annual control report are therefore considered as the part of the annual summary on final audit reports requested under the </w:t>
      </w:r>
      <w:proofErr w:type="gramStart"/>
      <w:r w:rsidR="00B21010">
        <w:rPr>
          <w:color w:val="000000"/>
          <w:lang w:val="en-US" w:eastAsia="en-US"/>
        </w:rPr>
        <w:t>Financial</w:t>
      </w:r>
      <w:proofErr w:type="gramEnd"/>
      <w:r w:rsidR="00B21010">
        <w:rPr>
          <w:color w:val="000000"/>
          <w:lang w:val="en-US" w:eastAsia="en-US"/>
        </w:rPr>
        <w:t xml:space="preserve"> regulation. </w:t>
      </w:r>
    </w:p>
    <w:p w:rsidR="003C0D05" w:rsidRPr="003C0D05" w:rsidRDefault="003C0D05" w:rsidP="00B21010">
      <w:pPr>
        <w:spacing w:after="240"/>
        <w:jc w:val="both"/>
        <w:rPr>
          <w:color w:val="000000"/>
          <w:lang w:val="en-US" w:eastAsia="en-US"/>
        </w:rPr>
      </w:pPr>
      <w:r w:rsidRPr="003C0D05">
        <w:rPr>
          <w:color w:val="000000"/>
          <w:lang w:val="en-US" w:eastAsia="en-US"/>
        </w:rPr>
        <w:t xml:space="preserve">For the preparation of the annual summary, procedures </w:t>
      </w:r>
      <w:r>
        <w:rPr>
          <w:color w:val="000000"/>
          <w:lang w:val="en-US" w:eastAsia="en-US"/>
        </w:rPr>
        <w:t xml:space="preserve">should be </w:t>
      </w:r>
      <w:r w:rsidRPr="003C0D05">
        <w:rPr>
          <w:color w:val="000000"/>
          <w:lang w:val="en-US" w:eastAsia="en-US"/>
        </w:rPr>
        <w:t>in place to ensure</w:t>
      </w:r>
      <w:r>
        <w:rPr>
          <w:color w:val="000000"/>
          <w:lang w:val="en-US" w:eastAsia="en-US"/>
        </w:rPr>
        <w:t>:</w:t>
      </w:r>
      <w:r w:rsidRPr="003C0D05">
        <w:rPr>
          <w:color w:val="000000"/>
          <w:lang w:val="en-US" w:eastAsia="en-US"/>
        </w:rPr>
        <w:t xml:space="preserve"> </w:t>
      </w:r>
    </w:p>
    <w:p w:rsidR="003C0D05" w:rsidRPr="003C0D05" w:rsidRDefault="002B1CEE" w:rsidP="00B21010">
      <w:pPr>
        <w:widowControl w:val="0"/>
        <w:numPr>
          <w:ilvl w:val="0"/>
          <w:numId w:val="22"/>
        </w:numPr>
        <w:spacing w:after="240"/>
        <w:ind w:left="284" w:hanging="284"/>
        <w:jc w:val="both"/>
        <w:rPr>
          <w:color w:val="000000"/>
          <w:lang w:val="en-US" w:eastAsia="en-US"/>
        </w:rPr>
      </w:pPr>
      <w:r>
        <w:rPr>
          <w:color w:val="000000"/>
          <w:lang w:val="en-US" w:eastAsia="en-US"/>
        </w:rPr>
        <w:t xml:space="preserve">the collection </w:t>
      </w:r>
      <w:r w:rsidR="003C0D05" w:rsidRPr="003C0D05">
        <w:rPr>
          <w:color w:val="000000"/>
          <w:lang w:val="en-US" w:eastAsia="en-US"/>
        </w:rPr>
        <w:t xml:space="preserve">of the final results of all audits and controls carried out by the relevant bodies for each operational program, including management verifications carried out by the </w:t>
      </w:r>
      <w:r w:rsidR="00C2037E">
        <w:rPr>
          <w:color w:val="000000"/>
          <w:lang w:val="en-US" w:eastAsia="en-US"/>
        </w:rPr>
        <w:t>MA</w:t>
      </w:r>
      <w:r w:rsidR="003C0D05" w:rsidRPr="003C0D05">
        <w:rPr>
          <w:color w:val="000000"/>
          <w:lang w:val="en-US" w:eastAsia="en-US"/>
        </w:rPr>
        <w:t xml:space="preserve"> or on its behalf by intermediate bodies and audits carried out by or under the authority of the </w:t>
      </w:r>
      <w:r w:rsidR="00C2037E">
        <w:rPr>
          <w:color w:val="000000"/>
          <w:lang w:val="en-US" w:eastAsia="en-US"/>
        </w:rPr>
        <w:t>AA</w:t>
      </w:r>
      <w:r w:rsidR="003C0D05" w:rsidRPr="003C0D05">
        <w:rPr>
          <w:color w:val="000000"/>
          <w:lang w:val="en-US" w:eastAsia="en-US"/>
        </w:rPr>
        <w:t>;</w:t>
      </w:r>
    </w:p>
    <w:p w:rsidR="003C0D05" w:rsidRPr="003C0D05" w:rsidRDefault="00C66A88" w:rsidP="00B21010">
      <w:pPr>
        <w:widowControl w:val="0"/>
        <w:numPr>
          <w:ilvl w:val="0"/>
          <w:numId w:val="22"/>
        </w:numPr>
        <w:spacing w:after="240"/>
        <w:ind w:left="284" w:hanging="284"/>
        <w:jc w:val="both"/>
        <w:rPr>
          <w:color w:val="000000"/>
          <w:lang w:val="en-US" w:eastAsia="en-US"/>
        </w:rPr>
      </w:pPr>
      <w:r>
        <w:rPr>
          <w:color w:val="000000"/>
          <w:lang w:val="en-US" w:eastAsia="en-US"/>
        </w:rPr>
        <w:t>an</w:t>
      </w:r>
      <w:r w:rsidRPr="003C0D05">
        <w:rPr>
          <w:color w:val="000000"/>
          <w:lang w:val="en-US" w:eastAsia="en-US"/>
        </w:rPr>
        <w:t xml:space="preserve"> </w:t>
      </w:r>
      <w:r w:rsidR="003C0D05" w:rsidRPr="003C0D05">
        <w:rPr>
          <w:color w:val="000000"/>
          <w:lang w:val="en-US" w:eastAsia="en-US"/>
        </w:rPr>
        <w:t>analysis of the nature and extent of the errors and weaknesses identified in the systems and the subsequent follow-up to these deficiencies (corrective action taken or planned);</w:t>
      </w:r>
    </w:p>
    <w:p w:rsidR="003C0D05" w:rsidRPr="003C0D05" w:rsidRDefault="003C0D05" w:rsidP="00B21010">
      <w:pPr>
        <w:widowControl w:val="0"/>
        <w:numPr>
          <w:ilvl w:val="0"/>
          <w:numId w:val="22"/>
        </w:numPr>
        <w:spacing w:after="240"/>
        <w:ind w:left="284" w:hanging="284"/>
        <w:jc w:val="both"/>
        <w:rPr>
          <w:color w:val="000000"/>
          <w:lang w:val="en-US" w:eastAsia="en-US"/>
        </w:rPr>
      </w:pPr>
      <w:proofErr w:type="gramStart"/>
      <w:r w:rsidRPr="003C0D05">
        <w:rPr>
          <w:color w:val="000000"/>
          <w:lang w:val="en-US" w:eastAsia="en-US"/>
        </w:rPr>
        <w:t>the</w:t>
      </w:r>
      <w:proofErr w:type="gramEnd"/>
      <w:r w:rsidRPr="003C0D05">
        <w:rPr>
          <w:color w:val="000000"/>
          <w:lang w:val="en-US" w:eastAsia="en-US"/>
        </w:rPr>
        <w:t xml:space="preserve"> implementation of preventive and corrective action in case of identification of systemic errors.</w:t>
      </w:r>
    </w:p>
    <w:p w:rsidR="00E03901" w:rsidRPr="00580EFC" w:rsidRDefault="009C140A" w:rsidP="00B21010">
      <w:pPr>
        <w:pStyle w:val="Heading2"/>
        <w:spacing w:before="0" w:after="240"/>
        <w:rPr>
          <w:rFonts w:ascii="Times New Roman" w:hAnsi="Times New Roman"/>
          <w:i w:val="0"/>
          <w:sz w:val="24"/>
          <w:szCs w:val="24"/>
        </w:rPr>
      </w:pPr>
      <w:bookmarkStart w:id="42" w:name="_Toc411485844"/>
      <w:bookmarkStart w:id="43" w:name="_Toc411489388"/>
      <w:bookmarkStart w:id="44" w:name="_Toc420863621"/>
      <w:r>
        <w:rPr>
          <w:rFonts w:ascii="Times New Roman" w:hAnsi="Times New Roman"/>
          <w:i w:val="0"/>
          <w:sz w:val="24"/>
          <w:szCs w:val="24"/>
        </w:rPr>
        <w:t>2</w:t>
      </w:r>
      <w:r w:rsidR="00580EFC">
        <w:rPr>
          <w:rFonts w:ascii="Times New Roman" w:hAnsi="Times New Roman"/>
          <w:i w:val="0"/>
          <w:sz w:val="24"/>
          <w:szCs w:val="24"/>
        </w:rPr>
        <w:t>.</w:t>
      </w:r>
      <w:r>
        <w:rPr>
          <w:rFonts w:ascii="Times New Roman" w:hAnsi="Times New Roman"/>
          <w:i w:val="0"/>
          <w:sz w:val="24"/>
          <w:szCs w:val="24"/>
        </w:rPr>
        <w:t>1</w:t>
      </w:r>
      <w:r w:rsidR="00E03901" w:rsidRPr="00580EFC">
        <w:rPr>
          <w:rFonts w:ascii="Times New Roman" w:hAnsi="Times New Roman"/>
          <w:i w:val="0"/>
          <w:sz w:val="24"/>
          <w:szCs w:val="24"/>
        </w:rPr>
        <w:tab/>
      </w:r>
      <w:proofErr w:type="spellStart"/>
      <w:r w:rsidR="00580EFC">
        <w:rPr>
          <w:rFonts w:ascii="Times New Roman" w:hAnsi="Times New Roman"/>
          <w:i w:val="0"/>
          <w:sz w:val="24"/>
          <w:szCs w:val="24"/>
        </w:rPr>
        <w:t>W</w:t>
      </w:r>
      <w:r w:rsidR="004B2B87" w:rsidRPr="00580EFC">
        <w:rPr>
          <w:rFonts w:ascii="Times New Roman" w:hAnsi="Times New Roman"/>
          <w:i w:val="0"/>
          <w:sz w:val="24"/>
          <w:szCs w:val="24"/>
        </w:rPr>
        <w:t>ork</w:t>
      </w:r>
      <w:proofErr w:type="spellEnd"/>
      <w:r w:rsidR="004B2B87" w:rsidRPr="00580EFC">
        <w:rPr>
          <w:rFonts w:ascii="Times New Roman" w:hAnsi="Times New Roman"/>
          <w:i w:val="0"/>
          <w:sz w:val="24"/>
          <w:szCs w:val="24"/>
        </w:rPr>
        <w:t xml:space="preserve"> to </w:t>
      </w:r>
      <w:proofErr w:type="spellStart"/>
      <w:r w:rsidR="004B2B87" w:rsidRPr="00580EFC">
        <w:rPr>
          <w:rFonts w:ascii="Times New Roman" w:hAnsi="Times New Roman"/>
          <w:i w:val="0"/>
          <w:sz w:val="24"/>
          <w:szCs w:val="24"/>
        </w:rPr>
        <w:t>be</w:t>
      </w:r>
      <w:proofErr w:type="spellEnd"/>
      <w:r w:rsidR="004B2B87" w:rsidRPr="00580EFC">
        <w:rPr>
          <w:rFonts w:ascii="Times New Roman" w:hAnsi="Times New Roman"/>
          <w:i w:val="0"/>
          <w:sz w:val="24"/>
          <w:szCs w:val="24"/>
        </w:rPr>
        <w:t xml:space="preserve"> </w:t>
      </w:r>
      <w:proofErr w:type="spellStart"/>
      <w:r w:rsidR="004B2B87" w:rsidRPr="00580EFC">
        <w:rPr>
          <w:rFonts w:ascii="Times New Roman" w:hAnsi="Times New Roman"/>
          <w:i w:val="0"/>
          <w:sz w:val="24"/>
          <w:szCs w:val="24"/>
        </w:rPr>
        <w:t>performed</w:t>
      </w:r>
      <w:proofErr w:type="spellEnd"/>
      <w:r w:rsidR="004B2B87" w:rsidRPr="00580EFC">
        <w:rPr>
          <w:rFonts w:ascii="Times New Roman" w:hAnsi="Times New Roman"/>
          <w:i w:val="0"/>
          <w:sz w:val="24"/>
          <w:szCs w:val="24"/>
        </w:rPr>
        <w:t xml:space="preserve"> by </w:t>
      </w:r>
      <w:proofErr w:type="spellStart"/>
      <w:r w:rsidR="004B2B87" w:rsidRPr="00580EFC">
        <w:rPr>
          <w:rFonts w:ascii="Times New Roman" w:hAnsi="Times New Roman"/>
          <w:i w:val="0"/>
          <w:sz w:val="24"/>
          <w:szCs w:val="24"/>
        </w:rPr>
        <w:t>the</w:t>
      </w:r>
      <w:proofErr w:type="spellEnd"/>
      <w:r w:rsidR="004B2B87" w:rsidRPr="00580EFC">
        <w:rPr>
          <w:rFonts w:ascii="Times New Roman" w:hAnsi="Times New Roman"/>
          <w:i w:val="0"/>
          <w:sz w:val="24"/>
          <w:szCs w:val="24"/>
        </w:rPr>
        <w:t xml:space="preserve"> </w:t>
      </w:r>
      <w:r w:rsidR="00C2037E" w:rsidRPr="00580EFC">
        <w:rPr>
          <w:rFonts w:ascii="Times New Roman" w:hAnsi="Times New Roman"/>
          <w:i w:val="0"/>
          <w:sz w:val="24"/>
          <w:szCs w:val="24"/>
        </w:rPr>
        <w:t>MA</w:t>
      </w:r>
      <w:r w:rsidR="00CF74C4" w:rsidRPr="00580EFC">
        <w:rPr>
          <w:rFonts w:ascii="Times New Roman" w:hAnsi="Times New Roman"/>
          <w:i w:val="0"/>
          <w:sz w:val="24"/>
          <w:szCs w:val="24"/>
        </w:rPr>
        <w:t xml:space="preserve"> </w:t>
      </w:r>
      <w:proofErr w:type="spellStart"/>
      <w:r w:rsidR="00370DA5">
        <w:rPr>
          <w:rFonts w:ascii="Times New Roman" w:hAnsi="Times New Roman"/>
          <w:i w:val="0"/>
          <w:sz w:val="24"/>
          <w:szCs w:val="24"/>
        </w:rPr>
        <w:t>for</w:t>
      </w:r>
      <w:proofErr w:type="spellEnd"/>
      <w:r w:rsidR="00370DA5">
        <w:rPr>
          <w:rFonts w:ascii="Times New Roman" w:hAnsi="Times New Roman"/>
          <w:i w:val="0"/>
          <w:sz w:val="24"/>
          <w:szCs w:val="24"/>
        </w:rPr>
        <w:t xml:space="preserve"> </w:t>
      </w:r>
      <w:proofErr w:type="spellStart"/>
      <w:r w:rsidR="00CF74C4" w:rsidRPr="00580EFC">
        <w:rPr>
          <w:rFonts w:ascii="Times New Roman" w:hAnsi="Times New Roman"/>
          <w:i w:val="0"/>
          <w:sz w:val="24"/>
          <w:szCs w:val="24"/>
        </w:rPr>
        <w:t>drawing</w:t>
      </w:r>
      <w:proofErr w:type="spellEnd"/>
      <w:r w:rsidR="00CF74C4" w:rsidRPr="00580EFC">
        <w:rPr>
          <w:rFonts w:ascii="Times New Roman" w:hAnsi="Times New Roman"/>
          <w:i w:val="0"/>
          <w:sz w:val="24"/>
          <w:szCs w:val="24"/>
        </w:rPr>
        <w:t xml:space="preserve"> up </w:t>
      </w:r>
      <w:proofErr w:type="spellStart"/>
      <w:r w:rsidR="00CF74C4" w:rsidRPr="00580EFC">
        <w:rPr>
          <w:rFonts w:ascii="Times New Roman" w:hAnsi="Times New Roman"/>
          <w:i w:val="0"/>
          <w:sz w:val="24"/>
          <w:szCs w:val="24"/>
        </w:rPr>
        <w:t>the</w:t>
      </w:r>
      <w:proofErr w:type="spellEnd"/>
      <w:r w:rsidR="00CF74C4" w:rsidRPr="00580EFC">
        <w:rPr>
          <w:rFonts w:ascii="Times New Roman" w:hAnsi="Times New Roman"/>
          <w:i w:val="0"/>
          <w:sz w:val="24"/>
          <w:szCs w:val="24"/>
        </w:rPr>
        <w:t xml:space="preserve"> </w:t>
      </w:r>
      <w:proofErr w:type="spellStart"/>
      <w:r w:rsidR="00CF74C4" w:rsidRPr="00580EFC">
        <w:rPr>
          <w:rFonts w:ascii="Times New Roman" w:hAnsi="Times New Roman"/>
          <w:i w:val="0"/>
          <w:sz w:val="24"/>
          <w:szCs w:val="24"/>
        </w:rPr>
        <w:t>Annual</w:t>
      </w:r>
      <w:proofErr w:type="spellEnd"/>
      <w:r w:rsidR="00CF74C4" w:rsidRPr="00580EFC">
        <w:rPr>
          <w:rFonts w:ascii="Times New Roman" w:hAnsi="Times New Roman"/>
          <w:i w:val="0"/>
          <w:sz w:val="24"/>
          <w:szCs w:val="24"/>
        </w:rPr>
        <w:t xml:space="preserve"> </w:t>
      </w:r>
      <w:proofErr w:type="spellStart"/>
      <w:r w:rsidR="00CF74C4" w:rsidRPr="00580EFC">
        <w:rPr>
          <w:rFonts w:ascii="Times New Roman" w:hAnsi="Times New Roman"/>
          <w:i w:val="0"/>
          <w:sz w:val="24"/>
          <w:szCs w:val="24"/>
        </w:rPr>
        <w:t>Summary</w:t>
      </w:r>
      <w:bookmarkEnd w:id="42"/>
      <w:bookmarkEnd w:id="43"/>
      <w:bookmarkEnd w:id="44"/>
      <w:proofErr w:type="spellEnd"/>
    </w:p>
    <w:p w:rsidR="00C23E34" w:rsidRPr="00580EFC" w:rsidRDefault="009C140A" w:rsidP="00B21010">
      <w:pPr>
        <w:pStyle w:val="Heading2"/>
        <w:spacing w:before="0" w:after="240"/>
        <w:ind w:left="709"/>
        <w:rPr>
          <w:rFonts w:ascii="Times New Roman" w:hAnsi="Times New Roman" w:cs="Times New Roman"/>
          <w:i w:val="0"/>
          <w:sz w:val="24"/>
          <w:szCs w:val="24"/>
          <w:lang w:val="en"/>
        </w:rPr>
      </w:pPr>
      <w:bookmarkStart w:id="45" w:name="_Toc411489389"/>
      <w:bookmarkStart w:id="46" w:name="_Toc420863622"/>
      <w:r>
        <w:rPr>
          <w:rFonts w:ascii="Times New Roman" w:hAnsi="Times New Roman" w:cs="Times New Roman"/>
          <w:i w:val="0"/>
          <w:sz w:val="24"/>
          <w:szCs w:val="24"/>
          <w:lang w:val="en"/>
        </w:rPr>
        <w:t>2</w:t>
      </w:r>
      <w:r w:rsidR="00C23E34" w:rsidRPr="00580EFC">
        <w:rPr>
          <w:rFonts w:ascii="Times New Roman" w:hAnsi="Times New Roman" w:cs="Times New Roman"/>
          <w:i w:val="0"/>
          <w:sz w:val="24"/>
          <w:szCs w:val="24"/>
          <w:lang w:val="en"/>
        </w:rPr>
        <w:t>.1</w:t>
      </w:r>
      <w:r>
        <w:rPr>
          <w:rFonts w:ascii="Times New Roman" w:hAnsi="Times New Roman" w:cs="Times New Roman"/>
          <w:i w:val="0"/>
          <w:sz w:val="24"/>
          <w:szCs w:val="24"/>
          <w:lang w:val="en"/>
        </w:rPr>
        <w:t>.1</w:t>
      </w:r>
      <w:r w:rsidR="00C23E34" w:rsidRPr="00580EFC">
        <w:rPr>
          <w:rFonts w:ascii="Times New Roman" w:hAnsi="Times New Roman" w:cs="Times New Roman"/>
          <w:i w:val="0"/>
          <w:sz w:val="24"/>
          <w:szCs w:val="24"/>
          <w:lang w:val="en"/>
        </w:rPr>
        <w:t xml:space="preserve"> Introduction</w:t>
      </w:r>
      <w:bookmarkEnd w:id="45"/>
      <w:bookmarkEnd w:id="46"/>
    </w:p>
    <w:p w:rsidR="007900C9" w:rsidRDefault="003104B0" w:rsidP="00B21010">
      <w:pPr>
        <w:spacing w:after="240"/>
        <w:jc w:val="both"/>
        <w:rPr>
          <w:lang w:val="en-GB"/>
        </w:rPr>
      </w:pPr>
      <w:r w:rsidRPr="002B730E">
        <w:rPr>
          <w:lang w:val="en-GB"/>
        </w:rPr>
        <w:t>The MA</w:t>
      </w:r>
      <w:r w:rsidR="00D97FF0">
        <w:rPr>
          <w:lang w:val="en-GB"/>
        </w:rPr>
        <w:t xml:space="preserve"> </w:t>
      </w:r>
      <w:r w:rsidR="007900C9">
        <w:rPr>
          <w:lang w:val="en-GB"/>
        </w:rPr>
        <w:t xml:space="preserve">should include all relevant data </w:t>
      </w:r>
      <w:r w:rsidR="00B21010">
        <w:rPr>
          <w:lang w:val="en-GB"/>
        </w:rPr>
        <w:t>on management verifications carried out an</w:t>
      </w:r>
      <w:r w:rsidR="003824F7">
        <w:rPr>
          <w:lang w:val="en-GB"/>
        </w:rPr>
        <w:t>d</w:t>
      </w:r>
      <w:r w:rsidR="00B21010">
        <w:rPr>
          <w:lang w:val="en-GB"/>
        </w:rPr>
        <w:t xml:space="preserve"> the resulting analysis </w:t>
      </w:r>
      <w:r w:rsidR="007900C9">
        <w:rPr>
          <w:lang w:val="en-GB"/>
        </w:rPr>
        <w:t xml:space="preserve">in the annual summary </w:t>
      </w:r>
      <w:r w:rsidR="00F25BC4">
        <w:rPr>
          <w:lang w:val="en-GB"/>
        </w:rPr>
        <w:t>itself</w:t>
      </w:r>
      <w:r w:rsidR="00B0577F">
        <w:rPr>
          <w:lang w:val="en-GB"/>
        </w:rPr>
        <w:t>,</w:t>
      </w:r>
      <w:r w:rsidR="007900C9">
        <w:rPr>
          <w:lang w:val="en-GB"/>
        </w:rPr>
        <w:t xml:space="preserve"> assign the responsibility </w:t>
      </w:r>
      <w:r w:rsidR="00370DA5">
        <w:rPr>
          <w:lang w:val="en-GB"/>
        </w:rPr>
        <w:t>for</w:t>
      </w:r>
      <w:r w:rsidR="007900C9">
        <w:rPr>
          <w:lang w:val="en-GB"/>
        </w:rPr>
        <w:t xml:space="preserve"> aggregat</w:t>
      </w:r>
      <w:r w:rsidR="00370DA5">
        <w:rPr>
          <w:lang w:val="en-GB"/>
        </w:rPr>
        <w:t>ing</w:t>
      </w:r>
      <w:r w:rsidR="007900C9">
        <w:rPr>
          <w:lang w:val="en-GB"/>
        </w:rPr>
        <w:t xml:space="preserve"> the information to different bodies</w:t>
      </w:r>
      <w:r w:rsidR="00B0577F">
        <w:rPr>
          <w:lang w:val="en-GB"/>
        </w:rPr>
        <w:t xml:space="preserve"> </w:t>
      </w:r>
      <w:r w:rsidR="003824F7">
        <w:rPr>
          <w:lang w:val="en-GB"/>
        </w:rPr>
        <w:t>or</w:t>
      </w:r>
      <w:r w:rsidR="00B0577F">
        <w:rPr>
          <w:lang w:val="en-GB"/>
        </w:rPr>
        <w:t xml:space="preserve"> </w:t>
      </w:r>
      <w:r w:rsidR="00D068FE">
        <w:rPr>
          <w:lang w:val="en-GB"/>
        </w:rPr>
        <w:t xml:space="preserve">in the case of audits </w:t>
      </w:r>
      <w:r w:rsidR="00B0577F">
        <w:rPr>
          <w:lang w:val="en-GB"/>
        </w:rPr>
        <w:t>make cross-reference</w:t>
      </w:r>
      <w:r w:rsidR="00370DA5">
        <w:rPr>
          <w:lang w:val="en-GB"/>
        </w:rPr>
        <w:t>s</w:t>
      </w:r>
      <w:r w:rsidR="00B0577F">
        <w:rPr>
          <w:lang w:val="en-GB"/>
        </w:rPr>
        <w:t xml:space="preserve"> to the annual control report</w:t>
      </w:r>
      <w:r w:rsidR="007900C9">
        <w:rPr>
          <w:lang w:val="en-GB"/>
        </w:rPr>
        <w:t xml:space="preserve">, as deemed appropriate. </w:t>
      </w:r>
    </w:p>
    <w:p w:rsidR="005653D7" w:rsidRDefault="007900C9" w:rsidP="00B21010">
      <w:pPr>
        <w:spacing w:after="240"/>
        <w:jc w:val="both"/>
        <w:rPr>
          <w:lang w:val="en-GB"/>
        </w:rPr>
      </w:pPr>
      <w:r>
        <w:rPr>
          <w:lang w:val="en-GB"/>
        </w:rPr>
        <w:t xml:space="preserve">The list of controls carried out should be </w:t>
      </w:r>
      <w:r w:rsidR="00D93648">
        <w:rPr>
          <w:lang w:val="en-GB"/>
        </w:rPr>
        <w:t xml:space="preserve">compiled </w:t>
      </w:r>
      <w:r w:rsidR="005653D7">
        <w:rPr>
          <w:lang w:val="en-GB"/>
        </w:rPr>
        <w:t xml:space="preserve">by the MA on the basis of the administrative verifications and on-the-spot checks </w:t>
      </w:r>
      <w:r w:rsidR="00FB16DB">
        <w:rPr>
          <w:lang w:val="en-GB"/>
        </w:rPr>
        <w:t xml:space="preserve">directly </w:t>
      </w:r>
      <w:r w:rsidR="006351D3">
        <w:rPr>
          <w:lang w:val="en-GB"/>
        </w:rPr>
        <w:t xml:space="preserve">performed </w:t>
      </w:r>
      <w:r w:rsidR="00B11F84">
        <w:rPr>
          <w:lang w:val="en-GB"/>
        </w:rPr>
        <w:t xml:space="preserve">by </w:t>
      </w:r>
      <w:r w:rsidR="006E3137">
        <w:rPr>
          <w:lang w:val="en-GB"/>
        </w:rPr>
        <w:t>it</w:t>
      </w:r>
      <w:r w:rsidR="00B11F84">
        <w:rPr>
          <w:lang w:val="en-GB"/>
        </w:rPr>
        <w:t xml:space="preserve"> </w:t>
      </w:r>
      <w:r w:rsidR="005653D7">
        <w:rPr>
          <w:lang w:val="en-GB"/>
        </w:rPr>
        <w:t xml:space="preserve">or by any intermediate body to which </w:t>
      </w:r>
      <w:r w:rsidR="00B21010">
        <w:rPr>
          <w:lang w:val="en-GB"/>
        </w:rPr>
        <w:t xml:space="preserve">it has delegated </w:t>
      </w:r>
      <w:r w:rsidR="005653D7">
        <w:rPr>
          <w:lang w:val="en-GB"/>
        </w:rPr>
        <w:t>such controls</w:t>
      </w:r>
      <w:r w:rsidR="00B21010">
        <w:rPr>
          <w:lang w:val="en-GB"/>
        </w:rPr>
        <w:t>, under its supervision</w:t>
      </w:r>
      <w:r w:rsidR="005653D7">
        <w:rPr>
          <w:lang w:val="en-GB"/>
        </w:rPr>
        <w:t>.</w:t>
      </w:r>
      <w:r w:rsidR="00BC0CDA">
        <w:rPr>
          <w:lang w:val="en-GB"/>
        </w:rPr>
        <w:t xml:space="preserve"> </w:t>
      </w:r>
    </w:p>
    <w:p w:rsidR="00761758" w:rsidRDefault="00761758" w:rsidP="00B21010">
      <w:pPr>
        <w:spacing w:after="240"/>
        <w:jc w:val="both"/>
        <w:rPr>
          <w:lang w:val="en-GB"/>
        </w:rPr>
      </w:pPr>
      <w:r>
        <w:rPr>
          <w:lang w:val="en-GB"/>
        </w:rPr>
        <w:t xml:space="preserve">For ETC programmes, each participating Member State or third country may decide to designate a body or person for carrying out such controls in relation to beneficiaries on its territory (the "controllers"). In this case, the MA shall satisfy itself that the expenditure </w:t>
      </w:r>
      <w:r w:rsidR="002A50B1">
        <w:rPr>
          <w:lang w:val="en-GB"/>
        </w:rPr>
        <w:t xml:space="preserve">declared by </w:t>
      </w:r>
      <w:r>
        <w:rPr>
          <w:lang w:val="en-GB"/>
        </w:rPr>
        <w:t xml:space="preserve">each beneficiary participating in an operation has been verified by a designated controller and that the </w:t>
      </w:r>
      <w:r w:rsidR="00DD3188">
        <w:rPr>
          <w:lang w:val="en-GB"/>
        </w:rPr>
        <w:t xml:space="preserve">results of the </w:t>
      </w:r>
      <w:r w:rsidR="002A50B1">
        <w:rPr>
          <w:lang w:val="en-GB"/>
        </w:rPr>
        <w:t>verifications</w:t>
      </w:r>
      <w:r w:rsidR="00DD3188">
        <w:rPr>
          <w:lang w:val="en-GB"/>
        </w:rPr>
        <w:t xml:space="preserve"> are</w:t>
      </w:r>
      <w:r>
        <w:rPr>
          <w:lang w:val="en-GB"/>
        </w:rPr>
        <w:t xml:space="preserve"> reported in the annual summary.  </w:t>
      </w:r>
    </w:p>
    <w:p w:rsidR="00C23E34" w:rsidRPr="00580EFC" w:rsidRDefault="009C140A" w:rsidP="00B21010">
      <w:pPr>
        <w:pStyle w:val="Heading2"/>
        <w:spacing w:before="0" w:after="240"/>
        <w:ind w:left="709"/>
        <w:rPr>
          <w:rFonts w:ascii="Times New Roman" w:hAnsi="Times New Roman" w:cs="Times New Roman"/>
          <w:i w:val="0"/>
          <w:sz w:val="24"/>
          <w:szCs w:val="24"/>
          <w:lang w:val="en"/>
        </w:rPr>
      </w:pPr>
      <w:bookmarkStart w:id="47" w:name="_Toc411489390"/>
      <w:bookmarkStart w:id="48" w:name="_Toc420863623"/>
      <w:r>
        <w:rPr>
          <w:rFonts w:ascii="Times New Roman" w:hAnsi="Times New Roman" w:cs="Times New Roman"/>
          <w:i w:val="0"/>
          <w:sz w:val="24"/>
          <w:szCs w:val="24"/>
          <w:lang w:val="en"/>
        </w:rPr>
        <w:lastRenderedPageBreak/>
        <w:t>2</w:t>
      </w:r>
      <w:r w:rsidR="00C23E34" w:rsidRPr="00580EFC">
        <w:rPr>
          <w:rFonts w:ascii="Times New Roman" w:hAnsi="Times New Roman" w:cs="Times New Roman"/>
          <w:i w:val="0"/>
          <w:sz w:val="24"/>
          <w:szCs w:val="24"/>
          <w:lang w:val="en"/>
        </w:rPr>
        <w:t>.</w:t>
      </w:r>
      <w:r>
        <w:rPr>
          <w:rFonts w:ascii="Times New Roman" w:hAnsi="Times New Roman" w:cs="Times New Roman"/>
          <w:i w:val="0"/>
          <w:sz w:val="24"/>
          <w:szCs w:val="24"/>
          <w:lang w:val="en"/>
        </w:rPr>
        <w:t>1.</w:t>
      </w:r>
      <w:r w:rsidR="00C23E34" w:rsidRPr="00580EFC">
        <w:rPr>
          <w:rFonts w:ascii="Times New Roman" w:hAnsi="Times New Roman" w:cs="Times New Roman"/>
          <w:i w:val="0"/>
          <w:sz w:val="24"/>
          <w:szCs w:val="24"/>
          <w:lang w:val="en"/>
        </w:rPr>
        <w:t>2 Summary of final audit reports</w:t>
      </w:r>
      <w:bookmarkEnd w:id="47"/>
      <w:bookmarkEnd w:id="48"/>
      <w:r w:rsidR="00B261B1" w:rsidRPr="00580EFC">
        <w:rPr>
          <w:rFonts w:ascii="Times New Roman" w:hAnsi="Times New Roman" w:cs="Times New Roman"/>
          <w:i w:val="0"/>
          <w:sz w:val="24"/>
          <w:szCs w:val="24"/>
          <w:lang w:val="en"/>
        </w:rPr>
        <w:t xml:space="preserve"> </w:t>
      </w:r>
    </w:p>
    <w:p w:rsidR="0036177F" w:rsidRDefault="00370DA5" w:rsidP="00B21010">
      <w:pPr>
        <w:spacing w:after="240"/>
        <w:jc w:val="both"/>
        <w:rPr>
          <w:lang w:val="en-GB"/>
        </w:rPr>
      </w:pPr>
      <w:r>
        <w:rPr>
          <w:lang w:val="en-GB"/>
        </w:rPr>
        <w:t>D</w:t>
      </w:r>
      <w:r w:rsidR="0036177F">
        <w:rPr>
          <w:lang w:val="en-GB"/>
        </w:rPr>
        <w:t xml:space="preserve">uplication of information </w:t>
      </w:r>
      <w:r>
        <w:rPr>
          <w:lang w:val="en-GB"/>
        </w:rPr>
        <w:t xml:space="preserve">relating </w:t>
      </w:r>
      <w:r w:rsidR="0036177F">
        <w:rPr>
          <w:lang w:val="en-GB"/>
        </w:rPr>
        <w:t xml:space="preserve">to final audit reports </w:t>
      </w:r>
      <w:r>
        <w:rPr>
          <w:lang w:val="en-GB"/>
        </w:rPr>
        <w:t xml:space="preserve">should be avoided where this information is already </w:t>
      </w:r>
      <w:r w:rsidR="0036177F">
        <w:rPr>
          <w:lang w:val="en-GB"/>
        </w:rPr>
        <w:t>included in the annual control report prepared by the AA.</w:t>
      </w:r>
    </w:p>
    <w:p w:rsidR="000C5F01" w:rsidRPr="00580EFC" w:rsidRDefault="009C140A" w:rsidP="00B21010">
      <w:pPr>
        <w:pStyle w:val="Heading2"/>
        <w:spacing w:before="0" w:after="240"/>
        <w:ind w:left="1416"/>
        <w:rPr>
          <w:rFonts w:ascii="Times New Roman" w:hAnsi="Times New Roman" w:cs="Times New Roman"/>
          <w:i w:val="0"/>
          <w:sz w:val="24"/>
          <w:szCs w:val="24"/>
          <w:lang w:val="en"/>
        </w:rPr>
      </w:pPr>
      <w:bookmarkStart w:id="49" w:name="_Toc411489391"/>
      <w:bookmarkStart w:id="50" w:name="_Toc420863624"/>
      <w:r>
        <w:rPr>
          <w:rFonts w:ascii="Times New Roman" w:hAnsi="Times New Roman" w:cs="Times New Roman"/>
          <w:i w:val="0"/>
          <w:sz w:val="24"/>
          <w:szCs w:val="24"/>
          <w:lang w:val="en"/>
        </w:rPr>
        <w:t>2</w:t>
      </w:r>
      <w:r w:rsidR="000C5F01" w:rsidRPr="00580EFC">
        <w:rPr>
          <w:rFonts w:ascii="Times New Roman" w:hAnsi="Times New Roman" w:cs="Times New Roman"/>
          <w:i w:val="0"/>
          <w:sz w:val="24"/>
          <w:szCs w:val="24"/>
          <w:lang w:val="en"/>
        </w:rPr>
        <w:t>.</w:t>
      </w:r>
      <w:r>
        <w:rPr>
          <w:rFonts w:ascii="Times New Roman" w:hAnsi="Times New Roman" w:cs="Times New Roman"/>
          <w:i w:val="0"/>
          <w:sz w:val="24"/>
          <w:szCs w:val="24"/>
          <w:lang w:val="en"/>
        </w:rPr>
        <w:t>1.</w:t>
      </w:r>
      <w:r w:rsidR="000C5F01" w:rsidRPr="00580EFC">
        <w:rPr>
          <w:rFonts w:ascii="Times New Roman" w:hAnsi="Times New Roman" w:cs="Times New Roman"/>
          <w:i w:val="0"/>
          <w:sz w:val="24"/>
          <w:szCs w:val="24"/>
          <w:lang w:val="en"/>
        </w:rPr>
        <w:t>2.1 Procedural aspects</w:t>
      </w:r>
      <w:bookmarkEnd w:id="49"/>
      <w:bookmarkEnd w:id="50"/>
    </w:p>
    <w:p w:rsidR="008B38E6" w:rsidRPr="00EE28F1" w:rsidRDefault="00370DA5" w:rsidP="00B21010">
      <w:pPr>
        <w:spacing w:after="240"/>
        <w:jc w:val="both"/>
        <w:rPr>
          <w:u w:val="single"/>
          <w:lang w:val="en-GB"/>
        </w:rPr>
      </w:pPr>
      <w:r>
        <w:rPr>
          <w:lang w:val="en-GB"/>
        </w:rPr>
        <w:t>Where</w:t>
      </w:r>
      <w:r w:rsidR="008B38E6">
        <w:rPr>
          <w:lang w:val="en-GB"/>
        </w:rPr>
        <w:t xml:space="preserve"> the MA include</w:t>
      </w:r>
      <w:r w:rsidR="008037F0">
        <w:rPr>
          <w:lang w:val="en-GB"/>
        </w:rPr>
        <w:t>s</w:t>
      </w:r>
      <w:r w:rsidR="008B38E6">
        <w:rPr>
          <w:lang w:val="en-GB"/>
        </w:rPr>
        <w:t xml:space="preserve"> all the relevant data in the annual summary itself, the summary of final audit reports should be prepared by the MA based on information received from the AA</w:t>
      </w:r>
      <w:r w:rsidR="008B38E6" w:rsidRPr="00E85A88">
        <w:rPr>
          <w:b/>
          <w:lang w:val="en-GB"/>
        </w:rPr>
        <w:t xml:space="preserve">. </w:t>
      </w:r>
      <w:r w:rsidR="008B38E6" w:rsidRPr="002C44C6">
        <w:rPr>
          <w:lang w:val="en-GB"/>
        </w:rPr>
        <w:t xml:space="preserve">It is therefore essential that the AA makes all the final audit reports (system audit reports, reports on audit of operations, report on the audit of the accounts) </w:t>
      </w:r>
      <w:r w:rsidR="007B0E1B">
        <w:rPr>
          <w:lang w:val="en-GB"/>
        </w:rPr>
        <w:t xml:space="preserve">available to the MA </w:t>
      </w:r>
      <w:r w:rsidR="008B38E6" w:rsidRPr="002C44C6">
        <w:rPr>
          <w:lang w:val="en-GB"/>
        </w:rPr>
        <w:t>on a timely basis.</w:t>
      </w:r>
      <w:r w:rsidR="008B38E6" w:rsidRPr="00EE28F1">
        <w:rPr>
          <w:u w:val="single"/>
          <w:lang w:val="en-GB"/>
        </w:rPr>
        <w:t xml:space="preserve"> </w:t>
      </w:r>
    </w:p>
    <w:p w:rsidR="00705CCF" w:rsidRDefault="00705CCF" w:rsidP="00B21010">
      <w:pPr>
        <w:spacing w:after="240"/>
        <w:jc w:val="both"/>
        <w:rPr>
          <w:lang w:val="en-GB"/>
        </w:rPr>
      </w:pPr>
      <w:r>
        <w:rPr>
          <w:lang w:val="en-GB"/>
        </w:rPr>
        <w:t xml:space="preserve">In case the responsibility </w:t>
      </w:r>
      <w:r w:rsidR="006A1BF0">
        <w:rPr>
          <w:lang w:val="en-GB"/>
        </w:rPr>
        <w:t xml:space="preserve">for aggregating </w:t>
      </w:r>
      <w:r>
        <w:rPr>
          <w:lang w:val="en-GB"/>
        </w:rPr>
        <w:t xml:space="preserve">the information related to the summary of final audit reports </w:t>
      </w:r>
      <w:r w:rsidR="008037F0">
        <w:rPr>
          <w:lang w:val="en-GB"/>
        </w:rPr>
        <w:t xml:space="preserve">is assigned </w:t>
      </w:r>
      <w:r>
        <w:rPr>
          <w:lang w:val="en-GB"/>
        </w:rPr>
        <w:t xml:space="preserve">to different bodies (MA, AA, delegated audit bodies), there should be arrangements in place between those bodies </w:t>
      </w:r>
      <w:r w:rsidR="007B0E1B">
        <w:rPr>
          <w:lang w:val="en-GB"/>
        </w:rPr>
        <w:t xml:space="preserve">to ensure adequate co-ordination </w:t>
      </w:r>
      <w:r>
        <w:rPr>
          <w:lang w:val="en-GB"/>
        </w:rPr>
        <w:t>and a reliable information system which supports the gathering of data.</w:t>
      </w:r>
      <w:r w:rsidR="0013297B">
        <w:rPr>
          <w:lang w:val="en-GB"/>
        </w:rPr>
        <w:t xml:space="preserve"> In case of a common database, the AA and, where applicable, the delegated audit bodies encode the data related to the final audit reports directly</w:t>
      </w:r>
      <w:r w:rsidR="00621635">
        <w:rPr>
          <w:lang w:val="en-GB"/>
        </w:rPr>
        <w:t xml:space="preserve"> into </w:t>
      </w:r>
      <w:r w:rsidR="00D446C9">
        <w:rPr>
          <w:lang w:val="en-GB"/>
        </w:rPr>
        <w:t>the common database</w:t>
      </w:r>
      <w:r w:rsidR="00BB3E11">
        <w:rPr>
          <w:lang w:val="en-GB"/>
        </w:rPr>
        <w:t xml:space="preserve"> for the purpose of </w:t>
      </w:r>
      <w:r w:rsidR="007B0E1B">
        <w:rPr>
          <w:lang w:val="en-GB"/>
        </w:rPr>
        <w:t xml:space="preserve">both </w:t>
      </w:r>
      <w:r w:rsidR="00BB3E11">
        <w:rPr>
          <w:lang w:val="en-GB"/>
        </w:rPr>
        <w:t>the annual summary of the MA and the ACR</w:t>
      </w:r>
      <w:r w:rsidR="00621635">
        <w:rPr>
          <w:lang w:val="en-GB"/>
        </w:rPr>
        <w:t>.</w:t>
      </w:r>
      <w:r w:rsidR="0013297B">
        <w:rPr>
          <w:lang w:val="en-GB"/>
        </w:rPr>
        <w:t xml:space="preserve"> </w:t>
      </w:r>
      <w:r>
        <w:rPr>
          <w:lang w:val="en-GB"/>
        </w:rPr>
        <w:t xml:space="preserve"> </w:t>
      </w:r>
    </w:p>
    <w:p w:rsidR="007D1D82" w:rsidRPr="00AA4CCA" w:rsidRDefault="003E6B03" w:rsidP="00B21010">
      <w:pPr>
        <w:spacing w:after="240"/>
        <w:jc w:val="both"/>
        <w:rPr>
          <w:b/>
          <w:lang w:val="en-GB"/>
        </w:rPr>
      </w:pPr>
      <w:r w:rsidRPr="00AA4CCA">
        <w:rPr>
          <w:b/>
          <w:lang w:val="en-GB"/>
        </w:rPr>
        <w:t xml:space="preserve">In case the MA decides </w:t>
      </w:r>
      <w:r w:rsidR="007D1D82" w:rsidRPr="00AA4CCA">
        <w:rPr>
          <w:b/>
          <w:lang w:val="en-GB"/>
        </w:rPr>
        <w:t>not to repeat information already provided by the AA in the ACR, it should include in the annual summary appropriate cross-</w:t>
      </w:r>
      <w:r w:rsidRPr="00AA4CCA">
        <w:rPr>
          <w:b/>
          <w:lang w:val="en-GB"/>
        </w:rPr>
        <w:t>refer</w:t>
      </w:r>
      <w:r w:rsidR="007D1D82" w:rsidRPr="00AA4CCA">
        <w:rPr>
          <w:b/>
          <w:lang w:val="en-GB"/>
        </w:rPr>
        <w:t>ences</w:t>
      </w:r>
      <w:r w:rsidRPr="00AA4CCA">
        <w:rPr>
          <w:b/>
          <w:lang w:val="en-GB"/>
        </w:rPr>
        <w:t xml:space="preserve"> to the relevant sections of the </w:t>
      </w:r>
      <w:proofErr w:type="gramStart"/>
      <w:r w:rsidR="007D1D82" w:rsidRPr="00AA4CCA">
        <w:rPr>
          <w:b/>
          <w:lang w:val="en-GB"/>
        </w:rPr>
        <w:t xml:space="preserve">ACR </w:t>
      </w:r>
      <w:r w:rsidRPr="00AA4CCA">
        <w:rPr>
          <w:b/>
          <w:lang w:val="en-GB"/>
        </w:rPr>
        <w:t xml:space="preserve"> </w:t>
      </w:r>
      <w:r w:rsidR="007D1D82" w:rsidRPr="00AA4CCA">
        <w:rPr>
          <w:b/>
          <w:lang w:val="en-GB"/>
        </w:rPr>
        <w:t>(</w:t>
      </w:r>
      <w:proofErr w:type="gramEnd"/>
      <w:r w:rsidR="007D1D82" w:rsidRPr="00AA4CCA">
        <w:rPr>
          <w:b/>
          <w:lang w:val="en-GB"/>
        </w:rPr>
        <w:t xml:space="preserve">see </w:t>
      </w:r>
      <w:r w:rsidR="0037363F">
        <w:rPr>
          <w:b/>
          <w:lang w:val="en-GB"/>
        </w:rPr>
        <w:t xml:space="preserve">model of the annual summary </w:t>
      </w:r>
      <w:r w:rsidR="002A50B1">
        <w:rPr>
          <w:b/>
          <w:lang w:val="en-GB"/>
        </w:rPr>
        <w:t xml:space="preserve">proposed in </w:t>
      </w:r>
      <w:r w:rsidR="007D1D82" w:rsidRPr="00AA4CCA">
        <w:rPr>
          <w:b/>
          <w:lang w:val="en-GB"/>
        </w:rPr>
        <w:t>Annex 1).</w:t>
      </w:r>
    </w:p>
    <w:p w:rsidR="000C5F01" w:rsidRPr="00580EFC" w:rsidRDefault="009C140A" w:rsidP="00B21010">
      <w:pPr>
        <w:pStyle w:val="Heading2"/>
        <w:spacing w:before="0" w:after="240"/>
        <w:ind w:left="1416"/>
        <w:rPr>
          <w:rFonts w:ascii="Times New Roman" w:hAnsi="Times New Roman" w:cs="Times New Roman"/>
          <w:i w:val="0"/>
          <w:sz w:val="24"/>
          <w:szCs w:val="24"/>
          <w:lang w:val="en"/>
        </w:rPr>
      </w:pPr>
      <w:bookmarkStart w:id="51" w:name="_Toc411489392"/>
      <w:bookmarkStart w:id="52" w:name="_Toc420863625"/>
      <w:r>
        <w:rPr>
          <w:rFonts w:ascii="Times New Roman" w:hAnsi="Times New Roman" w:cs="Times New Roman"/>
          <w:i w:val="0"/>
          <w:sz w:val="24"/>
          <w:szCs w:val="24"/>
          <w:lang w:val="en"/>
        </w:rPr>
        <w:t>2.1</w:t>
      </w:r>
      <w:r w:rsidR="000C5F01" w:rsidRPr="00580EFC">
        <w:rPr>
          <w:rFonts w:ascii="Times New Roman" w:hAnsi="Times New Roman" w:cs="Times New Roman"/>
          <w:i w:val="0"/>
          <w:sz w:val="24"/>
          <w:szCs w:val="24"/>
          <w:lang w:val="en"/>
        </w:rPr>
        <w:t>.2.</w:t>
      </w:r>
      <w:r w:rsidR="00AA1346" w:rsidRPr="00580EFC">
        <w:rPr>
          <w:rFonts w:ascii="Times New Roman" w:hAnsi="Times New Roman" w:cs="Times New Roman"/>
          <w:i w:val="0"/>
          <w:sz w:val="24"/>
          <w:szCs w:val="24"/>
          <w:lang w:val="en"/>
        </w:rPr>
        <w:t>2</w:t>
      </w:r>
      <w:r w:rsidR="000C5F01" w:rsidRPr="00580EFC">
        <w:rPr>
          <w:rFonts w:ascii="Times New Roman" w:hAnsi="Times New Roman" w:cs="Times New Roman"/>
          <w:i w:val="0"/>
          <w:sz w:val="24"/>
          <w:szCs w:val="24"/>
          <w:lang w:val="en"/>
        </w:rPr>
        <w:t xml:space="preserve"> </w:t>
      </w:r>
      <w:r w:rsidR="00AA1346" w:rsidRPr="00580EFC">
        <w:rPr>
          <w:rFonts w:ascii="Times New Roman" w:hAnsi="Times New Roman" w:cs="Times New Roman"/>
          <w:i w:val="0"/>
          <w:sz w:val="24"/>
          <w:szCs w:val="24"/>
          <w:lang w:val="en"/>
        </w:rPr>
        <w:t>Nature and extent of errors and weaknesses identified in systems</w:t>
      </w:r>
      <w:bookmarkEnd w:id="51"/>
      <w:bookmarkEnd w:id="52"/>
    </w:p>
    <w:p w:rsidR="00ED1BF9" w:rsidRDefault="000C5F01" w:rsidP="00B21010">
      <w:pPr>
        <w:spacing w:after="240"/>
        <w:jc w:val="both"/>
        <w:rPr>
          <w:lang w:val="en-GB"/>
        </w:rPr>
      </w:pPr>
      <w:r>
        <w:rPr>
          <w:lang w:val="en-GB"/>
        </w:rPr>
        <w:t>The summary of final audit reports, which are available after the contradictory procedure with the auditee, sh</w:t>
      </w:r>
      <w:r w:rsidR="00A03BBD">
        <w:rPr>
          <w:lang w:val="en-GB"/>
        </w:rPr>
        <w:t>ould</w:t>
      </w:r>
      <w:r>
        <w:rPr>
          <w:lang w:val="en-GB"/>
        </w:rPr>
        <w:t xml:space="preserve"> also include an analysis of the nature and extent of errors and weaknesses identified in the systems, including identification of problems with a systemic character. </w:t>
      </w:r>
    </w:p>
    <w:p w:rsidR="002A50B1" w:rsidRDefault="002A50B1" w:rsidP="00B21010">
      <w:pPr>
        <w:spacing w:after="240"/>
        <w:jc w:val="both"/>
        <w:rPr>
          <w:lang w:val="en-GB"/>
        </w:rPr>
      </w:pPr>
      <w:r>
        <w:rPr>
          <w:lang w:val="en-GB"/>
        </w:rPr>
        <w:t>This analysis is provided by the AA under section</w:t>
      </w:r>
      <w:r w:rsidR="00A90972">
        <w:rPr>
          <w:lang w:val="en-GB"/>
        </w:rPr>
        <w:t>s</w:t>
      </w:r>
      <w:r>
        <w:rPr>
          <w:lang w:val="en-GB"/>
        </w:rPr>
        <w:t xml:space="preserve"> </w:t>
      </w:r>
      <w:r w:rsidR="00A90972">
        <w:rPr>
          <w:lang w:val="en-GB"/>
        </w:rPr>
        <w:t>4, 5 and 6</w:t>
      </w:r>
      <w:r>
        <w:rPr>
          <w:lang w:val="en-GB"/>
        </w:rPr>
        <w:t xml:space="preserve"> of the annual control report. It includes the following elements, which may be cross-refere</w:t>
      </w:r>
      <w:r w:rsidR="00C46D77">
        <w:rPr>
          <w:lang w:val="en-GB"/>
        </w:rPr>
        <w:t>nce</w:t>
      </w:r>
      <w:r>
        <w:rPr>
          <w:lang w:val="en-GB"/>
        </w:rPr>
        <w:t xml:space="preserve">d in the annual summary: </w:t>
      </w:r>
    </w:p>
    <w:p w:rsidR="00010A8E" w:rsidRDefault="00C46D77" w:rsidP="00B21010">
      <w:pPr>
        <w:pStyle w:val="Header"/>
        <w:tabs>
          <w:tab w:val="clear" w:pos="4536"/>
          <w:tab w:val="clear" w:pos="9072"/>
          <w:tab w:val="center" w:pos="4153"/>
          <w:tab w:val="right" w:pos="8306"/>
        </w:tabs>
        <w:spacing w:after="240"/>
        <w:jc w:val="both"/>
        <w:rPr>
          <w:lang w:val="en-GB"/>
        </w:rPr>
      </w:pPr>
      <w:r>
        <w:rPr>
          <w:lang w:val="en-GB"/>
        </w:rPr>
        <w:t xml:space="preserve">- </w:t>
      </w:r>
      <w:r w:rsidR="00010A8E">
        <w:rPr>
          <w:lang w:val="en-GB"/>
        </w:rPr>
        <w:t xml:space="preserve">In </w:t>
      </w:r>
      <w:r w:rsidR="007B0E1B">
        <w:rPr>
          <w:lang w:val="en-GB"/>
        </w:rPr>
        <w:t xml:space="preserve">the </w:t>
      </w:r>
      <w:r w:rsidR="00010A8E">
        <w:rPr>
          <w:lang w:val="en-GB"/>
        </w:rPr>
        <w:t xml:space="preserve">case of system audits, the analysis should </w:t>
      </w:r>
      <w:r w:rsidR="00067001">
        <w:rPr>
          <w:lang w:val="en-GB"/>
        </w:rPr>
        <w:t xml:space="preserve">refer to the key elements of </w:t>
      </w:r>
      <w:r w:rsidR="004851EE">
        <w:rPr>
          <w:lang w:val="en-GB"/>
        </w:rPr>
        <w:t xml:space="preserve">the </w:t>
      </w:r>
      <w:r w:rsidR="00067001">
        <w:rPr>
          <w:lang w:val="en-GB"/>
        </w:rPr>
        <w:t>system</w:t>
      </w:r>
      <w:r w:rsidR="004851EE">
        <w:rPr>
          <w:lang w:val="en-GB"/>
        </w:rPr>
        <w:t>s</w:t>
      </w:r>
      <w:r w:rsidR="00067001">
        <w:rPr>
          <w:lang w:val="en-GB"/>
        </w:rPr>
        <w:t xml:space="preserve"> taking into account the minimum requirements of the applicable legal fra</w:t>
      </w:r>
      <w:r w:rsidR="004851EE">
        <w:rPr>
          <w:lang w:val="en-GB"/>
        </w:rPr>
        <w:t>m</w:t>
      </w:r>
      <w:r w:rsidR="00067001">
        <w:rPr>
          <w:lang w:val="en-GB"/>
        </w:rPr>
        <w:t>ework (</w:t>
      </w:r>
      <w:r w:rsidR="007D1D82">
        <w:rPr>
          <w:lang w:val="en-GB"/>
        </w:rPr>
        <w:t>Table 10.1 of Annex IX of CIR and Table 1 of Annex IV of Commission Delegated Regulation (EU) No 480/2014.</w:t>
      </w:r>
      <w:r w:rsidR="00067001">
        <w:rPr>
          <w:lang w:val="en-GB"/>
        </w:rPr>
        <w:t xml:space="preserve"> </w:t>
      </w:r>
      <w:r w:rsidR="007B0E1B">
        <w:rPr>
          <w:lang w:val="en-GB"/>
        </w:rPr>
        <w:t xml:space="preserve">It </w:t>
      </w:r>
      <w:r w:rsidR="007D1D82">
        <w:rPr>
          <w:lang w:val="en-GB"/>
        </w:rPr>
        <w:t xml:space="preserve">is recommended </w:t>
      </w:r>
      <w:r w:rsidR="007B0E1B">
        <w:rPr>
          <w:lang w:val="en-GB"/>
        </w:rPr>
        <w:t xml:space="preserve">that the MA </w:t>
      </w:r>
      <w:r w:rsidR="007D1D82">
        <w:rPr>
          <w:lang w:val="en-GB"/>
        </w:rPr>
        <w:t>refer</w:t>
      </w:r>
      <w:r w:rsidR="00A34528">
        <w:rPr>
          <w:lang w:val="en-GB"/>
        </w:rPr>
        <w:t xml:space="preserve"> </w:t>
      </w:r>
      <w:r w:rsidR="007D1D82">
        <w:rPr>
          <w:lang w:val="en-GB"/>
        </w:rPr>
        <w:t>to the guidance note on the "common methodology for the assessment of management and control systems" (EGESIF_14-0010-final of 18/12/2014)</w:t>
      </w:r>
      <w:r w:rsidR="00A34528">
        <w:rPr>
          <w:lang w:val="en-GB"/>
        </w:rPr>
        <w:t xml:space="preserve"> for further advice</w:t>
      </w:r>
      <w:r w:rsidR="007D1D82">
        <w:rPr>
          <w:lang w:val="en-GB"/>
        </w:rPr>
        <w:t>.</w:t>
      </w:r>
      <w:r w:rsidR="00067001">
        <w:rPr>
          <w:lang w:val="en-GB"/>
        </w:rPr>
        <w:t xml:space="preserve"> </w:t>
      </w:r>
    </w:p>
    <w:p w:rsidR="00010A8E" w:rsidRDefault="00C46D77" w:rsidP="00B21010">
      <w:pPr>
        <w:spacing w:after="240"/>
        <w:jc w:val="both"/>
        <w:rPr>
          <w:lang w:val="en-GB"/>
        </w:rPr>
      </w:pPr>
      <w:r>
        <w:rPr>
          <w:lang w:val="en-GB"/>
        </w:rPr>
        <w:t xml:space="preserve">- </w:t>
      </w:r>
      <w:r w:rsidR="00010A8E">
        <w:rPr>
          <w:lang w:val="en-GB"/>
        </w:rPr>
        <w:t>In</w:t>
      </w:r>
      <w:r w:rsidR="00A34528">
        <w:rPr>
          <w:lang w:val="en-GB"/>
        </w:rPr>
        <w:t xml:space="preserve"> the</w:t>
      </w:r>
      <w:r w:rsidR="00010A8E">
        <w:rPr>
          <w:lang w:val="en-GB"/>
        </w:rPr>
        <w:t xml:space="preserve"> case of audits of operations, the analysis should </w:t>
      </w:r>
      <w:r w:rsidR="004851EE">
        <w:rPr>
          <w:lang w:val="en-GB"/>
        </w:rPr>
        <w:t xml:space="preserve">include </w:t>
      </w:r>
      <w:r w:rsidR="008D1B6E">
        <w:rPr>
          <w:lang w:val="en-GB"/>
        </w:rPr>
        <w:t>the amount of irregular expenditure in the random sample, the total error rate,</w:t>
      </w:r>
      <w:r w:rsidR="00E075DC">
        <w:rPr>
          <w:lang w:val="en-GB"/>
        </w:rPr>
        <w:t xml:space="preserve"> total residual error rate,</w:t>
      </w:r>
      <w:r w:rsidR="008D1B6E">
        <w:rPr>
          <w:lang w:val="en-GB"/>
        </w:rPr>
        <w:t xml:space="preserve"> the amount of other expenditure audited outside the random sample and the correctio</w:t>
      </w:r>
      <w:r w:rsidR="00A34528">
        <w:rPr>
          <w:lang w:val="en-GB"/>
        </w:rPr>
        <w:t>ns</w:t>
      </w:r>
      <w:r w:rsidR="008D1B6E">
        <w:rPr>
          <w:lang w:val="en-GB"/>
        </w:rPr>
        <w:t xml:space="preserve"> implemented as a result of the total error rate (Table 10.2 of Annex IX of CIR).  The analysis should also indicate </w:t>
      </w:r>
      <w:r w:rsidR="004851EE">
        <w:rPr>
          <w:lang w:val="en-GB"/>
        </w:rPr>
        <w:t xml:space="preserve">whether any such </w:t>
      </w:r>
      <w:proofErr w:type="gramStart"/>
      <w:r w:rsidR="004851EE">
        <w:rPr>
          <w:lang w:val="en-GB"/>
        </w:rPr>
        <w:t>irregularit</w:t>
      </w:r>
      <w:r w:rsidR="00F04D8A">
        <w:rPr>
          <w:lang w:val="en-GB"/>
        </w:rPr>
        <w:t>ies has</w:t>
      </w:r>
      <w:proofErr w:type="gramEnd"/>
      <w:r w:rsidR="00F04D8A">
        <w:rPr>
          <w:lang w:val="en-GB"/>
        </w:rPr>
        <w:t xml:space="preserve"> </w:t>
      </w:r>
      <w:r w:rsidR="00A34528">
        <w:rPr>
          <w:lang w:val="en-GB"/>
        </w:rPr>
        <w:t xml:space="preserve">either </w:t>
      </w:r>
      <w:r w:rsidR="00F04D8A">
        <w:rPr>
          <w:lang w:val="en-GB"/>
        </w:rPr>
        <w:t xml:space="preserve">a systemic or anomalous nature. </w:t>
      </w:r>
    </w:p>
    <w:p w:rsidR="00010A8E" w:rsidRDefault="00C46D77" w:rsidP="00B21010">
      <w:pPr>
        <w:spacing w:after="240"/>
        <w:jc w:val="both"/>
        <w:rPr>
          <w:lang w:val="en-GB"/>
        </w:rPr>
      </w:pPr>
      <w:r>
        <w:rPr>
          <w:lang w:val="en-GB"/>
        </w:rPr>
        <w:t xml:space="preserve">- </w:t>
      </w:r>
      <w:r w:rsidR="00010A8E">
        <w:rPr>
          <w:lang w:val="en-GB"/>
        </w:rPr>
        <w:t xml:space="preserve">In </w:t>
      </w:r>
      <w:r w:rsidR="00A34528">
        <w:rPr>
          <w:lang w:val="en-GB"/>
        </w:rPr>
        <w:t xml:space="preserve">the </w:t>
      </w:r>
      <w:r w:rsidR="00010A8E">
        <w:rPr>
          <w:lang w:val="en-GB"/>
        </w:rPr>
        <w:t xml:space="preserve">case of audits of the accounts, </w:t>
      </w:r>
      <w:r w:rsidR="00F04D8A">
        <w:rPr>
          <w:lang w:val="en-GB"/>
        </w:rPr>
        <w:t xml:space="preserve">the analysis </w:t>
      </w:r>
      <w:r w:rsidR="00A34528">
        <w:rPr>
          <w:lang w:val="en-GB"/>
        </w:rPr>
        <w:t xml:space="preserve">of errors </w:t>
      </w:r>
      <w:r w:rsidR="00F04D8A">
        <w:rPr>
          <w:lang w:val="en-GB"/>
        </w:rPr>
        <w:t xml:space="preserve">should </w:t>
      </w:r>
      <w:r w:rsidR="00383094">
        <w:rPr>
          <w:lang w:val="en-GB"/>
        </w:rPr>
        <w:t xml:space="preserve">indicate whether </w:t>
      </w:r>
      <w:r w:rsidR="00F04D8A">
        <w:rPr>
          <w:lang w:val="en-GB"/>
        </w:rPr>
        <w:t>exceptions detected</w:t>
      </w:r>
      <w:r w:rsidR="00383094">
        <w:rPr>
          <w:lang w:val="en-GB"/>
        </w:rPr>
        <w:t xml:space="preserve"> refer to the proper presentation, completeness or accuracy of the accounts</w:t>
      </w:r>
      <w:r w:rsidR="008D1B6E">
        <w:rPr>
          <w:lang w:val="en-GB"/>
        </w:rPr>
        <w:t xml:space="preserve"> and </w:t>
      </w:r>
      <w:r w:rsidR="00A34528">
        <w:rPr>
          <w:lang w:val="en-GB"/>
        </w:rPr>
        <w:t xml:space="preserve">it </w:t>
      </w:r>
      <w:r w:rsidR="008D1B6E">
        <w:rPr>
          <w:lang w:val="en-GB"/>
        </w:rPr>
        <w:t>should include an indication of the financial corrections made and reflected in the accounts</w:t>
      </w:r>
      <w:r w:rsidR="00383094">
        <w:rPr>
          <w:lang w:val="en-GB"/>
        </w:rPr>
        <w:t xml:space="preserve">. </w:t>
      </w:r>
    </w:p>
    <w:p w:rsidR="000C5F01" w:rsidRPr="00580EFC" w:rsidRDefault="009C140A" w:rsidP="00B21010">
      <w:pPr>
        <w:pStyle w:val="Heading2"/>
        <w:spacing w:before="0" w:after="240"/>
        <w:ind w:left="1416"/>
        <w:rPr>
          <w:rFonts w:ascii="Times New Roman" w:hAnsi="Times New Roman" w:cs="Times New Roman"/>
          <w:i w:val="0"/>
          <w:sz w:val="24"/>
          <w:szCs w:val="24"/>
          <w:lang w:val="en"/>
        </w:rPr>
      </w:pPr>
      <w:bookmarkStart w:id="53" w:name="_Toc411489393"/>
      <w:bookmarkStart w:id="54" w:name="_Toc420863626"/>
      <w:r>
        <w:rPr>
          <w:rFonts w:ascii="Times New Roman" w:hAnsi="Times New Roman" w:cs="Times New Roman"/>
          <w:i w:val="0"/>
          <w:sz w:val="24"/>
          <w:szCs w:val="24"/>
          <w:lang w:val="en"/>
        </w:rPr>
        <w:lastRenderedPageBreak/>
        <w:t>2.1.</w:t>
      </w:r>
      <w:r w:rsidR="00AA1346" w:rsidRPr="00580EFC">
        <w:rPr>
          <w:rFonts w:ascii="Times New Roman" w:hAnsi="Times New Roman" w:cs="Times New Roman"/>
          <w:i w:val="0"/>
          <w:sz w:val="24"/>
          <w:szCs w:val="24"/>
          <w:lang w:val="en"/>
        </w:rPr>
        <w:t>2.3 Corrective actions taken or planned</w:t>
      </w:r>
      <w:bookmarkEnd w:id="53"/>
      <w:bookmarkEnd w:id="54"/>
    </w:p>
    <w:p w:rsidR="000C5F01" w:rsidRDefault="000C5F01" w:rsidP="00B21010">
      <w:pPr>
        <w:spacing w:after="240"/>
        <w:jc w:val="both"/>
        <w:rPr>
          <w:lang w:val="en-GB"/>
        </w:rPr>
      </w:pPr>
      <w:r>
        <w:rPr>
          <w:lang w:val="en-GB"/>
        </w:rPr>
        <w:t xml:space="preserve">The </w:t>
      </w:r>
      <w:r w:rsidR="002A50B1">
        <w:rPr>
          <w:lang w:val="en-GB"/>
        </w:rPr>
        <w:t xml:space="preserve">MA should describe in the annual summary the </w:t>
      </w:r>
      <w:r>
        <w:rPr>
          <w:lang w:val="en-GB"/>
        </w:rPr>
        <w:t xml:space="preserve">corrective </w:t>
      </w:r>
      <w:r w:rsidR="004F5149">
        <w:rPr>
          <w:lang w:val="en-GB"/>
        </w:rPr>
        <w:t>actions taken or planned</w:t>
      </w:r>
      <w:r w:rsidR="002A50B1">
        <w:rPr>
          <w:lang w:val="en-GB"/>
        </w:rPr>
        <w:t>,</w:t>
      </w:r>
      <w:r w:rsidR="004F5149">
        <w:rPr>
          <w:lang w:val="en-GB"/>
        </w:rPr>
        <w:t xml:space="preserve"> tak</w:t>
      </w:r>
      <w:r w:rsidR="002A50B1">
        <w:rPr>
          <w:lang w:val="en-GB"/>
        </w:rPr>
        <w:t>ing</w:t>
      </w:r>
      <w:r w:rsidR="004F5149">
        <w:rPr>
          <w:lang w:val="en-GB"/>
        </w:rPr>
        <w:t xml:space="preserve"> into account whether any problems identified were considered to be of a systemic character.</w:t>
      </w:r>
      <w:r>
        <w:rPr>
          <w:lang w:val="en-GB"/>
        </w:rPr>
        <w:t xml:space="preserve"> </w:t>
      </w:r>
      <w:r w:rsidR="004F5149">
        <w:rPr>
          <w:lang w:val="en-GB"/>
        </w:rPr>
        <w:t>In such cases, the</w:t>
      </w:r>
      <w:r w:rsidR="002A50B1">
        <w:rPr>
          <w:lang w:val="en-GB"/>
        </w:rPr>
        <w:t xml:space="preserve"> MA explains in the annual summary how</w:t>
      </w:r>
      <w:r w:rsidR="004F5149">
        <w:rPr>
          <w:lang w:val="en-GB"/>
        </w:rPr>
        <w:t xml:space="preserve"> </w:t>
      </w:r>
      <w:r w:rsidR="002A50B1">
        <w:rPr>
          <w:lang w:val="en-GB"/>
        </w:rPr>
        <w:t xml:space="preserve">the </w:t>
      </w:r>
      <w:r w:rsidR="004F5149">
        <w:rPr>
          <w:lang w:val="en-GB"/>
        </w:rPr>
        <w:t xml:space="preserve">quantification of the irregular expenditure </w:t>
      </w:r>
      <w:proofErr w:type="gramStart"/>
      <w:r w:rsidR="002A50B1">
        <w:rPr>
          <w:lang w:val="en-GB"/>
        </w:rPr>
        <w:t>have</w:t>
      </w:r>
      <w:proofErr w:type="gramEnd"/>
      <w:r w:rsidR="004F5149">
        <w:rPr>
          <w:lang w:val="en-GB"/>
        </w:rPr>
        <w:t xml:space="preserve"> be</w:t>
      </w:r>
      <w:r w:rsidR="002A50B1">
        <w:rPr>
          <w:lang w:val="en-GB"/>
        </w:rPr>
        <w:t xml:space="preserve">en </w:t>
      </w:r>
      <w:r w:rsidR="004F5149">
        <w:rPr>
          <w:lang w:val="en-GB"/>
        </w:rPr>
        <w:t xml:space="preserve">extended to the whole population affected by the identified problems.   </w:t>
      </w:r>
      <w:r>
        <w:rPr>
          <w:lang w:val="en-GB"/>
        </w:rPr>
        <w:t xml:space="preserve">   </w:t>
      </w:r>
    </w:p>
    <w:p w:rsidR="0039605C" w:rsidRDefault="0039605C" w:rsidP="00B21010">
      <w:pPr>
        <w:spacing w:after="240"/>
        <w:jc w:val="both"/>
        <w:rPr>
          <w:lang w:val="en-GB"/>
        </w:rPr>
      </w:pPr>
      <w:r>
        <w:rPr>
          <w:lang w:val="en-GB"/>
        </w:rPr>
        <w:t xml:space="preserve">The </w:t>
      </w:r>
      <w:r w:rsidR="002A50B1">
        <w:rPr>
          <w:lang w:val="en-GB"/>
        </w:rPr>
        <w:t xml:space="preserve">MA describes </w:t>
      </w:r>
      <w:r w:rsidR="00E14718">
        <w:rPr>
          <w:lang w:val="en-GB"/>
        </w:rPr>
        <w:t xml:space="preserve">which </w:t>
      </w:r>
      <w:r>
        <w:rPr>
          <w:lang w:val="en-GB"/>
        </w:rPr>
        <w:t xml:space="preserve">corrective measures to improve the functioning of the management and control systems </w:t>
      </w:r>
      <w:r w:rsidR="00E14718">
        <w:rPr>
          <w:lang w:val="en-GB"/>
        </w:rPr>
        <w:t xml:space="preserve">were decided </w:t>
      </w:r>
      <w:r w:rsidR="00D068FE">
        <w:rPr>
          <w:lang w:val="en-GB"/>
        </w:rPr>
        <w:t>and</w:t>
      </w:r>
      <w:r w:rsidR="00E14718">
        <w:rPr>
          <w:lang w:val="en-GB"/>
        </w:rPr>
        <w:t xml:space="preserve"> taken and </w:t>
      </w:r>
      <w:proofErr w:type="gramStart"/>
      <w:r w:rsidR="002A50B1">
        <w:rPr>
          <w:lang w:val="en-GB"/>
        </w:rPr>
        <w:t>allow</w:t>
      </w:r>
      <w:proofErr w:type="gramEnd"/>
      <w:r>
        <w:rPr>
          <w:lang w:val="en-GB"/>
        </w:rPr>
        <w:t xml:space="preserve"> prevent</w:t>
      </w:r>
      <w:r w:rsidR="002A50B1">
        <w:rPr>
          <w:lang w:val="en-GB"/>
        </w:rPr>
        <w:t>ing</w:t>
      </w:r>
      <w:r>
        <w:rPr>
          <w:lang w:val="en-GB"/>
        </w:rPr>
        <w:t xml:space="preserve"> the repetition of the identified systemic weaknesses.</w:t>
      </w:r>
      <w:r w:rsidR="002A50B1">
        <w:rPr>
          <w:lang w:val="en-GB"/>
        </w:rPr>
        <w:t xml:space="preserve"> </w:t>
      </w:r>
      <w:r w:rsidR="00E14718">
        <w:rPr>
          <w:lang w:val="en-GB"/>
        </w:rPr>
        <w:t>When such measures are still to be implemented</w:t>
      </w:r>
      <w:r w:rsidR="00A90972">
        <w:rPr>
          <w:lang w:val="en-GB"/>
        </w:rPr>
        <w:t>,</w:t>
      </w:r>
      <w:r w:rsidR="00E14718">
        <w:rPr>
          <w:lang w:val="en-GB"/>
        </w:rPr>
        <w:t xml:space="preserve"> the MA describes the corrective measures decided and the timetable for their implementation. This description supports the information reported in the respective section of the management declaration (cf. section 1.1.3 above). The MA</w:t>
      </w:r>
      <w:r w:rsidR="002A50B1">
        <w:rPr>
          <w:lang w:val="en-GB"/>
        </w:rPr>
        <w:t xml:space="preserve"> also indicates how </w:t>
      </w:r>
      <w:r>
        <w:rPr>
          <w:lang w:val="en-GB"/>
        </w:rPr>
        <w:t xml:space="preserve">corrective measures to address </w:t>
      </w:r>
      <w:r w:rsidR="00342717">
        <w:rPr>
          <w:lang w:val="en-GB"/>
        </w:rPr>
        <w:t xml:space="preserve">irregularities with financial impact detected during audits of operations </w:t>
      </w:r>
      <w:r w:rsidR="002A50B1">
        <w:rPr>
          <w:lang w:val="en-GB"/>
        </w:rPr>
        <w:t xml:space="preserve">have </w:t>
      </w:r>
      <w:r w:rsidR="00342717">
        <w:rPr>
          <w:lang w:val="en-GB"/>
        </w:rPr>
        <w:t>result</w:t>
      </w:r>
      <w:r w:rsidR="002A50B1">
        <w:rPr>
          <w:lang w:val="en-GB"/>
        </w:rPr>
        <w:t>ed</w:t>
      </w:r>
      <w:r w:rsidR="00342717">
        <w:rPr>
          <w:lang w:val="en-GB"/>
        </w:rPr>
        <w:t xml:space="preserve"> in financial corrections applied on the expenditure certified to the Commission</w:t>
      </w:r>
      <w:r w:rsidR="002A50B1">
        <w:rPr>
          <w:lang w:val="en-GB"/>
        </w:rPr>
        <w:t xml:space="preserve"> </w:t>
      </w:r>
      <w:r w:rsidR="004A2746">
        <w:rPr>
          <w:lang w:val="en-GB"/>
        </w:rPr>
        <w:t xml:space="preserve">and corresponding adjustments </w:t>
      </w:r>
      <w:r w:rsidR="002A50B1">
        <w:rPr>
          <w:lang w:val="en-GB"/>
        </w:rPr>
        <w:t xml:space="preserve">in the </w:t>
      </w:r>
      <w:r w:rsidR="004A2746">
        <w:rPr>
          <w:lang w:val="en-GB"/>
        </w:rPr>
        <w:t xml:space="preserve">interim payment claims and </w:t>
      </w:r>
      <w:r w:rsidR="002A50B1">
        <w:rPr>
          <w:lang w:val="en-GB"/>
        </w:rPr>
        <w:t>accounts</w:t>
      </w:r>
      <w:r w:rsidR="00342717">
        <w:rPr>
          <w:lang w:val="en-GB"/>
        </w:rPr>
        <w:t xml:space="preserve">.  </w:t>
      </w:r>
    </w:p>
    <w:p w:rsidR="00650FD2" w:rsidRDefault="00650FD2" w:rsidP="00B21010">
      <w:pPr>
        <w:spacing w:after="240"/>
        <w:jc w:val="both"/>
        <w:rPr>
          <w:lang w:val="en-GB"/>
        </w:rPr>
      </w:pPr>
      <w:r>
        <w:rPr>
          <w:lang w:val="en-GB"/>
        </w:rPr>
        <w:t>F</w:t>
      </w:r>
      <w:r w:rsidR="005F6A2A">
        <w:rPr>
          <w:lang w:val="en-GB"/>
        </w:rPr>
        <w:t>urthermore</w:t>
      </w:r>
      <w:r>
        <w:rPr>
          <w:lang w:val="en-GB"/>
        </w:rPr>
        <w:t xml:space="preserve">, the </w:t>
      </w:r>
      <w:r w:rsidR="004A2746">
        <w:rPr>
          <w:lang w:val="en-GB"/>
        </w:rPr>
        <w:t xml:space="preserve">MA may, on the basis of information provided by the CA, indicate the </w:t>
      </w:r>
      <w:r>
        <w:rPr>
          <w:lang w:val="en-GB"/>
        </w:rPr>
        <w:t xml:space="preserve">corrective measures </w:t>
      </w:r>
      <w:r w:rsidR="004A2746">
        <w:rPr>
          <w:lang w:val="en-GB"/>
        </w:rPr>
        <w:t xml:space="preserve">taken to follow-up audit findings </w:t>
      </w:r>
      <w:r>
        <w:rPr>
          <w:lang w:val="en-GB"/>
        </w:rPr>
        <w:t xml:space="preserve">related to the accounts </w:t>
      </w:r>
      <w:r w:rsidR="004A2746">
        <w:rPr>
          <w:lang w:val="en-GB"/>
        </w:rPr>
        <w:t xml:space="preserve">and how this </w:t>
      </w:r>
      <w:r>
        <w:rPr>
          <w:lang w:val="en-GB"/>
        </w:rPr>
        <w:t>result</w:t>
      </w:r>
      <w:r w:rsidR="004A2746">
        <w:rPr>
          <w:lang w:val="en-GB"/>
        </w:rPr>
        <w:t>ed</w:t>
      </w:r>
      <w:r>
        <w:rPr>
          <w:lang w:val="en-GB"/>
        </w:rPr>
        <w:t xml:space="preserve"> in the necessary accounting adjustments</w:t>
      </w:r>
      <w:r w:rsidR="004A2746">
        <w:rPr>
          <w:lang w:val="en-GB"/>
        </w:rPr>
        <w:t xml:space="preserve"> before submitting the acc</w:t>
      </w:r>
      <w:r w:rsidR="00E14718">
        <w:rPr>
          <w:lang w:val="en-GB"/>
        </w:rPr>
        <w:t>o</w:t>
      </w:r>
      <w:r w:rsidR="004A2746">
        <w:rPr>
          <w:lang w:val="en-GB"/>
        </w:rPr>
        <w:t>unts to the Commission</w:t>
      </w:r>
      <w:r>
        <w:rPr>
          <w:lang w:val="en-GB"/>
        </w:rPr>
        <w:t>.</w:t>
      </w:r>
    </w:p>
    <w:p w:rsidR="005F6A2A" w:rsidRDefault="005F6A2A" w:rsidP="005F6A2A">
      <w:pPr>
        <w:spacing w:after="240"/>
        <w:jc w:val="both"/>
        <w:rPr>
          <w:lang w:val="en-GB"/>
        </w:rPr>
      </w:pPr>
      <w:r>
        <w:rPr>
          <w:lang w:val="en-GB"/>
        </w:rPr>
        <w:t xml:space="preserve">Finally, the MA should provide aggregate figures, by priority axis, of the amount of corrections in the accounts as a result of irregularities detected and implemented after the submission of the final interim payment claim. This will provide a way to make cross-references to the </w:t>
      </w:r>
      <w:r>
        <w:rPr>
          <w:rFonts w:eastAsia="Calibri"/>
          <w:szCs w:val="22"/>
          <w:lang w:val="en-GB" w:eastAsia="en-US"/>
        </w:rPr>
        <w:t>table on reconciliation of expenditure – Appendix 8 of Commission Implementing Regulation No 1011/2014.</w:t>
      </w:r>
    </w:p>
    <w:p w:rsidR="005F6A2A" w:rsidRDefault="005F6A2A" w:rsidP="00B21010">
      <w:pPr>
        <w:spacing w:after="240"/>
        <w:jc w:val="both"/>
        <w:rPr>
          <w:lang w:val="en-GB"/>
        </w:rPr>
      </w:pPr>
    </w:p>
    <w:p w:rsidR="00C23E34" w:rsidRPr="00580EFC" w:rsidRDefault="009C140A" w:rsidP="00B21010">
      <w:pPr>
        <w:pStyle w:val="Heading2"/>
        <w:spacing w:before="0" w:after="240"/>
        <w:ind w:left="709"/>
        <w:rPr>
          <w:rFonts w:ascii="Times New Roman" w:hAnsi="Times New Roman" w:cs="Times New Roman"/>
          <w:i w:val="0"/>
          <w:sz w:val="24"/>
          <w:szCs w:val="24"/>
          <w:lang w:val="en"/>
        </w:rPr>
      </w:pPr>
      <w:bookmarkStart w:id="55" w:name="_Toc411489394"/>
      <w:bookmarkStart w:id="56" w:name="_Toc420863627"/>
      <w:r>
        <w:rPr>
          <w:rFonts w:ascii="Times New Roman" w:hAnsi="Times New Roman" w:cs="Times New Roman"/>
          <w:i w:val="0"/>
          <w:sz w:val="24"/>
          <w:szCs w:val="24"/>
          <w:lang w:val="en"/>
        </w:rPr>
        <w:t>2.1</w:t>
      </w:r>
      <w:r w:rsidR="00C23E34" w:rsidRPr="00580EFC">
        <w:rPr>
          <w:rFonts w:ascii="Times New Roman" w:hAnsi="Times New Roman" w:cs="Times New Roman"/>
          <w:i w:val="0"/>
          <w:sz w:val="24"/>
          <w:szCs w:val="24"/>
          <w:lang w:val="en"/>
        </w:rPr>
        <w:t xml:space="preserve">.3 Summary of </w:t>
      </w:r>
      <w:r w:rsidR="00650FD2" w:rsidRPr="00580EFC">
        <w:rPr>
          <w:rFonts w:ascii="Times New Roman" w:hAnsi="Times New Roman" w:cs="Times New Roman"/>
          <w:i w:val="0"/>
          <w:sz w:val="24"/>
          <w:szCs w:val="24"/>
          <w:lang w:val="en"/>
        </w:rPr>
        <w:t>management verifications</w:t>
      </w:r>
      <w:bookmarkEnd w:id="55"/>
      <w:bookmarkEnd w:id="56"/>
      <w:r w:rsidR="00B261B1" w:rsidRPr="00580EFC">
        <w:rPr>
          <w:rFonts w:ascii="Times New Roman" w:hAnsi="Times New Roman" w:cs="Times New Roman"/>
          <w:i w:val="0"/>
          <w:sz w:val="24"/>
          <w:szCs w:val="24"/>
          <w:lang w:val="en"/>
        </w:rPr>
        <w:t xml:space="preserve"> </w:t>
      </w:r>
    </w:p>
    <w:p w:rsidR="0029471E" w:rsidRPr="00EE617E" w:rsidRDefault="00426A40" w:rsidP="00B11A77">
      <w:pPr>
        <w:spacing w:after="240"/>
        <w:jc w:val="both"/>
      </w:pPr>
      <w:r>
        <w:rPr>
          <w:lang w:val="en-GB"/>
        </w:rPr>
        <w:t xml:space="preserve">The MA is requested to include in the annual summary </w:t>
      </w:r>
      <w:r w:rsidR="00302508">
        <w:rPr>
          <w:lang w:val="en-GB"/>
        </w:rPr>
        <w:t>synthetic information o</w:t>
      </w:r>
      <w:r w:rsidR="00E14718">
        <w:rPr>
          <w:lang w:val="en-GB"/>
        </w:rPr>
        <w:t>n</w:t>
      </w:r>
      <w:r w:rsidR="00302508">
        <w:rPr>
          <w:lang w:val="en-GB"/>
        </w:rPr>
        <w:t xml:space="preserve"> </w:t>
      </w:r>
      <w:r>
        <w:rPr>
          <w:lang w:val="en-GB"/>
        </w:rPr>
        <w:t>all administrative and on-the spot controls carried out</w:t>
      </w:r>
      <w:r w:rsidR="00E14718" w:rsidRPr="00E14718">
        <w:rPr>
          <w:lang w:val="en-GB"/>
        </w:rPr>
        <w:t xml:space="preserve"> </w:t>
      </w:r>
      <w:r w:rsidR="00E14718">
        <w:rPr>
          <w:lang w:val="en-GB"/>
        </w:rPr>
        <w:t>and an assessment of their results and impact on the MCS and legality and regularity of the expenditure entered in the accounts</w:t>
      </w:r>
      <w:r>
        <w:rPr>
          <w:lang w:val="en-GB"/>
        </w:rPr>
        <w:t>.</w:t>
      </w:r>
      <w:r w:rsidR="0029471E" w:rsidRPr="00EE617E">
        <w:t xml:space="preserve"> </w:t>
      </w:r>
      <w:proofErr w:type="spellStart"/>
      <w:r w:rsidR="0029471E" w:rsidRPr="00EE617E">
        <w:t>The</w:t>
      </w:r>
      <w:proofErr w:type="spellEnd"/>
      <w:r w:rsidR="0029471E" w:rsidRPr="00EE617E">
        <w:t xml:space="preserve"> </w:t>
      </w:r>
      <w:proofErr w:type="spellStart"/>
      <w:r w:rsidR="0029471E" w:rsidRPr="00EE617E">
        <w:t>guidance</w:t>
      </w:r>
      <w:proofErr w:type="spellEnd"/>
      <w:r w:rsidR="0029471E" w:rsidRPr="00EE617E">
        <w:t xml:space="preserve"> </w:t>
      </w:r>
      <w:proofErr w:type="spellStart"/>
      <w:r w:rsidR="0029471E" w:rsidRPr="00EE617E">
        <w:t>document</w:t>
      </w:r>
      <w:proofErr w:type="spellEnd"/>
      <w:r w:rsidR="0029471E" w:rsidRPr="00EE617E">
        <w:t xml:space="preserve"> on management </w:t>
      </w:r>
      <w:proofErr w:type="spellStart"/>
      <w:r w:rsidR="0029471E" w:rsidRPr="00EE617E">
        <w:t>verifications</w:t>
      </w:r>
      <w:proofErr w:type="spellEnd"/>
      <w:r w:rsidR="0029471E" w:rsidRPr="00EE617E">
        <w:t xml:space="preserve"> (EGESIF</w:t>
      </w:r>
      <w:r w:rsidR="007411E5" w:rsidRPr="00EE617E">
        <w:t xml:space="preserve"> 14-0012</w:t>
      </w:r>
      <w:r w:rsidR="0029471E" w:rsidRPr="00EE617E">
        <w:t xml:space="preserve"> </w:t>
      </w:r>
      <w:r w:rsidR="007411E5">
        <w:t xml:space="preserve">of </w:t>
      </w:r>
      <w:proofErr w:type="spellStart"/>
      <w:r w:rsidR="007411E5">
        <w:t>xx</w:t>
      </w:r>
      <w:proofErr w:type="spellEnd"/>
      <w:r w:rsidR="007411E5">
        <w:t>/</w:t>
      </w:r>
      <w:proofErr w:type="spellStart"/>
      <w:r w:rsidR="007411E5">
        <w:t>xx</w:t>
      </w:r>
      <w:proofErr w:type="spellEnd"/>
      <w:r w:rsidR="007411E5">
        <w:t>/</w:t>
      </w:r>
      <w:proofErr w:type="spellStart"/>
      <w:r w:rsidR="007411E5">
        <w:t>xx</w:t>
      </w:r>
      <w:proofErr w:type="spellEnd"/>
      <w:r w:rsidR="0029471E" w:rsidRPr="00EE617E">
        <w:t xml:space="preserve">–) </w:t>
      </w:r>
      <w:proofErr w:type="spellStart"/>
      <w:r w:rsidR="0029471E" w:rsidRPr="00EE617E">
        <w:t>provides</w:t>
      </w:r>
      <w:proofErr w:type="spellEnd"/>
      <w:r w:rsidR="0029471E" w:rsidRPr="00EE617E">
        <w:t xml:space="preserve"> </w:t>
      </w:r>
      <w:proofErr w:type="spellStart"/>
      <w:r w:rsidR="0029471E" w:rsidRPr="00EE617E">
        <w:t>detailed</w:t>
      </w:r>
      <w:proofErr w:type="spellEnd"/>
      <w:r w:rsidR="0029471E" w:rsidRPr="00EE617E">
        <w:t xml:space="preserve"> </w:t>
      </w:r>
      <w:proofErr w:type="spellStart"/>
      <w:r w:rsidR="00B7413E" w:rsidRPr="00EE617E">
        <w:t>guidance</w:t>
      </w:r>
      <w:proofErr w:type="spellEnd"/>
      <w:r w:rsidR="00B7413E" w:rsidRPr="00EE617E">
        <w:t xml:space="preserve"> </w:t>
      </w:r>
      <w:r w:rsidR="006B1BF2" w:rsidRPr="00EE617E">
        <w:t xml:space="preserve">in </w:t>
      </w:r>
      <w:proofErr w:type="spellStart"/>
      <w:r w:rsidR="006B1BF2" w:rsidRPr="00EE617E">
        <w:t>this</w:t>
      </w:r>
      <w:proofErr w:type="spellEnd"/>
      <w:r w:rsidR="006B1BF2" w:rsidRPr="00EE617E">
        <w:t xml:space="preserve"> </w:t>
      </w:r>
      <w:proofErr w:type="spellStart"/>
      <w:r w:rsidR="006B1BF2" w:rsidRPr="00EE617E">
        <w:t>respect</w:t>
      </w:r>
      <w:proofErr w:type="spellEnd"/>
      <w:r w:rsidR="006B1BF2" w:rsidRPr="00EE617E">
        <w:t xml:space="preserve">. </w:t>
      </w:r>
      <w:r w:rsidR="0029471E" w:rsidRPr="00EE617E">
        <w:t xml:space="preserve"> </w:t>
      </w:r>
    </w:p>
    <w:p w:rsidR="005A76F1" w:rsidRDefault="0029471E" w:rsidP="00B21010">
      <w:pPr>
        <w:spacing w:after="240"/>
        <w:jc w:val="both"/>
      </w:pPr>
      <w:r>
        <w:rPr>
          <w:lang w:val="en-GB"/>
        </w:rPr>
        <w:t xml:space="preserve">The </w:t>
      </w:r>
      <w:r w:rsidRPr="00B11A77">
        <w:rPr>
          <w:u w:val="single"/>
          <w:lang w:val="en-GB"/>
        </w:rPr>
        <w:t xml:space="preserve">summary of the </w:t>
      </w:r>
      <w:r w:rsidR="00302508" w:rsidRPr="00B11A77">
        <w:rPr>
          <w:u w:val="single"/>
          <w:lang w:val="en-GB"/>
        </w:rPr>
        <w:t xml:space="preserve">desk </w:t>
      </w:r>
      <w:r w:rsidRPr="00B11A77">
        <w:rPr>
          <w:u w:val="single"/>
          <w:lang w:val="en-GB"/>
        </w:rPr>
        <w:t>administrative controls</w:t>
      </w:r>
      <w:r>
        <w:rPr>
          <w:lang w:val="en-GB"/>
        </w:rPr>
        <w:t xml:space="preserve"> carried out </w:t>
      </w:r>
      <w:r w:rsidR="00221BC2">
        <w:rPr>
          <w:lang w:val="en-GB"/>
        </w:rPr>
        <w:t xml:space="preserve">on expenditure declared </w:t>
      </w:r>
      <w:r>
        <w:rPr>
          <w:lang w:val="en-GB"/>
        </w:rPr>
        <w:t>during the accounting year</w:t>
      </w:r>
      <w:r w:rsidRPr="0029471E">
        <w:rPr>
          <w:i/>
          <w:sz w:val="20"/>
        </w:rPr>
        <w:t xml:space="preserve"> </w:t>
      </w:r>
      <w:proofErr w:type="spellStart"/>
      <w:r w:rsidR="008E2780" w:rsidRPr="00EE28F1">
        <w:t>should</w:t>
      </w:r>
      <w:proofErr w:type="spellEnd"/>
      <w:r w:rsidR="008E2780" w:rsidRPr="00EE28F1">
        <w:t xml:space="preserve"> </w:t>
      </w:r>
      <w:proofErr w:type="spellStart"/>
      <w:r w:rsidR="008E2780">
        <w:t>provide</w:t>
      </w:r>
      <w:proofErr w:type="spellEnd"/>
      <w:r w:rsidR="008E2780">
        <w:t xml:space="preserve"> a </w:t>
      </w:r>
      <w:proofErr w:type="spellStart"/>
      <w:r w:rsidR="008E2780">
        <w:t>description</w:t>
      </w:r>
      <w:proofErr w:type="spellEnd"/>
      <w:r w:rsidR="008E2780">
        <w:t xml:space="preserve"> of </w:t>
      </w:r>
      <w:proofErr w:type="spellStart"/>
      <w:r w:rsidR="008E2780">
        <w:t>the</w:t>
      </w:r>
      <w:proofErr w:type="spellEnd"/>
      <w:r w:rsidR="008E2780">
        <w:t xml:space="preserve"> </w:t>
      </w:r>
      <w:proofErr w:type="spellStart"/>
      <w:r w:rsidR="00221BC2">
        <w:t>methodology</w:t>
      </w:r>
      <w:proofErr w:type="spellEnd"/>
      <w:r w:rsidR="00221BC2">
        <w:t xml:space="preserve"> </w:t>
      </w:r>
      <w:proofErr w:type="spellStart"/>
      <w:r w:rsidR="00302508">
        <w:t>followed</w:t>
      </w:r>
      <w:proofErr w:type="spellEnd"/>
      <w:r w:rsidR="00302508">
        <w:t xml:space="preserve"> </w:t>
      </w:r>
      <w:r w:rsidR="008E2780">
        <w:t xml:space="preserve">by </w:t>
      </w:r>
      <w:proofErr w:type="spellStart"/>
      <w:r w:rsidR="008E2780">
        <w:t>the</w:t>
      </w:r>
      <w:proofErr w:type="spellEnd"/>
      <w:r w:rsidR="008E2780">
        <w:t xml:space="preserve"> MA</w:t>
      </w:r>
      <w:r w:rsidR="00302508">
        <w:t xml:space="preserve"> and</w:t>
      </w:r>
      <w:r w:rsidR="008E2780">
        <w:t xml:space="preserve"> </w:t>
      </w:r>
      <w:proofErr w:type="spellStart"/>
      <w:r w:rsidR="008E2780">
        <w:t>includ</w:t>
      </w:r>
      <w:r w:rsidR="00302508">
        <w:t>e</w:t>
      </w:r>
      <w:proofErr w:type="spellEnd"/>
      <w:r w:rsidR="008E2780">
        <w:t xml:space="preserve"> </w:t>
      </w:r>
      <w:proofErr w:type="spellStart"/>
      <w:r w:rsidR="008E2780">
        <w:t>information</w:t>
      </w:r>
      <w:proofErr w:type="spellEnd"/>
      <w:r w:rsidR="008E2780">
        <w:t xml:space="preserve"> on </w:t>
      </w:r>
      <w:proofErr w:type="spellStart"/>
      <w:r w:rsidR="008E2780">
        <w:t>whether</w:t>
      </w:r>
      <w:proofErr w:type="spellEnd"/>
      <w:r w:rsidR="008E2780">
        <w:t xml:space="preserve"> </w:t>
      </w:r>
      <w:proofErr w:type="spellStart"/>
      <w:r w:rsidR="005A76F1">
        <w:t>the</w:t>
      </w:r>
      <w:proofErr w:type="spellEnd"/>
      <w:r w:rsidR="005A76F1">
        <w:t xml:space="preserve"> </w:t>
      </w:r>
      <w:proofErr w:type="spellStart"/>
      <w:r w:rsidR="005A76F1">
        <w:t>administ</w:t>
      </w:r>
      <w:r w:rsidR="00EC1C4C">
        <w:t>ra</w:t>
      </w:r>
      <w:r w:rsidR="005A76F1">
        <w:t>tive</w:t>
      </w:r>
      <w:proofErr w:type="spellEnd"/>
      <w:r w:rsidR="005A76F1">
        <w:t xml:space="preserve"> </w:t>
      </w:r>
      <w:proofErr w:type="spellStart"/>
      <w:r w:rsidR="005A76F1">
        <w:t>controls</w:t>
      </w:r>
      <w:proofErr w:type="spellEnd"/>
      <w:r w:rsidR="005A76F1">
        <w:t xml:space="preserve"> </w:t>
      </w:r>
      <w:proofErr w:type="spellStart"/>
      <w:r w:rsidR="005A76F1">
        <w:t>or</w:t>
      </w:r>
      <w:proofErr w:type="spellEnd"/>
      <w:r w:rsidR="005A76F1">
        <w:t xml:space="preserve"> part of </w:t>
      </w:r>
      <w:proofErr w:type="spellStart"/>
      <w:r w:rsidR="005A76F1">
        <w:t>them</w:t>
      </w:r>
      <w:proofErr w:type="spellEnd"/>
      <w:r w:rsidR="005A76F1">
        <w:t xml:space="preserve"> </w:t>
      </w:r>
      <w:proofErr w:type="spellStart"/>
      <w:r w:rsidR="005A76F1">
        <w:t>have</w:t>
      </w:r>
      <w:proofErr w:type="spellEnd"/>
      <w:r w:rsidR="005A76F1">
        <w:t xml:space="preserve"> </w:t>
      </w:r>
      <w:proofErr w:type="spellStart"/>
      <w:r w:rsidR="005A76F1">
        <w:t>been</w:t>
      </w:r>
      <w:proofErr w:type="spellEnd"/>
      <w:r w:rsidR="005A76F1">
        <w:t xml:space="preserve"> </w:t>
      </w:r>
      <w:proofErr w:type="spellStart"/>
      <w:r w:rsidR="005A76F1">
        <w:t>delegated</w:t>
      </w:r>
      <w:proofErr w:type="spellEnd"/>
      <w:r w:rsidR="005A76F1">
        <w:t xml:space="preserve"> to </w:t>
      </w:r>
      <w:proofErr w:type="spellStart"/>
      <w:r w:rsidR="005A76F1">
        <w:t>intermediate</w:t>
      </w:r>
      <w:proofErr w:type="spellEnd"/>
      <w:r w:rsidR="005A76F1">
        <w:t xml:space="preserve"> </w:t>
      </w:r>
      <w:proofErr w:type="spellStart"/>
      <w:r w:rsidR="005A76F1">
        <w:t>bodies</w:t>
      </w:r>
      <w:proofErr w:type="spellEnd"/>
      <w:r w:rsidR="005A76F1">
        <w:t>.</w:t>
      </w:r>
      <w:r w:rsidR="00302508">
        <w:t xml:space="preserve"> In </w:t>
      </w:r>
      <w:proofErr w:type="spellStart"/>
      <w:r w:rsidR="00302508">
        <w:t>this</w:t>
      </w:r>
      <w:proofErr w:type="spellEnd"/>
      <w:r w:rsidR="00302508">
        <w:t xml:space="preserve"> case </w:t>
      </w:r>
      <w:proofErr w:type="spellStart"/>
      <w:r w:rsidR="00302508">
        <w:t>the</w:t>
      </w:r>
      <w:proofErr w:type="spellEnd"/>
      <w:r w:rsidR="00302508">
        <w:t xml:space="preserve"> </w:t>
      </w:r>
      <w:proofErr w:type="spellStart"/>
      <w:r w:rsidR="00302508">
        <w:t>annual</w:t>
      </w:r>
      <w:proofErr w:type="spellEnd"/>
      <w:r w:rsidR="00302508">
        <w:t xml:space="preserve"> </w:t>
      </w:r>
      <w:proofErr w:type="spellStart"/>
      <w:r w:rsidR="00302508">
        <w:t>sum</w:t>
      </w:r>
      <w:r w:rsidR="00D068FE">
        <w:t>m</w:t>
      </w:r>
      <w:r w:rsidR="00302508">
        <w:t>ary</w:t>
      </w:r>
      <w:proofErr w:type="spellEnd"/>
      <w:r w:rsidR="00302508">
        <w:t xml:space="preserve"> </w:t>
      </w:r>
      <w:proofErr w:type="spellStart"/>
      <w:r w:rsidR="00302508">
        <w:t>may</w:t>
      </w:r>
      <w:proofErr w:type="spellEnd"/>
      <w:r w:rsidR="00302508">
        <w:t xml:space="preserve"> </w:t>
      </w:r>
      <w:proofErr w:type="spellStart"/>
      <w:r w:rsidR="00302508">
        <w:t>contain</w:t>
      </w:r>
      <w:proofErr w:type="spellEnd"/>
      <w:r w:rsidR="00302508">
        <w:t xml:space="preserve"> a </w:t>
      </w:r>
      <w:proofErr w:type="spellStart"/>
      <w:r w:rsidR="00302508">
        <w:t>description</w:t>
      </w:r>
      <w:proofErr w:type="spellEnd"/>
      <w:r w:rsidR="00302508">
        <w:t xml:space="preserve"> of </w:t>
      </w:r>
      <w:proofErr w:type="spellStart"/>
      <w:r w:rsidR="00302508">
        <w:t>the</w:t>
      </w:r>
      <w:proofErr w:type="spellEnd"/>
      <w:r w:rsidR="00302508">
        <w:t xml:space="preserve"> </w:t>
      </w:r>
      <w:proofErr w:type="spellStart"/>
      <w:r w:rsidR="00302508">
        <w:t>supervisory</w:t>
      </w:r>
      <w:proofErr w:type="spellEnd"/>
      <w:r w:rsidR="00302508">
        <w:t xml:space="preserve"> </w:t>
      </w:r>
      <w:proofErr w:type="spellStart"/>
      <w:r w:rsidR="00302508">
        <w:t>procedures</w:t>
      </w:r>
      <w:proofErr w:type="spellEnd"/>
      <w:r w:rsidR="00302508">
        <w:t xml:space="preserve"> in place </w:t>
      </w:r>
      <w:proofErr w:type="spellStart"/>
      <w:r w:rsidR="00302508">
        <w:t>during</w:t>
      </w:r>
      <w:proofErr w:type="spellEnd"/>
      <w:r w:rsidR="00302508">
        <w:t xml:space="preserve"> </w:t>
      </w:r>
      <w:proofErr w:type="spellStart"/>
      <w:r w:rsidR="00302508">
        <w:t>the</w:t>
      </w:r>
      <w:proofErr w:type="spellEnd"/>
      <w:r w:rsidR="00302508">
        <w:t xml:space="preserve"> </w:t>
      </w:r>
      <w:proofErr w:type="spellStart"/>
      <w:r w:rsidR="00302508">
        <w:t>accounting</w:t>
      </w:r>
      <w:proofErr w:type="spellEnd"/>
      <w:r w:rsidR="00302508">
        <w:t xml:space="preserve"> </w:t>
      </w:r>
      <w:proofErr w:type="spellStart"/>
      <w:r w:rsidR="00302508">
        <w:t>year</w:t>
      </w:r>
      <w:proofErr w:type="spellEnd"/>
      <w:r w:rsidR="00302508">
        <w:t xml:space="preserve"> </w:t>
      </w:r>
      <w:proofErr w:type="spellStart"/>
      <w:r w:rsidR="00302508">
        <w:t>for</w:t>
      </w:r>
      <w:proofErr w:type="spellEnd"/>
      <w:r w:rsidR="00302508">
        <w:t xml:space="preserve"> </w:t>
      </w:r>
      <w:proofErr w:type="spellStart"/>
      <w:r w:rsidR="00302508">
        <w:t>the</w:t>
      </w:r>
      <w:proofErr w:type="spellEnd"/>
      <w:r w:rsidR="00302508">
        <w:t xml:space="preserve"> MA to </w:t>
      </w:r>
      <w:proofErr w:type="spellStart"/>
      <w:r w:rsidR="00302508">
        <w:t>satisfy</w:t>
      </w:r>
      <w:proofErr w:type="spellEnd"/>
      <w:r w:rsidR="00302508">
        <w:t xml:space="preserve"> </w:t>
      </w:r>
      <w:proofErr w:type="spellStart"/>
      <w:r w:rsidR="00302508">
        <w:t>itself</w:t>
      </w:r>
      <w:proofErr w:type="spellEnd"/>
      <w:r w:rsidR="00302508">
        <w:t xml:space="preserve"> of </w:t>
      </w:r>
      <w:proofErr w:type="spellStart"/>
      <w:r w:rsidR="00302508">
        <w:t>the</w:t>
      </w:r>
      <w:proofErr w:type="spellEnd"/>
      <w:r w:rsidR="00302508">
        <w:t xml:space="preserve"> </w:t>
      </w:r>
      <w:proofErr w:type="spellStart"/>
      <w:r w:rsidR="00302508">
        <w:t>adequacy</w:t>
      </w:r>
      <w:proofErr w:type="spellEnd"/>
      <w:r w:rsidR="00302508">
        <w:t xml:space="preserve"> and </w:t>
      </w:r>
      <w:proofErr w:type="spellStart"/>
      <w:r w:rsidR="00302508">
        <w:t>compliance</w:t>
      </w:r>
      <w:proofErr w:type="spellEnd"/>
      <w:r w:rsidR="00302508">
        <w:t xml:space="preserve"> of </w:t>
      </w:r>
      <w:proofErr w:type="spellStart"/>
      <w:r w:rsidR="00302508">
        <w:t>the</w:t>
      </w:r>
      <w:proofErr w:type="spellEnd"/>
      <w:r w:rsidR="00302508">
        <w:t xml:space="preserve"> </w:t>
      </w:r>
      <w:proofErr w:type="spellStart"/>
      <w:r w:rsidR="00302508">
        <w:t>verification</w:t>
      </w:r>
      <w:proofErr w:type="spellEnd"/>
      <w:r w:rsidR="00302508">
        <w:t xml:space="preserve"> </w:t>
      </w:r>
      <w:proofErr w:type="spellStart"/>
      <w:r w:rsidR="00302508">
        <w:t>work</w:t>
      </w:r>
      <w:proofErr w:type="spellEnd"/>
      <w:r w:rsidR="00302508">
        <w:t xml:space="preserve"> </w:t>
      </w:r>
      <w:proofErr w:type="spellStart"/>
      <w:r w:rsidR="00302508">
        <w:t>carried</w:t>
      </w:r>
      <w:proofErr w:type="spellEnd"/>
      <w:r w:rsidR="00302508">
        <w:t xml:space="preserve"> </w:t>
      </w:r>
      <w:proofErr w:type="spellStart"/>
      <w:r w:rsidR="00302508">
        <w:t>out</w:t>
      </w:r>
      <w:proofErr w:type="spellEnd"/>
      <w:r w:rsidR="00302508">
        <w:t xml:space="preserve"> by </w:t>
      </w:r>
      <w:proofErr w:type="spellStart"/>
      <w:r w:rsidR="00302508">
        <w:t>intermediate</w:t>
      </w:r>
      <w:proofErr w:type="spellEnd"/>
      <w:r w:rsidR="00302508">
        <w:t xml:space="preserve"> </w:t>
      </w:r>
      <w:proofErr w:type="spellStart"/>
      <w:r w:rsidR="00302508">
        <w:t>bodies</w:t>
      </w:r>
      <w:proofErr w:type="spellEnd"/>
      <w:r w:rsidR="00302508">
        <w:t>.</w:t>
      </w:r>
    </w:p>
    <w:p w:rsidR="00A90972" w:rsidRDefault="00A00AE0" w:rsidP="00B21010">
      <w:pPr>
        <w:spacing w:after="240"/>
        <w:jc w:val="both"/>
      </w:pPr>
      <w:proofErr w:type="spellStart"/>
      <w:r>
        <w:t>The</w:t>
      </w:r>
      <w:proofErr w:type="spellEnd"/>
      <w:r>
        <w:t xml:space="preserve"> </w:t>
      </w:r>
      <w:proofErr w:type="spellStart"/>
      <w:r w:rsidR="00221BC2">
        <w:t>methodology</w:t>
      </w:r>
      <w:proofErr w:type="spellEnd"/>
      <w:r>
        <w:t xml:space="preserve"> </w:t>
      </w:r>
      <w:proofErr w:type="spellStart"/>
      <w:r>
        <w:t>should</w:t>
      </w:r>
      <w:proofErr w:type="spellEnd"/>
      <w:r>
        <w:t xml:space="preserve"> </w:t>
      </w:r>
      <w:proofErr w:type="spellStart"/>
      <w:r>
        <w:t>indicate</w:t>
      </w:r>
      <w:proofErr w:type="spellEnd"/>
      <w:r>
        <w:t xml:space="preserve"> </w:t>
      </w:r>
      <w:proofErr w:type="spellStart"/>
      <w:r>
        <w:t>if</w:t>
      </w:r>
      <w:proofErr w:type="spellEnd"/>
      <w:r>
        <w:t xml:space="preserve"> </w:t>
      </w:r>
      <w:proofErr w:type="spellStart"/>
      <w:r>
        <w:t>the</w:t>
      </w:r>
      <w:proofErr w:type="spellEnd"/>
      <w:r>
        <w:t xml:space="preserve"> </w:t>
      </w:r>
      <w:proofErr w:type="spellStart"/>
      <w:r>
        <w:t>administrative</w:t>
      </w:r>
      <w:proofErr w:type="spellEnd"/>
      <w:r>
        <w:t xml:space="preserve"> </w:t>
      </w:r>
      <w:proofErr w:type="spellStart"/>
      <w:r>
        <w:t>verif</w:t>
      </w:r>
      <w:r w:rsidR="00BC5BB5">
        <w:t>i</w:t>
      </w:r>
      <w:r>
        <w:t>cations</w:t>
      </w:r>
      <w:proofErr w:type="spellEnd"/>
      <w:r>
        <w:t xml:space="preserve"> </w:t>
      </w:r>
      <w:proofErr w:type="spellStart"/>
      <w:r>
        <w:t>cover</w:t>
      </w:r>
      <w:proofErr w:type="spellEnd"/>
      <w:r>
        <w:t xml:space="preserve"> 100% of </w:t>
      </w:r>
      <w:proofErr w:type="spellStart"/>
      <w:r>
        <w:t>the</w:t>
      </w:r>
      <w:proofErr w:type="spellEnd"/>
      <w:r>
        <w:t xml:space="preserve"> </w:t>
      </w:r>
      <w:proofErr w:type="spellStart"/>
      <w:r>
        <w:t>expenditure</w:t>
      </w:r>
      <w:proofErr w:type="spellEnd"/>
      <w:r>
        <w:t xml:space="preserve"> </w:t>
      </w:r>
      <w:proofErr w:type="spellStart"/>
      <w:r>
        <w:t>items</w:t>
      </w:r>
      <w:proofErr w:type="spellEnd"/>
      <w:r>
        <w:t xml:space="preserve"> </w:t>
      </w:r>
      <w:proofErr w:type="spellStart"/>
      <w:r>
        <w:t>included</w:t>
      </w:r>
      <w:proofErr w:type="spellEnd"/>
      <w:r>
        <w:t xml:space="preserve"> in </w:t>
      </w:r>
      <w:proofErr w:type="spellStart"/>
      <w:r>
        <w:t>each</w:t>
      </w:r>
      <w:proofErr w:type="spellEnd"/>
      <w:r>
        <w:t xml:space="preserve"> </w:t>
      </w:r>
      <w:proofErr w:type="spellStart"/>
      <w:r>
        <w:t>application</w:t>
      </w:r>
      <w:proofErr w:type="spellEnd"/>
      <w:r>
        <w:t xml:space="preserve"> </w:t>
      </w:r>
      <w:proofErr w:type="spellStart"/>
      <w:r>
        <w:t>for</w:t>
      </w:r>
      <w:proofErr w:type="spellEnd"/>
      <w:r>
        <w:t xml:space="preserve"> </w:t>
      </w:r>
      <w:proofErr w:type="spellStart"/>
      <w:r>
        <w:t>reimbursement</w:t>
      </w:r>
      <w:proofErr w:type="spellEnd"/>
      <w:r>
        <w:t xml:space="preserve"> </w:t>
      </w:r>
      <w:proofErr w:type="spellStart"/>
      <w:r>
        <w:t>or</w:t>
      </w:r>
      <w:proofErr w:type="spellEnd"/>
      <w:r>
        <w:t xml:space="preserve"> are </w:t>
      </w:r>
      <w:proofErr w:type="spellStart"/>
      <w:r>
        <w:t>carried</w:t>
      </w:r>
      <w:proofErr w:type="spellEnd"/>
      <w:r>
        <w:t xml:space="preserve"> </w:t>
      </w:r>
      <w:proofErr w:type="spellStart"/>
      <w:r>
        <w:t>out</w:t>
      </w:r>
      <w:proofErr w:type="spellEnd"/>
      <w:r>
        <w:t xml:space="preserve"> on a sample </w:t>
      </w:r>
      <w:proofErr w:type="spellStart"/>
      <w:r>
        <w:t>basis</w:t>
      </w:r>
      <w:proofErr w:type="spellEnd"/>
      <w:r>
        <w:t xml:space="preserve">. In </w:t>
      </w:r>
      <w:proofErr w:type="spellStart"/>
      <w:r>
        <w:t>the</w:t>
      </w:r>
      <w:proofErr w:type="spellEnd"/>
      <w:r>
        <w:t xml:space="preserve"> </w:t>
      </w:r>
      <w:proofErr w:type="spellStart"/>
      <w:r>
        <w:t>latter</w:t>
      </w:r>
      <w:proofErr w:type="spellEnd"/>
      <w:r>
        <w:t xml:space="preserve"> case, </w:t>
      </w:r>
      <w:proofErr w:type="spellStart"/>
      <w:r>
        <w:t>the</w:t>
      </w:r>
      <w:proofErr w:type="spellEnd"/>
      <w:r>
        <w:t xml:space="preserve"> </w:t>
      </w:r>
      <w:proofErr w:type="spellStart"/>
      <w:r>
        <w:t>methodology</w:t>
      </w:r>
      <w:proofErr w:type="spellEnd"/>
      <w:r>
        <w:t xml:space="preserve"> and </w:t>
      </w:r>
      <w:r w:rsidR="00B7413E">
        <w:t xml:space="preserve">risk </w:t>
      </w:r>
      <w:proofErr w:type="spellStart"/>
      <w:r>
        <w:t>criteria</w:t>
      </w:r>
      <w:proofErr w:type="spellEnd"/>
      <w:r>
        <w:t xml:space="preserve"> </w:t>
      </w:r>
      <w:proofErr w:type="spellStart"/>
      <w:r w:rsidR="00B7413E">
        <w:t>used</w:t>
      </w:r>
      <w:proofErr w:type="spellEnd"/>
      <w:r w:rsidR="00B7413E">
        <w:t xml:space="preserve"> </w:t>
      </w:r>
      <w:proofErr w:type="spellStart"/>
      <w:r>
        <w:t>for</w:t>
      </w:r>
      <w:proofErr w:type="spellEnd"/>
      <w:r>
        <w:t xml:space="preserve"> </w:t>
      </w:r>
      <w:proofErr w:type="spellStart"/>
      <w:r>
        <w:t>the</w:t>
      </w:r>
      <w:proofErr w:type="spellEnd"/>
      <w:r>
        <w:t xml:space="preserve"> sample </w:t>
      </w:r>
      <w:proofErr w:type="spellStart"/>
      <w:r>
        <w:t>selection</w:t>
      </w:r>
      <w:proofErr w:type="spellEnd"/>
      <w:r>
        <w:t xml:space="preserve"> </w:t>
      </w:r>
      <w:proofErr w:type="spellStart"/>
      <w:r>
        <w:t>should</w:t>
      </w:r>
      <w:proofErr w:type="spellEnd"/>
      <w:r>
        <w:t xml:space="preserve"> </w:t>
      </w:r>
      <w:proofErr w:type="spellStart"/>
      <w:r>
        <w:t>be</w:t>
      </w:r>
      <w:proofErr w:type="spellEnd"/>
      <w:r>
        <w:t xml:space="preserve"> </w:t>
      </w:r>
      <w:proofErr w:type="spellStart"/>
      <w:proofErr w:type="gramStart"/>
      <w:r>
        <w:t>explained</w:t>
      </w:r>
      <w:proofErr w:type="spellEnd"/>
      <w:r>
        <w:t xml:space="preserve"> (</w:t>
      </w:r>
      <w:proofErr w:type="spellStart"/>
      <w:r>
        <w:t>e.g</w:t>
      </w:r>
      <w:proofErr w:type="spellEnd"/>
      <w:r>
        <w:t>. by</w:t>
      </w:r>
      <w:proofErr w:type="gramEnd"/>
      <w:r>
        <w:t xml:space="preserve"> type of </w:t>
      </w:r>
      <w:proofErr w:type="spellStart"/>
      <w:r>
        <w:t>beneficiary</w:t>
      </w:r>
      <w:proofErr w:type="spellEnd"/>
      <w:r>
        <w:t xml:space="preserve">, </w:t>
      </w:r>
      <w:proofErr w:type="spellStart"/>
      <w:r>
        <w:t>category</w:t>
      </w:r>
      <w:proofErr w:type="spellEnd"/>
      <w:r>
        <w:t xml:space="preserve"> of </w:t>
      </w:r>
      <w:proofErr w:type="spellStart"/>
      <w:r>
        <w:t>expenditure</w:t>
      </w:r>
      <w:proofErr w:type="spellEnd"/>
      <w:r>
        <w:t xml:space="preserve">, </w:t>
      </w:r>
      <w:proofErr w:type="spellStart"/>
      <w:r>
        <w:t>value</w:t>
      </w:r>
      <w:proofErr w:type="spellEnd"/>
      <w:r>
        <w:t xml:space="preserve"> of </w:t>
      </w:r>
      <w:proofErr w:type="spellStart"/>
      <w:r>
        <w:t>items</w:t>
      </w:r>
      <w:proofErr w:type="spellEnd"/>
      <w:r>
        <w:t xml:space="preserve">, past </w:t>
      </w:r>
      <w:proofErr w:type="spellStart"/>
      <w:r>
        <w:t>experience</w:t>
      </w:r>
      <w:proofErr w:type="spellEnd"/>
      <w:r>
        <w:t xml:space="preserve">, </w:t>
      </w:r>
      <w:proofErr w:type="spellStart"/>
      <w:r>
        <w:t>etc</w:t>
      </w:r>
      <w:proofErr w:type="spellEnd"/>
      <w:r>
        <w:t>).</w:t>
      </w:r>
    </w:p>
    <w:p w:rsidR="00EC1C4C" w:rsidRDefault="006B1BF2" w:rsidP="00B21010">
      <w:pPr>
        <w:spacing w:after="240"/>
        <w:jc w:val="both"/>
      </w:pPr>
      <w:r>
        <w:rPr>
          <w:lang w:val="en-GB"/>
        </w:rPr>
        <w:lastRenderedPageBreak/>
        <w:t xml:space="preserve">The </w:t>
      </w:r>
      <w:r w:rsidRPr="00B11A77">
        <w:rPr>
          <w:u w:val="single"/>
          <w:lang w:val="en-GB"/>
        </w:rPr>
        <w:t>summary of the on-the-spot controls</w:t>
      </w:r>
      <w:r>
        <w:rPr>
          <w:lang w:val="en-GB"/>
        </w:rPr>
        <w:t xml:space="preserve"> </w:t>
      </w:r>
      <w:r w:rsidR="00D20C85">
        <w:rPr>
          <w:lang w:val="en-GB"/>
        </w:rPr>
        <w:t xml:space="preserve">should include the number of controls </w:t>
      </w:r>
      <w:r>
        <w:rPr>
          <w:lang w:val="en-GB"/>
        </w:rPr>
        <w:t xml:space="preserve">carried out </w:t>
      </w:r>
      <w:r w:rsidR="00221BC2">
        <w:rPr>
          <w:lang w:val="en-GB"/>
        </w:rPr>
        <w:t xml:space="preserve">on expenditure declared </w:t>
      </w:r>
      <w:r>
        <w:rPr>
          <w:lang w:val="en-GB"/>
        </w:rPr>
        <w:t>during the accounting year</w:t>
      </w:r>
      <w:r w:rsidR="00EC1C4C" w:rsidRPr="00EC1C4C">
        <w:rPr>
          <w:lang w:val="en-GB"/>
        </w:rPr>
        <w:t xml:space="preserve"> </w:t>
      </w:r>
      <w:r w:rsidR="00D20C85">
        <w:t xml:space="preserve">and </w:t>
      </w:r>
      <w:r w:rsidR="00EC1C4C">
        <w:t xml:space="preserve">a </w:t>
      </w:r>
      <w:proofErr w:type="spellStart"/>
      <w:r w:rsidR="00EC1C4C">
        <w:t>description</w:t>
      </w:r>
      <w:proofErr w:type="spellEnd"/>
      <w:r w:rsidR="00EC1C4C">
        <w:t xml:space="preserve"> of </w:t>
      </w:r>
      <w:proofErr w:type="spellStart"/>
      <w:r w:rsidR="00EC1C4C">
        <w:t>the</w:t>
      </w:r>
      <w:proofErr w:type="spellEnd"/>
      <w:r w:rsidR="00EC1C4C">
        <w:t xml:space="preserve"> </w:t>
      </w:r>
      <w:proofErr w:type="spellStart"/>
      <w:r w:rsidR="00221BC2">
        <w:t>methodology</w:t>
      </w:r>
      <w:proofErr w:type="spellEnd"/>
      <w:r w:rsidR="00EC1C4C">
        <w:t xml:space="preserve"> </w:t>
      </w:r>
      <w:proofErr w:type="spellStart"/>
      <w:r w:rsidR="00302508">
        <w:t>followed</w:t>
      </w:r>
      <w:proofErr w:type="spellEnd"/>
      <w:r w:rsidR="00302508">
        <w:t xml:space="preserve"> </w:t>
      </w:r>
      <w:r w:rsidR="00EC1C4C">
        <w:t xml:space="preserve">by </w:t>
      </w:r>
      <w:proofErr w:type="spellStart"/>
      <w:r w:rsidR="00EC1C4C">
        <w:t>the</w:t>
      </w:r>
      <w:proofErr w:type="spellEnd"/>
      <w:r w:rsidR="00EC1C4C">
        <w:t xml:space="preserve"> MA</w:t>
      </w:r>
      <w:r w:rsidR="00302508">
        <w:t xml:space="preserve">, </w:t>
      </w:r>
      <w:proofErr w:type="spellStart"/>
      <w:r w:rsidR="005746B3">
        <w:t>including</w:t>
      </w:r>
      <w:proofErr w:type="spellEnd"/>
      <w:r w:rsidR="005746B3">
        <w:t xml:space="preserve"> </w:t>
      </w:r>
      <w:proofErr w:type="spellStart"/>
      <w:r w:rsidR="005746B3">
        <w:t>the</w:t>
      </w:r>
      <w:proofErr w:type="spellEnd"/>
      <w:r w:rsidR="005746B3">
        <w:t xml:space="preserve"> </w:t>
      </w:r>
      <w:proofErr w:type="spellStart"/>
      <w:r w:rsidR="005746B3">
        <w:t>criteria</w:t>
      </w:r>
      <w:proofErr w:type="spellEnd"/>
      <w:r w:rsidR="005746B3">
        <w:t xml:space="preserve"> to </w:t>
      </w:r>
      <w:proofErr w:type="spellStart"/>
      <w:r w:rsidR="005746B3">
        <w:t>select</w:t>
      </w:r>
      <w:proofErr w:type="spellEnd"/>
      <w:r w:rsidR="005746B3">
        <w:t xml:space="preserve"> </w:t>
      </w:r>
      <w:proofErr w:type="spellStart"/>
      <w:r w:rsidR="005746B3">
        <w:t>operations</w:t>
      </w:r>
      <w:proofErr w:type="spellEnd"/>
      <w:r w:rsidR="005746B3">
        <w:t xml:space="preserve"> </w:t>
      </w:r>
      <w:proofErr w:type="spellStart"/>
      <w:r w:rsidR="005746B3">
        <w:t>subject</w:t>
      </w:r>
      <w:proofErr w:type="spellEnd"/>
      <w:r w:rsidR="005746B3">
        <w:t xml:space="preserve"> to </w:t>
      </w:r>
      <w:r w:rsidR="00302508">
        <w:t>such on-</w:t>
      </w:r>
      <w:proofErr w:type="spellStart"/>
      <w:r w:rsidR="00302508">
        <w:t>the</w:t>
      </w:r>
      <w:proofErr w:type="spellEnd"/>
      <w:r w:rsidR="00302508">
        <w:t xml:space="preserve">-spot </w:t>
      </w:r>
      <w:proofErr w:type="spellStart"/>
      <w:r w:rsidR="00302508">
        <w:t>controls</w:t>
      </w:r>
      <w:proofErr w:type="spellEnd"/>
      <w:r w:rsidR="005746B3">
        <w:t xml:space="preserve"> and </w:t>
      </w:r>
      <w:proofErr w:type="spellStart"/>
      <w:r w:rsidR="005746B3">
        <w:t>if</w:t>
      </w:r>
      <w:proofErr w:type="spellEnd"/>
      <w:r w:rsidR="005746B3">
        <w:t xml:space="preserve"> </w:t>
      </w:r>
      <w:proofErr w:type="spellStart"/>
      <w:r w:rsidR="005746B3">
        <w:t>the</w:t>
      </w:r>
      <w:proofErr w:type="spellEnd"/>
      <w:r w:rsidR="00484A7F" w:rsidRPr="005746B3">
        <w:t xml:space="preserve"> </w:t>
      </w:r>
      <w:proofErr w:type="spellStart"/>
      <w:r w:rsidR="00484A7F" w:rsidRPr="005746B3">
        <w:t>main</w:t>
      </w:r>
      <w:proofErr w:type="spellEnd"/>
      <w:r w:rsidR="00484A7F" w:rsidRPr="005746B3">
        <w:t xml:space="preserve"> </w:t>
      </w:r>
      <w:proofErr w:type="spellStart"/>
      <w:r w:rsidR="00484A7F" w:rsidRPr="005746B3">
        <w:t>purpose</w:t>
      </w:r>
      <w:proofErr w:type="spellEnd"/>
      <w:r w:rsidR="00484A7F" w:rsidRPr="005746B3">
        <w:t xml:space="preserve"> </w:t>
      </w:r>
      <w:proofErr w:type="spellStart"/>
      <w:r w:rsidR="005746B3">
        <w:t>wa</w:t>
      </w:r>
      <w:r w:rsidR="00484A7F" w:rsidRPr="005746B3">
        <w:t>s</w:t>
      </w:r>
      <w:proofErr w:type="spellEnd"/>
      <w:r w:rsidR="00484A7F" w:rsidRPr="005746B3">
        <w:t xml:space="preserve"> to </w:t>
      </w:r>
      <w:proofErr w:type="spellStart"/>
      <w:r w:rsidR="00484A7F" w:rsidRPr="005746B3">
        <w:t>confirm</w:t>
      </w:r>
      <w:proofErr w:type="spellEnd"/>
      <w:r w:rsidR="00484A7F" w:rsidRPr="005746B3">
        <w:t xml:space="preserve"> </w:t>
      </w:r>
      <w:proofErr w:type="spellStart"/>
      <w:r w:rsidR="00484A7F" w:rsidRPr="005746B3">
        <w:t>or</w:t>
      </w:r>
      <w:proofErr w:type="spellEnd"/>
      <w:r w:rsidR="00484A7F" w:rsidRPr="005746B3">
        <w:t xml:space="preserve"> </w:t>
      </w:r>
      <w:proofErr w:type="spellStart"/>
      <w:r w:rsidR="00484A7F" w:rsidRPr="005746B3">
        <w:t>complement</w:t>
      </w:r>
      <w:proofErr w:type="spellEnd"/>
      <w:r w:rsidR="00484A7F" w:rsidRPr="005746B3">
        <w:t xml:space="preserve"> </w:t>
      </w:r>
      <w:proofErr w:type="spellStart"/>
      <w:r w:rsidR="00484A7F" w:rsidRPr="005746B3">
        <w:t>the</w:t>
      </w:r>
      <w:proofErr w:type="spellEnd"/>
      <w:r w:rsidR="00484A7F" w:rsidRPr="005746B3">
        <w:t xml:space="preserve"> </w:t>
      </w:r>
      <w:proofErr w:type="spellStart"/>
      <w:r w:rsidR="00484A7F" w:rsidRPr="005746B3">
        <w:t>result</w:t>
      </w:r>
      <w:r w:rsidR="005746B3">
        <w:t>s</w:t>
      </w:r>
      <w:proofErr w:type="spellEnd"/>
      <w:r w:rsidR="00484A7F" w:rsidRPr="005746B3">
        <w:t xml:space="preserve"> of </w:t>
      </w:r>
      <w:proofErr w:type="spellStart"/>
      <w:r w:rsidR="00484A7F" w:rsidRPr="005746B3">
        <w:t>the</w:t>
      </w:r>
      <w:proofErr w:type="spellEnd"/>
      <w:r w:rsidR="00484A7F" w:rsidRPr="005746B3">
        <w:t xml:space="preserve"> </w:t>
      </w:r>
      <w:proofErr w:type="spellStart"/>
      <w:r w:rsidR="00484A7F" w:rsidRPr="005746B3">
        <w:t>administrative</w:t>
      </w:r>
      <w:proofErr w:type="spellEnd"/>
      <w:r w:rsidR="00484A7F" w:rsidRPr="005746B3">
        <w:t xml:space="preserve"> </w:t>
      </w:r>
      <w:proofErr w:type="spellStart"/>
      <w:r w:rsidR="00484A7F" w:rsidRPr="005746B3">
        <w:t>verifications</w:t>
      </w:r>
      <w:proofErr w:type="spellEnd"/>
      <w:r w:rsidR="00A01EA0">
        <w:t xml:space="preserve">. </w:t>
      </w:r>
      <w:proofErr w:type="spellStart"/>
      <w:r w:rsidR="00484A7F">
        <w:t>The</w:t>
      </w:r>
      <w:proofErr w:type="spellEnd"/>
      <w:r w:rsidR="00484A7F">
        <w:t xml:space="preserve"> </w:t>
      </w:r>
      <w:proofErr w:type="spellStart"/>
      <w:r w:rsidR="005746B3">
        <w:t>description</w:t>
      </w:r>
      <w:proofErr w:type="spellEnd"/>
      <w:r w:rsidR="005746B3">
        <w:t xml:space="preserve"> of </w:t>
      </w:r>
      <w:proofErr w:type="spellStart"/>
      <w:r w:rsidR="005746B3">
        <w:t>the</w:t>
      </w:r>
      <w:proofErr w:type="spellEnd"/>
      <w:r w:rsidR="005746B3">
        <w:t xml:space="preserve"> </w:t>
      </w:r>
      <w:proofErr w:type="spellStart"/>
      <w:r w:rsidR="00221BC2">
        <w:t>methodology</w:t>
      </w:r>
      <w:proofErr w:type="spellEnd"/>
      <w:r w:rsidR="005746B3">
        <w:t xml:space="preserve"> </w:t>
      </w:r>
      <w:proofErr w:type="spellStart"/>
      <w:r w:rsidR="005746B3">
        <w:t>used</w:t>
      </w:r>
      <w:proofErr w:type="spellEnd"/>
      <w:r w:rsidR="005746B3">
        <w:t xml:space="preserve"> </w:t>
      </w:r>
      <w:proofErr w:type="spellStart"/>
      <w:r w:rsidR="005746B3">
        <w:t>for</w:t>
      </w:r>
      <w:proofErr w:type="spellEnd"/>
      <w:r w:rsidR="005746B3">
        <w:t xml:space="preserve"> on-</w:t>
      </w:r>
      <w:proofErr w:type="spellStart"/>
      <w:r w:rsidR="005746B3">
        <w:t>the</w:t>
      </w:r>
      <w:proofErr w:type="spellEnd"/>
      <w:r w:rsidR="005746B3">
        <w:t xml:space="preserve">-spot </w:t>
      </w:r>
      <w:proofErr w:type="spellStart"/>
      <w:r w:rsidR="005746B3">
        <w:t>controls</w:t>
      </w:r>
      <w:proofErr w:type="spellEnd"/>
      <w:r w:rsidR="00484A7F">
        <w:t xml:space="preserve"> </w:t>
      </w:r>
      <w:proofErr w:type="spellStart"/>
      <w:r w:rsidR="005746B3">
        <w:t>would</w:t>
      </w:r>
      <w:proofErr w:type="spellEnd"/>
      <w:r w:rsidR="005746B3">
        <w:t xml:space="preserve"> </w:t>
      </w:r>
      <w:proofErr w:type="spellStart"/>
      <w:r w:rsidR="005746B3">
        <w:t>also</w:t>
      </w:r>
      <w:proofErr w:type="spellEnd"/>
      <w:r w:rsidR="005746B3">
        <w:t xml:space="preserve"> </w:t>
      </w:r>
      <w:proofErr w:type="spellStart"/>
      <w:r w:rsidR="005746B3">
        <w:t>add</w:t>
      </w:r>
      <w:proofErr w:type="spellEnd"/>
      <w:r w:rsidR="005746B3">
        <w:t xml:space="preserve"> </w:t>
      </w:r>
      <w:proofErr w:type="spellStart"/>
      <w:r w:rsidR="005746B3">
        <w:t>value</w:t>
      </w:r>
      <w:proofErr w:type="spellEnd"/>
      <w:r w:rsidR="005746B3">
        <w:t xml:space="preserve"> to </w:t>
      </w:r>
      <w:proofErr w:type="spellStart"/>
      <w:r w:rsidR="005746B3">
        <w:t>the</w:t>
      </w:r>
      <w:proofErr w:type="spellEnd"/>
      <w:r w:rsidR="005746B3">
        <w:t xml:space="preserve"> </w:t>
      </w:r>
      <w:proofErr w:type="spellStart"/>
      <w:r w:rsidR="005746B3">
        <w:t>annual</w:t>
      </w:r>
      <w:proofErr w:type="spellEnd"/>
      <w:r w:rsidR="005746B3">
        <w:t xml:space="preserve"> </w:t>
      </w:r>
      <w:proofErr w:type="spellStart"/>
      <w:r w:rsidR="005746B3">
        <w:t>summary</w:t>
      </w:r>
      <w:proofErr w:type="spellEnd"/>
      <w:r w:rsidR="005746B3">
        <w:t xml:space="preserve"> </w:t>
      </w:r>
      <w:proofErr w:type="spellStart"/>
      <w:r w:rsidR="005746B3">
        <w:t>if</w:t>
      </w:r>
      <w:proofErr w:type="spellEnd"/>
      <w:r w:rsidR="005746B3">
        <w:t xml:space="preserve"> </w:t>
      </w:r>
      <w:proofErr w:type="spellStart"/>
      <w:r w:rsidR="005746B3">
        <w:t>it</w:t>
      </w:r>
      <w:proofErr w:type="spellEnd"/>
      <w:r w:rsidR="005746B3">
        <w:t xml:space="preserve"> </w:t>
      </w:r>
      <w:proofErr w:type="spellStart"/>
      <w:r w:rsidR="005746B3">
        <w:t>w</w:t>
      </w:r>
      <w:r w:rsidR="00484A7F">
        <w:t>ould</w:t>
      </w:r>
      <w:proofErr w:type="spellEnd"/>
      <w:r w:rsidR="00484A7F">
        <w:t xml:space="preserve"> </w:t>
      </w:r>
      <w:proofErr w:type="spellStart"/>
      <w:r w:rsidR="00484A7F">
        <w:t>also</w:t>
      </w:r>
      <w:proofErr w:type="spellEnd"/>
      <w:r w:rsidR="00484A7F">
        <w:t xml:space="preserve"> </w:t>
      </w:r>
      <w:proofErr w:type="spellStart"/>
      <w:r w:rsidR="005746B3">
        <w:t>refer</w:t>
      </w:r>
      <w:proofErr w:type="spellEnd"/>
      <w:r w:rsidR="005746B3">
        <w:t xml:space="preserve"> to</w:t>
      </w:r>
      <w:r w:rsidR="00484A7F">
        <w:t xml:space="preserve"> </w:t>
      </w:r>
      <w:proofErr w:type="spellStart"/>
      <w:r w:rsidR="00484A7F">
        <w:t>the</w:t>
      </w:r>
      <w:proofErr w:type="spellEnd"/>
      <w:r w:rsidR="00484A7F">
        <w:t xml:space="preserve"> </w:t>
      </w:r>
      <w:proofErr w:type="spellStart"/>
      <w:r w:rsidR="00484A7F">
        <w:t>main</w:t>
      </w:r>
      <w:proofErr w:type="spellEnd"/>
      <w:r w:rsidR="00484A7F">
        <w:t xml:space="preserve"> </w:t>
      </w:r>
      <w:proofErr w:type="spellStart"/>
      <w:r w:rsidR="00484A7F">
        <w:t>aspects</w:t>
      </w:r>
      <w:proofErr w:type="spellEnd"/>
      <w:r w:rsidR="00484A7F">
        <w:t xml:space="preserve"> </w:t>
      </w:r>
      <w:proofErr w:type="spellStart"/>
      <w:r w:rsidR="00484A7F">
        <w:t>verif</w:t>
      </w:r>
      <w:r w:rsidR="005746B3">
        <w:t>ied</w:t>
      </w:r>
      <w:proofErr w:type="spellEnd"/>
      <w:r w:rsidR="00484A7F">
        <w:t xml:space="preserve"> on </w:t>
      </w:r>
      <w:proofErr w:type="spellStart"/>
      <w:r w:rsidR="00484A7F">
        <w:t>the</w:t>
      </w:r>
      <w:proofErr w:type="spellEnd"/>
      <w:r w:rsidR="00484A7F">
        <w:t xml:space="preserve"> spot</w:t>
      </w:r>
      <w:r w:rsidR="00A01EA0">
        <w:t xml:space="preserve">, </w:t>
      </w:r>
      <w:r w:rsidR="00821419">
        <w:t xml:space="preserve">in </w:t>
      </w:r>
      <w:proofErr w:type="spellStart"/>
      <w:r w:rsidR="00821419">
        <w:t>particular</w:t>
      </w:r>
      <w:proofErr w:type="spellEnd"/>
      <w:r w:rsidR="00821419">
        <w:t xml:space="preserve"> </w:t>
      </w:r>
      <w:proofErr w:type="spellStart"/>
      <w:r w:rsidR="00821419">
        <w:t>those</w:t>
      </w:r>
      <w:proofErr w:type="spellEnd"/>
      <w:r w:rsidR="00A01EA0">
        <w:t xml:space="preserve"> </w:t>
      </w:r>
      <w:proofErr w:type="spellStart"/>
      <w:r w:rsidR="003714BE">
        <w:t>aspects</w:t>
      </w:r>
      <w:proofErr w:type="spellEnd"/>
      <w:r w:rsidR="003714BE">
        <w:t xml:space="preserve"> </w:t>
      </w:r>
      <w:proofErr w:type="spellStart"/>
      <w:r w:rsidR="00A01EA0">
        <w:t>that</w:t>
      </w:r>
      <w:proofErr w:type="spellEnd"/>
      <w:r w:rsidR="00A01EA0">
        <w:t xml:space="preserve"> are </w:t>
      </w:r>
      <w:proofErr w:type="spellStart"/>
      <w:r w:rsidR="00A34528">
        <w:t>either</w:t>
      </w:r>
      <w:proofErr w:type="spellEnd"/>
      <w:r w:rsidR="00A34528">
        <w:t xml:space="preserve"> </w:t>
      </w:r>
      <w:r w:rsidR="00A01EA0">
        <w:t xml:space="preserve">not </w:t>
      </w:r>
      <w:proofErr w:type="spellStart"/>
      <w:r w:rsidR="00A01EA0">
        <w:t>possible</w:t>
      </w:r>
      <w:proofErr w:type="spellEnd"/>
      <w:r w:rsidR="00A01EA0">
        <w:t xml:space="preserve"> </w:t>
      </w:r>
      <w:proofErr w:type="spellStart"/>
      <w:r w:rsidR="00A01EA0">
        <w:t>or</w:t>
      </w:r>
      <w:proofErr w:type="spellEnd"/>
      <w:r w:rsidR="00A01EA0">
        <w:t xml:space="preserve"> </w:t>
      </w:r>
      <w:r w:rsidR="003714BE">
        <w:t xml:space="preserve">are </w:t>
      </w:r>
      <w:proofErr w:type="spellStart"/>
      <w:r w:rsidR="00A01EA0">
        <w:t>difficult</w:t>
      </w:r>
      <w:proofErr w:type="spellEnd"/>
      <w:r w:rsidR="00A01EA0">
        <w:t xml:space="preserve"> to </w:t>
      </w:r>
      <w:proofErr w:type="spellStart"/>
      <w:r w:rsidR="003714BE">
        <w:t>verify</w:t>
      </w:r>
      <w:proofErr w:type="spellEnd"/>
      <w:r w:rsidR="003714BE">
        <w:t xml:space="preserve"> </w:t>
      </w:r>
      <w:proofErr w:type="spellStart"/>
      <w:r w:rsidR="00A01EA0">
        <w:t>through</w:t>
      </w:r>
      <w:proofErr w:type="spellEnd"/>
      <w:r w:rsidR="00A01EA0">
        <w:t xml:space="preserve"> </w:t>
      </w:r>
      <w:proofErr w:type="spellStart"/>
      <w:r w:rsidR="005746B3">
        <w:t>desk</w:t>
      </w:r>
      <w:proofErr w:type="spellEnd"/>
      <w:r w:rsidR="005746B3">
        <w:t xml:space="preserve"> </w:t>
      </w:r>
      <w:proofErr w:type="spellStart"/>
      <w:r w:rsidR="00A01EA0">
        <w:t>administrative</w:t>
      </w:r>
      <w:proofErr w:type="spellEnd"/>
      <w:r w:rsidR="00A01EA0">
        <w:t xml:space="preserve"> </w:t>
      </w:r>
      <w:proofErr w:type="spellStart"/>
      <w:proofErr w:type="gramStart"/>
      <w:r w:rsidR="00A01EA0">
        <w:t>verifications</w:t>
      </w:r>
      <w:proofErr w:type="spellEnd"/>
      <w:r w:rsidR="00A01EA0">
        <w:t xml:space="preserve"> (</w:t>
      </w:r>
      <w:proofErr w:type="spellStart"/>
      <w:r w:rsidR="003714BE">
        <w:t>e.g</w:t>
      </w:r>
      <w:proofErr w:type="spellEnd"/>
      <w:r w:rsidR="003714BE">
        <w:t xml:space="preserve">. </w:t>
      </w:r>
      <w:proofErr w:type="spellStart"/>
      <w:r w:rsidR="005746B3">
        <w:t>confirming</w:t>
      </w:r>
      <w:proofErr w:type="spellEnd"/>
      <w:proofErr w:type="gramEnd"/>
      <w:r w:rsidR="005746B3">
        <w:t xml:space="preserve"> </w:t>
      </w:r>
      <w:proofErr w:type="spellStart"/>
      <w:r w:rsidR="005746B3">
        <w:t>the</w:t>
      </w:r>
      <w:proofErr w:type="spellEnd"/>
      <w:r w:rsidR="005746B3">
        <w:t xml:space="preserve"> reality of </w:t>
      </w:r>
      <w:proofErr w:type="spellStart"/>
      <w:r w:rsidR="005746B3">
        <w:t>accounting</w:t>
      </w:r>
      <w:proofErr w:type="spellEnd"/>
      <w:r w:rsidR="005746B3">
        <w:t xml:space="preserve"> </w:t>
      </w:r>
      <w:proofErr w:type="spellStart"/>
      <w:r w:rsidR="005746B3">
        <w:t>entries</w:t>
      </w:r>
      <w:proofErr w:type="spellEnd"/>
      <w:r w:rsidR="005746B3">
        <w:t xml:space="preserve"> in </w:t>
      </w:r>
      <w:proofErr w:type="spellStart"/>
      <w:r w:rsidR="005746B3">
        <w:t>the</w:t>
      </w:r>
      <w:proofErr w:type="spellEnd"/>
      <w:r w:rsidR="005746B3">
        <w:t xml:space="preserve"> </w:t>
      </w:r>
      <w:proofErr w:type="spellStart"/>
      <w:r w:rsidR="005746B3">
        <w:t>official</w:t>
      </w:r>
      <w:proofErr w:type="spellEnd"/>
      <w:r w:rsidR="005746B3">
        <w:t xml:space="preserve"> </w:t>
      </w:r>
      <w:proofErr w:type="spellStart"/>
      <w:r w:rsidR="005746B3">
        <w:t>accounts</w:t>
      </w:r>
      <w:proofErr w:type="spellEnd"/>
      <w:r w:rsidR="005746B3">
        <w:t xml:space="preserve"> of </w:t>
      </w:r>
      <w:proofErr w:type="spellStart"/>
      <w:r w:rsidR="005746B3">
        <w:t>the</w:t>
      </w:r>
      <w:proofErr w:type="spellEnd"/>
      <w:r w:rsidR="005746B3">
        <w:t xml:space="preserve"> </w:t>
      </w:r>
      <w:proofErr w:type="spellStart"/>
      <w:r w:rsidR="005746B3">
        <w:t>beneficiary</w:t>
      </w:r>
      <w:proofErr w:type="spellEnd"/>
      <w:r w:rsidR="005746B3">
        <w:t xml:space="preserve">, </w:t>
      </w:r>
      <w:proofErr w:type="spellStart"/>
      <w:r w:rsidR="00A01EA0">
        <w:t>checking</w:t>
      </w:r>
      <w:proofErr w:type="spellEnd"/>
      <w:r w:rsidR="00A01EA0">
        <w:t xml:space="preserve"> </w:t>
      </w:r>
      <w:proofErr w:type="spellStart"/>
      <w:r w:rsidR="00A01EA0">
        <w:t>the</w:t>
      </w:r>
      <w:proofErr w:type="spellEnd"/>
      <w:r w:rsidR="00A01EA0">
        <w:t xml:space="preserve"> reality of </w:t>
      </w:r>
      <w:proofErr w:type="spellStart"/>
      <w:r w:rsidR="00A01EA0">
        <w:t>the</w:t>
      </w:r>
      <w:proofErr w:type="spellEnd"/>
      <w:r w:rsidR="00A01EA0">
        <w:t xml:space="preserve"> </w:t>
      </w:r>
      <w:proofErr w:type="spellStart"/>
      <w:r w:rsidR="00A01EA0">
        <w:t>operation</w:t>
      </w:r>
      <w:proofErr w:type="spellEnd"/>
      <w:r w:rsidR="00A01EA0">
        <w:t xml:space="preserve">, </w:t>
      </w:r>
      <w:proofErr w:type="spellStart"/>
      <w:r w:rsidR="00A01EA0">
        <w:t>the</w:t>
      </w:r>
      <w:proofErr w:type="spellEnd"/>
      <w:r w:rsidR="00A01EA0">
        <w:t xml:space="preserve"> </w:t>
      </w:r>
      <w:proofErr w:type="spellStart"/>
      <w:r w:rsidR="00A01EA0">
        <w:t>physical</w:t>
      </w:r>
      <w:proofErr w:type="spellEnd"/>
      <w:r w:rsidR="00A01EA0">
        <w:t xml:space="preserve"> </w:t>
      </w:r>
      <w:proofErr w:type="spellStart"/>
      <w:r w:rsidR="00A01EA0">
        <w:t>progress</w:t>
      </w:r>
      <w:proofErr w:type="spellEnd"/>
      <w:r w:rsidR="00821419">
        <w:t>,</w:t>
      </w:r>
      <w:r w:rsidR="00A01EA0">
        <w:t xml:space="preserve"> </w:t>
      </w:r>
      <w:proofErr w:type="spellStart"/>
      <w:r w:rsidR="00A01EA0">
        <w:t>the</w:t>
      </w:r>
      <w:proofErr w:type="spellEnd"/>
      <w:r w:rsidR="00A01EA0">
        <w:t xml:space="preserve"> </w:t>
      </w:r>
      <w:proofErr w:type="spellStart"/>
      <w:r w:rsidR="00A01EA0">
        <w:t>respect</w:t>
      </w:r>
      <w:proofErr w:type="spellEnd"/>
      <w:r w:rsidR="00A01EA0">
        <w:t xml:space="preserve"> of Union </w:t>
      </w:r>
      <w:proofErr w:type="spellStart"/>
      <w:r w:rsidR="00A01EA0">
        <w:t>rules</w:t>
      </w:r>
      <w:proofErr w:type="spellEnd"/>
      <w:r w:rsidR="00A01EA0">
        <w:t xml:space="preserve"> on publicity</w:t>
      </w:r>
      <w:r w:rsidR="00821419">
        <w:t xml:space="preserve">, </w:t>
      </w:r>
      <w:proofErr w:type="spellStart"/>
      <w:r w:rsidR="00821419">
        <w:t>the</w:t>
      </w:r>
      <w:proofErr w:type="spellEnd"/>
      <w:r w:rsidR="00821419">
        <w:t xml:space="preserve"> </w:t>
      </w:r>
      <w:proofErr w:type="spellStart"/>
      <w:r w:rsidR="00821419">
        <w:t>delivery</w:t>
      </w:r>
      <w:proofErr w:type="spellEnd"/>
      <w:r w:rsidR="00821419">
        <w:t xml:space="preserve"> of </w:t>
      </w:r>
      <w:proofErr w:type="spellStart"/>
      <w:r w:rsidR="00821419">
        <w:t>the</w:t>
      </w:r>
      <w:proofErr w:type="spellEnd"/>
      <w:r w:rsidR="00821419">
        <w:t xml:space="preserve"> </w:t>
      </w:r>
      <w:proofErr w:type="spellStart"/>
      <w:r w:rsidR="00821419">
        <w:t>product</w:t>
      </w:r>
      <w:proofErr w:type="spellEnd"/>
      <w:r w:rsidR="00821419">
        <w:t xml:space="preserve"> / </w:t>
      </w:r>
      <w:proofErr w:type="spellStart"/>
      <w:r w:rsidR="00821419">
        <w:t>service</w:t>
      </w:r>
      <w:proofErr w:type="spellEnd"/>
      <w:r w:rsidR="00821419">
        <w:t xml:space="preserve"> in full </w:t>
      </w:r>
      <w:proofErr w:type="spellStart"/>
      <w:r w:rsidR="00821419">
        <w:t>compliance</w:t>
      </w:r>
      <w:proofErr w:type="spellEnd"/>
      <w:r w:rsidR="00821419">
        <w:t xml:space="preserve"> </w:t>
      </w:r>
      <w:proofErr w:type="spellStart"/>
      <w:r w:rsidR="00821419">
        <w:t>with</w:t>
      </w:r>
      <w:proofErr w:type="spellEnd"/>
      <w:r w:rsidR="00821419">
        <w:t xml:space="preserve"> </w:t>
      </w:r>
      <w:proofErr w:type="spellStart"/>
      <w:r w:rsidR="00821419">
        <w:t>the</w:t>
      </w:r>
      <w:proofErr w:type="spellEnd"/>
      <w:r w:rsidR="00821419">
        <w:t xml:space="preserve"> </w:t>
      </w:r>
      <w:proofErr w:type="spellStart"/>
      <w:r w:rsidR="00821419">
        <w:t>terms</w:t>
      </w:r>
      <w:proofErr w:type="spellEnd"/>
      <w:r w:rsidR="00821419">
        <w:t xml:space="preserve"> and </w:t>
      </w:r>
      <w:proofErr w:type="spellStart"/>
      <w:r w:rsidR="00821419">
        <w:t>conditions</w:t>
      </w:r>
      <w:proofErr w:type="spellEnd"/>
      <w:r w:rsidR="00821419">
        <w:t xml:space="preserve"> of </w:t>
      </w:r>
      <w:proofErr w:type="spellStart"/>
      <w:r w:rsidR="00821419">
        <w:t>the</w:t>
      </w:r>
      <w:proofErr w:type="spellEnd"/>
      <w:r w:rsidR="00821419">
        <w:t xml:space="preserve"> </w:t>
      </w:r>
      <w:proofErr w:type="spellStart"/>
      <w:r w:rsidR="00821419">
        <w:t>contractual</w:t>
      </w:r>
      <w:proofErr w:type="spellEnd"/>
      <w:r w:rsidR="00821419">
        <w:t xml:space="preserve"> </w:t>
      </w:r>
      <w:proofErr w:type="spellStart"/>
      <w:r w:rsidR="00821419">
        <w:t>agreements</w:t>
      </w:r>
      <w:proofErr w:type="spellEnd"/>
      <w:r w:rsidR="00821419">
        <w:t>)</w:t>
      </w:r>
      <w:r w:rsidR="00EC1C4C">
        <w:t>.</w:t>
      </w:r>
    </w:p>
    <w:p w:rsidR="00426A40" w:rsidRPr="00580EFC" w:rsidRDefault="009C140A" w:rsidP="00B21010">
      <w:pPr>
        <w:pStyle w:val="Heading2"/>
        <w:spacing w:before="0" w:after="240"/>
        <w:ind w:left="1416"/>
        <w:rPr>
          <w:rFonts w:ascii="Times New Roman" w:hAnsi="Times New Roman" w:cs="Times New Roman"/>
          <w:i w:val="0"/>
          <w:sz w:val="24"/>
          <w:szCs w:val="24"/>
          <w:lang w:val="en"/>
        </w:rPr>
      </w:pPr>
      <w:bookmarkStart w:id="57" w:name="_Toc411489397"/>
      <w:bookmarkStart w:id="58" w:name="_Toc420863628"/>
      <w:r>
        <w:rPr>
          <w:rFonts w:ascii="Times New Roman" w:hAnsi="Times New Roman" w:cs="Times New Roman"/>
          <w:i w:val="0"/>
          <w:sz w:val="24"/>
          <w:szCs w:val="24"/>
          <w:lang w:val="en"/>
        </w:rPr>
        <w:t>2.1.</w:t>
      </w:r>
      <w:r w:rsidR="00426A40" w:rsidRPr="00580EFC">
        <w:rPr>
          <w:rFonts w:ascii="Times New Roman" w:hAnsi="Times New Roman" w:cs="Times New Roman"/>
          <w:i w:val="0"/>
          <w:sz w:val="24"/>
          <w:szCs w:val="24"/>
          <w:lang w:val="en"/>
        </w:rPr>
        <w:t>3.</w:t>
      </w:r>
      <w:r>
        <w:rPr>
          <w:rFonts w:ascii="Times New Roman" w:hAnsi="Times New Roman" w:cs="Times New Roman"/>
          <w:i w:val="0"/>
          <w:sz w:val="24"/>
          <w:szCs w:val="24"/>
          <w:lang w:val="en"/>
        </w:rPr>
        <w:t>1</w:t>
      </w:r>
      <w:r w:rsidR="00426A40" w:rsidRPr="00580EFC">
        <w:rPr>
          <w:rFonts w:ascii="Times New Roman" w:hAnsi="Times New Roman" w:cs="Times New Roman"/>
          <w:i w:val="0"/>
          <w:sz w:val="24"/>
          <w:szCs w:val="24"/>
          <w:lang w:val="en"/>
        </w:rPr>
        <w:t xml:space="preserve"> Nature and extent of errors and weaknesses identified in systems</w:t>
      </w:r>
      <w:bookmarkEnd w:id="57"/>
      <w:bookmarkEnd w:id="58"/>
    </w:p>
    <w:p w:rsidR="00426A40" w:rsidRDefault="00426A40" w:rsidP="00B21010">
      <w:pPr>
        <w:spacing w:after="240"/>
        <w:jc w:val="both"/>
      </w:pPr>
      <w:proofErr w:type="spellStart"/>
      <w:r>
        <w:t>The</w:t>
      </w:r>
      <w:proofErr w:type="spellEnd"/>
      <w:r>
        <w:t xml:space="preserve"> MA </w:t>
      </w:r>
      <w:proofErr w:type="spellStart"/>
      <w:r w:rsidR="005746B3">
        <w:t>is</w:t>
      </w:r>
      <w:proofErr w:type="spellEnd"/>
      <w:r w:rsidR="005746B3">
        <w:t xml:space="preserve"> </w:t>
      </w:r>
      <w:proofErr w:type="spellStart"/>
      <w:r w:rsidR="005746B3">
        <w:t>requested</w:t>
      </w:r>
      <w:proofErr w:type="spellEnd"/>
      <w:r w:rsidR="005746B3">
        <w:t xml:space="preserve"> to</w:t>
      </w:r>
      <w:r>
        <w:t xml:space="preserve"> </w:t>
      </w:r>
      <w:proofErr w:type="spellStart"/>
      <w:r>
        <w:t>include</w:t>
      </w:r>
      <w:proofErr w:type="spellEnd"/>
      <w:r>
        <w:t xml:space="preserve"> </w:t>
      </w:r>
      <w:r w:rsidR="005746B3">
        <w:t xml:space="preserve">in </w:t>
      </w:r>
      <w:proofErr w:type="spellStart"/>
      <w:r w:rsidR="005746B3">
        <w:t>its</w:t>
      </w:r>
      <w:proofErr w:type="spellEnd"/>
      <w:r w:rsidR="005746B3">
        <w:t xml:space="preserve"> </w:t>
      </w:r>
      <w:proofErr w:type="spellStart"/>
      <w:r w:rsidR="005746B3">
        <w:t>annual</w:t>
      </w:r>
      <w:proofErr w:type="spellEnd"/>
      <w:r w:rsidR="005746B3">
        <w:t xml:space="preserve"> </w:t>
      </w:r>
      <w:proofErr w:type="spellStart"/>
      <w:r w:rsidR="005746B3">
        <w:t>summary</w:t>
      </w:r>
      <w:proofErr w:type="spellEnd"/>
      <w:r w:rsidR="005746B3">
        <w:t xml:space="preserve"> </w:t>
      </w:r>
      <w:r>
        <w:t xml:space="preserve">a </w:t>
      </w:r>
      <w:proofErr w:type="spellStart"/>
      <w:r>
        <w:t>description</w:t>
      </w:r>
      <w:proofErr w:type="spellEnd"/>
      <w:r>
        <w:t xml:space="preserve"> of </w:t>
      </w:r>
      <w:proofErr w:type="spellStart"/>
      <w:r>
        <w:t>the</w:t>
      </w:r>
      <w:proofErr w:type="spellEnd"/>
      <w:r>
        <w:t xml:space="preserve"> </w:t>
      </w:r>
      <w:proofErr w:type="spellStart"/>
      <w:r>
        <w:t>main</w:t>
      </w:r>
      <w:proofErr w:type="spellEnd"/>
      <w:r>
        <w:t xml:space="preserve"> </w:t>
      </w:r>
      <w:proofErr w:type="spellStart"/>
      <w:r>
        <w:t>results</w:t>
      </w:r>
      <w:proofErr w:type="spellEnd"/>
      <w:r>
        <w:t xml:space="preserve"> </w:t>
      </w:r>
      <w:proofErr w:type="spellStart"/>
      <w:r>
        <w:t>arising</w:t>
      </w:r>
      <w:proofErr w:type="spellEnd"/>
      <w:r>
        <w:t xml:space="preserve"> </w:t>
      </w:r>
      <w:proofErr w:type="spellStart"/>
      <w:r>
        <w:t>from</w:t>
      </w:r>
      <w:proofErr w:type="spellEnd"/>
      <w:r>
        <w:t xml:space="preserve"> </w:t>
      </w:r>
      <w:proofErr w:type="spellStart"/>
      <w:r>
        <w:t>the</w:t>
      </w:r>
      <w:proofErr w:type="spellEnd"/>
      <w:r>
        <w:t xml:space="preserve"> </w:t>
      </w:r>
      <w:proofErr w:type="spellStart"/>
      <w:r>
        <w:t>administrative</w:t>
      </w:r>
      <w:proofErr w:type="spellEnd"/>
      <w:r>
        <w:t xml:space="preserve"> </w:t>
      </w:r>
      <w:proofErr w:type="spellStart"/>
      <w:r w:rsidR="005746B3">
        <w:t>verifications</w:t>
      </w:r>
      <w:proofErr w:type="spellEnd"/>
      <w:r w:rsidR="005746B3">
        <w:t xml:space="preserve"> </w:t>
      </w:r>
      <w:r>
        <w:t xml:space="preserve">and </w:t>
      </w:r>
      <w:proofErr w:type="spellStart"/>
      <w:r>
        <w:t>the</w:t>
      </w:r>
      <w:proofErr w:type="spellEnd"/>
      <w:r>
        <w:t xml:space="preserve"> on-</w:t>
      </w:r>
      <w:proofErr w:type="spellStart"/>
      <w:r>
        <w:t>the</w:t>
      </w:r>
      <w:proofErr w:type="spellEnd"/>
      <w:r>
        <w:t xml:space="preserve">-spot </w:t>
      </w:r>
      <w:proofErr w:type="spellStart"/>
      <w:r>
        <w:t>controls</w:t>
      </w:r>
      <w:proofErr w:type="spellEnd"/>
      <w:r>
        <w:t xml:space="preserve">, </w:t>
      </w:r>
      <w:proofErr w:type="spellStart"/>
      <w:r>
        <w:t>including</w:t>
      </w:r>
      <w:proofErr w:type="spellEnd"/>
      <w:r>
        <w:t xml:space="preserve"> a list of </w:t>
      </w:r>
      <w:proofErr w:type="spellStart"/>
      <w:r>
        <w:t>the</w:t>
      </w:r>
      <w:proofErr w:type="spellEnd"/>
      <w:r>
        <w:t xml:space="preserve"> </w:t>
      </w:r>
      <w:proofErr w:type="spellStart"/>
      <w:r>
        <w:t>main</w:t>
      </w:r>
      <w:proofErr w:type="spellEnd"/>
      <w:r>
        <w:t xml:space="preserve"> </w:t>
      </w:r>
      <w:proofErr w:type="spellStart"/>
      <w:r>
        <w:t>types</w:t>
      </w:r>
      <w:proofErr w:type="spellEnd"/>
      <w:r>
        <w:t xml:space="preserve"> of </w:t>
      </w:r>
      <w:proofErr w:type="spellStart"/>
      <w:r>
        <w:t>errors</w:t>
      </w:r>
      <w:proofErr w:type="spellEnd"/>
      <w:r>
        <w:t xml:space="preserve"> </w:t>
      </w:r>
      <w:proofErr w:type="spellStart"/>
      <w:r>
        <w:t>detected</w:t>
      </w:r>
      <w:proofErr w:type="spellEnd"/>
      <w:r>
        <w:t xml:space="preserve">. By </w:t>
      </w:r>
      <w:proofErr w:type="spellStart"/>
      <w:r>
        <w:t>way</w:t>
      </w:r>
      <w:proofErr w:type="spellEnd"/>
      <w:r>
        <w:t xml:space="preserve"> of </w:t>
      </w:r>
      <w:proofErr w:type="spellStart"/>
      <w:r>
        <w:t>example</w:t>
      </w:r>
      <w:proofErr w:type="spellEnd"/>
      <w:r>
        <w:t xml:space="preserve">, </w:t>
      </w:r>
      <w:proofErr w:type="spellStart"/>
      <w:r>
        <w:t>the</w:t>
      </w:r>
      <w:proofErr w:type="spellEnd"/>
      <w:r>
        <w:t xml:space="preserve"> MA </w:t>
      </w:r>
      <w:proofErr w:type="spellStart"/>
      <w:r>
        <w:t>should</w:t>
      </w:r>
      <w:proofErr w:type="spellEnd"/>
      <w:r>
        <w:t xml:space="preserve"> </w:t>
      </w:r>
      <w:proofErr w:type="spellStart"/>
      <w:r>
        <w:t>indicate</w:t>
      </w:r>
      <w:proofErr w:type="spellEnd"/>
      <w:r>
        <w:t xml:space="preserve"> </w:t>
      </w:r>
      <w:proofErr w:type="spellStart"/>
      <w:r>
        <w:t>whether</w:t>
      </w:r>
      <w:proofErr w:type="spellEnd"/>
      <w:r>
        <w:t xml:space="preserve"> </w:t>
      </w:r>
      <w:proofErr w:type="spellStart"/>
      <w:r>
        <w:t>the</w:t>
      </w:r>
      <w:proofErr w:type="spellEnd"/>
      <w:r>
        <w:t xml:space="preserve"> </w:t>
      </w:r>
      <w:proofErr w:type="spellStart"/>
      <w:r>
        <w:t>errors</w:t>
      </w:r>
      <w:proofErr w:type="spellEnd"/>
      <w:r>
        <w:t xml:space="preserve"> </w:t>
      </w:r>
      <w:proofErr w:type="spellStart"/>
      <w:r>
        <w:t>refer</w:t>
      </w:r>
      <w:proofErr w:type="spellEnd"/>
      <w:r>
        <w:t xml:space="preserve"> to </w:t>
      </w:r>
      <w:proofErr w:type="spellStart"/>
      <w:r w:rsidR="00B7785E">
        <w:t>eligibility</w:t>
      </w:r>
      <w:proofErr w:type="spellEnd"/>
      <w:r w:rsidR="00B7785E">
        <w:t xml:space="preserve"> </w:t>
      </w:r>
      <w:proofErr w:type="spellStart"/>
      <w:r w:rsidR="00B7785E">
        <w:t>rules</w:t>
      </w:r>
      <w:proofErr w:type="spellEnd"/>
      <w:r w:rsidR="00B7785E">
        <w:t xml:space="preserve">, </w:t>
      </w:r>
      <w:proofErr w:type="spellStart"/>
      <w:r>
        <w:t>breaches</w:t>
      </w:r>
      <w:proofErr w:type="spellEnd"/>
      <w:r>
        <w:t xml:space="preserve"> of public </w:t>
      </w:r>
      <w:proofErr w:type="spellStart"/>
      <w:r>
        <w:t>procurement</w:t>
      </w:r>
      <w:proofErr w:type="spellEnd"/>
      <w:r>
        <w:t xml:space="preserve"> </w:t>
      </w:r>
      <w:proofErr w:type="spellStart"/>
      <w:r>
        <w:t>rules</w:t>
      </w:r>
      <w:proofErr w:type="spellEnd"/>
      <w:r>
        <w:t xml:space="preserve">, </w:t>
      </w:r>
      <w:proofErr w:type="spellStart"/>
      <w:r w:rsidR="005746B3">
        <w:t>State</w:t>
      </w:r>
      <w:proofErr w:type="spellEnd"/>
      <w:r w:rsidR="005746B3">
        <w:t xml:space="preserve"> </w:t>
      </w:r>
      <w:proofErr w:type="spellStart"/>
      <w:r>
        <w:t>aid</w:t>
      </w:r>
      <w:proofErr w:type="spellEnd"/>
      <w:r>
        <w:t xml:space="preserve"> </w:t>
      </w:r>
      <w:proofErr w:type="spellStart"/>
      <w:r>
        <w:t>rules</w:t>
      </w:r>
      <w:proofErr w:type="spellEnd"/>
      <w:r>
        <w:t xml:space="preserve">, </w:t>
      </w:r>
      <w:proofErr w:type="spellStart"/>
      <w:r>
        <w:t>financial</w:t>
      </w:r>
      <w:proofErr w:type="spellEnd"/>
      <w:r>
        <w:t xml:space="preserve"> </w:t>
      </w:r>
      <w:proofErr w:type="spellStart"/>
      <w:r>
        <w:t>instruments</w:t>
      </w:r>
      <w:proofErr w:type="spellEnd"/>
      <w:r>
        <w:t xml:space="preserve"> </w:t>
      </w:r>
      <w:proofErr w:type="spellStart"/>
      <w:r>
        <w:t>provisions</w:t>
      </w:r>
      <w:proofErr w:type="spellEnd"/>
      <w:r>
        <w:t xml:space="preserve">, </w:t>
      </w:r>
      <w:proofErr w:type="spellStart"/>
      <w:r>
        <w:t>revenue</w:t>
      </w:r>
      <w:proofErr w:type="spellEnd"/>
      <w:r>
        <w:t xml:space="preserve"> </w:t>
      </w:r>
      <w:proofErr w:type="spellStart"/>
      <w:r>
        <w:t>generating</w:t>
      </w:r>
      <w:proofErr w:type="spellEnd"/>
      <w:r>
        <w:t xml:space="preserve"> </w:t>
      </w:r>
      <w:proofErr w:type="spellStart"/>
      <w:r>
        <w:t>operations</w:t>
      </w:r>
      <w:proofErr w:type="spellEnd"/>
      <w:r>
        <w:t xml:space="preserve">, </w:t>
      </w:r>
      <w:r w:rsidR="00B7785E">
        <w:t xml:space="preserve">reliability of </w:t>
      </w:r>
      <w:r w:rsidR="00E14718">
        <w:t xml:space="preserve">output </w:t>
      </w:r>
      <w:r w:rsidR="00B7785E">
        <w:t>data /</w:t>
      </w:r>
      <w:r w:rsidR="00A90972">
        <w:t xml:space="preserve"> </w:t>
      </w:r>
      <w:proofErr w:type="spellStart"/>
      <w:r w:rsidR="00B7785E">
        <w:t>indicators</w:t>
      </w:r>
      <w:proofErr w:type="spellEnd"/>
      <w:r>
        <w:t xml:space="preserve">, </w:t>
      </w:r>
      <w:proofErr w:type="spellStart"/>
      <w:r w:rsidR="00E14718">
        <w:t>breach</w:t>
      </w:r>
      <w:proofErr w:type="spellEnd"/>
      <w:r w:rsidR="00E14718">
        <w:t xml:space="preserve"> of publicity </w:t>
      </w:r>
      <w:proofErr w:type="spellStart"/>
      <w:r w:rsidR="00E14718">
        <w:t>rules</w:t>
      </w:r>
      <w:proofErr w:type="spellEnd"/>
      <w:r w:rsidR="00E14718">
        <w:t xml:space="preserve">, </w:t>
      </w:r>
      <w:proofErr w:type="spellStart"/>
      <w:proofErr w:type="gramStart"/>
      <w:r w:rsidR="00B7785E">
        <w:t>etc</w:t>
      </w:r>
      <w:proofErr w:type="spellEnd"/>
      <w:r w:rsidR="00B7785E">
        <w:t>.</w:t>
      </w:r>
      <w:r>
        <w:t>.</w:t>
      </w:r>
      <w:proofErr w:type="gramEnd"/>
    </w:p>
    <w:p w:rsidR="00426A40" w:rsidRDefault="00426A40" w:rsidP="00B21010">
      <w:pPr>
        <w:spacing w:after="240"/>
        <w:jc w:val="both"/>
      </w:pPr>
      <w:proofErr w:type="spellStart"/>
      <w:r>
        <w:t>This</w:t>
      </w:r>
      <w:proofErr w:type="spellEnd"/>
      <w:r>
        <w:t xml:space="preserve"> </w:t>
      </w:r>
      <w:proofErr w:type="spellStart"/>
      <w:r>
        <w:t>section</w:t>
      </w:r>
      <w:proofErr w:type="spellEnd"/>
      <w:r>
        <w:t xml:space="preserve"> of </w:t>
      </w:r>
      <w:proofErr w:type="spellStart"/>
      <w:r>
        <w:t>the</w:t>
      </w:r>
      <w:proofErr w:type="spellEnd"/>
      <w:r>
        <w:t xml:space="preserve"> </w:t>
      </w:r>
      <w:proofErr w:type="spellStart"/>
      <w:r>
        <w:t>annual</w:t>
      </w:r>
      <w:proofErr w:type="spellEnd"/>
      <w:r>
        <w:t xml:space="preserve"> </w:t>
      </w:r>
      <w:proofErr w:type="spellStart"/>
      <w:r>
        <w:t>summary</w:t>
      </w:r>
      <w:proofErr w:type="spellEnd"/>
      <w:r>
        <w:t xml:space="preserve"> </w:t>
      </w:r>
      <w:proofErr w:type="spellStart"/>
      <w:r>
        <w:t>should</w:t>
      </w:r>
      <w:proofErr w:type="spellEnd"/>
      <w:r>
        <w:t xml:space="preserve"> </w:t>
      </w:r>
      <w:proofErr w:type="spellStart"/>
      <w:r>
        <w:t>also</w:t>
      </w:r>
      <w:proofErr w:type="spellEnd"/>
      <w:r>
        <w:t xml:space="preserve"> </w:t>
      </w:r>
      <w:proofErr w:type="spellStart"/>
      <w:r>
        <w:t>indicate</w:t>
      </w:r>
      <w:proofErr w:type="spellEnd"/>
      <w:r>
        <w:t xml:space="preserve"> </w:t>
      </w:r>
      <w:proofErr w:type="spellStart"/>
      <w:r>
        <w:t>whether</w:t>
      </w:r>
      <w:proofErr w:type="spellEnd"/>
      <w:r>
        <w:t xml:space="preserve"> </w:t>
      </w:r>
      <w:proofErr w:type="spellStart"/>
      <w:r>
        <w:t>the</w:t>
      </w:r>
      <w:proofErr w:type="spellEnd"/>
      <w:r>
        <w:t xml:space="preserve"> </w:t>
      </w:r>
      <w:proofErr w:type="spellStart"/>
      <w:r>
        <w:t>errors</w:t>
      </w:r>
      <w:proofErr w:type="spellEnd"/>
      <w:r>
        <w:t xml:space="preserve"> </w:t>
      </w:r>
      <w:proofErr w:type="spellStart"/>
      <w:r>
        <w:t>detected</w:t>
      </w:r>
      <w:proofErr w:type="spellEnd"/>
      <w:r>
        <w:t xml:space="preserve"> </w:t>
      </w:r>
      <w:proofErr w:type="spellStart"/>
      <w:r>
        <w:t>during</w:t>
      </w:r>
      <w:proofErr w:type="spellEnd"/>
      <w:r>
        <w:t xml:space="preserve"> </w:t>
      </w:r>
      <w:proofErr w:type="spellStart"/>
      <w:r>
        <w:t>the</w:t>
      </w:r>
      <w:proofErr w:type="spellEnd"/>
      <w:r>
        <w:t xml:space="preserve"> </w:t>
      </w:r>
      <w:proofErr w:type="spellStart"/>
      <w:r>
        <w:t>administrative</w:t>
      </w:r>
      <w:proofErr w:type="spellEnd"/>
      <w:r>
        <w:t xml:space="preserve"> </w:t>
      </w:r>
      <w:proofErr w:type="spellStart"/>
      <w:r>
        <w:t>or</w:t>
      </w:r>
      <w:proofErr w:type="spellEnd"/>
      <w:r>
        <w:t xml:space="preserve"> on-</w:t>
      </w:r>
      <w:proofErr w:type="spellStart"/>
      <w:r>
        <w:t>the</w:t>
      </w:r>
      <w:proofErr w:type="spellEnd"/>
      <w:r>
        <w:t xml:space="preserve">-spot </w:t>
      </w:r>
      <w:proofErr w:type="spellStart"/>
      <w:r>
        <w:t>controls</w:t>
      </w:r>
      <w:proofErr w:type="spellEnd"/>
      <w:r>
        <w:t xml:space="preserve"> are of </w:t>
      </w:r>
      <w:r w:rsidR="00A34528">
        <w:t xml:space="preserve">a </w:t>
      </w:r>
      <w:proofErr w:type="spellStart"/>
      <w:r>
        <w:t>systemic</w:t>
      </w:r>
      <w:proofErr w:type="spellEnd"/>
      <w:r>
        <w:t xml:space="preserve"> </w:t>
      </w:r>
      <w:proofErr w:type="spellStart"/>
      <w:r>
        <w:t>nature</w:t>
      </w:r>
      <w:proofErr w:type="spellEnd"/>
      <w:r>
        <w:t xml:space="preserve"> </w:t>
      </w:r>
      <w:proofErr w:type="spellStart"/>
      <w:r>
        <w:t>or</w:t>
      </w:r>
      <w:proofErr w:type="spellEnd"/>
      <w:r>
        <w:t xml:space="preserve"> </w:t>
      </w:r>
      <w:proofErr w:type="spellStart"/>
      <w:r>
        <w:t>related</w:t>
      </w:r>
      <w:proofErr w:type="spellEnd"/>
      <w:r>
        <w:t xml:space="preserve"> to </w:t>
      </w:r>
      <w:proofErr w:type="spellStart"/>
      <w:r>
        <w:t>tasks</w:t>
      </w:r>
      <w:proofErr w:type="spellEnd"/>
      <w:r>
        <w:t xml:space="preserve"> </w:t>
      </w:r>
      <w:proofErr w:type="spellStart"/>
      <w:r>
        <w:t>delegated</w:t>
      </w:r>
      <w:proofErr w:type="spellEnd"/>
      <w:r>
        <w:t xml:space="preserve"> by </w:t>
      </w:r>
      <w:proofErr w:type="spellStart"/>
      <w:r>
        <w:t>the</w:t>
      </w:r>
      <w:proofErr w:type="spellEnd"/>
      <w:r>
        <w:t xml:space="preserve"> MA to </w:t>
      </w:r>
      <w:proofErr w:type="spellStart"/>
      <w:r>
        <w:t>any</w:t>
      </w:r>
      <w:proofErr w:type="spellEnd"/>
      <w:r>
        <w:t xml:space="preserve"> </w:t>
      </w:r>
      <w:proofErr w:type="spellStart"/>
      <w:r>
        <w:t>intermediate</w:t>
      </w:r>
      <w:proofErr w:type="spellEnd"/>
      <w:r>
        <w:t xml:space="preserve"> body.</w:t>
      </w:r>
    </w:p>
    <w:p w:rsidR="00426A40" w:rsidRPr="00580EFC" w:rsidRDefault="009C140A" w:rsidP="00B21010">
      <w:pPr>
        <w:pStyle w:val="Heading2"/>
        <w:spacing w:before="0" w:after="240"/>
        <w:ind w:left="1416"/>
        <w:rPr>
          <w:rFonts w:ascii="Times New Roman" w:hAnsi="Times New Roman" w:cs="Times New Roman"/>
          <w:i w:val="0"/>
          <w:sz w:val="24"/>
          <w:szCs w:val="24"/>
          <w:lang w:val="en"/>
        </w:rPr>
      </w:pPr>
      <w:bookmarkStart w:id="59" w:name="_Toc411489398"/>
      <w:bookmarkStart w:id="60" w:name="_Toc420863629"/>
      <w:r>
        <w:rPr>
          <w:rFonts w:ascii="Times New Roman" w:hAnsi="Times New Roman" w:cs="Times New Roman"/>
          <w:i w:val="0"/>
          <w:sz w:val="24"/>
          <w:szCs w:val="24"/>
          <w:lang w:val="en"/>
        </w:rPr>
        <w:t>2.1.</w:t>
      </w:r>
      <w:r w:rsidR="00426A40" w:rsidRPr="00580EFC">
        <w:rPr>
          <w:rFonts w:ascii="Times New Roman" w:hAnsi="Times New Roman" w:cs="Times New Roman"/>
          <w:i w:val="0"/>
          <w:sz w:val="24"/>
          <w:szCs w:val="24"/>
          <w:lang w:val="en"/>
        </w:rPr>
        <w:t>3.</w:t>
      </w:r>
      <w:r>
        <w:rPr>
          <w:rFonts w:ascii="Times New Roman" w:hAnsi="Times New Roman" w:cs="Times New Roman"/>
          <w:i w:val="0"/>
          <w:sz w:val="24"/>
          <w:szCs w:val="24"/>
          <w:lang w:val="en"/>
        </w:rPr>
        <w:t>2</w:t>
      </w:r>
      <w:r w:rsidR="00426A40" w:rsidRPr="00580EFC">
        <w:rPr>
          <w:rFonts w:ascii="Times New Roman" w:hAnsi="Times New Roman" w:cs="Times New Roman"/>
          <w:i w:val="0"/>
          <w:sz w:val="24"/>
          <w:szCs w:val="24"/>
          <w:lang w:val="en"/>
        </w:rPr>
        <w:t xml:space="preserve"> Corrective actions taken or planned</w:t>
      </w:r>
      <w:bookmarkEnd w:id="59"/>
      <w:bookmarkEnd w:id="60"/>
    </w:p>
    <w:p w:rsidR="00426A40" w:rsidRDefault="00DC3595" w:rsidP="00B21010">
      <w:pPr>
        <w:spacing w:after="240"/>
        <w:jc w:val="both"/>
      </w:pPr>
      <w:proofErr w:type="spellStart"/>
      <w:r>
        <w:t>The</w:t>
      </w:r>
      <w:proofErr w:type="spellEnd"/>
      <w:r>
        <w:t xml:space="preserve"> MA </w:t>
      </w:r>
      <w:proofErr w:type="spellStart"/>
      <w:r w:rsidR="005A1242">
        <w:t>carries</w:t>
      </w:r>
      <w:proofErr w:type="spellEnd"/>
      <w:r w:rsidR="005A1242">
        <w:t xml:space="preserve"> </w:t>
      </w:r>
      <w:proofErr w:type="spellStart"/>
      <w:r w:rsidR="005A1242">
        <w:t>out</w:t>
      </w:r>
      <w:proofErr w:type="spellEnd"/>
      <w:r w:rsidR="005A1242">
        <w:t xml:space="preserve"> </w:t>
      </w:r>
      <w:proofErr w:type="spellStart"/>
      <w:r w:rsidR="005A1242">
        <w:t>an</w:t>
      </w:r>
      <w:proofErr w:type="spellEnd"/>
      <w:r w:rsidR="005A1242">
        <w:t xml:space="preserve"> </w:t>
      </w:r>
      <w:proofErr w:type="spellStart"/>
      <w:r>
        <w:t>assessment</w:t>
      </w:r>
      <w:proofErr w:type="spellEnd"/>
      <w:r>
        <w:t xml:space="preserve"> </w:t>
      </w:r>
      <w:r w:rsidR="005A1242">
        <w:t xml:space="preserve">of </w:t>
      </w:r>
      <w:proofErr w:type="spellStart"/>
      <w:r>
        <w:t>the</w:t>
      </w:r>
      <w:proofErr w:type="spellEnd"/>
      <w:r>
        <w:t xml:space="preserve"> </w:t>
      </w:r>
      <w:proofErr w:type="spellStart"/>
      <w:r>
        <w:t>errors</w:t>
      </w:r>
      <w:proofErr w:type="spellEnd"/>
      <w:r>
        <w:t xml:space="preserve"> </w:t>
      </w:r>
      <w:proofErr w:type="spellStart"/>
      <w:r>
        <w:t>detected</w:t>
      </w:r>
      <w:proofErr w:type="spellEnd"/>
      <w:r>
        <w:t xml:space="preserve"> </w:t>
      </w:r>
      <w:proofErr w:type="spellStart"/>
      <w:r>
        <w:t>during</w:t>
      </w:r>
      <w:proofErr w:type="spellEnd"/>
      <w:r>
        <w:t xml:space="preserve"> </w:t>
      </w:r>
      <w:proofErr w:type="spellStart"/>
      <w:r>
        <w:t>the</w:t>
      </w:r>
      <w:proofErr w:type="spellEnd"/>
      <w:r>
        <w:t xml:space="preserve"> </w:t>
      </w:r>
      <w:proofErr w:type="spellStart"/>
      <w:r>
        <w:t>year</w:t>
      </w:r>
      <w:proofErr w:type="spellEnd"/>
      <w:r>
        <w:t>.</w:t>
      </w:r>
      <w:r w:rsidR="00A90972">
        <w:t xml:space="preserve"> </w:t>
      </w:r>
      <w:proofErr w:type="spellStart"/>
      <w:r w:rsidR="00426A40">
        <w:t>The</w:t>
      </w:r>
      <w:proofErr w:type="spellEnd"/>
      <w:r w:rsidR="00426A40">
        <w:t xml:space="preserve"> MA </w:t>
      </w:r>
      <w:proofErr w:type="spellStart"/>
      <w:r>
        <w:t>indicate</w:t>
      </w:r>
      <w:r w:rsidR="008659A4">
        <w:t>s</w:t>
      </w:r>
      <w:proofErr w:type="spellEnd"/>
      <w:r>
        <w:t xml:space="preserve"> </w:t>
      </w:r>
      <w:proofErr w:type="spellStart"/>
      <w:r>
        <w:t>what</w:t>
      </w:r>
      <w:proofErr w:type="spellEnd"/>
      <w:r>
        <w:t xml:space="preserve"> </w:t>
      </w:r>
      <w:proofErr w:type="spellStart"/>
      <w:r w:rsidR="00426A40">
        <w:t>conclusions</w:t>
      </w:r>
      <w:proofErr w:type="spellEnd"/>
      <w:r w:rsidR="00426A40">
        <w:t xml:space="preserve"> </w:t>
      </w:r>
      <w:proofErr w:type="spellStart"/>
      <w:r>
        <w:t>it</w:t>
      </w:r>
      <w:proofErr w:type="spellEnd"/>
      <w:r>
        <w:t xml:space="preserve"> has </w:t>
      </w:r>
      <w:proofErr w:type="spellStart"/>
      <w:r>
        <w:t>drawn</w:t>
      </w:r>
      <w:proofErr w:type="spellEnd"/>
      <w:r>
        <w:t xml:space="preserve"> </w:t>
      </w:r>
      <w:proofErr w:type="spellStart"/>
      <w:r w:rsidR="00426A40">
        <w:t>from</w:t>
      </w:r>
      <w:proofErr w:type="spellEnd"/>
      <w:r w:rsidR="00426A40">
        <w:t xml:space="preserve"> these </w:t>
      </w:r>
      <w:r>
        <w:t>managemen</w:t>
      </w:r>
      <w:r w:rsidR="008659A4">
        <w:t>t</w:t>
      </w:r>
      <w:r>
        <w:t xml:space="preserve"> </w:t>
      </w:r>
      <w:proofErr w:type="spellStart"/>
      <w:r>
        <w:t>verifications</w:t>
      </w:r>
      <w:proofErr w:type="spellEnd"/>
      <w:r>
        <w:t xml:space="preserve"> and </w:t>
      </w:r>
      <w:proofErr w:type="spellStart"/>
      <w:r w:rsidR="00426A40">
        <w:t>controls</w:t>
      </w:r>
      <w:proofErr w:type="spellEnd"/>
      <w:r w:rsidR="00426A40">
        <w:t xml:space="preserve"> and </w:t>
      </w:r>
      <w:proofErr w:type="spellStart"/>
      <w:r w:rsidR="00426A40">
        <w:t>indicate</w:t>
      </w:r>
      <w:r w:rsidR="008659A4">
        <w:t>s</w:t>
      </w:r>
      <w:proofErr w:type="spellEnd"/>
      <w:r w:rsidR="00426A40">
        <w:t xml:space="preserve"> </w:t>
      </w:r>
      <w:proofErr w:type="spellStart"/>
      <w:r w:rsidR="00426A40">
        <w:t>the</w:t>
      </w:r>
      <w:proofErr w:type="spellEnd"/>
      <w:r w:rsidR="00426A40">
        <w:t xml:space="preserve"> </w:t>
      </w:r>
      <w:proofErr w:type="spellStart"/>
      <w:r w:rsidR="00426A40">
        <w:t>corrective</w:t>
      </w:r>
      <w:proofErr w:type="spellEnd"/>
      <w:r w:rsidR="00426A40">
        <w:t xml:space="preserve"> </w:t>
      </w:r>
      <w:proofErr w:type="spellStart"/>
      <w:r w:rsidR="00426A40">
        <w:t>measures</w:t>
      </w:r>
      <w:proofErr w:type="spellEnd"/>
      <w:r w:rsidR="00426A40">
        <w:t xml:space="preserve"> </w:t>
      </w:r>
      <w:proofErr w:type="spellStart"/>
      <w:r w:rsidR="00426A40">
        <w:t>that</w:t>
      </w:r>
      <w:proofErr w:type="spellEnd"/>
      <w:r w:rsidR="00426A40">
        <w:t xml:space="preserve"> </w:t>
      </w:r>
      <w:proofErr w:type="spellStart"/>
      <w:r w:rsidR="00426A40">
        <w:t>it</w:t>
      </w:r>
      <w:proofErr w:type="spellEnd"/>
      <w:r w:rsidR="00426A40">
        <w:t xml:space="preserve"> has </w:t>
      </w:r>
      <w:proofErr w:type="spellStart"/>
      <w:r w:rsidR="00426A40">
        <w:t>adopted</w:t>
      </w:r>
      <w:proofErr w:type="spellEnd"/>
      <w:r w:rsidR="00426A40">
        <w:t xml:space="preserve"> </w:t>
      </w:r>
      <w:proofErr w:type="spellStart"/>
      <w:r w:rsidR="00426A40">
        <w:t>regarding</w:t>
      </w:r>
      <w:proofErr w:type="spellEnd"/>
      <w:r w:rsidR="00426A40">
        <w:t xml:space="preserve"> </w:t>
      </w:r>
      <w:proofErr w:type="spellStart"/>
      <w:r w:rsidR="00426A40">
        <w:t>any</w:t>
      </w:r>
      <w:proofErr w:type="spellEnd"/>
      <w:r w:rsidR="00426A40">
        <w:t xml:space="preserve"> </w:t>
      </w:r>
      <w:proofErr w:type="spellStart"/>
      <w:r w:rsidR="00426A40">
        <w:t>improvement</w:t>
      </w:r>
      <w:proofErr w:type="spellEnd"/>
      <w:r w:rsidR="00426A40">
        <w:t xml:space="preserve"> in </w:t>
      </w:r>
      <w:proofErr w:type="spellStart"/>
      <w:r w:rsidR="00426A40">
        <w:t>the</w:t>
      </w:r>
      <w:proofErr w:type="spellEnd"/>
      <w:r w:rsidR="00426A40">
        <w:t xml:space="preserve"> </w:t>
      </w:r>
      <w:proofErr w:type="spellStart"/>
      <w:r w:rsidR="00426A40">
        <w:t>functioning</w:t>
      </w:r>
      <w:proofErr w:type="spellEnd"/>
      <w:r w:rsidR="00426A40">
        <w:t xml:space="preserve"> of </w:t>
      </w:r>
      <w:proofErr w:type="spellStart"/>
      <w:r w:rsidR="00426A40">
        <w:t>the</w:t>
      </w:r>
      <w:proofErr w:type="spellEnd"/>
      <w:r w:rsidR="00426A40">
        <w:t xml:space="preserve"> </w:t>
      </w:r>
      <w:r>
        <w:t xml:space="preserve">MCS </w:t>
      </w:r>
      <w:proofErr w:type="spellStart"/>
      <w:r w:rsidR="00426A40">
        <w:t>or</w:t>
      </w:r>
      <w:proofErr w:type="spellEnd"/>
      <w:r w:rsidR="00426A40">
        <w:t xml:space="preserve"> </w:t>
      </w:r>
      <w:proofErr w:type="spellStart"/>
      <w:r w:rsidR="00426A40">
        <w:t>individual</w:t>
      </w:r>
      <w:proofErr w:type="spellEnd"/>
      <w:r w:rsidR="00426A40">
        <w:t xml:space="preserve"> </w:t>
      </w:r>
      <w:proofErr w:type="spellStart"/>
      <w:r w:rsidR="00426A40">
        <w:t>operations</w:t>
      </w:r>
      <w:proofErr w:type="spellEnd"/>
      <w:r>
        <w:t xml:space="preserve">, </w:t>
      </w:r>
      <w:proofErr w:type="spellStart"/>
      <w:r>
        <w:t>including</w:t>
      </w:r>
      <w:proofErr w:type="spellEnd"/>
      <w:r>
        <w:t xml:space="preserve"> </w:t>
      </w:r>
      <w:proofErr w:type="spellStart"/>
      <w:r>
        <w:t>instruction</w:t>
      </w:r>
      <w:r w:rsidR="00A90972">
        <w:t>s</w:t>
      </w:r>
      <w:proofErr w:type="spellEnd"/>
      <w:r>
        <w:t xml:space="preserve">, </w:t>
      </w:r>
      <w:proofErr w:type="spellStart"/>
      <w:r>
        <w:t>guidance</w:t>
      </w:r>
      <w:proofErr w:type="spellEnd"/>
      <w:r>
        <w:t xml:space="preserve"> and/</w:t>
      </w:r>
      <w:proofErr w:type="spellStart"/>
      <w:r>
        <w:t>or</w:t>
      </w:r>
      <w:proofErr w:type="spellEnd"/>
      <w:r>
        <w:t xml:space="preserve"> </w:t>
      </w:r>
      <w:proofErr w:type="spellStart"/>
      <w:r>
        <w:t>training</w:t>
      </w:r>
      <w:proofErr w:type="spellEnd"/>
      <w:r>
        <w:t xml:space="preserve"> </w:t>
      </w:r>
      <w:proofErr w:type="spellStart"/>
      <w:r>
        <w:t>planned</w:t>
      </w:r>
      <w:proofErr w:type="spellEnd"/>
      <w:r>
        <w:t xml:space="preserve"> </w:t>
      </w:r>
      <w:proofErr w:type="spellStart"/>
      <w:r>
        <w:t>or</w:t>
      </w:r>
      <w:proofErr w:type="spellEnd"/>
      <w:r>
        <w:t xml:space="preserve"> </w:t>
      </w:r>
      <w:proofErr w:type="spellStart"/>
      <w:r>
        <w:t>provided</w:t>
      </w:r>
      <w:proofErr w:type="spellEnd"/>
      <w:r>
        <w:t xml:space="preserve"> to </w:t>
      </w:r>
      <w:proofErr w:type="spellStart"/>
      <w:r>
        <w:t>beneficiaries</w:t>
      </w:r>
      <w:proofErr w:type="spellEnd"/>
      <w:r>
        <w:t xml:space="preserve"> and </w:t>
      </w:r>
      <w:proofErr w:type="spellStart"/>
      <w:r>
        <w:t>candidates</w:t>
      </w:r>
      <w:proofErr w:type="spellEnd"/>
      <w:r>
        <w:t xml:space="preserve"> to </w:t>
      </w:r>
      <w:proofErr w:type="spellStart"/>
      <w:r>
        <w:t>prevent</w:t>
      </w:r>
      <w:proofErr w:type="spellEnd"/>
      <w:r>
        <w:t xml:space="preserve"> </w:t>
      </w:r>
      <w:proofErr w:type="spellStart"/>
      <w:r>
        <w:t>repetition</w:t>
      </w:r>
      <w:proofErr w:type="spellEnd"/>
      <w:r>
        <w:t xml:space="preserve"> of </w:t>
      </w:r>
      <w:proofErr w:type="spellStart"/>
      <w:r>
        <w:t>the</w:t>
      </w:r>
      <w:proofErr w:type="spellEnd"/>
      <w:r>
        <w:t xml:space="preserve"> </w:t>
      </w:r>
      <w:proofErr w:type="spellStart"/>
      <w:r>
        <w:t>same</w:t>
      </w:r>
      <w:proofErr w:type="spellEnd"/>
      <w:r>
        <w:t xml:space="preserve"> </w:t>
      </w:r>
      <w:proofErr w:type="spellStart"/>
      <w:r>
        <w:t>errors</w:t>
      </w:r>
      <w:proofErr w:type="spellEnd"/>
      <w:r>
        <w:t xml:space="preserve"> in </w:t>
      </w:r>
      <w:proofErr w:type="spellStart"/>
      <w:r>
        <w:t>future</w:t>
      </w:r>
      <w:proofErr w:type="spellEnd"/>
      <w:r>
        <w:t xml:space="preserve"> </w:t>
      </w:r>
      <w:proofErr w:type="spellStart"/>
      <w:r>
        <w:t>operations</w:t>
      </w:r>
      <w:proofErr w:type="spellEnd"/>
      <w:r w:rsidR="00426A40">
        <w:t xml:space="preserve">.  </w:t>
      </w:r>
    </w:p>
    <w:p w:rsidR="00426A40" w:rsidRDefault="00A34528" w:rsidP="00654BB5">
      <w:pPr>
        <w:jc w:val="both"/>
        <w:rPr>
          <w:lang w:val="en-GB"/>
        </w:rPr>
      </w:pPr>
      <w:r>
        <w:rPr>
          <w:lang w:val="en-GB"/>
        </w:rPr>
        <w:t>Where</w:t>
      </w:r>
      <w:r w:rsidR="00426A40">
        <w:rPr>
          <w:lang w:val="en-GB"/>
        </w:rPr>
        <w:t xml:space="preserve"> the MA concludes that the errors detected are of a systemic nature the </w:t>
      </w:r>
      <w:r w:rsidR="00DC3595">
        <w:rPr>
          <w:lang w:val="en-GB"/>
        </w:rPr>
        <w:t xml:space="preserve">MA is invited to indicate in the annual summary which </w:t>
      </w:r>
      <w:r w:rsidR="00426A40">
        <w:rPr>
          <w:lang w:val="en-GB"/>
        </w:rPr>
        <w:t xml:space="preserve">corrective measures </w:t>
      </w:r>
      <w:r w:rsidR="00DC3595">
        <w:rPr>
          <w:lang w:val="en-GB"/>
        </w:rPr>
        <w:t xml:space="preserve">were taken </w:t>
      </w:r>
      <w:r w:rsidR="00426A40">
        <w:rPr>
          <w:lang w:val="en-GB"/>
        </w:rPr>
        <w:t xml:space="preserve">to improve the functioning of the management and control systems </w:t>
      </w:r>
      <w:r w:rsidR="00DC3595">
        <w:rPr>
          <w:lang w:val="en-GB"/>
        </w:rPr>
        <w:t>and</w:t>
      </w:r>
      <w:r w:rsidR="00426A40">
        <w:rPr>
          <w:lang w:val="en-GB"/>
        </w:rPr>
        <w:t xml:space="preserve"> to prevent the repetition of the identified systemic weaknesses.</w:t>
      </w:r>
    </w:p>
    <w:p w:rsidR="00426A40" w:rsidRDefault="00A34528" w:rsidP="00B21010">
      <w:pPr>
        <w:spacing w:after="240"/>
        <w:jc w:val="both"/>
      </w:pPr>
      <w:proofErr w:type="spellStart"/>
      <w:r>
        <w:t>Where</w:t>
      </w:r>
      <w:proofErr w:type="spellEnd"/>
      <w:r w:rsidR="00426A40">
        <w:t xml:space="preserve"> </w:t>
      </w:r>
      <w:proofErr w:type="spellStart"/>
      <w:r w:rsidR="00426A40">
        <w:t>the</w:t>
      </w:r>
      <w:proofErr w:type="spellEnd"/>
      <w:r w:rsidR="00426A40">
        <w:t xml:space="preserve"> </w:t>
      </w:r>
      <w:proofErr w:type="spellStart"/>
      <w:r w:rsidR="00426A40">
        <w:t>errors</w:t>
      </w:r>
      <w:proofErr w:type="spellEnd"/>
      <w:r w:rsidR="00426A40">
        <w:t xml:space="preserve"> </w:t>
      </w:r>
      <w:proofErr w:type="spellStart"/>
      <w:r w:rsidR="00426A40">
        <w:t>detected</w:t>
      </w:r>
      <w:proofErr w:type="spellEnd"/>
      <w:r w:rsidR="00426A40">
        <w:t xml:space="preserve"> are </w:t>
      </w:r>
      <w:proofErr w:type="spellStart"/>
      <w:r w:rsidR="00426A40">
        <w:t>attributable</w:t>
      </w:r>
      <w:proofErr w:type="spellEnd"/>
      <w:r w:rsidR="00426A40">
        <w:t xml:space="preserve"> to </w:t>
      </w:r>
      <w:proofErr w:type="spellStart"/>
      <w:r w:rsidR="00426A40">
        <w:t>tasks</w:t>
      </w:r>
      <w:proofErr w:type="spellEnd"/>
      <w:r w:rsidR="00426A40">
        <w:t xml:space="preserve"> </w:t>
      </w:r>
      <w:proofErr w:type="spellStart"/>
      <w:r w:rsidR="00426A40">
        <w:t>delegated</w:t>
      </w:r>
      <w:proofErr w:type="spellEnd"/>
      <w:r w:rsidR="00426A40">
        <w:t xml:space="preserve"> to </w:t>
      </w:r>
      <w:proofErr w:type="spellStart"/>
      <w:r w:rsidR="00426A40">
        <w:t>an</w:t>
      </w:r>
      <w:proofErr w:type="spellEnd"/>
      <w:r w:rsidR="00426A40">
        <w:t xml:space="preserve"> </w:t>
      </w:r>
      <w:proofErr w:type="spellStart"/>
      <w:r w:rsidR="00426A40">
        <w:t>intermediate</w:t>
      </w:r>
      <w:proofErr w:type="spellEnd"/>
      <w:r w:rsidR="00426A40">
        <w:t xml:space="preserve"> body, </w:t>
      </w:r>
      <w:proofErr w:type="spellStart"/>
      <w:r w:rsidR="00426A40">
        <w:t>the</w:t>
      </w:r>
      <w:proofErr w:type="spellEnd"/>
      <w:r w:rsidR="00426A40">
        <w:t xml:space="preserve"> MA </w:t>
      </w:r>
      <w:proofErr w:type="spellStart"/>
      <w:r w:rsidR="00DC3595">
        <w:t>is</w:t>
      </w:r>
      <w:proofErr w:type="spellEnd"/>
      <w:r w:rsidR="00DC3595">
        <w:t xml:space="preserve"> </w:t>
      </w:r>
      <w:proofErr w:type="spellStart"/>
      <w:r w:rsidR="00DC3595">
        <w:t>invited</w:t>
      </w:r>
      <w:proofErr w:type="spellEnd"/>
      <w:r w:rsidR="00DC3595">
        <w:t xml:space="preserve"> to </w:t>
      </w:r>
      <w:proofErr w:type="spellStart"/>
      <w:r w:rsidR="00DC3595">
        <w:t>indicate</w:t>
      </w:r>
      <w:proofErr w:type="spellEnd"/>
      <w:r w:rsidR="00DC3595">
        <w:t xml:space="preserve"> </w:t>
      </w:r>
      <w:proofErr w:type="spellStart"/>
      <w:r w:rsidR="00DC3595">
        <w:t>the</w:t>
      </w:r>
      <w:proofErr w:type="spellEnd"/>
      <w:r w:rsidR="00DC3595">
        <w:t xml:space="preserve"> </w:t>
      </w:r>
      <w:proofErr w:type="spellStart"/>
      <w:r w:rsidR="00DC3595">
        <w:t>measures</w:t>
      </w:r>
      <w:proofErr w:type="spellEnd"/>
      <w:r w:rsidR="00DC3595">
        <w:t xml:space="preserve"> </w:t>
      </w:r>
      <w:proofErr w:type="spellStart"/>
      <w:r w:rsidR="00DC3595">
        <w:t>it</w:t>
      </w:r>
      <w:proofErr w:type="spellEnd"/>
      <w:r w:rsidR="00DC3595">
        <w:t xml:space="preserve"> has</w:t>
      </w:r>
      <w:r w:rsidR="00426A40">
        <w:t xml:space="preserve"> </w:t>
      </w:r>
      <w:proofErr w:type="spellStart"/>
      <w:r w:rsidR="00426A40">
        <w:t>request</w:t>
      </w:r>
      <w:r w:rsidR="00DC3595">
        <w:t>ed</w:t>
      </w:r>
      <w:proofErr w:type="spellEnd"/>
      <w:r w:rsidR="00426A40">
        <w:t xml:space="preserve"> </w:t>
      </w:r>
      <w:proofErr w:type="spellStart"/>
      <w:r w:rsidR="00DC3595">
        <w:t>from</w:t>
      </w:r>
      <w:proofErr w:type="spellEnd"/>
      <w:r w:rsidR="00DC3595">
        <w:t xml:space="preserve"> </w:t>
      </w:r>
      <w:proofErr w:type="spellStart"/>
      <w:r w:rsidR="00426A40">
        <w:t>the</w:t>
      </w:r>
      <w:proofErr w:type="spellEnd"/>
      <w:r w:rsidR="00426A40">
        <w:t xml:space="preserve"> </w:t>
      </w:r>
      <w:proofErr w:type="spellStart"/>
      <w:r w:rsidR="00426A40">
        <w:t>intermediate</w:t>
      </w:r>
      <w:proofErr w:type="spellEnd"/>
      <w:r w:rsidR="00426A40">
        <w:t xml:space="preserve"> body to </w:t>
      </w:r>
      <w:proofErr w:type="spellStart"/>
      <w:r w:rsidR="00426A40">
        <w:t>improve</w:t>
      </w:r>
      <w:proofErr w:type="spellEnd"/>
      <w:r w:rsidR="00426A40">
        <w:t xml:space="preserve"> </w:t>
      </w:r>
      <w:proofErr w:type="spellStart"/>
      <w:r w:rsidR="00426A40">
        <w:t>its</w:t>
      </w:r>
      <w:proofErr w:type="spellEnd"/>
      <w:r w:rsidR="00426A40">
        <w:t xml:space="preserve"> </w:t>
      </w:r>
      <w:proofErr w:type="spellStart"/>
      <w:r w:rsidR="00426A40">
        <w:t>administrative</w:t>
      </w:r>
      <w:proofErr w:type="spellEnd"/>
      <w:r w:rsidR="00426A40">
        <w:t xml:space="preserve"> </w:t>
      </w:r>
      <w:proofErr w:type="spellStart"/>
      <w:r w:rsidR="00A672E5">
        <w:t>verifications</w:t>
      </w:r>
      <w:proofErr w:type="spellEnd"/>
      <w:r w:rsidR="00A672E5">
        <w:t xml:space="preserve"> </w:t>
      </w:r>
      <w:r w:rsidR="000D3A37">
        <w:t xml:space="preserve">and / </w:t>
      </w:r>
      <w:proofErr w:type="spellStart"/>
      <w:r w:rsidR="000D3A37">
        <w:t>or</w:t>
      </w:r>
      <w:proofErr w:type="spellEnd"/>
      <w:r w:rsidR="000D3A37">
        <w:t xml:space="preserve"> on-</w:t>
      </w:r>
      <w:proofErr w:type="spellStart"/>
      <w:r w:rsidR="000D3A37">
        <w:t>the</w:t>
      </w:r>
      <w:proofErr w:type="spellEnd"/>
      <w:r w:rsidR="000D3A37">
        <w:t xml:space="preserve">-spot </w:t>
      </w:r>
      <w:proofErr w:type="spellStart"/>
      <w:r w:rsidR="000D3A37">
        <w:t>controls</w:t>
      </w:r>
      <w:proofErr w:type="spellEnd"/>
      <w:r w:rsidR="000D3A37">
        <w:t xml:space="preserve">. In </w:t>
      </w:r>
      <w:proofErr w:type="spellStart"/>
      <w:r w:rsidR="000D3A37">
        <w:t>addition</w:t>
      </w:r>
      <w:proofErr w:type="spellEnd"/>
      <w:r w:rsidR="000D3A37">
        <w:t>,</w:t>
      </w:r>
      <w:r w:rsidR="00426A40">
        <w:t xml:space="preserve"> </w:t>
      </w:r>
      <w:proofErr w:type="spellStart"/>
      <w:r w:rsidR="00426A40">
        <w:t>if</w:t>
      </w:r>
      <w:proofErr w:type="spellEnd"/>
      <w:r w:rsidR="00426A40">
        <w:t xml:space="preserve"> </w:t>
      </w:r>
      <w:proofErr w:type="spellStart"/>
      <w:r w:rsidR="00426A40">
        <w:t>necessary</w:t>
      </w:r>
      <w:proofErr w:type="spellEnd"/>
      <w:r w:rsidR="00426A40">
        <w:t xml:space="preserve">, </w:t>
      </w:r>
      <w:proofErr w:type="spellStart"/>
      <w:r w:rsidR="000D3A37">
        <w:t>the</w:t>
      </w:r>
      <w:proofErr w:type="spellEnd"/>
      <w:r w:rsidR="000D3A37">
        <w:t xml:space="preserve"> MA </w:t>
      </w:r>
      <w:proofErr w:type="spellStart"/>
      <w:r w:rsidR="000D3A37">
        <w:t>m</w:t>
      </w:r>
      <w:r w:rsidR="00A672E5">
        <w:t>ay</w:t>
      </w:r>
      <w:proofErr w:type="spellEnd"/>
      <w:r w:rsidR="008908B7">
        <w:t xml:space="preserve"> </w:t>
      </w:r>
      <w:proofErr w:type="spellStart"/>
      <w:r w:rsidR="00A672E5">
        <w:t>descri</w:t>
      </w:r>
      <w:r w:rsidR="008908B7">
        <w:t>b</w:t>
      </w:r>
      <w:r w:rsidR="00A672E5">
        <w:t>e</w:t>
      </w:r>
      <w:proofErr w:type="spellEnd"/>
      <w:r w:rsidR="00A672E5">
        <w:t xml:space="preserve"> </w:t>
      </w:r>
      <w:proofErr w:type="spellStart"/>
      <w:r w:rsidR="00A672E5">
        <w:t>how</w:t>
      </w:r>
      <w:proofErr w:type="spellEnd"/>
      <w:r w:rsidR="00A672E5">
        <w:t xml:space="preserve"> </w:t>
      </w:r>
      <w:proofErr w:type="spellStart"/>
      <w:r w:rsidR="00A672E5">
        <w:t>it</w:t>
      </w:r>
      <w:proofErr w:type="spellEnd"/>
      <w:r w:rsidR="00A672E5">
        <w:t xml:space="preserve"> has</w:t>
      </w:r>
      <w:r w:rsidR="000D3A37">
        <w:t xml:space="preserve"> </w:t>
      </w:r>
      <w:proofErr w:type="spellStart"/>
      <w:r w:rsidR="00426A40">
        <w:t>review</w:t>
      </w:r>
      <w:r w:rsidR="00A672E5">
        <w:t>ed</w:t>
      </w:r>
      <w:proofErr w:type="spellEnd"/>
      <w:r w:rsidR="00426A40">
        <w:t xml:space="preserve"> </w:t>
      </w:r>
      <w:proofErr w:type="spellStart"/>
      <w:r w:rsidR="00426A40">
        <w:t>its</w:t>
      </w:r>
      <w:proofErr w:type="spellEnd"/>
      <w:r w:rsidR="00426A40">
        <w:t xml:space="preserve"> </w:t>
      </w:r>
      <w:proofErr w:type="spellStart"/>
      <w:r w:rsidR="00426A40">
        <w:t>procedures</w:t>
      </w:r>
      <w:proofErr w:type="spellEnd"/>
      <w:r w:rsidR="00426A40">
        <w:t xml:space="preserve"> to supervise </w:t>
      </w:r>
      <w:proofErr w:type="spellStart"/>
      <w:r w:rsidR="00426A40">
        <w:t>the</w:t>
      </w:r>
      <w:proofErr w:type="spellEnd"/>
      <w:r w:rsidR="00426A40">
        <w:t xml:space="preserve"> </w:t>
      </w:r>
      <w:proofErr w:type="spellStart"/>
      <w:r w:rsidR="00426A40">
        <w:t>tasks</w:t>
      </w:r>
      <w:proofErr w:type="spellEnd"/>
      <w:r w:rsidR="00426A40">
        <w:t xml:space="preserve"> </w:t>
      </w:r>
      <w:proofErr w:type="spellStart"/>
      <w:r w:rsidR="00426A40">
        <w:t>delegated</w:t>
      </w:r>
      <w:proofErr w:type="spellEnd"/>
      <w:r w:rsidR="00426A40">
        <w:t xml:space="preserve"> to </w:t>
      </w:r>
      <w:proofErr w:type="spellStart"/>
      <w:r w:rsidR="000D3A37">
        <w:t>the</w:t>
      </w:r>
      <w:proofErr w:type="spellEnd"/>
      <w:r w:rsidR="000D3A37">
        <w:t xml:space="preserve"> </w:t>
      </w:r>
      <w:proofErr w:type="spellStart"/>
      <w:r w:rsidR="000D3A37">
        <w:t>intermediate</w:t>
      </w:r>
      <w:proofErr w:type="spellEnd"/>
      <w:r w:rsidR="000D3A37">
        <w:t xml:space="preserve"> </w:t>
      </w:r>
      <w:proofErr w:type="gramStart"/>
      <w:r w:rsidR="000D3A37">
        <w:t>body</w:t>
      </w:r>
      <w:r w:rsidR="00A672E5">
        <w:t xml:space="preserve"> (</w:t>
      </w:r>
      <w:proofErr w:type="spellStart"/>
      <w:r w:rsidR="00A672E5">
        <w:t>e.g</w:t>
      </w:r>
      <w:proofErr w:type="spellEnd"/>
      <w:r w:rsidR="00A672E5">
        <w:t>. by</w:t>
      </w:r>
      <w:proofErr w:type="gramEnd"/>
      <w:r w:rsidR="00A672E5">
        <w:t xml:space="preserve"> </w:t>
      </w:r>
      <w:proofErr w:type="spellStart"/>
      <w:r w:rsidR="00A672E5">
        <w:t>carrying</w:t>
      </w:r>
      <w:proofErr w:type="spellEnd"/>
      <w:r w:rsidR="00A672E5">
        <w:t xml:space="preserve"> </w:t>
      </w:r>
      <w:proofErr w:type="spellStart"/>
      <w:r w:rsidR="00A672E5">
        <w:t>out</w:t>
      </w:r>
      <w:proofErr w:type="spellEnd"/>
      <w:r w:rsidR="00A672E5">
        <w:t xml:space="preserve"> re-performance of </w:t>
      </w:r>
      <w:proofErr w:type="spellStart"/>
      <w:r w:rsidR="008659A4">
        <w:t>verifications</w:t>
      </w:r>
      <w:proofErr w:type="spellEnd"/>
      <w:r w:rsidR="008659A4">
        <w:t xml:space="preserve"> </w:t>
      </w:r>
      <w:proofErr w:type="spellStart"/>
      <w:r w:rsidR="008659A4">
        <w:t>or</w:t>
      </w:r>
      <w:proofErr w:type="spellEnd"/>
      <w:r w:rsidR="008659A4">
        <w:t xml:space="preserve"> </w:t>
      </w:r>
      <w:r w:rsidR="00A672E5">
        <w:t>on-</w:t>
      </w:r>
      <w:proofErr w:type="spellStart"/>
      <w:r w:rsidR="00A672E5">
        <w:t>the</w:t>
      </w:r>
      <w:proofErr w:type="spellEnd"/>
      <w:r w:rsidR="00A672E5">
        <w:t xml:space="preserve">-spot </w:t>
      </w:r>
      <w:proofErr w:type="spellStart"/>
      <w:r w:rsidR="00A672E5">
        <w:t>controls</w:t>
      </w:r>
      <w:proofErr w:type="spellEnd"/>
      <w:r w:rsidR="00A672E5">
        <w:t xml:space="preserve"> </w:t>
      </w:r>
      <w:proofErr w:type="spellStart"/>
      <w:r w:rsidR="00A672E5">
        <w:t>performed</w:t>
      </w:r>
      <w:proofErr w:type="spellEnd"/>
      <w:r w:rsidR="00A672E5">
        <w:t xml:space="preserve"> by </w:t>
      </w:r>
      <w:proofErr w:type="spellStart"/>
      <w:r w:rsidR="00A672E5">
        <w:t>the</w:t>
      </w:r>
      <w:proofErr w:type="spellEnd"/>
      <w:r w:rsidR="00A672E5">
        <w:t xml:space="preserve"> </w:t>
      </w:r>
      <w:proofErr w:type="spellStart"/>
      <w:r w:rsidR="00A672E5">
        <w:t>intermediate</w:t>
      </w:r>
      <w:proofErr w:type="spellEnd"/>
      <w:r w:rsidR="00A672E5">
        <w:t xml:space="preserve"> body</w:t>
      </w:r>
      <w:r w:rsidR="008659A4">
        <w:t>,</w:t>
      </w:r>
      <w:r w:rsidR="00A672E5">
        <w:t xml:space="preserve"> </w:t>
      </w:r>
      <w:proofErr w:type="spellStart"/>
      <w:r w:rsidR="00A672E5">
        <w:t>if</w:t>
      </w:r>
      <w:proofErr w:type="spellEnd"/>
      <w:r w:rsidR="00A672E5">
        <w:t xml:space="preserve"> </w:t>
      </w:r>
      <w:proofErr w:type="spellStart"/>
      <w:r w:rsidR="00A672E5">
        <w:t>necessary</w:t>
      </w:r>
      <w:proofErr w:type="spellEnd"/>
      <w:r w:rsidR="00A672E5">
        <w:t>)</w:t>
      </w:r>
      <w:r w:rsidR="008659A4">
        <w:t xml:space="preserve">. </w:t>
      </w:r>
      <w:proofErr w:type="spellStart"/>
      <w:r w:rsidR="008659A4">
        <w:t>If</w:t>
      </w:r>
      <w:proofErr w:type="spellEnd"/>
      <w:r w:rsidR="008908B7">
        <w:t xml:space="preserve"> </w:t>
      </w:r>
      <w:proofErr w:type="spellStart"/>
      <w:r w:rsidR="008659A4">
        <w:t>it</w:t>
      </w:r>
      <w:proofErr w:type="spellEnd"/>
      <w:r w:rsidR="008659A4">
        <w:t xml:space="preserve"> </w:t>
      </w:r>
      <w:proofErr w:type="spellStart"/>
      <w:proofErr w:type="gramStart"/>
      <w:r w:rsidR="008659A4">
        <w:t>is</w:t>
      </w:r>
      <w:proofErr w:type="spellEnd"/>
      <w:r w:rsidR="008659A4">
        <w:t xml:space="preserve"> </w:t>
      </w:r>
      <w:proofErr w:type="spellStart"/>
      <w:r w:rsidR="008659A4">
        <w:t>the</w:t>
      </w:r>
      <w:proofErr w:type="spellEnd"/>
      <w:proofErr w:type="gramEnd"/>
      <w:r w:rsidR="008659A4">
        <w:t xml:space="preserve"> case, </w:t>
      </w:r>
      <w:proofErr w:type="spellStart"/>
      <w:r w:rsidR="008659A4">
        <w:t>the</w:t>
      </w:r>
      <w:proofErr w:type="spellEnd"/>
      <w:r w:rsidR="008659A4">
        <w:t xml:space="preserve"> MA </w:t>
      </w:r>
      <w:proofErr w:type="spellStart"/>
      <w:r w:rsidR="008659A4">
        <w:t>may</w:t>
      </w:r>
      <w:proofErr w:type="spellEnd"/>
      <w:r w:rsidR="008659A4">
        <w:t xml:space="preserve"> </w:t>
      </w:r>
      <w:proofErr w:type="spellStart"/>
      <w:r w:rsidR="008659A4">
        <w:t>also</w:t>
      </w:r>
      <w:proofErr w:type="spellEnd"/>
      <w:r w:rsidR="008659A4">
        <w:t xml:space="preserve"> </w:t>
      </w:r>
      <w:proofErr w:type="spellStart"/>
      <w:r w:rsidR="008659A4">
        <w:t>indicate</w:t>
      </w:r>
      <w:proofErr w:type="spellEnd"/>
      <w:r w:rsidR="008659A4">
        <w:t xml:space="preserve"> </w:t>
      </w:r>
      <w:proofErr w:type="spellStart"/>
      <w:r w:rsidR="008659A4">
        <w:t>that</w:t>
      </w:r>
      <w:proofErr w:type="spellEnd"/>
      <w:r w:rsidR="00A672E5">
        <w:t xml:space="preserve"> </w:t>
      </w:r>
      <w:proofErr w:type="spellStart"/>
      <w:r w:rsidR="00A672E5">
        <w:t>it</w:t>
      </w:r>
      <w:proofErr w:type="spellEnd"/>
      <w:r w:rsidR="00A672E5">
        <w:t xml:space="preserve"> has </w:t>
      </w:r>
      <w:proofErr w:type="spellStart"/>
      <w:r w:rsidR="00426A40">
        <w:t>reconsider</w:t>
      </w:r>
      <w:r>
        <w:t>ed</w:t>
      </w:r>
      <w:proofErr w:type="spellEnd"/>
      <w:r w:rsidR="00426A40">
        <w:t xml:space="preserve"> and </w:t>
      </w:r>
      <w:proofErr w:type="spellStart"/>
      <w:r w:rsidR="00426A40">
        <w:t>possibly</w:t>
      </w:r>
      <w:proofErr w:type="spellEnd"/>
      <w:r w:rsidR="00426A40">
        <w:t xml:space="preserve"> </w:t>
      </w:r>
      <w:proofErr w:type="spellStart"/>
      <w:r w:rsidR="00426A40">
        <w:t>withdrawn</w:t>
      </w:r>
      <w:proofErr w:type="spellEnd"/>
      <w:r w:rsidR="00A672E5">
        <w:t xml:space="preserve"> </w:t>
      </w:r>
      <w:proofErr w:type="spellStart"/>
      <w:r w:rsidR="00A672E5">
        <w:t>the</w:t>
      </w:r>
      <w:proofErr w:type="spellEnd"/>
      <w:r w:rsidR="00A672E5">
        <w:t xml:space="preserve"> </w:t>
      </w:r>
      <w:proofErr w:type="spellStart"/>
      <w:r w:rsidR="00A672E5">
        <w:t>delegation</w:t>
      </w:r>
      <w:proofErr w:type="spellEnd"/>
      <w:r w:rsidR="00A672E5">
        <w:t xml:space="preserve"> of </w:t>
      </w:r>
      <w:proofErr w:type="spellStart"/>
      <w:r w:rsidR="00A672E5">
        <w:t>tasks</w:t>
      </w:r>
      <w:proofErr w:type="spellEnd"/>
      <w:r w:rsidR="00A672E5">
        <w:t xml:space="preserve"> </w:t>
      </w:r>
      <w:proofErr w:type="spellStart"/>
      <w:r w:rsidR="00A672E5">
        <w:t>where</w:t>
      </w:r>
      <w:proofErr w:type="spellEnd"/>
      <w:r w:rsidR="00A672E5">
        <w:t xml:space="preserve"> </w:t>
      </w:r>
      <w:proofErr w:type="spellStart"/>
      <w:r w:rsidR="00A672E5">
        <w:t>repeated</w:t>
      </w:r>
      <w:proofErr w:type="spellEnd"/>
      <w:r w:rsidR="00A672E5">
        <w:t xml:space="preserve"> </w:t>
      </w:r>
      <w:proofErr w:type="spellStart"/>
      <w:r w:rsidR="00A672E5">
        <w:t>weaknesses</w:t>
      </w:r>
      <w:proofErr w:type="spellEnd"/>
      <w:r w:rsidR="00A672E5">
        <w:t xml:space="preserve"> </w:t>
      </w:r>
      <w:proofErr w:type="spellStart"/>
      <w:r w:rsidR="008659A4">
        <w:t>were</w:t>
      </w:r>
      <w:proofErr w:type="spellEnd"/>
      <w:r w:rsidR="008659A4">
        <w:t xml:space="preserve"> </w:t>
      </w:r>
      <w:proofErr w:type="spellStart"/>
      <w:r w:rsidR="008659A4">
        <w:t>detected</w:t>
      </w:r>
      <w:proofErr w:type="spellEnd"/>
      <w:r w:rsidR="008659A4">
        <w:t xml:space="preserve"> </w:t>
      </w:r>
      <w:r w:rsidR="00A672E5">
        <w:t xml:space="preserve">in </w:t>
      </w:r>
      <w:proofErr w:type="spellStart"/>
      <w:r w:rsidR="00A672E5">
        <w:t>the</w:t>
      </w:r>
      <w:proofErr w:type="spellEnd"/>
      <w:r w:rsidR="00A672E5">
        <w:t xml:space="preserve"> </w:t>
      </w:r>
      <w:proofErr w:type="spellStart"/>
      <w:r w:rsidR="00A672E5">
        <w:t>delegated</w:t>
      </w:r>
      <w:proofErr w:type="spellEnd"/>
      <w:r w:rsidR="00A672E5">
        <w:t xml:space="preserve"> </w:t>
      </w:r>
      <w:proofErr w:type="spellStart"/>
      <w:r w:rsidR="00A672E5">
        <w:t>tasks</w:t>
      </w:r>
      <w:proofErr w:type="spellEnd"/>
      <w:r w:rsidR="008659A4">
        <w:t xml:space="preserve"> </w:t>
      </w:r>
      <w:proofErr w:type="spellStart"/>
      <w:r w:rsidR="008659A4">
        <w:t>without</w:t>
      </w:r>
      <w:proofErr w:type="spellEnd"/>
      <w:r w:rsidR="008659A4">
        <w:t xml:space="preserve"> </w:t>
      </w:r>
      <w:proofErr w:type="spellStart"/>
      <w:r w:rsidR="008659A4">
        <w:t>imp</w:t>
      </w:r>
      <w:r w:rsidR="008908B7">
        <w:t>r</w:t>
      </w:r>
      <w:r w:rsidR="008659A4">
        <w:t>ovement</w:t>
      </w:r>
      <w:proofErr w:type="spellEnd"/>
      <w:r w:rsidR="008659A4">
        <w:t xml:space="preserve"> </w:t>
      </w:r>
      <w:proofErr w:type="spellStart"/>
      <w:r w:rsidR="008659A4">
        <w:t>over</w:t>
      </w:r>
      <w:proofErr w:type="spellEnd"/>
      <w:r w:rsidR="008659A4">
        <w:t xml:space="preserve"> </w:t>
      </w:r>
      <w:proofErr w:type="spellStart"/>
      <w:r w:rsidR="008659A4">
        <w:t>time</w:t>
      </w:r>
      <w:proofErr w:type="spellEnd"/>
      <w:r w:rsidR="00A672E5">
        <w:t>.</w:t>
      </w:r>
    </w:p>
    <w:p w:rsidR="000E5176" w:rsidRDefault="000E5176" w:rsidP="000E5176">
      <w:pPr>
        <w:spacing w:after="240"/>
        <w:jc w:val="both"/>
      </w:pPr>
      <w:proofErr w:type="spellStart"/>
      <w:r>
        <w:t>Where</w:t>
      </w:r>
      <w:proofErr w:type="spellEnd"/>
      <w:r>
        <w:t xml:space="preserve"> </w:t>
      </w:r>
      <w:proofErr w:type="spellStart"/>
      <w:r>
        <w:t>administrative</w:t>
      </w:r>
      <w:proofErr w:type="spellEnd"/>
      <w:r>
        <w:t xml:space="preserve"> and/</w:t>
      </w:r>
      <w:proofErr w:type="spellStart"/>
      <w:r>
        <w:t>or</w:t>
      </w:r>
      <w:proofErr w:type="spellEnd"/>
      <w:r>
        <w:t xml:space="preserve"> on </w:t>
      </w:r>
      <w:proofErr w:type="spellStart"/>
      <w:r>
        <w:t>the</w:t>
      </w:r>
      <w:proofErr w:type="spellEnd"/>
      <w:r>
        <w:t xml:space="preserve"> spot </w:t>
      </w:r>
      <w:proofErr w:type="spellStart"/>
      <w:r>
        <w:t>verifications</w:t>
      </w:r>
      <w:proofErr w:type="spellEnd"/>
      <w:r>
        <w:t xml:space="preserve"> led to </w:t>
      </w:r>
      <w:proofErr w:type="spellStart"/>
      <w:r>
        <w:t>adjustments</w:t>
      </w:r>
      <w:proofErr w:type="spellEnd"/>
      <w:r>
        <w:t xml:space="preserve"> in </w:t>
      </w:r>
      <w:proofErr w:type="spellStart"/>
      <w:r>
        <w:t>the</w:t>
      </w:r>
      <w:proofErr w:type="spellEnd"/>
      <w:r>
        <w:t xml:space="preserve"> </w:t>
      </w:r>
      <w:proofErr w:type="spellStart"/>
      <w:r>
        <w:t>accounts</w:t>
      </w:r>
      <w:proofErr w:type="spellEnd"/>
      <w:r>
        <w:t xml:space="preserve"> </w:t>
      </w:r>
      <w:proofErr w:type="spellStart"/>
      <w:r>
        <w:t>compared</w:t>
      </w:r>
      <w:proofErr w:type="spellEnd"/>
      <w:r>
        <w:t xml:space="preserve"> to </w:t>
      </w:r>
      <w:proofErr w:type="spellStart"/>
      <w:r>
        <w:t>expenditure</w:t>
      </w:r>
      <w:proofErr w:type="spellEnd"/>
      <w:r>
        <w:t xml:space="preserve"> </w:t>
      </w:r>
      <w:proofErr w:type="spellStart"/>
      <w:r>
        <w:t>included</w:t>
      </w:r>
      <w:proofErr w:type="spellEnd"/>
      <w:r>
        <w:t xml:space="preserve"> in interim </w:t>
      </w:r>
      <w:proofErr w:type="spellStart"/>
      <w:r>
        <w:t>payments</w:t>
      </w:r>
      <w:proofErr w:type="spellEnd"/>
      <w:r>
        <w:t xml:space="preserve"> </w:t>
      </w:r>
      <w:proofErr w:type="spellStart"/>
      <w:r>
        <w:t>within</w:t>
      </w:r>
      <w:proofErr w:type="spellEnd"/>
      <w:r>
        <w:t xml:space="preserve"> </w:t>
      </w:r>
      <w:proofErr w:type="spellStart"/>
      <w:r>
        <w:t>the</w:t>
      </w:r>
      <w:proofErr w:type="spellEnd"/>
      <w:r>
        <w:t xml:space="preserve"> </w:t>
      </w:r>
      <w:proofErr w:type="spellStart"/>
      <w:r>
        <w:t>year</w:t>
      </w:r>
      <w:proofErr w:type="spellEnd"/>
      <w:r>
        <w:t xml:space="preserve">, </w:t>
      </w:r>
      <w:proofErr w:type="spellStart"/>
      <w:r>
        <w:t>following</w:t>
      </w:r>
      <w:proofErr w:type="spellEnd"/>
      <w:r>
        <w:t xml:space="preserve"> </w:t>
      </w:r>
      <w:proofErr w:type="spellStart"/>
      <w:r>
        <w:t>individual</w:t>
      </w:r>
      <w:proofErr w:type="spellEnd"/>
      <w:r>
        <w:t xml:space="preserve"> </w:t>
      </w:r>
      <w:proofErr w:type="spellStart"/>
      <w:r>
        <w:t>or</w:t>
      </w:r>
      <w:proofErr w:type="spellEnd"/>
      <w:r>
        <w:t xml:space="preserve"> </w:t>
      </w:r>
      <w:proofErr w:type="spellStart"/>
      <w:r>
        <w:t>systemic</w:t>
      </w:r>
      <w:proofErr w:type="spellEnd"/>
      <w:r>
        <w:t xml:space="preserve"> </w:t>
      </w:r>
      <w:proofErr w:type="spellStart"/>
      <w:r>
        <w:t>corrections</w:t>
      </w:r>
      <w:proofErr w:type="spellEnd"/>
      <w:r>
        <w:t xml:space="preserve">, </w:t>
      </w:r>
      <w:proofErr w:type="spellStart"/>
      <w:r>
        <w:t>it</w:t>
      </w:r>
      <w:proofErr w:type="spellEnd"/>
      <w:r>
        <w:t xml:space="preserve"> </w:t>
      </w:r>
      <w:proofErr w:type="spellStart"/>
      <w:r>
        <w:t>would</w:t>
      </w:r>
      <w:proofErr w:type="spellEnd"/>
      <w:r>
        <w:t xml:space="preserve"> </w:t>
      </w:r>
      <w:proofErr w:type="spellStart"/>
      <w:r>
        <w:t>be</w:t>
      </w:r>
      <w:proofErr w:type="spellEnd"/>
      <w:r>
        <w:t xml:space="preserve"> </w:t>
      </w:r>
      <w:proofErr w:type="spellStart"/>
      <w:r>
        <w:t>helpful</w:t>
      </w:r>
      <w:proofErr w:type="spellEnd"/>
      <w:r>
        <w:t xml:space="preserve"> to </w:t>
      </w:r>
      <w:proofErr w:type="spellStart"/>
      <w:r>
        <w:t>indicate</w:t>
      </w:r>
      <w:proofErr w:type="spellEnd"/>
      <w:r>
        <w:t xml:space="preserve"> </w:t>
      </w:r>
      <w:proofErr w:type="spellStart"/>
      <w:r>
        <w:t>the</w:t>
      </w:r>
      <w:proofErr w:type="spellEnd"/>
      <w:r>
        <w:t xml:space="preserve"> </w:t>
      </w:r>
      <w:proofErr w:type="spellStart"/>
      <w:r>
        <w:t>amounts</w:t>
      </w:r>
      <w:proofErr w:type="spellEnd"/>
      <w:r>
        <w:t xml:space="preserve"> </w:t>
      </w:r>
      <w:proofErr w:type="spellStart"/>
      <w:r>
        <w:t>concerned</w:t>
      </w:r>
      <w:proofErr w:type="spellEnd"/>
      <w:r>
        <w:t xml:space="preserve"> per priority axis in </w:t>
      </w:r>
      <w:proofErr w:type="spellStart"/>
      <w:r>
        <w:t>the</w:t>
      </w:r>
      <w:proofErr w:type="spellEnd"/>
      <w:r>
        <w:t xml:space="preserve"> </w:t>
      </w:r>
      <w:proofErr w:type="spellStart"/>
      <w:r>
        <w:t>annual</w:t>
      </w:r>
      <w:proofErr w:type="spellEnd"/>
      <w:r>
        <w:t xml:space="preserve"> </w:t>
      </w:r>
      <w:proofErr w:type="spellStart"/>
      <w:r>
        <w:t>sumary</w:t>
      </w:r>
      <w:proofErr w:type="spellEnd"/>
      <w:r>
        <w:t xml:space="preserve">. </w:t>
      </w:r>
      <w:proofErr w:type="spellStart"/>
      <w:r>
        <w:t>This</w:t>
      </w:r>
      <w:proofErr w:type="spellEnd"/>
      <w:r>
        <w:t xml:space="preserve"> </w:t>
      </w:r>
      <w:proofErr w:type="spellStart"/>
      <w:r>
        <w:t>will</w:t>
      </w:r>
      <w:proofErr w:type="spellEnd"/>
      <w:r>
        <w:t xml:space="preserve"> </w:t>
      </w:r>
      <w:proofErr w:type="spellStart"/>
      <w:r>
        <w:t>facilitate</w:t>
      </w:r>
      <w:proofErr w:type="spellEnd"/>
      <w:r>
        <w:t xml:space="preserve"> </w:t>
      </w:r>
      <w:proofErr w:type="spellStart"/>
      <w:r>
        <w:t>the</w:t>
      </w:r>
      <w:proofErr w:type="spellEnd"/>
      <w:r>
        <w:t xml:space="preserve"> </w:t>
      </w:r>
      <w:proofErr w:type="spellStart"/>
      <w:r>
        <w:t>work</w:t>
      </w:r>
      <w:proofErr w:type="spellEnd"/>
      <w:r>
        <w:t xml:space="preserve"> of </w:t>
      </w:r>
      <w:proofErr w:type="spellStart"/>
      <w:r>
        <w:t>the</w:t>
      </w:r>
      <w:proofErr w:type="spellEnd"/>
      <w:r>
        <w:t xml:space="preserve"> CA and AA to </w:t>
      </w:r>
      <w:proofErr w:type="spellStart"/>
      <w:r>
        <w:t>ensure</w:t>
      </w:r>
      <w:proofErr w:type="spellEnd"/>
      <w:r>
        <w:t xml:space="preserve"> </w:t>
      </w:r>
      <w:proofErr w:type="spellStart"/>
      <w:r>
        <w:t>that</w:t>
      </w:r>
      <w:proofErr w:type="spellEnd"/>
      <w:r>
        <w:t xml:space="preserve"> these </w:t>
      </w:r>
      <w:proofErr w:type="spellStart"/>
      <w:r>
        <w:t>corrections</w:t>
      </w:r>
      <w:proofErr w:type="spellEnd"/>
      <w:r>
        <w:t xml:space="preserve"> </w:t>
      </w:r>
      <w:proofErr w:type="spellStart"/>
      <w:r>
        <w:t>have</w:t>
      </w:r>
      <w:proofErr w:type="spellEnd"/>
      <w:r>
        <w:t xml:space="preserve"> </w:t>
      </w:r>
      <w:proofErr w:type="spellStart"/>
      <w:r>
        <w:t>been</w:t>
      </w:r>
      <w:proofErr w:type="spellEnd"/>
      <w:r>
        <w:t xml:space="preserve"> duly </w:t>
      </w:r>
      <w:proofErr w:type="spellStart"/>
      <w:r>
        <w:t>reflected</w:t>
      </w:r>
      <w:proofErr w:type="spellEnd"/>
      <w:r>
        <w:t xml:space="preserve"> in </w:t>
      </w:r>
      <w:proofErr w:type="spellStart"/>
      <w:r>
        <w:t>the</w:t>
      </w:r>
      <w:proofErr w:type="spellEnd"/>
      <w:r>
        <w:t xml:space="preserve"> </w:t>
      </w:r>
      <w:proofErr w:type="spellStart"/>
      <w:r>
        <w:t>accounts</w:t>
      </w:r>
      <w:proofErr w:type="spellEnd"/>
      <w:r>
        <w:t xml:space="preserve"> to </w:t>
      </w:r>
      <w:proofErr w:type="spellStart"/>
      <w:r>
        <w:t>be</w:t>
      </w:r>
      <w:proofErr w:type="spellEnd"/>
      <w:r>
        <w:t xml:space="preserve"> </w:t>
      </w:r>
      <w:proofErr w:type="spellStart"/>
      <w:r>
        <w:t>submitted</w:t>
      </w:r>
      <w:proofErr w:type="spellEnd"/>
      <w:r>
        <w:t xml:space="preserve"> to </w:t>
      </w:r>
      <w:proofErr w:type="spellStart"/>
      <w:r>
        <w:t>the</w:t>
      </w:r>
      <w:proofErr w:type="spellEnd"/>
      <w:r>
        <w:t xml:space="preserve"> Commission.  </w:t>
      </w:r>
    </w:p>
    <w:p w:rsidR="005F6A2A" w:rsidRDefault="007E081F" w:rsidP="005F6A2A">
      <w:pPr>
        <w:spacing w:after="240"/>
        <w:jc w:val="both"/>
        <w:rPr>
          <w:lang w:val="en-GB"/>
        </w:rPr>
      </w:pPr>
      <w:r>
        <w:rPr>
          <w:lang w:val="en-GB"/>
        </w:rPr>
        <w:lastRenderedPageBreak/>
        <w:t xml:space="preserve">Similarly to what indicated </w:t>
      </w:r>
      <w:r w:rsidR="005F6A2A">
        <w:rPr>
          <w:lang w:val="en-GB"/>
        </w:rPr>
        <w:t xml:space="preserve">for the summary of </w:t>
      </w:r>
      <w:r>
        <w:rPr>
          <w:lang w:val="en-GB"/>
        </w:rPr>
        <w:t>final audit reports under section 2.1.2.3</w:t>
      </w:r>
      <w:r w:rsidR="005F6A2A">
        <w:rPr>
          <w:lang w:val="en-GB"/>
        </w:rPr>
        <w:t xml:space="preserve">, the MA should provide aggregate figures, by priority axis, of the amount of corrections in the accounts as a result of irregularities detected and implemented after the submission of the final interim payment claim. </w:t>
      </w:r>
    </w:p>
    <w:p w:rsidR="00D3210B" w:rsidRPr="00580EFC" w:rsidRDefault="008908B7" w:rsidP="00B21010">
      <w:pPr>
        <w:pStyle w:val="Heading2"/>
        <w:spacing w:before="0" w:after="240"/>
        <w:rPr>
          <w:rFonts w:ascii="Times New Roman" w:hAnsi="Times New Roman"/>
          <w:i w:val="0"/>
          <w:sz w:val="24"/>
          <w:szCs w:val="24"/>
        </w:rPr>
      </w:pPr>
      <w:bookmarkStart w:id="61" w:name="_Toc388349231"/>
      <w:bookmarkStart w:id="62" w:name="_Toc420863630"/>
      <w:bookmarkStart w:id="63" w:name="_Toc411485845"/>
      <w:bookmarkStart w:id="64" w:name="_Toc411489399"/>
      <w:r>
        <w:rPr>
          <w:rFonts w:ascii="Times New Roman" w:hAnsi="Times New Roman"/>
          <w:i w:val="0"/>
          <w:sz w:val="24"/>
          <w:szCs w:val="24"/>
        </w:rPr>
        <w:t>3</w:t>
      </w:r>
      <w:r w:rsidR="00D3210B" w:rsidRPr="00580EFC">
        <w:rPr>
          <w:rFonts w:ascii="Times New Roman" w:hAnsi="Times New Roman"/>
          <w:i w:val="0"/>
          <w:sz w:val="24"/>
          <w:szCs w:val="24"/>
        </w:rPr>
        <w:t>.</w:t>
      </w:r>
      <w:r w:rsidR="00D3210B" w:rsidRPr="00580EFC">
        <w:rPr>
          <w:rFonts w:ascii="Times New Roman" w:hAnsi="Times New Roman"/>
          <w:i w:val="0"/>
          <w:sz w:val="24"/>
          <w:szCs w:val="24"/>
        </w:rPr>
        <w:tab/>
      </w:r>
      <w:proofErr w:type="spellStart"/>
      <w:r w:rsidR="00D3210B" w:rsidRPr="00580EFC">
        <w:rPr>
          <w:rFonts w:ascii="Times New Roman" w:hAnsi="Times New Roman"/>
          <w:i w:val="0"/>
          <w:sz w:val="24"/>
          <w:szCs w:val="24"/>
        </w:rPr>
        <w:t>Work</w:t>
      </w:r>
      <w:proofErr w:type="spellEnd"/>
      <w:r w:rsidR="00D3210B" w:rsidRPr="00580EFC">
        <w:rPr>
          <w:rFonts w:ascii="Times New Roman" w:hAnsi="Times New Roman"/>
          <w:i w:val="0"/>
          <w:sz w:val="24"/>
          <w:szCs w:val="24"/>
        </w:rPr>
        <w:t xml:space="preserve"> to </w:t>
      </w:r>
      <w:proofErr w:type="spellStart"/>
      <w:r w:rsidR="00D3210B" w:rsidRPr="00580EFC">
        <w:rPr>
          <w:rFonts w:ascii="Times New Roman" w:hAnsi="Times New Roman"/>
          <w:i w:val="0"/>
          <w:sz w:val="24"/>
          <w:szCs w:val="24"/>
        </w:rPr>
        <w:t>be</w:t>
      </w:r>
      <w:proofErr w:type="spellEnd"/>
      <w:r w:rsidR="00D3210B" w:rsidRPr="00580EFC">
        <w:rPr>
          <w:rFonts w:ascii="Times New Roman" w:hAnsi="Times New Roman"/>
          <w:i w:val="0"/>
          <w:sz w:val="24"/>
          <w:szCs w:val="24"/>
        </w:rPr>
        <w:t xml:space="preserve"> </w:t>
      </w:r>
      <w:proofErr w:type="spellStart"/>
      <w:r w:rsidR="00D3210B" w:rsidRPr="00580EFC">
        <w:rPr>
          <w:rFonts w:ascii="Times New Roman" w:hAnsi="Times New Roman"/>
          <w:i w:val="0"/>
          <w:sz w:val="24"/>
          <w:szCs w:val="24"/>
        </w:rPr>
        <w:t>performed</w:t>
      </w:r>
      <w:proofErr w:type="spellEnd"/>
      <w:r w:rsidR="00D3210B" w:rsidRPr="00580EFC">
        <w:rPr>
          <w:rFonts w:ascii="Times New Roman" w:hAnsi="Times New Roman"/>
          <w:i w:val="0"/>
          <w:sz w:val="24"/>
          <w:szCs w:val="24"/>
        </w:rPr>
        <w:t xml:space="preserve"> by </w:t>
      </w:r>
      <w:bookmarkEnd w:id="61"/>
      <w:r w:rsidR="00C2037E" w:rsidRPr="00580EFC">
        <w:rPr>
          <w:rFonts w:ascii="Times New Roman" w:hAnsi="Times New Roman"/>
          <w:i w:val="0"/>
          <w:sz w:val="24"/>
          <w:szCs w:val="24"/>
        </w:rPr>
        <w:t>AA</w:t>
      </w:r>
      <w:r w:rsidR="00C23E34" w:rsidRPr="00580EFC">
        <w:rPr>
          <w:rFonts w:ascii="Times New Roman" w:hAnsi="Times New Roman"/>
          <w:i w:val="0"/>
          <w:sz w:val="24"/>
          <w:szCs w:val="24"/>
        </w:rPr>
        <w:t xml:space="preserve"> </w:t>
      </w:r>
      <w:r w:rsidR="00741180" w:rsidRPr="00580EFC">
        <w:rPr>
          <w:rFonts w:ascii="Times New Roman" w:hAnsi="Times New Roman"/>
          <w:i w:val="0"/>
          <w:sz w:val="24"/>
          <w:szCs w:val="24"/>
        </w:rPr>
        <w:t xml:space="preserve">on </w:t>
      </w:r>
      <w:proofErr w:type="spellStart"/>
      <w:r w:rsidR="00741180" w:rsidRPr="00580EFC">
        <w:rPr>
          <w:rFonts w:ascii="Times New Roman" w:hAnsi="Times New Roman"/>
          <w:i w:val="0"/>
          <w:sz w:val="24"/>
          <w:szCs w:val="24"/>
        </w:rPr>
        <w:t>the</w:t>
      </w:r>
      <w:proofErr w:type="spellEnd"/>
      <w:r w:rsidR="00741180" w:rsidRPr="00580EFC">
        <w:rPr>
          <w:rFonts w:ascii="Times New Roman" w:hAnsi="Times New Roman"/>
          <w:i w:val="0"/>
          <w:sz w:val="24"/>
          <w:szCs w:val="24"/>
        </w:rPr>
        <w:t xml:space="preserve"> Management </w:t>
      </w:r>
      <w:proofErr w:type="spellStart"/>
      <w:r w:rsidR="00741180" w:rsidRPr="00580EFC">
        <w:rPr>
          <w:rFonts w:ascii="Times New Roman" w:hAnsi="Times New Roman"/>
          <w:i w:val="0"/>
          <w:sz w:val="24"/>
          <w:szCs w:val="24"/>
        </w:rPr>
        <w:t>Declaration</w:t>
      </w:r>
      <w:bookmarkEnd w:id="62"/>
      <w:proofErr w:type="spellEnd"/>
      <w:r w:rsidR="00741180" w:rsidRPr="00580EFC">
        <w:rPr>
          <w:rFonts w:ascii="Times New Roman" w:hAnsi="Times New Roman"/>
          <w:i w:val="0"/>
          <w:sz w:val="24"/>
          <w:szCs w:val="24"/>
        </w:rPr>
        <w:t xml:space="preserve"> </w:t>
      </w:r>
      <w:bookmarkEnd w:id="63"/>
      <w:bookmarkEnd w:id="64"/>
    </w:p>
    <w:p w:rsidR="000B1B98" w:rsidRDefault="008659A4" w:rsidP="00B21010">
      <w:pPr>
        <w:spacing w:after="240"/>
        <w:jc w:val="both"/>
        <w:rPr>
          <w:lang w:val="en-GB"/>
        </w:rPr>
      </w:pPr>
      <w:bookmarkStart w:id="65" w:name="_Toc388349232"/>
      <w:r>
        <w:rPr>
          <w:lang w:val="en-GB"/>
        </w:rPr>
        <w:t>In accordance with Article 59 of the Financial Regulation, t</w:t>
      </w:r>
      <w:r w:rsidR="00951C32">
        <w:rPr>
          <w:lang w:val="en-GB"/>
        </w:rPr>
        <w:t xml:space="preserve">he </w:t>
      </w:r>
      <w:r w:rsidR="005B6511">
        <w:rPr>
          <w:lang w:val="en-GB"/>
        </w:rPr>
        <w:t>AA</w:t>
      </w:r>
      <w:r w:rsidR="00951C32">
        <w:rPr>
          <w:lang w:val="en-GB"/>
        </w:rPr>
        <w:t xml:space="preserve"> should state </w:t>
      </w:r>
      <w:r>
        <w:rPr>
          <w:lang w:val="en-GB"/>
        </w:rPr>
        <w:t xml:space="preserve">after its audit opinion </w:t>
      </w:r>
      <w:r w:rsidR="00951C32">
        <w:rPr>
          <w:lang w:val="en-GB"/>
        </w:rPr>
        <w:t xml:space="preserve">whether </w:t>
      </w:r>
      <w:r w:rsidR="009C0BD4">
        <w:rPr>
          <w:lang w:val="en-GB"/>
        </w:rPr>
        <w:t>its</w:t>
      </w:r>
      <w:r w:rsidR="00951C32">
        <w:rPr>
          <w:lang w:val="en-GB"/>
        </w:rPr>
        <w:t xml:space="preserve"> audit work puts in doubt the assertions made by the </w:t>
      </w:r>
      <w:r w:rsidR="00C2037E">
        <w:rPr>
          <w:lang w:val="en-GB"/>
        </w:rPr>
        <w:t>MA</w:t>
      </w:r>
      <w:r w:rsidR="00951C32">
        <w:rPr>
          <w:lang w:val="en-GB"/>
        </w:rPr>
        <w:t xml:space="preserve"> in the management</w:t>
      </w:r>
      <w:r w:rsidR="005B6511">
        <w:rPr>
          <w:lang w:val="en-GB"/>
        </w:rPr>
        <w:t xml:space="preserve"> declaration.</w:t>
      </w:r>
      <w:r w:rsidR="009917C5">
        <w:rPr>
          <w:lang w:val="en-GB"/>
        </w:rPr>
        <w:t xml:space="preserve"> </w:t>
      </w:r>
    </w:p>
    <w:p w:rsidR="00F44CFE" w:rsidRDefault="009917C5" w:rsidP="00B21010">
      <w:pPr>
        <w:widowControl w:val="0"/>
        <w:spacing w:after="240" w:line="278" w:lineRule="exact"/>
        <w:ind w:right="20"/>
        <w:jc w:val="both"/>
        <w:rPr>
          <w:color w:val="000000"/>
          <w:lang w:val="en-GB"/>
        </w:rPr>
      </w:pPr>
      <w:r>
        <w:rPr>
          <w:color w:val="000000"/>
          <w:lang w:val="en-GB"/>
        </w:rPr>
        <w:t>T</w:t>
      </w:r>
      <w:r w:rsidR="00F44CFE">
        <w:rPr>
          <w:color w:val="000000"/>
          <w:lang w:val="en-GB"/>
        </w:rPr>
        <w:t xml:space="preserve">he </w:t>
      </w:r>
      <w:r w:rsidR="008659A4">
        <w:rPr>
          <w:color w:val="000000"/>
          <w:lang w:val="en-GB"/>
        </w:rPr>
        <w:t xml:space="preserve">AA should therefore compare the </w:t>
      </w:r>
      <w:r w:rsidR="00F44CFE">
        <w:rPr>
          <w:color w:val="000000"/>
          <w:lang w:val="en-GB"/>
        </w:rPr>
        <w:t xml:space="preserve">assertions made in the management declaration with the results of </w:t>
      </w:r>
      <w:r w:rsidR="008659A4">
        <w:rPr>
          <w:color w:val="000000"/>
          <w:lang w:val="en-GB"/>
        </w:rPr>
        <w:t>its</w:t>
      </w:r>
      <w:r w:rsidR="00F44CFE">
        <w:rPr>
          <w:color w:val="000000"/>
          <w:lang w:val="en-GB"/>
        </w:rPr>
        <w:t xml:space="preserve"> audit </w:t>
      </w:r>
      <w:proofErr w:type="gramStart"/>
      <w:r w:rsidR="00F44CFE">
        <w:rPr>
          <w:color w:val="000000"/>
          <w:lang w:val="en-GB"/>
        </w:rPr>
        <w:t>work ,</w:t>
      </w:r>
      <w:proofErr w:type="gramEnd"/>
      <w:r w:rsidR="00F44CFE">
        <w:rPr>
          <w:color w:val="000000"/>
          <w:lang w:val="en-GB"/>
        </w:rPr>
        <w:t xml:space="preserve"> in order to </w:t>
      </w:r>
      <w:r w:rsidR="008659A4">
        <w:rPr>
          <w:color w:val="000000"/>
          <w:lang w:val="en-GB"/>
        </w:rPr>
        <w:t xml:space="preserve">satisfy itself </w:t>
      </w:r>
      <w:r w:rsidR="00F44CFE">
        <w:rPr>
          <w:color w:val="000000"/>
          <w:lang w:val="en-GB"/>
        </w:rPr>
        <w:t>that no divergence or inconsistency is present</w:t>
      </w:r>
      <w:r>
        <w:rPr>
          <w:color w:val="000000"/>
          <w:lang w:val="en-GB"/>
        </w:rPr>
        <w:t>.</w:t>
      </w:r>
    </w:p>
    <w:p w:rsidR="00F44CFE" w:rsidRDefault="00C7378D" w:rsidP="00B21010">
      <w:pPr>
        <w:widowControl w:val="0"/>
        <w:spacing w:after="240" w:line="278" w:lineRule="exact"/>
        <w:ind w:right="20"/>
        <w:jc w:val="both"/>
        <w:rPr>
          <w:color w:val="000000"/>
          <w:lang w:val="en-GB"/>
        </w:rPr>
      </w:pPr>
      <w:r>
        <w:rPr>
          <w:color w:val="000000"/>
          <w:lang w:val="en-GB"/>
        </w:rPr>
        <w:t xml:space="preserve">In case of divergences or inconsistencies, </w:t>
      </w:r>
      <w:r w:rsidR="008659A4">
        <w:rPr>
          <w:color w:val="000000"/>
          <w:lang w:val="en-GB"/>
        </w:rPr>
        <w:t xml:space="preserve">it is recommended that </w:t>
      </w:r>
      <w:r>
        <w:rPr>
          <w:color w:val="000000"/>
          <w:lang w:val="en-GB"/>
        </w:rPr>
        <w:t xml:space="preserve">the AA </w:t>
      </w:r>
      <w:r w:rsidR="008659A4">
        <w:rPr>
          <w:color w:val="000000"/>
          <w:lang w:val="en-GB"/>
        </w:rPr>
        <w:t>discusses its observation with the MA</w:t>
      </w:r>
      <w:r>
        <w:rPr>
          <w:color w:val="000000"/>
          <w:lang w:val="en-GB"/>
        </w:rPr>
        <w:t xml:space="preserve"> </w:t>
      </w:r>
      <w:r w:rsidR="008659A4">
        <w:rPr>
          <w:color w:val="000000"/>
          <w:lang w:val="en-GB"/>
        </w:rPr>
        <w:t xml:space="preserve">so that the latter </w:t>
      </w:r>
      <w:r w:rsidR="00F44CFE" w:rsidRPr="00C36867">
        <w:rPr>
          <w:color w:val="000000"/>
          <w:lang w:val="en-GB"/>
        </w:rPr>
        <w:t>provide</w:t>
      </w:r>
      <w:r w:rsidR="008659A4">
        <w:rPr>
          <w:color w:val="000000"/>
          <w:lang w:val="en-GB"/>
        </w:rPr>
        <w:t>s</w:t>
      </w:r>
      <w:r w:rsidR="00F44CFE" w:rsidRPr="00C36867">
        <w:rPr>
          <w:color w:val="000000"/>
          <w:lang w:val="en-GB"/>
        </w:rPr>
        <w:t xml:space="preserve"> additional information</w:t>
      </w:r>
      <w:r w:rsidR="00050D8B">
        <w:rPr>
          <w:color w:val="000000"/>
          <w:lang w:val="en-GB"/>
        </w:rPr>
        <w:t xml:space="preserve"> or amends its management declaration</w:t>
      </w:r>
      <w:r w:rsidR="008659A4">
        <w:rPr>
          <w:color w:val="000000"/>
          <w:lang w:val="en-GB"/>
        </w:rPr>
        <w:t>, if time allows</w:t>
      </w:r>
      <w:r w:rsidR="00F44CFE" w:rsidRPr="00C36867">
        <w:rPr>
          <w:color w:val="000000"/>
          <w:lang w:val="en-GB"/>
        </w:rPr>
        <w:t xml:space="preserve">. </w:t>
      </w:r>
    </w:p>
    <w:bookmarkEnd w:id="65"/>
    <w:p w:rsidR="004C228E" w:rsidRDefault="00330905" w:rsidP="00B21010">
      <w:pPr>
        <w:spacing w:after="240"/>
        <w:jc w:val="both"/>
        <w:rPr>
          <w:lang w:val="en-GB"/>
        </w:rPr>
      </w:pPr>
      <w:r>
        <w:rPr>
          <w:lang w:val="en-GB"/>
        </w:rPr>
        <w:t xml:space="preserve">For the ETC programmes, a single </w:t>
      </w:r>
      <w:r w:rsidR="00C2037E">
        <w:rPr>
          <w:lang w:val="en-GB"/>
        </w:rPr>
        <w:t>AA</w:t>
      </w:r>
      <w:r w:rsidR="00B505D3">
        <w:rPr>
          <w:lang w:val="en-GB"/>
        </w:rPr>
        <w:t xml:space="preserve"> </w:t>
      </w:r>
      <w:r>
        <w:rPr>
          <w:lang w:val="en-GB"/>
        </w:rPr>
        <w:t>should be responsible for carrying out</w:t>
      </w:r>
      <w:r w:rsidR="004C228E">
        <w:rPr>
          <w:lang w:val="en-GB"/>
        </w:rPr>
        <w:t xml:space="preserve"> the </w:t>
      </w:r>
      <w:r w:rsidR="00C2037E">
        <w:rPr>
          <w:lang w:val="en-GB"/>
        </w:rPr>
        <w:t>AA</w:t>
      </w:r>
      <w:r w:rsidR="00B505D3">
        <w:rPr>
          <w:lang w:val="en-GB"/>
        </w:rPr>
        <w:t xml:space="preserve"> </w:t>
      </w:r>
      <w:r w:rsidR="004C228E">
        <w:rPr>
          <w:lang w:val="en-GB"/>
        </w:rPr>
        <w:t>functions in order to ensure uniform stand</w:t>
      </w:r>
      <w:r w:rsidR="00951C32">
        <w:rPr>
          <w:lang w:val="en-GB"/>
        </w:rPr>
        <w:t>ards</w:t>
      </w:r>
      <w:r w:rsidR="004C228E">
        <w:rPr>
          <w:lang w:val="en-GB"/>
        </w:rPr>
        <w:t xml:space="preserve"> across the whole programme area. Where that it is not possible, a group of auditors should be able to assist the programme audit authority.</w:t>
      </w:r>
      <w:r w:rsidR="00951C32">
        <w:rPr>
          <w:lang w:val="en-GB"/>
        </w:rPr>
        <w:t xml:space="preserve"> In this case, the group of auditors representing each M</w:t>
      </w:r>
      <w:r w:rsidR="00EE50AD">
        <w:rPr>
          <w:lang w:val="en-GB"/>
        </w:rPr>
        <w:t xml:space="preserve">ember </w:t>
      </w:r>
      <w:r w:rsidR="00951C32">
        <w:rPr>
          <w:lang w:val="en-GB"/>
        </w:rPr>
        <w:t>S</w:t>
      </w:r>
      <w:r w:rsidR="00EE50AD">
        <w:rPr>
          <w:lang w:val="en-GB"/>
        </w:rPr>
        <w:t>tate</w:t>
      </w:r>
      <w:r w:rsidR="00951C32">
        <w:rPr>
          <w:lang w:val="en-GB"/>
        </w:rPr>
        <w:t xml:space="preserve"> or each third country participating in a cooperation programme shall be responsible for providing the elements </w:t>
      </w:r>
      <w:r w:rsidR="000F3FD0">
        <w:rPr>
          <w:lang w:val="en-GB"/>
        </w:rPr>
        <w:t xml:space="preserve">of the management declaration relating to </w:t>
      </w:r>
      <w:r w:rsidR="00951C32">
        <w:rPr>
          <w:lang w:val="en-GB"/>
        </w:rPr>
        <w:t xml:space="preserve">its territory </w:t>
      </w:r>
      <w:r w:rsidR="000F3FD0">
        <w:rPr>
          <w:lang w:val="en-GB"/>
        </w:rPr>
        <w:t xml:space="preserve">so </w:t>
      </w:r>
      <w:r w:rsidR="00951C32">
        <w:rPr>
          <w:lang w:val="en-GB"/>
        </w:rPr>
        <w:t xml:space="preserve">that the </w:t>
      </w:r>
      <w:r w:rsidR="000F3FD0">
        <w:rPr>
          <w:lang w:val="en-GB"/>
        </w:rPr>
        <w:t xml:space="preserve">programme </w:t>
      </w:r>
      <w:r w:rsidR="00C2037E">
        <w:rPr>
          <w:lang w:val="en-GB"/>
        </w:rPr>
        <w:t>AA</w:t>
      </w:r>
      <w:r w:rsidR="00B505D3">
        <w:rPr>
          <w:lang w:val="en-GB"/>
        </w:rPr>
        <w:t xml:space="preserve"> </w:t>
      </w:r>
      <w:r w:rsidR="000F3FD0">
        <w:rPr>
          <w:lang w:val="en-GB"/>
        </w:rPr>
        <w:t xml:space="preserve">is in a position </w:t>
      </w:r>
      <w:r w:rsidR="00951C32">
        <w:rPr>
          <w:lang w:val="en-GB"/>
        </w:rPr>
        <w:t xml:space="preserve"> to perform its assessment</w:t>
      </w:r>
      <w:r w:rsidR="00713423">
        <w:rPr>
          <w:lang w:val="en-GB"/>
        </w:rPr>
        <w:t>.</w:t>
      </w:r>
      <w:r w:rsidR="00951C32">
        <w:rPr>
          <w:lang w:val="en-GB"/>
        </w:rPr>
        <w:t xml:space="preserve">  </w:t>
      </w:r>
    </w:p>
    <w:p w:rsidR="006E6A72" w:rsidRPr="00580EFC" w:rsidRDefault="008908B7" w:rsidP="00B21010">
      <w:pPr>
        <w:pStyle w:val="Heading2"/>
        <w:spacing w:before="0" w:after="240"/>
        <w:rPr>
          <w:rFonts w:ascii="Times New Roman" w:hAnsi="Times New Roman"/>
          <w:i w:val="0"/>
          <w:sz w:val="24"/>
          <w:szCs w:val="24"/>
        </w:rPr>
      </w:pPr>
      <w:bookmarkStart w:id="66" w:name="_Toc411485846"/>
      <w:bookmarkStart w:id="67" w:name="_Toc411489400"/>
      <w:bookmarkStart w:id="68" w:name="_Toc420863631"/>
      <w:r>
        <w:rPr>
          <w:rFonts w:ascii="Times New Roman" w:hAnsi="Times New Roman"/>
          <w:i w:val="0"/>
          <w:sz w:val="24"/>
          <w:szCs w:val="24"/>
        </w:rPr>
        <w:t>4</w:t>
      </w:r>
      <w:r w:rsidR="006E6A72" w:rsidRPr="00580EFC">
        <w:rPr>
          <w:rFonts w:ascii="Times New Roman" w:hAnsi="Times New Roman"/>
          <w:i w:val="0"/>
          <w:sz w:val="24"/>
          <w:szCs w:val="24"/>
        </w:rPr>
        <w:t xml:space="preserve">.   </w:t>
      </w:r>
      <w:proofErr w:type="spellStart"/>
      <w:r w:rsidR="006E6A72" w:rsidRPr="00580EFC">
        <w:rPr>
          <w:rFonts w:ascii="Times New Roman" w:hAnsi="Times New Roman"/>
          <w:i w:val="0"/>
          <w:sz w:val="24"/>
          <w:szCs w:val="24"/>
        </w:rPr>
        <w:t>Timing</w:t>
      </w:r>
      <w:proofErr w:type="spellEnd"/>
      <w:r w:rsidR="00AA7FBD" w:rsidRPr="00580EFC">
        <w:rPr>
          <w:rFonts w:ascii="Times New Roman" w:hAnsi="Times New Roman"/>
          <w:i w:val="0"/>
          <w:sz w:val="24"/>
          <w:szCs w:val="24"/>
        </w:rPr>
        <w:t xml:space="preserve"> and </w:t>
      </w:r>
      <w:proofErr w:type="spellStart"/>
      <w:r w:rsidR="00AA7FBD" w:rsidRPr="00580EFC">
        <w:rPr>
          <w:rFonts w:ascii="Times New Roman" w:hAnsi="Times New Roman"/>
          <w:i w:val="0"/>
          <w:sz w:val="24"/>
          <w:szCs w:val="24"/>
        </w:rPr>
        <w:t>Planning</w:t>
      </w:r>
      <w:bookmarkEnd w:id="66"/>
      <w:bookmarkEnd w:id="67"/>
      <w:bookmarkEnd w:id="68"/>
      <w:proofErr w:type="spellEnd"/>
    </w:p>
    <w:p w:rsidR="006E6A72" w:rsidRPr="00C47ADE" w:rsidRDefault="00132653" w:rsidP="00B21010">
      <w:pPr>
        <w:widowControl w:val="0"/>
        <w:spacing w:after="240" w:line="278" w:lineRule="exact"/>
        <w:ind w:right="20"/>
        <w:jc w:val="both"/>
        <w:rPr>
          <w:color w:val="000000"/>
          <w:lang w:val="en-GB"/>
        </w:rPr>
      </w:pPr>
      <w:r>
        <w:rPr>
          <w:color w:val="000000"/>
          <w:lang w:val="en-GB"/>
        </w:rPr>
        <w:t xml:space="preserve">Article 138 of the CPR states that the management declaration and the annual summary (together with the accounts, the audit opinion and the control report) shall be submitted for each </w:t>
      </w:r>
      <w:r w:rsidR="000F3FD0">
        <w:rPr>
          <w:color w:val="000000"/>
          <w:lang w:val="en-GB"/>
        </w:rPr>
        <w:t xml:space="preserve">accounting </w:t>
      </w:r>
      <w:r>
        <w:rPr>
          <w:color w:val="000000"/>
          <w:lang w:val="en-GB"/>
        </w:rPr>
        <w:t xml:space="preserve">year from 2016 until and including 2025 by the deadline set out in Article 59(5) of the </w:t>
      </w:r>
      <w:r w:rsidR="005036D3">
        <w:rPr>
          <w:color w:val="000000"/>
          <w:lang w:val="en-US" w:eastAsia="en-GB"/>
        </w:rPr>
        <w:t>Financial Regulation</w:t>
      </w:r>
      <w:r w:rsidR="00C7378D">
        <w:rPr>
          <w:color w:val="000000"/>
          <w:lang w:val="en-GB"/>
        </w:rPr>
        <w:t>, i.e. 15 February of the following year.</w:t>
      </w:r>
      <w:r w:rsidR="000F3FD0">
        <w:rPr>
          <w:color w:val="000000"/>
          <w:lang w:val="en-GB"/>
        </w:rPr>
        <w:t xml:space="preserve"> </w:t>
      </w:r>
      <w:r w:rsidR="006E6A72" w:rsidRPr="00C47ADE">
        <w:rPr>
          <w:color w:val="000000"/>
          <w:lang w:val="en-GB" w:eastAsia="en-US"/>
        </w:rPr>
        <w:t xml:space="preserve">The deadline of 15 February may exceptionally be extended by the Commission to 1 March, upon </w:t>
      </w:r>
      <w:r w:rsidR="00EE50AD">
        <w:rPr>
          <w:color w:val="000000"/>
          <w:lang w:val="en-GB" w:eastAsia="en-US"/>
        </w:rPr>
        <w:t>request</w:t>
      </w:r>
      <w:r w:rsidR="00EE50AD" w:rsidRPr="00C47ADE">
        <w:rPr>
          <w:color w:val="000000"/>
          <w:lang w:val="en-GB" w:eastAsia="en-US"/>
        </w:rPr>
        <w:t xml:space="preserve"> </w:t>
      </w:r>
      <w:r w:rsidR="006E6A72" w:rsidRPr="00C47ADE">
        <w:rPr>
          <w:color w:val="000000"/>
          <w:lang w:val="en-GB" w:eastAsia="en-US"/>
        </w:rPr>
        <w:t>by the Member State concerned.</w:t>
      </w:r>
      <w:r w:rsidR="006E6A72" w:rsidRPr="00C47ADE">
        <w:rPr>
          <w:color w:val="000000"/>
          <w:lang w:val="en-GB"/>
        </w:rPr>
        <w:t xml:space="preserve"> Th</w:t>
      </w:r>
      <w:r w:rsidR="000F3FD0">
        <w:rPr>
          <w:color w:val="000000"/>
          <w:lang w:val="en-GB"/>
        </w:rPr>
        <w:t>is deadline applies to all documents described above</w:t>
      </w:r>
      <w:r w:rsidR="006E6A72" w:rsidRPr="00C47ADE">
        <w:rPr>
          <w:color w:val="000000"/>
          <w:lang w:val="en-GB"/>
        </w:rPr>
        <w:t>.</w:t>
      </w:r>
      <w:r w:rsidR="000F3FD0">
        <w:rPr>
          <w:color w:val="000000"/>
          <w:lang w:val="en-GB"/>
        </w:rPr>
        <w:t xml:space="preserve"> It is up to the Member State to define its procedures for transmitting the documents internally so that this deadline is respected at Member State level. </w:t>
      </w:r>
    </w:p>
    <w:p w:rsidR="00FC3D70" w:rsidRDefault="006E6A72" w:rsidP="00FC3D70">
      <w:pPr>
        <w:spacing w:after="120"/>
        <w:jc w:val="both"/>
        <w:rPr>
          <w:lang w:val="en-GB"/>
        </w:rPr>
      </w:pPr>
      <w:r w:rsidRPr="00C47ADE">
        <w:rPr>
          <w:color w:val="000000"/>
          <w:lang w:val="en-GB"/>
        </w:rPr>
        <w:t>The MA sh</w:t>
      </w:r>
      <w:r w:rsidR="003E63F2">
        <w:rPr>
          <w:color w:val="000000"/>
          <w:lang w:val="en-GB"/>
        </w:rPr>
        <w:t>ould</w:t>
      </w:r>
      <w:r w:rsidRPr="00C47ADE">
        <w:rPr>
          <w:color w:val="000000"/>
          <w:lang w:val="en-GB"/>
        </w:rPr>
        <w:t xml:space="preserve"> make available to the AA a copy of its </w:t>
      </w:r>
      <w:r w:rsidR="00C7378D">
        <w:rPr>
          <w:color w:val="000000"/>
          <w:lang w:val="en-GB"/>
        </w:rPr>
        <w:t xml:space="preserve">draft </w:t>
      </w:r>
      <w:r w:rsidRPr="00C47ADE">
        <w:rPr>
          <w:color w:val="000000"/>
          <w:lang w:val="en-GB"/>
        </w:rPr>
        <w:t>management declaration and the annual summary of the final audit reports and controls carried out including an analysis of the nature and content of errors and weaknesses identified in systems, as well as corrective actions taken or planned. For this</w:t>
      </w:r>
      <w:r w:rsidRPr="00B11A77">
        <w:rPr>
          <w:b/>
          <w:color w:val="000000"/>
          <w:lang w:val="en-GB"/>
        </w:rPr>
        <w:t xml:space="preserve">, </w:t>
      </w:r>
      <w:r w:rsidR="000F3FD0" w:rsidRPr="000F3FD0">
        <w:rPr>
          <w:color w:val="000000"/>
          <w:lang w:val="en-GB"/>
        </w:rPr>
        <w:t xml:space="preserve">it is recommended that </w:t>
      </w:r>
      <w:r w:rsidRPr="00B11A77">
        <w:rPr>
          <w:color w:val="000000"/>
          <w:lang w:val="en-GB"/>
        </w:rPr>
        <w:t xml:space="preserve">the </w:t>
      </w:r>
      <w:r w:rsidR="000F3FD0" w:rsidRPr="00B11A77">
        <w:rPr>
          <w:color w:val="000000"/>
          <w:lang w:val="en-GB"/>
        </w:rPr>
        <w:t>programme authorities</w:t>
      </w:r>
      <w:r w:rsidR="008908B7">
        <w:rPr>
          <w:color w:val="000000"/>
          <w:lang w:val="en-GB"/>
        </w:rPr>
        <w:t xml:space="preserve"> </w:t>
      </w:r>
      <w:r w:rsidR="00E25D2A" w:rsidRPr="00B11A77">
        <w:rPr>
          <w:color w:val="000000"/>
          <w:lang w:val="en-GB"/>
        </w:rPr>
        <w:t>agree</w:t>
      </w:r>
      <w:r w:rsidRPr="00B11A77">
        <w:rPr>
          <w:color w:val="000000"/>
          <w:lang w:val="en-GB"/>
        </w:rPr>
        <w:t xml:space="preserve"> appropriate </w:t>
      </w:r>
      <w:r w:rsidR="000F3FD0" w:rsidRPr="00B11A77">
        <w:rPr>
          <w:color w:val="000000"/>
          <w:lang w:val="en-GB"/>
        </w:rPr>
        <w:t xml:space="preserve">internal </w:t>
      </w:r>
      <w:r w:rsidRPr="00B11A77">
        <w:rPr>
          <w:color w:val="000000"/>
          <w:lang w:val="en-GB"/>
        </w:rPr>
        <w:t>deadlines</w:t>
      </w:r>
      <w:r w:rsidRPr="00C47ADE">
        <w:rPr>
          <w:color w:val="000000"/>
          <w:lang w:val="en-GB"/>
        </w:rPr>
        <w:t xml:space="preserve"> for the transmission of documents between authorities for the purpose of their respective responsibilities.</w:t>
      </w:r>
      <w:r w:rsidR="00FC3D70" w:rsidRPr="00FC3D70">
        <w:rPr>
          <w:lang w:val="en-GB"/>
        </w:rPr>
        <w:t xml:space="preserve"> </w:t>
      </w:r>
      <w:r w:rsidR="00FC3D70" w:rsidRPr="00225C34">
        <w:rPr>
          <w:lang w:val="en-GB"/>
        </w:rPr>
        <w:t xml:space="preserve">All correspondence between the Member State and the Commission related to the information required </w:t>
      </w:r>
      <w:proofErr w:type="gramStart"/>
      <w:r w:rsidR="00FC3D70" w:rsidRPr="00225C34">
        <w:rPr>
          <w:lang w:val="en-GB"/>
        </w:rPr>
        <w:t xml:space="preserve">under </w:t>
      </w:r>
      <w:r w:rsidR="00FC3D70">
        <w:rPr>
          <w:lang w:val="en-GB"/>
        </w:rPr>
        <w:t xml:space="preserve"> </w:t>
      </w:r>
      <w:r w:rsidR="00FC3D70" w:rsidRPr="00225C34">
        <w:rPr>
          <w:lang w:val="en-GB"/>
        </w:rPr>
        <w:t>Article</w:t>
      </w:r>
      <w:proofErr w:type="gramEnd"/>
      <w:r w:rsidR="00FC3D70" w:rsidRPr="00225C34">
        <w:rPr>
          <w:lang w:val="en-GB"/>
        </w:rPr>
        <w:t xml:space="preserve"> 59</w:t>
      </w:r>
      <w:r w:rsidR="00FC3D70">
        <w:rPr>
          <w:lang w:val="en-GB"/>
        </w:rPr>
        <w:t>.</w:t>
      </w:r>
      <w:r w:rsidR="00FC3D70" w:rsidRPr="00225C34">
        <w:rPr>
          <w:lang w:val="en-GB"/>
        </w:rPr>
        <w:t xml:space="preserve">5 </w:t>
      </w:r>
      <w:r w:rsidR="00FC3D70">
        <w:rPr>
          <w:lang w:val="en-GB"/>
        </w:rPr>
        <w:t>(a) and (b)</w:t>
      </w:r>
      <w:r w:rsidR="00FC3D70" w:rsidRPr="00225C34">
        <w:rPr>
          <w:lang w:val="en-GB"/>
        </w:rPr>
        <w:t xml:space="preserve"> of the Financial Regulation will be </w:t>
      </w:r>
      <w:r w:rsidR="00FC3D70">
        <w:rPr>
          <w:lang w:val="en-GB"/>
        </w:rPr>
        <w:t>exchanged</w:t>
      </w:r>
      <w:r w:rsidR="00FC3D70" w:rsidRPr="00225C34">
        <w:rPr>
          <w:lang w:val="en-GB"/>
        </w:rPr>
        <w:t xml:space="preserve"> via SFC 2014.</w:t>
      </w:r>
    </w:p>
    <w:p w:rsidR="00EC642B" w:rsidRDefault="00EC642B" w:rsidP="00B11A77">
      <w:pPr>
        <w:widowControl w:val="0"/>
        <w:spacing w:after="240" w:line="278" w:lineRule="exact"/>
        <w:ind w:right="20"/>
        <w:jc w:val="both"/>
        <w:rPr>
          <w:lang w:val="en-GB"/>
        </w:rPr>
      </w:pPr>
      <w:r>
        <w:rPr>
          <w:lang w:val="en-GB"/>
        </w:rPr>
        <w:t xml:space="preserve">Annex </w:t>
      </w:r>
      <w:r w:rsidR="00A43D23">
        <w:rPr>
          <w:lang w:val="en-GB"/>
        </w:rPr>
        <w:t>2</w:t>
      </w:r>
      <w:r w:rsidR="008908B7">
        <w:rPr>
          <w:lang w:val="en-GB"/>
        </w:rPr>
        <w:t xml:space="preserve"> </w:t>
      </w:r>
      <w:r w:rsidR="000F3FD0">
        <w:rPr>
          <w:lang w:val="en-GB"/>
        </w:rPr>
        <w:t xml:space="preserve">presents an </w:t>
      </w:r>
      <w:r>
        <w:rPr>
          <w:lang w:val="en-GB"/>
        </w:rPr>
        <w:t xml:space="preserve">indicative work timeline </w:t>
      </w:r>
      <w:r w:rsidR="000F3FD0">
        <w:rPr>
          <w:lang w:val="en-GB"/>
        </w:rPr>
        <w:t>between the programme authorities in order to be able to submit to the Commission the assurance documents described above by the regulatory deadline of 15 February e</w:t>
      </w:r>
      <w:r w:rsidR="008908B7">
        <w:rPr>
          <w:lang w:val="en-GB"/>
        </w:rPr>
        <w:t>a</w:t>
      </w:r>
      <w:r w:rsidR="000F3FD0">
        <w:rPr>
          <w:lang w:val="en-GB"/>
        </w:rPr>
        <w:t>ch year</w:t>
      </w:r>
      <w:r>
        <w:rPr>
          <w:lang w:val="en-GB"/>
        </w:rPr>
        <w:t xml:space="preserve">. </w:t>
      </w:r>
    </w:p>
    <w:p w:rsidR="008E1A8C" w:rsidRDefault="000217C4" w:rsidP="00B11A77">
      <w:pPr>
        <w:spacing w:after="240"/>
        <w:jc w:val="both"/>
        <w:rPr>
          <w:color w:val="000000"/>
          <w:lang w:val="en-GB"/>
        </w:rPr>
      </w:pPr>
      <w:r w:rsidRPr="002A58EB">
        <w:rPr>
          <w:color w:val="000000"/>
          <w:lang w:val="en-GB"/>
        </w:rPr>
        <w:t xml:space="preserve">The MA </w:t>
      </w:r>
      <w:r w:rsidR="008E1A8C">
        <w:rPr>
          <w:color w:val="000000"/>
          <w:lang w:val="en-GB"/>
        </w:rPr>
        <w:t xml:space="preserve">is recommended to </w:t>
      </w:r>
      <w:r w:rsidR="002A58EB">
        <w:rPr>
          <w:color w:val="000000"/>
          <w:lang w:val="en-GB"/>
        </w:rPr>
        <w:t xml:space="preserve">assign clear responsibilities to ensure that all </w:t>
      </w:r>
      <w:r w:rsidR="004F6B84">
        <w:rPr>
          <w:color w:val="000000"/>
          <w:lang w:val="en-GB"/>
        </w:rPr>
        <w:t xml:space="preserve">the data </w:t>
      </w:r>
      <w:r w:rsidR="002A58EB">
        <w:rPr>
          <w:color w:val="000000"/>
          <w:lang w:val="en-GB"/>
        </w:rPr>
        <w:t xml:space="preserve">needed to prepare the </w:t>
      </w:r>
      <w:r w:rsidR="002A58EB" w:rsidRPr="00E85A88">
        <w:rPr>
          <w:b/>
          <w:color w:val="000000"/>
          <w:lang w:val="en-GB"/>
        </w:rPr>
        <w:t>annual summary</w:t>
      </w:r>
      <w:r w:rsidR="004F6B84">
        <w:rPr>
          <w:b/>
          <w:color w:val="000000"/>
          <w:lang w:val="en-GB"/>
        </w:rPr>
        <w:t xml:space="preserve"> </w:t>
      </w:r>
      <w:r w:rsidR="004F6B84" w:rsidRPr="00E85A88">
        <w:rPr>
          <w:color w:val="000000"/>
          <w:lang w:val="en-GB"/>
        </w:rPr>
        <w:t>is obtained</w:t>
      </w:r>
      <w:r w:rsidR="004F6B84">
        <w:rPr>
          <w:color w:val="000000"/>
          <w:lang w:val="en-GB"/>
        </w:rPr>
        <w:t xml:space="preserve"> from its services</w:t>
      </w:r>
      <w:r w:rsidR="00AD2B5A">
        <w:rPr>
          <w:color w:val="000000"/>
          <w:lang w:val="en-GB"/>
        </w:rPr>
        <w:t xml:space="preserve"> and from </w:t>
      </w:r>
      <w:r w:rsidR="004F6B84">
        <w:rPr>
          <w:color w:val="000000"/>
          <w:lang w:val="en-GB"/>
        </w:rPr>
        <w:t>the intermediate bodies</w:t>
      </w:r>
      <w:r w:rsidR="004626D3">
        <w:rPr>
          <w:color w:val="000000"/>
          <w:lang w:val="en-GB"/>
        </w:rPr>
        <w:t xml:space="preserve"> </w:t>
      </w:r>
      <w:r w:rsidR="00AD2B5A">
        <w:rPr>
          <w:color w:val="000000"/>
          <w:lang w:val="en-GB"/>
        </w:rPr>
        <w:lastRenderedPageBreak/>
        <w:t xml:space="preserve">to which certain tasks have been delegated, where applicable. </w:t>
      </w:r>
      <w:r w:rsidR="008E1A8C">
        <w:rPr>
          <w:color w:val="000000"/>
          <w:lang w:val="en-GB"/>
        </w:rPr>
        <w:t>This should include a list of all controls carried out together with a summary and review of their results including information on main problems identified and corrective actions taken or planned;</w:t>
      </w:r>
    </w:p>
    <w:p w:rsidR="004F6B84" w:rsidRPr="00E83FF7" w:rsidRDefault="00AD2B5A" w:rsidP="008E1A8C">
      <w:pPr>
        <w:spacing w:after="240"/>
        <w:jc w:val="both"/>
        <w:rPr>
          <w:color w:val="000000"/>
          <w:lang w:val="en-GB"/>
        </w:rPr>
      </w:pPr>
      <w:r>
        <w:rPr>
          <w:color w:val="000000"/>
          <w:lang w:val="en-GB"/>
        </w:rPr>
        <w:t>In addition, arrangements should be made with the AA for the provision of relevant information</w:t>
      </w:r>
      <w:r w:rsidR="008E1A8C">
        <w:rPr>
          <w:color w:val="000000"/>
          <w:lang w:val="en-GB"/>
        </w:rPr>
        <w:t xml:space="preserve"> on final audit results</w:t>
      </w:r>
      <w:r>
        <w:rPr>
          <w:color w:val="000000"/>
          <w:lang w:val="en-GB"/>
        </w:rPr>
        <w:t xml:space="preserve">, </w:t>
      </w:r>
      <w:r w:rsidR="008E1A8C">
        <w:rPr>
          <w:color w:val="000000"/>
          <w:lang w:val="en-GB"/>
        </w:rPr>
        <w:t>a</w:t>
      </w:r>
      <w:r w:rsidR="008A19BF" w:rsidRPr="00E83FF7">
        <w:rPr>
          <w:color w:val="000000"/>
          <w:lang w:val="en-GB"/>
        </w:rPr>
        <w:t xml:space="preserve"> list of</w:t>
      </w:r>
      <w:r w:rsidR="004F6B84" w:rsidRPr="00E83FF7">
        <w:rPr>
          <w:color w:val="000000"/>
          <w:lang w:val="en-GB"/>
        </w:rPr>
        <w:t xml:space="preserve"> </w:t>
      </w:r>
      <w:r w:rsidR="008A19BF" w:rsidRPr="00E83FF7">
        <w:rPr>
          <w:color w:val="000000"/>
          <w:lang w:val="en-GB"/>
        </w:rPr>
        <w:t xml:space="preserve">all </w:t>
      </w:r>
      <w:r w:rsidR="004F6B84" w:rsidRPr="00E83FF7">
        <w:rPr>
          <w:color w:val="000000"/>
          <w:lang w:val="en-GB"/>
        </w:rPr>
        <w:t xml:space="preserve">final audit reports </w:t>
      </w:r>
      <w:r w:rsidR="00EF79DB">
        <w:rPr>
          <w:color w:val="000000"/>
          <w:lang w:val="en-GB"/>
        </w:rPr>
        <w:t>or cross-reference to the relevant sections of the ACR</w:t>
      </w:r>
      <w:r w:rsidR="008A19BF" w:rsidRPr="00E83FF7">
        <w:rPr>
          <w:color w:val="000000"/>
          <w:lang w:val="en-GB"/>
        </w:rPr>
        <w:t>.</w:t>
      </w:r>
    </w:p>
    <w:p w:rsidR="004F6B84" w:rsidRPr="00E874A4" w:rsidRDefault="008E1A8C" w:rsidP="00B21010">
      <w:pPr>
        <w:spacing w:after="240"/>
        <w:jc w:val="both"/>
        <w:rPr>
          <w:lang w:val="en-GB"/>
        </w:rPr>
      </w:pPr>
      <w:r>
        <w:rPr>
          <w:color w:val="000000"/>
          <w:lang w:val="en-GB"/>
        </w:rPr>
        <w:t>I</w:t>
      </w:r>
      <w:r w:rsidR="008908B7">
        <w:rPr>
          <w:color w:val="000000"/>
          <w:lang w:val="en-GB"/>
        </w:rPr>
        <w:t>t</w:t>
      </w:r>
      <w:r>
        <w:rPr>
          <w:color w:val="000000"/>
          <w:lang w:val="en-GB"/>
        </w:rPr>
        <w:t xml:space="preserve"> would be considered good administrative practice that t</w:t>
      </w:r>
      <w:r w:rsidR="004F6B84">
        <w:rPr>
          <w:color w:val="000000"/>
          <w:lang w:val="en-GB"/>
        </w:rPr>
        <w:t>he MA ensure</w:t>
      </w:r>
      <w:r>
        <w:rPr>
          <w:color w:val="000000"/>
          <w:lang w:val="en-GB"/>
        </w:rPr>
        <w:t>s</w:t>
      </w:r>
      <w:r w:rsidR="004F6B84">
        <w:rPr>
          <w:color w:val="000000"/>
          <w:lang w:val="en-GB"/>
        </w:rPr>
        <w:t xml:space="preserve"> that all information that is needed to prepare the annual summary and draw the management declaration is reviewed at the appropriate level and consolidated in good time </w:t>
      </w:r>
      <w:r>
        <w:rPr>
          <w:color w:val="000000"/>
          <w:lang w:val="en-GB"/>
        </w:rPr>
        <w:t>for the signature of the management declaration</w:t>
      </w:r>
      <w:r w:rsidR="004F6B84">
        <w:rPr>
          <w:color w:val="000000"/>
          <w:lang w:val="en-GB"/>
        </w:rPr>
        <w:t>.</w:t>
      </w:r>
    </w:p>
    <w:p w:rsidR="000B1B98" w:rsidRDefault="000B1B98" w:rsidP="00B21010">
      <w:pPr>
        <w:widowControl w:val="0"/>
        <w:spacing w:after="240" w:line="278" w:lineRule="exact"/>
        <w:ind w:right="20"/>
        <w:jc w:val="both"/>
        <w:rPr>
          <w:color w:val="000000"/>
          <w:lang w:val="en-GB"/>
        </w:rPr>
      </w:pPr>
    </w:p>
    <w:p w:rsidR="00580EFC" w:rsidRDefault="00580EFC" w:rsidP="00B21010">
      <w:pPr>
        <w:widowControl w:val="0"/>
        <w:tabs>
          <w:tab w:val="left" w:pos="4111"/>
        </w:tabs>
        <w:spacing w:after="240" w:line="278" w:lineRule="exact"/>
        <w:ind w:right="20"/>
        <w:jc w:val="both"/>
        <w:rPr>
          <w:color w:val="000000"/>
          <w:lang w:val="en-GB"/>
        </w:rPr>
      </w:pPr>
      <w:r>
        <w:rPr>
          <w:color w:val="000000"/>
          <w:lang w:val="en-GB"/>
        </w:rPr>
        <w:br w:type="page"/>
      </w:r>
    </w:p>
    <w:p w:rsidR="00692405" w:rsidRPr="00580EFC" w:rsidRDefault="00FF4615" w:rsidP="00580EFC">
      <w:pPr>
        <w:pStyle w:val="Heading1"/>
        <w:jc w:val="center"/>
        <w:rPr>
          <w:rFonts w:ascii="Times New Roman Bold" w:hAnsi="Times New Roman Bold"/>
          <w:b/>
          <w:smallCaps/>
        </w:rPr>
      </w:pPr>
      <w:bookmarkStart w:id="69" w:name="_Toc411489401"/>
      <w:bookmarkStart w:id="70" w:name="_Toc420863632"/>
      <w:r w:rsidRPr="00580EFC">
        <w:rPr>
          <w:rFonts w:ascii="Times New Roman Bold" w:hAnsi="Times New Roman Bold"/>
          <w:b/>
          <w:smallCaps/>
        </w:rPr>
        <w:lastRenderedPageBreak/>
        <w:t xml:space="preserve">Annex </w:t>
      </w:r>
      <w:r w:rsidR="00BF2EFB" w:rsidRPr="00580EFC">
        <w:rPr>
          <w:rFonts w:ascii="Times New Roman Bold" w:hAnsi="Times New Roman Bold"/>
          <w:b/>
          <w:smallCaps/>
        </w:rPr>
        <w:t>1</w:t>
      </w:r>
      <w:r w:rsidR="00580EFC">
        <w:rPr>
          <w:rFonts w:ascii="Times New Roman Bold" w:hAnsi="Times New Roman Bold"/>
          <w:b/>
          <w:smallCaps/>
        </w:rPr>
        <w:t xml:space="preserve"> </w:t>
      </w:r>
      <w:proofErr w:type="gramStart"/>
      <w:r w:rsidR="00580EFC">
        <w:rPr>
          <w:rFonts w:ascii="Times New Roman Bold" w:hAnsi="Times New Roman Bold"/>
          <w:b/>
          <w:smallCaps/>
        </w:rPr>
        <w:t xml:space="preserve">- </w:t>
      </w:r>
      <w:r w:rsidRPr="00580EFC">
        <w:rPr>
          <w:rFonts w:ascii="Times New Roman Bold" w:hAnsi="Times New Roman Bold"/>
          <w:b/>
          <w:smallCaps/>
        </w:rPr>
        <w:t xml:space="preserve"> </w:t>
      </w:r>
      <w:r w:rsidR="009C489B" w:rsidRPr="00580EFC">
        <w:rPr>
          <w:rFonts w:ascii="Times New Roman Bold" w:hAnsi="Times New Roman Bold"/>
          <w:b/>
          <w:smallCaps/>
        </w:rPr>
        <w:t>Model</w:t>
      </w:r>
      <w:proofErr w:type="gramEnd"/>
      <w:r w:rsidR="009C489B" w:rsidRPr="00580EFC">
        <w:rPr>
          <w:rFonts w:ascii="Times New Roman Bold" w:hAnsi="Times New Roman Bold"/>
          <w:b/>
          <w:smallCaps/>
        </w:rPr>
        <w:t xml:space="preserve"> for the Annual Summary</w:t>
      </w:r>
      <w:bookmarkEnd w:id="69"/>
      <w:bookmarkEnd w:id="70"/>
    </w:p>
    <w:p w:rsidR="00692405" w:rsidRPr="00580EFC" w:rsidRDefault="00692405" w:rsidP="00F41281">
      <w:pPr>
        <w:spacing w:after="200" w:line="276" w:lineRule="auto"/>
        <w:jc w:val="both"/>
        <w:rPr>
          <w:rFonts w:ascii="Times New Roman Bold" w:hAnsi="Times New Roman Bold"/>
          <w:b/>
          <w:smallCaps/>
          <w:lang w:val="en-US" w:eastAsia="en-GB"/>
        </w:rPr>
      </w:pPr>
    </w:p>
    <w:p w:rsidR="00B41E8E" w:rsidRPr="00B41E8E" w:rsidRDefault="00B41E8E" w:rsidP="00B41E8E">
      <w:pPr>
        <w:spacing w:after="200" w:line="276" w:lineRule="auto"/>
        <w:jc w:val="both"/>
        <w:rPr>
          <w:rFonts w:eastAsia="Calibri"/>
          <w:i/>
          <w:lang w:val="en-GB" w:eastAsia="en-US"/>
        </w:rPr>
      </w:pPr>
      <w:r w:rsidRPr="00B41E8E">
        <w:rPr>
          <w:rFonts w:eastAsia="Calibri"/>
          <w:i/>
          <w:lang w:val="en-GB" w:eastAsia="en-US"/>
        </w:rPr>
        <w:t>Annual summary of the final audit reports</w:t>
      </w:r>
      <w:r w:rsidR="00103B9F">
        <w:rPr>
          <w:rFonts w:eastAsia="Calibri"/>
          <w:i/>
          <w:lang w:val="en-GB" w:eastAsia="en-US"/>
        </w:rPr>
        <w:t xml:space="preserve"> and of </w:t>
      </w:r>
      <w:r w:rsidRPr="00B41E8E">
        <w:rPr>
          <w:rFonts w:eastAsia="Calibri"/>
          <w:i/>
          <w:lang w:val="en-GB" w:eastAsia="en-US"/>
        </w:rPr>
        <w:t>controls carried out</w:t>
      </w:r>
      <w:r w:rsidR="00103B9F">
        <w:rPr>
          <w:rFonts w:eastAsia="Calibri"/>
          <w:i/>
          <w:lang w:val="en-GB" w:eastAsia="en-US"/>
        </w:rPr>
        <w:t xml:space="preserve">, </w:t>
      </w:r>
      <w:r w:rsidRPr="00B41E8E">
        <w:rPr>
          <w:rFonts w:eastAsia="Calibri"/>
          <w:i/>
          <w:lang w:val="en-GB" w:eastAsia="en-US"/>
        </w:rPr>
        <w:t>including an analysis of the nature and extent of errors and weaknesses identified in systems, as well as corrective action taken or planned.</w:t>
      </w:r>
    </w:p>
    <w:p w:rsidR="00B41E8E" w:rsidRPr="00044AFB" w:rsidRDefault="00B41E8E" w:rsidP="00B41E8E">
      <w:pPr>
        <w:spacing w:before="120" w:after="200" w:line="276" w:lineRule="auto"/>
        <w:jc w:val="both"/>
        <w:rPr>
          <w:rFonts w:eastAsia="Calibri"/>
          <w:szCs w:val="20"/>
          <w:u w:val="single"/>
          <w:lang w:val="en" w:eastAsia="en-GB"/>
        </w:rPr>
      </w:pPr>
      <w:r w:rsidRPr="00044AFB">
        <w:rPr>
          <w:u w:val="single"/>
          <w:lang w:val="en-GB" w:eastAsia="en-US"/>
        </w:rPr>
        <w:t xml:space="preserve">A) </w:t>
      </w:r>
      <w:r w:rsidRPr="00044AFB">
        <w:rPr>
          <w:u w:val="single"/>
          <w:shd w:val="clear" w:color="auto" w:fill="FFFFFF"/>
          <w:lang w:val="en-GB" w:eastAsia="en-US"/>
        </w:rPr>
        <w:t xml:space="preserve">Summary of the </w:t>
      </w:r>
      <w:r w:rsidRPr="00D368C0">
        <w:rPr>
          <w:b/>
          <w:u w:val="single"/>
          <w:shd w:val="clear" w:color="auto" w:fill="FFFFFF"/>
          <w:lang w:val="en-GB" w:eastAsia="en-US"/>
        </w:rPr>
        <w:t>final audit reports</w:t>
      </w:r>
      <w:r w:rsidRPr="00044AFB">
        <w:rPr>
          <w:u w:val="single"/>
          <w:shd w:val="clear" w:color="auto" w:fill="FFFFFF"/>
          <w:lang w:val="en-GB" w:eastAsia="en-US"/>
        </w:rPr>
        <w:t xml:space="preserve"> issued </w:t>
      </w:r>
      <w:r w:rsidRPr="004B4443">
        <w:rPr>
          <w:rFonts w:eastAsia="Calibri"/>
          <w:szCs w:val="20"/>
          <w:u w:val="single"/>
          <w:lang w:val="en" w:eastAsia="en-GB"/>
        </w:rPr>
        <w:t xml:space="preserve">in relation to </w:t>
      </w:r>
    </w:p>
    <w:p w:rsidR="00B41E8E" w:rsidRDefault="00A02BB2" w:rsidP="00B41E8E">
      <w:pPr>
        <w:numPr>
          <w:ilvl w:val="0"/>
          <w:numId w:val="9"/>
        </w:numPr>
        <w:spacing w:after="200"/>
        <w:jc w:val="both"/>
        <w:rPr>
          <w:rFonts w:eastAsia="Calibri"/>
          <w:szCs w:val="20"/>
          <w:lang w:val="en" w:eastAsia="en-GB"/>
        </w:rPr>
      </w:pPr>
      <w:r>
        <w:rPr>
          <w:shd w:val="clear" w:color="auto" w:fill="FFFFFF"/>
          <w:lang w:val="en-GB" w:eastAsia="en-US"/>
        </w:rPr>
        <w:t xml:space="preserve">audits </w:t>
      </w:r>
      <w:r w:rsidR="00B41E8E">
        <w:rPr>
          <w:shd w:val="clear" w:color="auto" w:fill="FFFFFF"/>
          <w:lang w:val="en-GB" w:eastAsia="en-US"/>
        </w:rPr>
        <w:t>o</w:t>
      </w:r>
      <w:r>
        <w:rPr>
          <w:shd w:val="clear" w:color="auto" w:fill="FFFFFF"/>
          <w:lang w:val="en-GB" w:eastAsia="en-US"/>
        </w:rPr>
        <w:t>f</w:t>
      </w:r>
      <w:r w:rsidR="00B41E8E">
        <w:rPr>
          <w:shd w:val="clear" w:color="auto" w:fill="FFFFFF"/>
          <w:lang w:val="en-GB" w:eastAsia="en-US"/>
        </w:rPr>
        <w:t xml:space="preserve"> </w:t>
      </w:r>
      <w:r w:rsidR="00B41E8E" w:rsidRPr="004B4443">
        <w:rPr>
          <w:rFonts w:eastAsia="Calibri"/>
          <w:szCs w:val="20"/>
          <w:lang w:val="en" w:eastAsia="en-GB"/>
        </w:rPr>
        <w:t>the management and control system put in place for the operational programme</w:t>
      </w:r>
    </w:p>
    <w:p w:rsidR="00A02BB2" w:rsidRDefault="00A02BB2" w:rsidP="00A02BB2">
      <w:pPr>
        <w:numPr>
          <w:ilvl w:val="0"/>
          <w:numId w:val="9"/>
        </w:numPr>
        <w:spacing w:after="200"/>
        <w:jc w:val="both"/>
        <w:rPr>
          <w:rFonts w:eastAsia="Calibri"/>
          <w:color w:val="000000"/>
          <w:szCs w:val="20"/>
          <w:vertAlign w:val="superscript"/>
          <w:lang w:val="en-GB" w:eastAsia="en-GB"/>
        </w:rPr>
      </w:pPr>
      <w:r>
        <w:rPr>
          <w:rFonts w:eastAsia="Calibri"/>
          <w:szCs w:val="20"/>
          <w:lang w:val="en" w:eastAsia="en-GB"/>
        </w:rPr>
        <w:t xml:space="preserve">audits of </w:t>
      </w:r>
      <w:r w:rsidRPr="004B4443">
        <w:rPr>
          <w:rFonts w:eastAsia="Calibri"/>
          <w:szCs w:val="20"/>
          <w:lang w:val="en" w:eastAsia="en-GB"/>
        </w:rPr>
        <w:t xml:space="preserve">the expenditure declared during the accounting year </w:t>
      </w:r>
      <w:r w:rsidRPr="004B4443">
        <w:rPr>
          <w:rFonts w:eastAsia="Calibri"/>
          <w:color w:val="000000"/>
          <w:szCs w:val="20"/>
          <w:lang w:val="en-GB" w:eastAsia="en-GB"/>
        </w:rPr>
        <w:t>ended 30 June … (year)</w:t>
      </w:r>
      <w:r w:rsidR="00687E3F">
        <w:rPr>
          <w:rFonts w:eastAsia="Calibri"/>
          <w:color w:val="000000"/>
          <w:szCs w:val="20"/>
          <w:lang w:val="en-GB" w:eastAsia="en-GB"/>
        </w:rPr>
        <w:t>;</w:t>
      </w:r>
      <w:r w:rsidRPr="004B4443">
        <w:rPr>
          <w:rFonts w:eastAsia="Calibri"/>
          <w:color w:val="000000"/>
          <w:szCs w:val="20"/>
          <w:vertAlign w:val="superscript"/>
          <w:lang w:val="en-GB" w:eastAsia="en-GB"/>
        </w:rPr>
        <w:t xml:space="preserve"> </w:t>
      </w:r>
    </w:p>
    <w:p w:rsidR="00B41E8E" w:rsidRPr="00AA4CCA" w:rsidRDefault="00A02BB2" w:rsidP="00B41E8E">
      <w:pPr>
        <w:numPr>
          <w:ilvl w:val="0"/>
          <w:numId w:val="9"/>
        </w:numPr>
        <w:spacing w:after="200"/>
        <w:jc w:val="both"/>
        <w:rPr>
          <w:u w:val="single"/>
          <w:shd w:val="clear" w:color="auto" w:fill="FFFFFF"/>
          <w:lang w:val="en-GB" w:eastAsia="en-US"/>
        </w:rPr>
      </w:pPr>
      <w:proofErr w:type="gramStart"/>
      <w:r>
        <w:rPr>
          <w:rFonts w:eastAsia="Calibri"/>
          <w:szCs w:val="20"/>
          <w:lang w:val="en" w:eastAsia="en-GB"/>
        </w:rPr>
        <w:t>audits</w:t>
      </w:r>
      <w:proofErr w:type="gramEnd"/>
      <w:r>
        <w:rPr>
          <w:rFonts w:eastAsia="Calibri"/>
          <w:szCs w:val="20"/>
          <w:lang w:val="en" w:eastAsia="en-GB"/>
        </w:rPr>
        <w:t xml:space="preserve"> of </w:t>
      </w:r>
      <w:r w:rsidR="00B41E8E" w:rsidRPr="004B4443">
        <w:rPr>
          <w:rFonts w:eastAsia="Calibri"/>
          <w:szCs w:val="20"/>
          <w:lang w:val="en" w:eastAsia="en-GB"/>
        </w:rPr>
        <w:t>the accounts</w:t>
      </w:r>
      <w:r>
        <w:rPr>
          <w:rFonts w:eastAsia="Calibri"/>
          <w:szCs w:val="20"/>
          <w:lang w:val="en" w:eastAsia="en-GB"/>
        </w:rPr>
        <w:t xml:space="preserve"> referred to in </w:t>
      </w:r>
      <w:r w:rsidR="001C1636">
        <w:rPr>
          <w:rFonts w:eastAsia="Calibri"/>
          <w:szCs w:val="20"/>
          <w:lang w:val="en" w:eastAsia="en-GB"/>
        </w:rPr>
        <w:t xml:space="preserve">Article 127(5) (a) of the CPR and </w:t>
      </w:r>
      <w:r>
        <w:rPr>
          <w:rFonts w:eastAsia="Calibri"/>
          <w:szCs w:val="20"/>
          <w:lang w:val="en" w:eastAsia="en-GB"/>
        </w:rPr>
        <w:t>point (a) of Article 59(5) of the Financial Regulation</w:t>
      </w:r>
      <w:r w:rsidR="00687E3F">
        <w:rPr>
          <w:rFonts w:eastAsia="Calibri"/>
          <w:szCs w:val="20"/>
          <w:lang w:val="en" w:eastAsia="en-GB"/>
        </w:rPr>
        <w:t>.</w:t>
      </w:r>
    </w:p>
    <w:p w:rsidR="00BD0E6F" w:rsidRDefault="00BD0E6F" w:rsidP="00AA4CCA">
      <w:pPr>
        <w:spacing w:after="200"/>
        <w:jc w:val="both"/>
        <w:rPr>
          <w:rFonts w:eastAsia="Calibri"/>
          <w:szCs w:val="20"/>
          <w:lang w:val="en"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551"/>
        <w:gridCol w:w="2322"/>
        <w:gridCol w:w="2322"/>
      </w:tblGrid>
      <w:tr w:rsidR="00BD0E6F" w:rsidRPr="00663E80" w:rsidTr="00663E80">
        <w:tc>
          <w:tcPr>
            <w:tcW w:w="2093" w:type="dxa"/>
            <w:shd w:val="clear" w:color="auto" w:fill="auto"/>
          </w:tcPr>
          <w:p w:rsidR="00BD0E6F" w:rsidRPr="00663E80" w:rsidRDefault="00BD0E6F" w:rsidP="00663E80">
            <w:pPr>
              <w:spacing w:after="200"/>
              <w:jc w:val="center"/>
              <w:rPr>
                <w:u w:val="single"/>
                <w:shd w:val="clear" w:color="auto" w:fill="FFFFFF"/>
                <w:lang w:val="en-GB" w:eastAsia="en-US"/>
              </w:rPr>
            </w:pPr>
            <w:r w:rsidRPr="00663E80">
              <w:rPr>
                <w:u w:val="single"/>
                <w:shd w:val="clear" w:color="auto" w:fill="FFFFFF"/>
                <w:lang w:val="en-GB" w:eastAsia="en-US"/>
              </w:rPr>
              <w:t>Type of audit</w:t>
            </w:r>
          </w:p>
        </w:tc>
        <w:tc>
          <w:tcPr>
            <w:tcW w:w="2551" w:type="dxa"/>
            <w:shd w:val="clear" w:color="auto" w:fill="auto"/>
          </w:tcPr>
          <w:p w:rsidR="00BD0E6F" w:rsidRPr="00663E80" w:rsidRDefault="00BD0E6F" w:rsidP="00663E80">
            <w:pPr>
              <w:spacing w:after="200"/>
              <w:jc w:val="center"/>
              <w:rPr>
                <w:u w:val="single"/>
                <w:shd w:val="clear" w:color="auto" w:fill="FFFFFF"/>
                <w:lang w:val="en-GB" w:eastAsia="en-US"/>
              </w:rPr>
            </w:pPr>
            <w:r w:rsidRPr="00663E80">
              <w:rPr>
                <w:u w:val="single"/>
                <w:shd w:val="clear" w:color="auto" w:fill="FFFFFF"/>
                <w:lang w:val="en-GB" w:eastAsia="en-US"/>
              </w:rPr>
              <w:t>Results of audits</w:t>
            </w:r>
          </w:p>
        </w:tc>
        <w:tc>
          <w:tcPr>
            <w:tcW w:w="2322" w:type="dxa"/>
            <w:shd w:val="clear" w:color="auto" w:fill="auto"/>
          </w:tcPr>
          <w:p w:rsidR="00BD0E6F" w:rsidRPr="00663E80" w:rsidRDefault="00BD0E6F" w:rsidP="00663E80">
            <w:pPr>
              <w:spacing w:after="200"/>
              <w:jc w:val="center"/>
              <w:rPr>
                <w:u w:val="single"/>
                <w:shd w:val="clear" w:color="auto" w:fill="FFFFFF"/>
                <w:lang w:val="en-GB" w:eastAsia="en-US"/>
              </w:rPr>
            </w:pPr>
            <w:r w:rsidRPr="00663E80">
              <w:rPr>
                <w:u w:val="single"/>
                <w:shd w:val="clear" w:color="auto" w:fill="FFFFFF"/>
                <w:lang w:val="en-GB" w:eastAsia="en-US"/>
              </w:rPr>
              <w:t>Analysis of the nature and extent of errors and weaknesses identified,</w:t>
            </w:r>
          </w:p>
        </w:tc>
        <w:tc>
          <w:tcPr>
            <w:tcW w:w="2322" w:type="dxa"/>
            <w:shd w:val="clear" w:color="auto" w:fill="auto"/>
          </w:tcPr>
          <w:p w:rsidR="00BD0E6F" w:rsidRPr="00663E80" w:rsidRDefault="00BD0E6F" w:rsidP="00663E80">
            <w:pPr>
              <w:spacing w:after="200"/>
              <w:jc w:val="center"/>
              <w:rPr>
                <w:u w:val="single"/>
                <w:shd w:val="clear" w:color="auto" w:fill="FFFFFF"/>
                <w:lang w:val="en-GB" w:eastAsia="en-US"/>
              </w:rPr>
            </w:pPr>
            <w:r w:rsidRPr="00663E80">
              <w:rPr>
                <w:u w:val="single"/>
                <w:shd w:val="clear" w:color="auto" w:fill="FFFFFF"/>
                <w:lang w:val="en-GB" w:eastAsia="en-US"/>
              </w:rPr>
              <w:t>Corrective action taken or planned</w:t>
            </w:r>
          </w:p>
        </w:tc>
      </w:tr>
      <w:tr w:rsidR="00BD0E6F" w:rsidRPr="00663E80" w:rsidTr="00663E80">
        <w:tc>
          <w:tcPr>
            <w:tcW w:w="2093" w:type="dxa"/>
            <w:shd w:val="clear" w:color="auto" w:fill="auto"/>
          </w:tcPr>
          <w:p w:rsidR="00BD0E6F" w:rsidRPr="00663E80" w:rsidRDefault="00BD0E6F" w:rsidP="00663E80">
            <w:pPr>
              <w:spacing w:after="200"/>
              <w:jc w:val="both"/>
              <w:rPr>
                <w:u w:val="single"/>
                <w:shd w:val="clear" w:color="auto" w:fill="FFFFFF"/>
                <w:lang w:val="en-GB" w:eastAsia="en-US"/>
              </w:rPr>
            </w:pPr>
            <w:r w:rsidRPr="00663E80">
              <w:rPr>
                <w:u w:val="single"/>
                <w:shd w:val="clear" w:color="auto" w:fill="FFFFFF"/>
                <w:lang w:val="en-GB" w:eastAsia="en-US"/>
              </w:rPr>
              <w:t>System audits</w:t>
            </w:r>
          </w:p>
        </w:tc>
        <w:tc>
          <w:tcPr>
            <w:tcW w:w="2551" w:type="dxa"/>
            <w:shd w:val="clear" w:color="auto" w:fill="auto"/>
          </w:tcPr>
          <w:p w:rsidR="00924C27" w:rsidRPr="00663E80" w:rsidRDefault="00924C27" w:rsidP="00663E80">
            <w:pPr>
              <w:spacing w:after="200"/>
              <w:jc w:val="both"/>
              <w:rPr>
                <w:u w:val="single"/>
                <w:shd w:val="clear" w:color="auto" w:fill="FFFFFF"/>
                <w:lang w:val="en-GB" w:eastAsia="en-US"/>
              </w:rPr>
            </w:pPr>
            <w:r w:rsidRPr="005149D3">
              <w:rPr>
                <w:u w:val="single"/>
                <w:shd w:val="clear" w:color="auto" w:fill="FFFFFF"/>
                <w:lang w:val="en-GB" w:eastAsia="en-US"/>
              </w:rPr>
              <w:t>Ref. to reports</w:t>
            </w:r>
            <w:r w:rsidR="005149D3">
              <w:rPr>
                <w:u w:val="single"/>
                <w:shd w:val="clear" w:color="auto" w:fill="FFFFFF"/>
                <w:lang w:val="en-GB" w:eastAsia="en-US"/>
              </w:rPr>
              <w:t xml:space="preserve"> / description of scope</w:t>
            </w:r>
            <w:r w:rsidRPr="00663E80">
              <w:rPr>
                <w:u w:val="single"/>
                <w:shd w:val="clear" w:color="auto" w:fill="FFFFFF"/>
                <w:lang w:val="en-GB" w:eastAsia="en-US"/>
              </w:rPr>
              <w:t xml:space="preserve"> </w:t>
            </w:r>
          </w:p>
          <w:p w:rsidR="00BD0E6F" w:rsidRPr="00663E80" w:rsidRDefault="00924C27" w:rsidP="00663E80">
            <w:pPr>
              <w:spacing w:after="200"/>
              <w:jc w:val="both"/>
              <w:rPr>
                <w:u w:val="single"/>
                <w:shd w:val="clear" w:color="auto" w:fill="FFFFFF"/>
                <w:lang w:val="en-GB" w:eastAsia="en-US"/>
              </w:rPr>
            </w:pPr>
            <w:r w:rsidRPr="00663E80">
              <w:rPr>
                <w:u w:val="single"/>
                <w:shd w:val="clear" w:color="auto" w:fill="FFFFFF"/>
                <w:lang w:val="en-GB" w:eastAsia="en-US"/>
              </w:rPr>
              <w:t>or</w:t>
            </w:r>
          </w:p>
          <w:p w:rsidR="00924C27" w:rsidRPr="00663E80" w:rsidRDefault="00924C27" w:rsidP="00663E80">
            <w:pPr>
              <w:spacing w:after="200"/>
              <w:jc w:val="both"/>
              <w:rPr>
                <w:u w:val="single"/>
                <w:shd w:val="clear" w:color="auto" w:fill="FFFFFF"/>
                <w:lang w:val="en-GB" w:eastAsia="en-US"/>
              </w:rPr>
            </w:pPr>
            <w:r w:rsidRPr="00663E80">
              <w:rPr>
                <w:u w:val="single"/>
                <w:shd w:val="clear" w:color="auto" w:fill="FFFFFF"/>
                <w:lang w:val="en-GB" w:eastAsia="en-US"/>
              </w:rPr>
              <w:t>Cross-reference to ACR (</w:t>
            </w:r>
            <w:r w:rsidR="00F8237E" w:rsidRPr="00663E80">
              <w:rPr>
                <w:u w:val="single"/>
                <w:shd w:val="clear" w:color="auto" w:fill="FFFFFF"/>
                <w:lang w:val="en-GB" w:eastAsia="en-US"/>
              </w:rPr>
              <w:t>Table</w:t>
            </w:r>
            <w:r w:rsidRPr="00663E80">
              <w:rPr>
                <w:u w:val="single"/>
                <w:shd w:val="clear" w:color="auto" w:fill="FFFFFF"/>
                <w:lang w:val="en-GB" w:eastAsia="en-US"/>
              </w:rPr>
              <w:t xml:space="preserve"> 10.1 of Annex IX of CIR)</w:t>
            </w:r>
          </w:p>
        </w:tc>
        <w:tc>
          <w:tcPr>
            <w:tcW w:w="2322" w:type="dxa"/>
            <w:shd w:val="clear" w:color="auto" w:fill="auto"/>
          </w:tcPr>
          <w:p w:rsidR="00BD0E6F" w:rsidRPr="005149D3" w:rsidRDefault="00924C27" w:rsidP="00663E80">
            <w:pPr>
              <w:spacing w:after="200"/>
              <w:jc w:val="both"/>
              <w:rPr>
                <w:u w:val="single"/>
                <w:shd w:val="clear" w:color="auto" w:fill="FFFFFF"/>
                <w:lang w:val="en-GB" w:eastAsia="en-US"/>
              </w:rPr>
            </w:pPr>
            <w:r w:rsidRPr="005149D3">
              <w:rPr>
                <w:u w:val="single"/>
                <w:shd w:val="clear" w:color="auto" w:fill="FFFFFF"/>
                <w:lang w:val="en-GB" w:eastAsia="en-US"/>
              </w:rPr>
              <w:t xml:space="preserve">Ref. to reports </w:t>
            </w:r>
            <w:r w:rsidR="005149D3">
              <w:rPr>
                <w:u w:val="single"/>
                <w:shd w:val="clear" w:color="auto" w:fill="FFFFFF"/>
                <w:lang w:val="en-GB" w:eastAsia="en-US"/>
              </w:rPr>
              <w:t>/ description of scope</w:t>
            </w:r>
          </w:p>
          <w:p w:rsidR="00924C27" w:rsidRPr="00197DCE" w:rsidRDefault="00924C27" w:rsidP="00663E80">
            <w:pPr>
              <w:spacing w:after="200"/>
              <w:jc w:val="both"/>
              <w:rPr>
                <w:u w:val="single"/>
                <w:shd w:val="clear" w:color="auto" w:fill="FFFFFF"/>
                <w:lang w:val="en-GB" w:eastAsia="en-US"/>
              </w:rPr>
            </w:pPr>
            <w:r w:rsidRPr="00197DCE">
              <w:rPr>
                <w:u w:val="single"/>
                <w:shd w:val="clear" w:color="auto" w:fill="FFFFFF"/>
                <w:lang w:val="en-GB" w:eastAsia="en-US"/>
              </w:rPr>
              <w:t>or</w:t>
            </w:r>
          </w:p>
          <w:p w:rsidR="00924C27" w:rsidRPr="00197DCE" w:rsidRDefault="00924C27" w:rsidP="00663E80">
            <w:pPr>
              <w:spacing w:after="200"/>
              <w:jc w:val="both"/>
              <w:rPr>
                <w:u w:val="single"/>
                <w:shd w:val="clear" w:color="auto" w:fill="FFFFFF"/>
                <w:lang w:val="en-GB" w:eastAsia="en-US"/>
              </w:rPr>
            </w:pPr>
            <w:r w:rsidRPr="00197DCE">
              <w:rPr>
                <w:u w:val="single"/>
                <w:shd w:val="clear" w:color="auto" w:fill="FFFFFF"/>
                <w:lang w:val="en-GB" w:eastAsia="en-US"/>
              </w:rPr>
              <w:t>Cross-reference to ACR (Sections 4.3, 4.4, 4.6 of Annex IX of CIR)</w:t>
            </w:r>
          </w:p>
        </w:tc>
        <w:tc>
          <w:tcPr>
            <w:tcW w:w="2322" w:type="dxa"/>
            <w:shd w:val="clear" w:color="auto" w:fill="auto"/>
          </w:tcPr>
          <w:p w:rsidR="00924C27" w:rsidRPr="005149D3" w:rsidRDefault="00924C27" w:rsidP="00663E80">
            <w:pPr>
              <w:spacing w:after="200"/>
              <w:jc w:val="both"/>
              <w:rPr>
                <w:u w:val="single"/>
                <w:shd w:val="clear" w:color="auto" w:fill="FFFFFF"/>
                <w:lang w:val="en-GB" w:eastAsia="en-US"/>
              </w:rPr>
            </w:pPr>
            <w:r w:rsidRPr="00197DCE">
              <w:rPr>
                <w:u w:val="single"/>
                <w:shd w:val="clear" w:color="auto" w:fill="FFFFFF"/>
                <w:lang w:val="en-GB" w:eastAsia="en-US"/>
              </w:rPr>
              <w:t>Ref. to reports</w:t>
            </w:r>
            <w:r w:rsidRPr="005149D3">
              <w:rPr>
                <w:u w:val="single"/>
                <w:shd w:val="clear" w:color="auto" w:fill="FFFFFF"/>
                <w:lang w:val="en-GB" w:eastAsia="en-US"/>
              </w:rPr>
              <w:t xml:space="preserve"> </w:t>
            </w:r>
            <w:r w:rsidR="005149D3">
              <w:rPr>
                <w:u w:val="single"/>
                <w:shd w:val="clear" w:color="auto" w:fill="FFFFFF"/>
                <w:lang w:val="en-GB" w:eastAsia="en-US"/>
              </w:rPr>
              <w:t>/ description of scope</w:t>
            </w:r>
          </w:p>
          <w:p w:rsidR="00924C27" w:rsidRPr="00197DCE" w:rsidRDefault="00924C27" w:rsidP="00663E80">
            <w:pPr>
              <w:spacing w:after="200"/>
              <w:jc w:val="both"/>
              <w:rPr>
                <w:u w:val="single"/>
                <w:shd w:val="clear" w:color="auto" w:fill="FFFFFF"/>
                <w:lang w:val="en-GB" w:eastAsia="en-US"/>
              </w:rPr>
            </w:pPr>
            <w:r w:rsidRPr="00197DCE">
              <w:rPr>
                <w:u w:val="single"/>
                <w:shd w:val="clear" w:color="auto" w:fill="FFFFFF"/>
                <w:lang w:val="en-GB" w:eastAsia="en-US"/>
              </w:rPr>
              <w:t>or</w:t>
            </w:r>
          </w:p>
          <w:p w:rsidR="00924C27" w:rsidRPr="00197DCE" w:rsidRDefault="00924C27" w:rsidP="00663E80">
            <w:pPr>
              <w:spacing w:after="200"/>
              <w:jc w:val="both"/>
              <w:rPr>
                <w:u w:val="single"/>
                <w:shd w:val="clear" w:color="auto" w:fill="FFFFFF"/>
                <w:lang w:val="en-GB" w:eastAsia="en-US"/>
              </w:rPr>
            </w:pPr>
            <w:r w:rsidRPr="00197DCE">
              <w:rPr>
                <w:u w:val="single"/>
                <w:shd w:val="clear" w:color="auto" w:fill="FFFFFF"/>
                <w:lang w:val="en-GB" w:eastAsia="en-US"/>
              </w:rPr>
              <w:t>Cross-reference to ACR (Sections 4.4, 4.5 of Annex IX of CIR)</w:t>
            </w:r>
          </w:p>
        </w:tc>
      </w:tr>
      <w:tr w:rsidR="00BD0E6F" w:rsidRPr="00663E80" w:rsidTr="00663E80">
        <w:tc>
          <w:tcPr>
            <w:tcW w:w="2093" w:type="dxa"/>
            <w:shd w:val="clear" w:color="auto" w:fill="auto"/>
          </w:tcPr>
          <w:p w:rsidR="00BD0E6F" w:rsidRPr="00663E80" w:rsidRDefault="00BD0E6F" w:rsidP="00663E80">
            <w:pPr>
              <w:spacing w:after="200"/>
              <w:jc w:val="both"/>
              <w:rPr>
                <w:u w:val="single"/>
                <w:shd w:val="clear" w:color="auto" w:fill="FFFFFF"/>
                <w:lang w:val="en-GB" w:eastAsia="en-US"/>
              </w:rPr>
            </w:pPr>
            <w:r w:rsidRPr="00663E80">
              <w:rPr>
                <w:u w:val="single"/>
                <w:shd w:val="clear" w:color="auto" w:fill="FFFFFF"/>
                <w:lang w:val="en-GB" w:eastAsia="en-US"/>
              </w:rPr>
              <w:t>Audit</w:t>
            </w:r>
            <w:r w:rsidR="008E1A8C">
              <w:rPr>
                <w:u w:val="single"/>
                <w:shd w:val="clear" w:color="auto" w:fill="FFFFFF"/>
                <w:lang w:val="en-GB" w:eastAsia="en-US"/>
              </w:rPr>
              <w:t>s</w:t>
            </w:r>
            <w:r w:rsidRPr="00663E80">
              <w:rPr>
                <w:u w:val="single"/>
                <w:shd w:val="clear" w:color="auto" w:fill="FFFFFF"/>
                <w:lang w:val="en-GB" w:eastAsia="en-US"/>
              </w:rPr>
              <w:t xml:space="preserve"> of operations</w:t>
            </w:r>
          </w:p>
        </w:tc>
        <w:tc>
          <w:tcPr>
            <w:tcW w:w="2551" w:type="dxa"/>
            <w:shd w:val="clear" w:color="auto" w:fill="auto"/>
          </w:tcPr>
          <w:p w:rsidR="00CD0A38" w:rsidRPr="005149D3" w:rsidRDefault="00CD0A38" w:rsidP="00663E80">
            <w:pPr>
              <w:spacing w:after="200"/>
              <w:jc w:val="both"/>
              <w:rPr>
                <w:u w:val="single"/>
                <w:shd w:val="clear" w:color="auto" w:fill="FFFFFF"/>
                <w:lang w:val="en-GB" w:eastAsia="en-US"/>
              </w:rPr>
            </w:pPr>
            <w:r w:rsidRPr="005149D3">
              <w:rPr>
                <w:u w:val="single"/>
                <w:shd w:val="clear" w:color="auto" w:fill="FFFFFF"/>
                <w:lang w:val="en-GB" w:eastAsia="en-US"/>
              </w:rPr>
              <w:t xml:space="preserve">Ref. to reports </w:t>
            </w:r>
            <w:r w:rsidR="005149D3">
              <w:rPr>
                <w:u w:val="single"/>
                <w:shd w:val="clear" w:color="auto" w:fill="FFFFFF"/>
                <w:lang w:val="en-GB" w:eastAsia="en-US"/>
              </w:rPr>
              <w:t>/ List of operations</w:t>
            </w:r>
          </w:p>
          <w:p w:rsidR="00CD0A38" w:rsidRPr="00197DCE" w:rsidRDefault="00CD0A38" w:rsidP="00663E80">
            <w:pPr>
              <w:spacing w:after="200"/>
              <w:jc w:val="both"/>
              <w:rPr>
                <w:u w:val="single"/>
                <w:shd w:val="clear" w:color="auto" w:fill="FFFFFF"/>
                <w:lang w:val="en-GB" w:eastAsia="en-US"/>
              </w:rPr>
            </w:pPr>
            <w:r w:rsidRPr="00197DCE">
              <w:rPr>
                <w:u w:val="single"/>
                <w:shd w:val="clear" w:color="auto" w:fill="FFFFFF"/>
                <w:lang w:val="en-GB" w:eastAsia="en-US"/>
              </w:rPr>
              <w:t>or</w:t>
            </w:r>
          </w:p>
          <w:p w:rsidR="00BD0E6F" w:rsidRPr="005149D3" w:rsidRDefault="00CD0A38" w:rsidP="00663E80">
            <w:pPr>
              <w:spacing w:after="200"/>
              <w:jc w:val="both"/>
              <w:rPr>
                <w:u w:val="single"/>
                <w:shd w:val="clear" w:color="auto" w:fill="FFFFFF"/>
                <w:lang w:val="en-GB" w:eastAsia="en-US"/>
              </w:rPr>
            </w:pPr>
            <w:r w:rsidRPr="00197DCE">
              <w:rPr>
                <w:u w:val="single"/>
                <w:shd w:val="clear" w:color="auto" w:fill="FFFFFF"/>
                <w:lang w:val="en-GB" w:eastAsia="en-US"/>
              </w:rPr>
              <w:t>Cross-reference to ACR (</w:t>
            </w:r>
            <w:r w:rsidR="00F8237E" w:rsidRPr="00197DCE">
              <w:rPr>
                <w:u w:val="single"/>
                <w:shd w:val="clear" w:color="auto" w:fill="FFFFFF"/>
                <w:lang w:val="en-GB" w:eastAsia="en-US"/>
              </w:rPr>
              <w:t>Table</w:t>
            </w:r>
            <w:r w:rsidRPr="005149D3">
              <w:rPr>
                <w:u w:val="single"/>
                <w:shd w:val="clear" w:color="auto" w:fill="FFFFFF"/>
                <w:lang w:val="en-GB" w:eastAsia="en-US"/>
              </w:rPr>
              <w:t xml:space="preserve"> 10.2 </w:t>
            </w:r>
            <w:r w:rsidR="00F8237E" w:rsidRPr="005149D3">
              <w:rPr>
                <w:u w:val="single"/>
                <w:shd w:val="clear" w:color="auto" w:fill="FFFFFF"/>
                <w:lang w:val="en-GB" w:eastAsia="en-US"/>
              </w:rPr>
              <w:t xml:space="preserve">and Section 5.13 </w:t>
            </w:r>
            <w:r w:rsidRPr="005149D3">
              <w:rPr>
                <w:u w:val="single"/>
                <w:shd w:val="clear" w:color="auto" w:fill="FFFFFF"/>
                <w:lang w:val="en-GB" w:eastAsia="en-US"/>
              </w:rPr>
              <w:t>of Annex IX of CIR)</w:t>
            </w:r>
          </w:p>
        </w:tc>
        <w:tc>
          <w:tcPr>
            <w:tcW w:w="2322" w:type="dxa"/>
            <w:shd w:val="clear" w:color="auto" w:fill="auto"/>
          </w:tcPr>
          <w:p w:rsidR="00CD0A38" w:rsidRPr="005149D3" w:rsidRDefault="00CD0A38" w:rsidP="00663E80">
            <w:pPr>
              <w:spacing w:after="200"/>
              <w:jc w:val="both"/>
              <w:rPr>
                <w:u w:val="single"/>
                <w:shd w:val="clear" w:color="auto" w:fill="FFFFFF"/>
                <w:lang w:val="en-GB" w:eastAsia="en-US"/>
              </w:rPr>
            </w:pPr>
            <w:r w:rsidRPr="005149D3">
              <w:rPr>
                <w:u w:val="single"/>
                <w:shd w:val="clear" w:color="auto" w:fill="FFFFFF"/>
                <w:lang w:val="en-GB" w:eastAsia="en-US"/>
              </w:rPr>
              <w:t xml:space="preserve">Ref. to reports </w:t>
            </w:r>
            <w:r w:rsidR="005149D3">
              <w:rPr>
                <w:u w:val="single"/>
                <w:shd w:val="clear" w:color="auto" w:fill="FFFFFF"/>
                <w:lang w:val="en-GB" w:eastAsia="en-US"/>
              </w:rPr>
              <w:t>/ List of operations</w:t>
            </w:r>
          </w:p>
          <w:p w:rsidR="00CD0A38" w:rsidRPr="00197DCE" w:rsidRDefault="00CD0A38" w:rsidP="00663E80">
            <w:pPr>
              <w:spacing w:after="200"/>
              <w:jc w:val="both"/>
              <w:rPr>
                <w:u w:val="single"/>
                <w:shd w:val="clear" w:color="auto" w:fill="FFFFFF"/>
                <w:lang w:val="en-GB" w:eastAsia="en-US"/>
              </w:rPr>
            </w:pPr>
            <w:r w:rsidRPr="00197DCE">
              <w:rPr>
                <w:u w:val="single"/>
                <w:shd w:val="clear" w:color="auto" w:fill="FFFFFF"/>
                <w:lang w:val="en-GB" w:eastAsia="en-US"/>
              </w:rPr>
              <w:t>or</w:t>
            </w:r>
          </w:p>
          <w:p w:rsidR="00BD0E6F" w:rsidRPr="005149D3" w:rsidRDefault="00CD0A38" w:rsidP="00663E80">
            <w:pPr>
              <w:spacing w:after="200"/>
              <w:jc w:val="both"/>
              <w:rPr>
                <w:u w:val="single"/>
                <w:shd w:val="clear" w:color="auto" w:fill="FFFFFF"/>
                <w:lang w:val="en-GB" w:eastAsia="en-US"/>
              </w:rPr>
            </w:pPr>
            <w:r w:rsidRPr="00197DCE">
              <w:rPr>
                <w:u w:val="single"/>
                <w:shd w:val="clear" w:color="auto" w:fill="FFFFFF"/>
                <w:lang w:val="en-GB" w:eastAsia="en-US"/>
              </w:rPr>
              <w:t xml:space="preserve">Cross-reference to ACR (Sections </w:t>
            </w:r>
            <w:r w:rsidR="00F8237E" w:rsidRPr="00197DCE">
              <w:rPr>
                <w:u w:val="single"/>
                <w:shd w:val="clear" w:color="auto" w:fill="FFFFFF"/>
                <w:lang w:val="en-GB" w:eastAsia="en-US"/>
              </w:rPr>
              <w:t>5</w:t>
            </w:r>
            <w:r w:rsidRPr="005149D3">
              <w:rPr>
                <w:u w:val="single"/>
                <w:shd w:val="clear" w:color="auto" w:fill="FFFFFF"/>
                <w:lang w:val="en-GB" w:eastAsia="en-US"/>
              </w:rPr>
              <w:t>.</w:t>
            </w:r>
            <w:r w:rsidR="00F8237E" w:rsidRPr="005149D3">
              <w:rPr>
                <w:u w:val="single"/>
                <w:shd w:val="clear" w:color="auto" w:fill="FFFFFF"/>
                <w:lang w:val="en-GB" w:eastAsia="en-US"/>
              </w:rPr>
              <w:t>7</w:t>
            </w:r>
            <w:r w:rsidRPr="005149D3">
              <w:rPr>
                <w:u w:val="single"/>
                <w:shd w:val="clear" w:color="auto" w:fill="FFFFFF"/>
                <w:lang w:val="en-GB" w:eastAsia="en-US"/>
              </w:rPr>
              <w:t xml:space="preserve">, </w:t>
            </w:r>
            <w:r w:rsidR="00F8237E" w:rsidRPr="005149D3">
              <w:rPr>
                <w:u w:val="single"/>
                <w:shd w:val="clear" w:color="auto" w:fill="FFFFFF"/>
                <w:lang w:val="en-GB" w:eastAsia="en-US"/>
              </w:rPr>
              <w:t>5</w:t>
            </w:r>
            <w:r w:rsidRPr="005149D3">
              <w:rPr>
                <w:u w:val="single"/>
                <w:shd w:val="clear" w:color="auto" w:fill="FFFFFF"/>
                <w:lang w:val="en-GB" w:eastAsia="en-US"/>
              </w:rPr>
              <w:t>.</w:t>
            </w:r>
            <w:r w:rsidR="00F8237E" w:rsidRPr="005149D3">
              <w:rPr>
                <w:u w:val="single"/>
                <w:shd w:val="clear" w:color="auto" w:fill="FFFFFF"/>
                <w:lang w:val="en-GB" w:eastAsia="en-US"/>
              </w:rPr>
              <w:t>10</w:t>
            </w:r>
            <w:r w:rsidRPr="005149D3">
              <w:rPr>
                <w:u w:val="single"/>
                <w:shd w:val="clear" w:color="auto" w:fill="FFFFFF"/>
                <w:lang w:val="en-GB" w:eastAsia="en-US"/>
              </w:rPr>
              <w:t xml:space="preserve">, </w:t>
            </w:r>
            <w:r w:rsidR="00F8237E" w:rsidRPr="005149D3">
              <w:rPr>
                <w:u w:val="single"/>
                <w:shd w:val="clear" w:color="auto" w:fill="FFFFFF"/>
                <w:lang w:val="en-GB" w:eastAsia="en-US"/>
              </w:rPr>
              <w:t>5</w:t>
            </w:r>
            <w:r w:rsidRPr="005149D3">
              <w:rPr>
                <w:u w:val="single"/>
                <w:shd w:val="clear" w:color="auto" w:fill="FFFFFF"/>
                <w:lang w:val="en-GB" w:eastAsia="en-US"/>
              </w:rPr>
              <w:t>.</w:t>
            </w:r>
            <w:r w:rsidR="00F8237E" w:rsidRPr="005149D3">
              <w:rPr>
                <w:u w:val="single"/>
                <w:shd w:val="clear" w:color="auto" w:fill="FFFFFF"/>
                <w:lang w:val="en-GB" w:eastAsia="en-US"/>
              </w:rPr>
              <w:t>11,</w:t>
            </w:r>
            <w:r w:rsidRPr="005149D3">
              <w:rPr>
                <w:u w:val="single"/>
                <w:shd w:val="clear" w:color="auto" w:fill="FFFFFF"/>
                <w:lang w:val="en-GB" w:eastAsia="en-US"/>
              </w:rPr>
              <w:t xml:space="preserve"> of Annex IX of CIR)</w:t>
            </w:r>
          </w:p>
        </w:tc>
        <w:tc>
          <w:tcPr>
            <w:tcW w:w="2322" w:type="dxa"/>
            <w:shd w:val="clear" w:color="auto" w:fill="auto"/>
          </w:tcPr>
          <w:p w:rsidR="00CD0A38" w:rsidRPr="005149D3" w:rsidRDefault="00CD0A38" w:rsidP="00663E80">
            <w:pPr>
              <w:spacing w:after="200"/>
              <w:jc w:val="both"/>
              <w:rPr>
                <w:u w:val="single"/>
                <w:shd w:val="clear" w:color="auto" w:fill="FFFFFF"/>
                <w:lang w:val="en-GB" w:eastAsia="en-US"/>
              </w:rPr>
            </w:pPr>
            <w:r w:rsidRPr="005149D3">
              <w:rPr>
                <w:u w:val="single"/>
                <w:shd w:val="clear" w:color="auto" w:fill="FFFFFF"/>
                <w:lang w:val="en-GB" w:eastAsia="en-US"/>
              </w:rPr>
              <w:t xml:space="preserve">Ref. to reports </w:t>
            </w:r>
            <w:r w:rsidR="005149D3">
              <w:rPr>
                <w:u w:val="single"/>
                <w:shd w:val="clear" w:color="auto" w:fill="FFFFFF"/>
                <w:lang w:val="en-GB" w:eastAsia="en-US"/>
              </w:rPr>
              <w:t>/ List of operations</w:t>
            </w:r>
          </w:p>
          <w:p w:rsidR="00CD0A38" w:rsidRPr="00197DCE" w:rsidRDefault="00CD0A38" w:rsidP="00663E80">
            <w:pPr>
              <w:spacing w:after="200"/>
              <w:jc w:val="both"/>
              <w:rPr>
                <w:u w:val="single"/>
                <w:shd w:val="clear" w:color="auto" w:fill="FFFFFF"/>
                <w:lang w:val="en-GB" w:eastAsia="en-US"/>
              </w:rPr>
            </w:pPr>
            <w:r w:rsidRPr="00197DCE">
              <w:rPr>
                <w:u w:val="single"/>
                <w:shd w:val="clear" w:color="auto" w:fill="FFFFFF"/>
                <w:lang w:val="en-GB" w:eastAsia="en-US"/>
              </w:rPr>
              <w:t>or</w:t>
            </w:r>
          </w:p>
          <w:p w:rsidR="00BD0E6F" w:rsidRPr="005149D3" w:rsidRDefault="00CD0A38" w:rsidP="00663E80">
            <w:pPr>
              <w:spacing w:after="200"/>
              <w:jc w:val="both"/>
              <w:rPr>
                <w:u w:val="single"/>
                <w:shd w:val="clear" w:color="auto" w:fill="FFFFFF"/>
                <w:lang w:val="en-GB" w:eastAsia="en-US"/>
              </w:rPr>
            </w:pPr>
            <w:r w:rsidRPr="00197DCE">
              <w:rPr>
                <w:u w:val="single"/>
                <w:shd w:val="clear" w:color="auto" w:fill="FFFFFF"/>
                <w:lang w:val="en-GB" w:eastAsia="en-US"/>
              </w:rPr>
              <w:t xml:space="preserve">Cross-reference to ACR (Sections </w:t>
            </w:r>
            <w:r w:rsidR="00F8237E" w:rsidRPr="00197DCE">
              <w:rPr>
                <w:u w:val="single"/>
                <w:shd w:val="clear" w:color="auto" w:fill="FFFFFF"/>
                <w:lang w:val="en-GB" w:eastAsia="en-US"/>
              </w:rPr>
              <w:t>5</w:t>
            </w:r>
            <w:r w:rsidRPr="005149D3">
              <w:rPr>
                <w:u w:val="single"/>
                <w:shd w:val="clear" w:color="auto" w:fill="FFFFFF"/>
                <w:lang w:val="en-GB" w:eastAsia="en-US"/>
              </w:rPr>
              <w:t>.</w:t>
            </w:r>
            <w:r w:rsidR="00F8237E" w:rsidRPr="005149D3">
              <w:rPr>
                <w:u w:val="single"/>
                <w:shd w:val="clear" w:color="auto" w:fill="FFFFFF"/>
                <w:lang w:val="en-GB" w:eastAsia="en-US"/>
              </w:rPr>
              <w:t>8</w:t>
            </w:r>
            <w:r w:rsidRPr="005149D3">
              <w:rPr>
                <w:u w:val="single"/>
                <w:shd w:val="clear" w:color="auto" w:fill="FFFFFF"/>
                <w:lang w:val="en-GB" w:eastAsia="en-US"/>
              </w:rPr>
              <w:t xml:space="preserve">, </w:t>
            </w:r>
            <w:r w:rsidR="00F8237E" w:rsidRPr="005149D3">
              <w:rPr>
                <w:u w:val="single"/>
                <w:shd w:val="clear" w:color="auto" w:fill="FFFFFF"/>
                <w:lang w:val="en-GB" w:eastAsia="en-US"/>
              </w:rPr>
              <w:t>5</w:t>
            </w:r>
            <w:r w:rsidRPr="005149D3">
              <w:rPr>
                <w:u w:val="single"/>
                <w:shd w:val="clear" w:color="auto" w:fill="FFFFFF"/>
                <w:lang w:val="en-GB" w:eastAsia="en-US"/>
              </w:rPr>
              <w:t>.</w:t>
            </w:r>
            <w:r w:rsidR="00F8237E" w:rsidRPr="005149D3">
              <w:rPr>
                <w:u w:val="single"/>
                <w:shd w:val="clear" w:color="auto" w:fill="FFFFFF"/>
                <w:lang w:val="en-GB" w:eastAsia="en-US"/>
              </w:rPr>
              <w:t>11, 5.12</w:t>
            </w:r>
            <w:r w:rsidRPr="005149D3">
              <w:rPr>
                <w:u w:val="single"/>
                <w:shd w:val="clear" w:color="auto" w:fill="FFFFFF"/>
                <w:lang w:val="en-GB" w:eastAsia="en-US"/>
              </w:rPr>
              <w:t xml:space="preserve"> of Annex IX of CIR)</w:t>
            </w:r>
          </w:p>
        </w:tc>
      </w:tr>
      <w:tr w:rsidR="00BD0E6F" w:rsidRPr="00663E80" w:rsidTr="00663E80">
        <w:tc>
          <w:tcPr>
            <w:tcW w:w="2093" w:type="dxa"/>
            <w:shd w:val="clear" w:color="auto" w:fill="auto"/>
          </w:tcPr>
          <w:p w:rsidR="00BD0E6F" w:rsidRPr="00663E80" w:rsidRDefault="00BD0E6F" w:rsidP="00663E80">
            <w:pPr>
              <w:spacing w:after="200"/>
              <w:jc w:val="both"/>
              <w:rPr>
                <w:u w:val="single"/>
                <w:shd w:val="clear" w:color="auto" w:fill="FFFFFF"/>
                <w:lang w:val="en-GB" w:eastAsia="en-US"/>
              </w:rPr>
            </w:pPr>
            <w:r w:rsidRPr="00663E80">
              <w:rPr>
                <w:u w:val="single"/>
                <w:shd w:val="clear" w:color="auto" w:fill="FFFFFF"/>
                <w:lang w:val="en-GB" w:eastAsia="en-US"/>
              </w:rPr>
              <w:t>Audit of accounts</w:t>
            </w:r>
          </w:p>
        </w:tc>
        <w:tc>
          <w:tcPr>
            <w:tcW w:w="2551" w:type="dxa"/>
            <w:shd w:val="clear" w:color="auto" w:fill="auto"/>
          </w:tcPr>
          <w:p w:rsidR="00F8237E" w:rsidRPr="005149D3" w:rsidRDefault="00F8237E" w:rsidP="00663E80">
            <w:pPr>
              <w:spacing w:after="200"/>
              <w:jc w:val="both"/>
              <w:rPr>
                <w:u w:val="single"/>
                <w:shd w:val="clear" w:color="auto" w:fill="FFFFFF"/>
                <w:lang w:val="en-GB" w:eastAsia="en-US"/>
              </w:rPr>
            </w:pPr>
            <w:r w:rsidRPr="005149D3">
              <w:rPr>
                <w:u w:val="single"/>
                <w:shd w:val="clear" w:color="auto" w:fill="FFFFFF"/>
                <w:lang w:val="en-GB" w:eastAsia="en-US"/>
              </w:rPr>
              <w:t xml:space="preserve">Ref. to reports </w:t>
            </w:r>
            <w:r w:rsidR="005149D3">
              <w:rPr>
                <w:u w:val="single"/>
                <w:shd w:val="clear" w:color="auto" w:fill="FFFFFF"/>
                <w:lang w:val="en-GB" w:eastAsia="en-US"/>
              </w:rPr>
              <w:t>/ description of scope</w:t>
            </w:r>
          </w:p>
          <w:p w:rsidR="00F8237E" w:rsidRPr="00197DCE" w:rsidRDefault="00F8237E" w:rsidP="00663E80">
            <w:pPr>
              <w:spacing w:after="200"/>
              <w:jc w:val="both"/>
              <w:rPr>
                <w:u w:val="single"/>
                <w:shd w:val="clear" w:color="auto" w:fill="FFFFFF"/>
                <w:lang w:val="en-GB" w:eastAsia="en-US"/>
              </w:rPr>
            </w:pPr>
            <w:r w:rsidRPr="00197DCE">
              <w:rPr>
                <w:u w:val="single"/>
                <w:shd w:val="clear" w:color="auto" w:fill="FFFFFF"/>
                <w:lang w:val="en-GB" w:eastAsia="en-US"/>
              </w:rPr>
              <w:t>or</w:t>
            </w:r>
          </w:p>
          <w:p w:rsidR="00BD0E6F" w:rsidRPr="00197DCE" w:rsidRDefault="00F8237E" w:rsidP="00663E80">
            <w:pPr>
              <w:spacing w:after="200"/>
              <w:jc w:val="both"/>
              <w:rPr>
                <w:u w:val="single"/>
                <w:shd w:val="clear" w:color="auto" w:fill="FFFFFF"/>
                <w:lang w:val="en-GB" w:eastAsia="en-US"/>
              </w:rPr>
            </w:pPr>
            <w:r w:rsidRPr="00197DCE">
              <w:rPr>
                <w:u w:val="single"/>
                <w:shd w:val="clear" w:color="auto" w:fill="FFFFFF"/>
                <w:lang w:val="en-GB" w:eastAsia="en-US"/>
              </w:rPr>
              <w:t>Cross-reference to ACR (Section 6.3 of Annex IX of CIR)</w:t>
            </w:r>
          </w:p>
        </w:tc>
        <w:tc>
          <w:tcPr>
            <w:tcW w:w="2322" w:type="dxa"/>
            <w:shd w:val="clear" w:color="auto" w:fill="auto"/>
          </w:tcPr>
          <w:p w:rsidR="00F8237E" w:rsidRPr="005149D3" w:rsidRDefault="00F8237E" w:rsidP="00663E80">
            <w:pPr>
              <w:spacing w:after="200"/>
              <w:jc w:val="both"/>
              <w:rPr>
                <w:u w:val="single"/>
                <w:shd w:val="clear" w:color="auto" w:fill="FFFFFF"/>
                <w:lang w:val="en-GB" w:eastAsia="en-US"/>
              </w:rPr>
            </w:pPr>
            <w:r w:rsidRPr="005149D3">
              <w:rPr>
                <w:u w:val="single"/>
                <w:shd w:val="clear" w:color="auto" w:fill="FFFFFF"/>
                <w:lang w:val="en-GB" w:eastAsia="en-US"/>
              </w:rPr>
              <w:t xml:space="preserve">Ref. to reports </w:t>
            </w:r>
            <w:r w:rsidR="005149D3">
              <w:rPr>
                <w:u w:val="single"/>
                <w:shd w:val="clear" w:color="auto" w:fill="FFFFFF"/>
                <w:lang w:val="en-GB" w:eastAsia="en-US"/>
              </w:rPr>
              <w:t>/ description of scope</w:t>
            </w:r>
          </w:p>
          <w:p w:rsidR="00F8237E" w:rsidRPr="00197DCE" w:rsidRDefault="00F8237E" w:rsidP="00663E80">
            <w:pPr>
              <w:spacing w:after="200"/>
              <w:jc w:val="both"/>
              <w:rPr>
                <w:u w:val="single"/>
                <w:shd w:val="clear" w:color="auto" w:fill="FFFFFF"/>
                <w:lang w:val="en-GB" w:eastAsia="en-US"/>
              </w:rPr>
            </w:pPr>
            <w:r w:rsidRPr="00197DCE">
              <w:rPr>
                <w:u w:val="single"/>
                <w:shd w:val="clear" w:color="auto" w:fill="FFFFFF"/>
                <w:lang w:val="en-GB" w:eastAsia="en-US"/>
              </w:rPr>
              <w:t>or</w:t>
            </w:r>
          </w:p>
          <w:p w:rsidR="00BD0E6F" w:rsidRPr="005149D3" w:rsidRDefault="00F8237E" w:rsidP="00663E80">
            <w:pPr>
              <w:spacing w:after="200"/>
              <w:jc w:val="both"/>
              <w:rPr>
                <w:u w:val="single"/>
                <w:shd w:val="clear" w:color="auto" w:fill="FFFFFF"/>
                <w:lang w:val="en-GB" w:eastAsia="en-US"/>
              </w:rPr>
            </w:pPr>
            <w:r w:rsidRPr="00197DCE">
              <w:rPr>
                <w:u w:val="single"/>
                <w:shd w:val="clear" w:color="auto" w:fill="FFFFFF"/>
                <w:lang w:val="en-GB" w:eastAsia="en-US"/>
              </w:rPr>
              <w:t>Cross-reference to ACR (Section 6.4 of Annex IX of CIR)</w:t>
            </w:r>
          </w:p>
        </w:tc>
        <w:tc>
          <w:tcPr>
            <w:tcW w:w="2322" w:type="dxa"/>
            <w:shd w:val="clear" w:color="auto" w:fill="auto"/>
          </w:tcPr>
          <w:p w:rsidR="00F8237E" w:rsidRPr="005149D3" w:rsidRDefault="00F8237E" w:rsidP="00663E80">
            <w:pPr>
              <w:spacing w:after="200"/>
              <w:jc w:val="both"/>
              <w:rPr>
                <w:u w:val="single"/>
                <w:shd w:val="clear" w:color="auto" w:fill="FFFFFF"/>
                <w:lang w:val="en-GB" w:eastAsia="en-US"/>
              </w:rPr>
            </w:pPr>
            <w:r w:rsidRPr="005149D3">
              <w:rPr>
                <w:u w:val="single"/>
                <w:shd w:val="clear" w:color="auto" w:fill="FFFFFF"/>
                <w:lang w:val="en-GB" w:eastAsia="en-US"/>
              </w:rPr>
              <w:t>Ref. to reports</w:t>
            </w:r>
            <w:r w:rsidR="005149D3">
              <w:rPr>
                <w:u w:val="single"/>
                <w:shd w:val="clear" w:color="auto" w:fill="FFFFFF"/>
                <w:lang w:val="en-GB" w:eastAsia="en-US"/>
              </w:rPr>
              <w:t xml:space="preserve"> / description of scope</w:t>
            </w:r>
            <w:r w:rsidRPr="005149D3">
              <w:rPr>
                <w:u w:val="single"/>
                <w:shd w:val="clear" w:color="auto" w:fill="FFFFFF"/>
                <w:lang w:val="en-GB" w:eastAsia="en-US"/>
              </w:rPr>
              <w:t xml:space="preserve"> </w:t>
            </w:r>
          </w:p>
          <w:p w:rsidR="00F8237E" w:rsidRPr="00197DCE" w:rsidRDefault="00F8237E" w:rsidP="00663E80">
            <w:pPr>
              <w:spacing w:after="200"/>
              <w:jc w:val="both"/>
              <w:rPr>
                <w:u w:val="single"/>
                <w:shd w:val="clear" w:color="auto" w:fill="FFFFFF"/>
                <w:lang w:val="en-GB" w:eastAsia="en-US"/>
              </w:rPr>
            </w:pPr>
            <w:r w:rsidRPr="00197DCE">
              <w:rPr>
                <w:u w:val="single"/>
                <w:shd w:val="clear" w:color="auto" w:fill="FFFFFF"/>
                <w:lang w:val="en-GB" w:eastAsia="en-US"/>
              </w:rPr>
              <w:t>or</w:t>
            </w:r>
          </w:p>
          <w:p w:rsidR="00BD0E6F" w:rsidRPr="00197DCE" w:rsidRDefault="00F8237E" w:rsidP="00663E80">
            <w:pPr>
              <w:spacing w:after="200"/>
              <w:jc w:val="both"/>
              <w:rPr>
                <w:u w:val="single"/>
                <w:shd w:val="clear" w:color="auto" w:fill="FFFFFF"/>
                <w:lang w:val="en-GB" w:eastAsia="en-US"/>
              </w:rPr>
            </w:pPr>
            <w:r w:rsidRPr="00197DCE">
              <w:rPr>
                <w:u w:val="single"/>
                <w:shd w:val="clear" w:color="auto" w:fill="FFFFFF"/>
                <w:lang w:val="en-GB" w:eastAsia="en-US"/>
              </w:rPr>
              <w:t>Cross-reference to ACR (Section 6.3 of Annex IX of CIR)</w:t>
            </w:r>
          </w:p>
        </w:tc>
      </w:tr>
      <w:tr w:rsidR="000A320D" w:rsidRPr="00663E80" w:rsidTr="003753EF">
        <w:tc>
          <w:tcPr>
            <w:tcW w:w="9288" w:type="dxa"/>
            <w:gridSpan w:val="4"/>
            <w:shd w:val="clear" w:color="auto" w:fill="auto"/>
          </w:tcPr>
          <w:p w:rsidR="000A320D" w:rsidRPr="005149D3" w:rsidRDefault="00F516CA" w:rsidP="00F516CA">
            <w:pPr>
              <w:spacing w:after="200"/>
              <w:jc w:val="both"/>
              <w:rPr>
                <w:u w:val="single"/>
                <w:shd w:val="clear" w:color="auto" w:fill="FFFFFF"/>
                <w:lang w:val="en-GB" w:eastAsia="en-US"/>
              </w:rPr>
            </w:pPr>
            <w:r>
              <w:rPr>
                <w:rFonts w:eastAsia="Calibri"/>
                <w:szCs w:val="22"/>
                <w:lang w:val="en-GB" w:eastAsia="en-US"/>
              </w:rPr>
              <w:t xml:space="preserve">Amount of </w:t>
            </w:r>
            <w:r w:rsidR="000A320D">
              <w:rPr>
                <w:rFonts w:eastAsia="Calibri"/>
                <w:szCs w:val="22"/>
                <w:lang w:val="en-GB" w:eastAsia="en-US"/>
              </w:rPr>
              <w:t xml:space="preserve">corrections </w:t>
            </w:r>
            <w:r>
              <w:rPr>
                <w:rFonts w:eastAsia="Calibri"/>
                <w:szCs w:val="22"/>
                <w:lang w:val="en-GB" w:eastAsia="en-US"/>
              </w:rPr>
              <w:t xml:space="preserve">in the accounts as a result of irregularities detected and implemented </w:t>
            </w:r>
            <w:r>
              <w:rPr>
                <w:rFonts w:eastAsia="Calibri"/>
                <w:szCs w:val="22"/>
                <w:lang w:val="en-GB" w:eastAsia="en-US"/>
              </w:rPr>
              <w:lastRenderedPageBreak/>
              <w:t xml:space="preserve">after the submission of the final interim payment claim </w:t>
            </w:r>
            <w:r w:rsidR="000A320D">
              <w:rPr>
                <w:rFonts w:eastAsia="Calibri"/>
                <w:szCs w:val="22"/>
                <w:lang w:val="en-GB" w:eastAsia="en-US"/>
              </w:rPr>
              <w:t>(ref. table on reconciliation of expenditure – Appendix 8 of Commission Implementing Regulation No 1011/2014). Indicate whether these relate to individual or systemic irregularities.</w:t>
            </w:r>
          </w:p>
        </w:tc>
      </w:tr>
      <w:tr w:rsidR="004C36AD" w:rsidRPr="00663E80" w:rsidTr="003753EF">
        <w:tc>
          <w:tcPr>
            <w:tcW w:w="4644" w:type="dxa"/>
            <w:gridSpan w:val="2"/>
            <w:vMerge w:val="restart"/>
            <w:shd w:val="clear" w:color="auto" w:fill="auto"/>
          </w:tcPr>
          <w:p w:rsidR="004C36AD" w:rsidRPr="005149D3" w:rsidRDefault="004C36AD" w:rsidP="00663E80">
            <w:pPr>
              <w:spacing w:after="200"/>
              <w:jc w:val="both"/>
              <w:rPr>
                <w:u w:val="single"/>
                <w:shd w:val="clear" w:color="auto" w:fill="FFFFFF"/>
                <w:lang w:val="en-GB" w:eastAsia="en-US"/>
              </w:rPr>
            </w:pPr>
            <w:r>
              <w:rPr>
                <w:rFonts w:eastAsia="Calibri"/>
                <w:b/>
                <w:szCs w:val="22"/>
                <w:u w:val="single"/>
                <w:lang w:val="en-GB" w:eastAsia="en-US"/>
              </w:rPr>
              <w:lastRenderedPageBreak/>
              <w:t>Priority axis</w:t>
            </w:r>
          </w:p>
        </w:tc>
        <w:tc>
          <w:tcPr>
            <w:tcW w:w="4644" w:type="dxa"/>
            <w:gridSpan w:val="2"/>
            <w:shd w:val="clear" w:color="auto" w:fill="auto"/>
          </w:tcPr>
          <w:p w:rsidR="004C36AD" w:rsidRPr="005149D3" w:rsidRDefault="004C36AD" w:rsidP="00654BB5">
            <w:pPr>
              <w:spacing w:after="200"/>
              <w:jc w:val="center"/>
              <w:rPr>
                <w:u w:val="single"/>
                <w:shd w:val="clear" w:color="auto" w:fill="FFFFFF"/>
                <w:lang w:val="en-GB" w:eastAsia="en-US"/>
              </w:rPr>
            </w:pPr>
            <w:r w:rsidRPr="00802EBD">
              <w:rPr>
                <w:rFonts w:eastAsia="Calibri"/>
                <w:b/>
                <w:szCs w:val="22"/>
                <w:u w:val="single"/>
                <w:lang w:val="en-GB" w:eastAsia="en-US"/>
              </w:rPr>
              <w:t>Aggregated amount</w:t>
            </w:r>
          </w:p>
        </w:tc>
      </w:tr>
      <w:tr w:rsidR="004C36AD" w:rsidRPr="00663E80" w:rsidTr="00610CD3">
        <w:tc>
          <w:tcPr>
            <w:tcW w:w="4644" w:type="dxa"/>
            <w:gridSpan w:val="2"/>
            <w:vMerge/>
            <w:shd w:val="clear" w:color="auto" w:fill="auto"/>
          </w:tcPr>
          <w:p w:rsidR="004C36AD" w:rsidRDefault="004C36AD" w:rsidP="00663E80">
            <w:pPr>
              <w:spacing w:after="200"/>
              <w:jc w:val="both"/>
              <w:rPr>
                <w:rFonts w:eastAsia="Calibri"/>
                <w:b/>
                <w:szCs w:val="22"/>
                <w:u w:val="single"/>
                <w:lang w:val="en-GB" w:eastAsia="en-US"/>
              </w:rPr>
            </w:pPr>
          </w:p>
        </w:tc>
        <w:tc>
          <w:tcPr>
            <w:tcW w:w="2322" w:type="dxa"/>
            <w:shd w:val="clear" w:color="auto" w:fill="auto"/>
          </w:tcPr>
          <w:p w:rsidR="004C36AD" w:rsidRPr="00654BB5" w:rsidRDefault="004C36AD" w:rsidP="00654BB5">
            <w:pPr>
              <w:spacing w:after="200"/>
              <w:jc w:val="center"/>
              <w:rPr>
                <w:rFonts w:eastAsia="Calibri"/>
                <w:szCs w:val="22"/>
                <w:lang w:val="en-GB" w:eastAsia="en-US"/>
              </w:rPr>
            </w:pPr>
            <w:r w:rsidRPr="00654BB5">
              <w:rPr>
                <w:rFonts w:eastAsia="Calibri"/>
                <w:szCs w:val="22"/>
                <w:lang w:val="en-GB" w:eastAsia="en-US"/>
              </w:rPr>
              <w:t>Individual irregularities</w:t>
            </w:r>
          </w:p>
        </w:tc>
        <w:tc>
          <w:tcPr>
            <w:tcW w:w="2322" w:type="dxa"/>
            <w:shd w:val="clear" w:color="auto" w:fill="auto"/>
          </w:tcPr>
          <w:p w:rsidR="004C36AD" w:rsidRPr="00654BB5" w:rsidRDefault="004C36AD" w:rsidP="00654BB5">
            <w:pPr>
              <w:spacing w:after="200"/>
              <w:jc w:val="center"/>
              <w:rPr>
                <w:rFonts w:eastAsia="Calibri"/>
                <w:szCs w:val="22"/>
                <w:lang w:val="en-GB" w:eastAsia="en-US"/>
              </w:rPr>
            </w:pPr>
            <w:r w:rsidRPr="00654BB5">
              <w:rPr>
                <w:rFonts w:eastAsia="Calibri"/>
                <w:szCs w:val="22"/>
                <w:lang w:val="en-GB" w:eastAsia="en-US"/>
              </w:rPr>
              <w:t>Systemic irregularities</w:t>
            </w:r>
          </w:p>
        </w:tc>
      </w:tr>
      <w:tr w:rsidR="000A320D" w:rsidRPr="00663E80" w:rsidTr="003753EF">
        <w:tc>
          <w:tcPr>
            <w:tcW w:w="4644" w:type="dxa"/>
            <w:gridSpan w:val="2"/>
            <w:shd w:val="clear" w:color="auto" w:fill="auto"/>
          </w:tcPr>
          <w:p w:rsidR="000A320D" w:rsidRPr="005149D3" w:rsidRDefault="000A320D" w:rsidP="00663E80">
            <w:pPr>
              <w:spacing w:after="200"/>
              <w:jc w:val="both"/>
              <w:rPr>
                <w:u w:val="single"/>
                <w:shd w:val="clear" w:color="auto" w:fill="FFFFFF"/>
                <w:lang w:val="en-GB" w:eastAsia="en-US"/>
              </w:rPr>
            </w:pPr>
            <w:r>
              <w:rPr>
                <w:rFonts w:eastAsia="Calibri"/>
                <w:b/>
                <w:szCs w:val="22"/>
                <w:u w:val="single"/>
                <w:lang w:val="en-GB" w:eastAsia="en-US"/>
              </w:rPr>
              <w:t>Priority axis 1</w:t>
            </w:r>
          </w:p>
        </w:tc>
        <w:tc>
          <w:tcPr>
            <w:tcW w:w="4644" w:type="dxa"/>
            <w:gridSpan w:val="2"/>
            <w:shd w:val="clear" w:color="auto" w:fill="auto"/>
          </w:tcPr>
          <w:p w:rsidR="000A320D" w:rsidRPr="005149D3" w:rsidRDefault="000A320D" w:rsidP="00663E80">
            <w:pPr>
              <w:spacing w:after="200"/>
              <w:jc w:val="both"/>
              <w:rPr>
                <w:u w:val="single"/>
                <w:shd w:val="clear" w:color="auto" w:fill="FFFFFF"/>
                <w:lang w:val="en-GB" w:eastAsia="en-US"/>
              </w:rPr>
            </w:pPr>
          </w:p>
        </w:tc>
      </w:tr>
      <w:tr w:rsidR="000A320D" w:rsidRPr="00663E80" w:rsidTr="003753EF">
        <w:tc>
          <w:tcPr>
            <w:tcW w:w="4644" w:type="dxa"/>
            <w:gridSpan w:val="2"/>
            <w:shd w:val="clear" w:color="auto" w:fill="auto"/>
          </w:tcPr>
          <w:p w:rsidR="000A320D" w:rsidRPr="005149D3" w:rsidRDefault="000A320D" w:rsidP="00663E80">
            <w:pPr>
              <w:spacing w:after="200"/>
              <w:jc w:val="both"/>
              <w:rPr>
                <w:u w:val="single"/>
                <w:shd w:val="clear" w:color="auto" w:fill="FFFFFF"/>
                <w:lang w:val="en-GB" w:eastAsia="en-US"/>
              </w:rPr>
            </w:pPr>
            <w:r>
              <w:rPr>
                <w:rFonts w:eastAsia="Calibri"/>
                <w:b/>
                <w:szCs w:val="22"/>
                <w:u w:val="single"/>
                <w:lang w:val="en-GB" w:eastAsia="en-US"/>
              </w:rPr>
              <w:t>Priority axis n</w:t>
            </w:r>
          </w:p>
        </w:tc>
        <w:tc>
          <w:tcPr>
            <w:tcW w:w="4644" w:type="dxa"/>
            <w:gridSpan w:val="2"/>
            <w:shd w:val="clear" w:color="auto" w:fill="auto"/>
          </w:tcPr>
          <w:p w:rsidR="000A320D" w:rsidRPr="005149D3" w:rsidRDefault="000A320D" w:rsidP="00663E80">
            <w:pPr>
              <w:spacing w:after="200"/>
              <w:jc w:val="both"/>
              <w:rPr>
                <w:u w:val="single"/>
                <w:shd w:val="clear" w:color="auto" w:fill="FFFFFF"/>
                <w:lang w:val="en-GB" w:eastAsia="en-US"/>
              </w:rPr>
            </w:pPr>
          </w:p>
        </w:tc>
      </w:tr>
    </w:tbl>
    <w:p w:rsidR="00BD0E6F" w:rsidRPr="00B41E8E" w:rsidRDefault="00BD0E6F" w:rsidP="00AA4CCA">
      <w:pPr>
        <w:spacing w:after="200"/>
        <w:jc w:val="both"/>
        <w:rPr>
          <w:u w:val="single"/>
          <w:shd w:val="clear" w:color="auto" w:fill="FFFFFF"/>
          <w:lang w:val="en-GB" w:eastAsia="en-US"/>
        </w:rPr>
      </w:pPr>
    </w:p>
    <w:p w:rsidR="00B41E8E" w:rsidRPr="00B41E8E" w:rsidRDefault="00B41E8E" w:rsidP="00B41E8E">
      <w:pPr>
        <w:spacing w:before="120" w:after="120"/>
        <w:jc w:val="both"/>
        <w:rPr>
          <w:shd w:val="clear" w:color="auto" w:fill="FFFFFF"/>
          <w:lang w:val="en-GB" w:eastAsia="en-US"/>
        </w:rPr>
      </w:pPr>
    </w:p>
    <w:p w:rsidR="00B41E8E" w:rsidRPr="00044AFB" w:rsidRDefault="00B41E8E" w:rsidP="00044AFB">
      <w:pPr>
        <w:spacing w:before="120" w:after="200" w:line="276" w:lineRule="auto"/>
        <w:jc w:val="both"/>
        <w:rPr>
          <w:u w:val="single"/>
          <w:shd w:val="clear" w:color="auto" w:fill="FFFFFF"/>
          <w:lang w:val="en-GB" w:eastAsia="en-US"/>
        </w:rPr>
      </w:pPr>
      <w:r w:rsidRPr="00B41E8E">
        <w:rPr>
          <w:lang w:val="en-GB" w:eastAsia="en-US"/>
        </w:rPr>
        <w:t xml:space="preserve">B) </w:t>
      </w:r>
      <w:r w:rsidRPr="00B41E8E">
        <w:rPr>
          <w:u w:val="single"/>
          <w:shd w:val="clear" w:color="auto" w:fill="FFFFFF"/>
          <w:lang w:val="en-GB" w:eastAsia="en-US"/>
        </w:rPr>
        <w:t xml:space="preserve">Summary of the controls carried out </w:t>
      </w:r>
      <w:r w:rsidR="00894599">
        <w:rPr>
          <w:u w:val="single"/>
          <w:shd w:val="clear" w:color="auto" w:fill="FFFFFF"/>
          <w:lang w:val="en-GB" w:eastAsia="en-US"/>
        </w:rPr>
        <w:t xml:space="preserve">on expenditure </w:t>
      </w:r>
      <w:r w:rsidR="00E075DC">
        <w:rPr>
          <w:u w:val="single"/>
          <w:shd w:val="clear" w:color="auto" w:fill="FFFFFF"/>
          <w:lang w:val="en-GB" w:eastAsia="en-US"/>
        </w:rPr>
        <w:t>in relation to</w:t>
      </w:r>
      <w:r w:rsidRPr="00B41E8E">
        <w:rPr>
          <w:u w:val="single"/>
          <w:shd w:val="clear" w:color="auto" w:fill="FFFFFF"/>
          <w:lang w:val="en-GB" w:eastAsia="en-US"/>
        </w:rPr>
        <w:t xml:space="preserve"> </w:t>
      </w:r>
      <w:r w:rsidR="00044AFB" w:rsidRPr="004B4443">
        <w:rPr>
          <w:rFonts w:eastAsia="Calibri"/>
          <w:szCs w:val="20"/>
          <w:u w:val="single"/>
          <w:lang w:val="en" w:eastAsia="en-GB"/>
        </w:rPr>
        <w:t xml:space="preserve">the accounting year </w:t>
      </w:r>
      <w:r w:rsidR="00044AFB" w:rsidRPr="004B4443">
        <w:rPr>
          <w:rFonts w:eastAsia="Calibri"/>
          <w:color w:val="000000"/>
          <w:szCs w:val="20"/>
          <w:u w:val="single"/>
          <w:lang w:val="en-GB" w:eastAsia="en-GB"/>
        </w:rPr>
        <w:t>ended 30 June … (year)</w:t>
      </w:r>
      <w:r w:rsidR="00044AFB">
        <w:rPr>
          <w:rFonts w:eastAsia="Calibri"/>
          <w:color w:val="000000"/>
          <w:szCs w:val="20"/>
          <w:u w:val="single"/>
          <w:lang w:val="en-GB" w:eastAsia="en-GB"/>
        </w:rPr>
        <w:t xml:space="preserve">: </w:t>
      </w:r>
      <w:r w:rsidR="00044AFB" w:rsidRPr="00D368C0">
        <w:rPr>
          <w:rFonts w:eastAsia="Calibri"/>
          <w:b/>
          <w:color w:val="000000"/>
          <w:szCs w:val="20"/>
          <w:u w:val="single"/>
          <w:lang w:val="en-GB" w:eastAsia="en-GB"/>
        </w:rPr>
        <w:t>administrative verifications</w:t>
      </w:r>
      <w:r w:rsidR="00044AFB">
        <w:rPr>
          <w:rFonts w:eastAsia="Calibri"/>
          <w:color w:val="000000"/>
          <w:szCs w:val="20"/>
          <w:u w:val="single"/>
          <w:lang w:val="en-GB" w:eastAsia="en-GB"/>
        </w:rPr>
        <w:t xml:space="preserve"> pursuant to Article 125(5</w:t>
      </w:r>
      <w:proofErr w:type="gramStart"/>
      <w:r w:rsidR="00044AFB">
        <w:rPr>
          <w:rFonts w:eastAsia="Calibri"/>
          <w:color w:val="000000"/>
          <w:szCs w:val="20"/>
          <w:u w:val="single"/>
          <w:lang w:val="en-GB" w:eastAsia="en-GB"/>
        </w:rPr>
        <w:t>)(</w:t>
      </w:r>
      <w:proofErr w:type="gramEnd"/>
      <w:r w:rsidR="00044AFB">
        <w:rPr>
          <w:rFonts w:eastAsia="Calibri"/>
          <w:color w:val="000000"/>
          <w:szCs w:val="20"/>
          <w:u w:val="single"/>
          <w:lang w:val="en-GB" w:eastAsia="en-GB"/>
        </w:rPr>
        <w:t xml:space="preserve">a) of  </w:t>
      </w:r>
      <w:r w:rsidR="00044AFB" w:rsidRPr="004B4443">
        <w:rPr>
          <w:rFonts w:eastAsia="Calibri"/>
          <w:szCs w:val="20"/>
          <w:u w:val="single"/>
          <w:lang w:val="en" w:eastAsia="en-GB"/>
        </w:rPr>
        <w:t>Regulation (EU) No 1303/2013</w:t>
      </w:r>
    </w:p>
    <w:p w:rsidR="00B41E8E" w:rsidRPr="00044AFB" w:rsidRDefault="00B41E8E" w:rsidP="00B41E8E">
      <w:pPr>
        <w:spacing w:before="120" w:after="120"/>
        <w:jc w:val="both"/>
        <w:rPr>
          <w:i/>
          <w:shd w:val="clear" w:color="auto" w:fill="FFFFFF"/>
          <w:lang w:val="en-GB" w:eastAsia="en-US"/>
        </w:rPr>
      </w:pPr>
      <w:r w:rsidRPr="00B41E8E">
        <w:rPr>
          <w:shd w:val="clear" w:color="auto" w:fill="FFFFFF"/>
          <w:lang w:val="en-GB" w:eastAsia="en-US"/>
        </w:rPr>
        <w:t xml:space="preserve">Provide a brief description or summary of </w:t>
      </w:r>
    </w:p>
    <w:p w:rsidR="00B41E8E" w:rsidRPr="00B41E8E" w:rsidRDefault="00B41E8E" w:rsidP="00B41E8E">
      <w:pPr>
        <w:numPr>
          <w:ilvl w:val="0"/>
          <w:numId w:val="7"/>
        </w:numPr>
        <w:spacing w:before="120" w:after="120"/>
        <w:jc w:val="both"/>
        <w:rPr>
          <w:rFonts w:eastAsia="Calibri"/>
          <w:szCs w:val="22"/>
          <w:lang w:val="en-GB" w:eastAsia="en-US"/>
        </w:rPr>
      </w:pPr>
      <w:proofErr w:type="gramStart"/>
      <w:r w:rsidRPr="00B41E8E">
        <w:rPr>
          <w:rFonts w:eastAsia="Calibri"/>
          <w:szCs w:val="22"/>
          <w:lang w:val="en-GB" w:eastAsia="en-US"/>
        </w:rPr>
        <w:t>the</w:t>
      </w:r>
      <w:proofErr w:type="gramEnd"/>
      <w:r w:rsidRPr="00B41E8E">
        <w:rPr>
          <w:rFonts w:eastAsia="Calibri"/>
          <w:szCs w:val="22"/>
          <w:lang w:val="en-GB" w:eastAsia="en-US"/>
        </w:rPr>
        <w:t xml:space="preserve"> </w:t>
      </w:r>
      <w:r w:rsidR="00894599">
        <w:rPr>
          <w:rFonts w:eastAsia="Calibri"/>
          <w:szCs w:val="22"/>
          <w:lang w:val="en-GB" w:eastAsia="en-US"/>
        </w:rPr>
        <w:t>methodology</w:t>
      </w:r>
      <w:r w:rsidRPr="00B41E8E">
        <w:rPr>
          <w:rFonts w:eastAsia="Calibri"/>
          <w:szCs w:val="22"/>
          <w:lang w:val="en-GB" w:eastAsia="en-US"/>
        </w:rPr>
        <w:t xml:space="preserve"> adopted</w:t>
      </w:r>
      <w:r w:rsidR="006C3CD7">
        <w:rPr>
          <w:rFonts w:eastAsia="Calibri"/>
          <w:szCs w:val="22"/>
          <w:lang w:val="en-GB" w:eastAsia="en-US"/>
        </w:rPr>
        <w:t xml:space="preserve"> and details of risk assessment made</w:t>
      </w:r>
      <w:r w:rsidR="00DD5992">
        <w:rPr>
          <w:rFonts w:eastAsia="Calibri"/>
          <w:szCs w:val="22"/>
          <w:lang w:val="en-GB" w:eastAsia="en-US"/>
        </w:rPr>
        <w:t xml:space="preserve">: verification of each expenditure item or on a sample basis. In the latter case, </w:t>
      </w:r>
      <w:r w:rsidR="008E1A8C">
        <w:rPr>
          <w:rFonts w:eastAsia="Calibri"/>
          <w:szCs w:val="22"/>
          <w:lang w:val="en-GB" w:eastAsia="en-US"/>
        </w:rPr>
        <w:t xml:space="preserve">indicate the sample basis, </w:t>
      </w:r>
      <w:r w:rsidR="00DD5992">
        <w:rPr>
          <w:rFonts w:eastAsia="Calibri"/>
          <w:szCs w:val="22"/>
          <w:lang w:val="en-GB" w:eastAsia="en-US"/>
        </w:rPr>
        <w:t xml:space="preserve">e.g. </w:t>
      </w:r>
      <w:r w:rsidRPr="00B41E8E">
        <w:rPr>
          <w:rFonts w:eastAsia="Calibri"/>
          <w:szCs w:val="22"/>
          <w:lang w:val="en-GB" w:eastAsia="en-US"/>
        </w:rPr>
        <w:t xml:space="preserve">by type of </w:t>
      </w:r>
      <w:r w:rsidR="001C1636">
        <w:rPr>
          <w:rFonts w:eastAsia="Calibri"/>
          <w:szCs w:val="22"/>
          <w:lang w:val="en-GB" w:eastAsia="en-US"/>
        </w:rPr>
        <w:t xml:space="preserve">beneficiary, category of </w:t>
      </w:r>
      <w:r w:rsidRPr="00B41E8E">
        <w:rPr>
          <w:rFonts w:eastAsia="Calibri"/>
          <w:szCs w:val="22"/>
          <w:lang w:val="en-GB" w:eastAsia="en-US"/>
        </w:rPr>
        <w:t xml:space="preserve">expenditure, </w:t>
      </w:r>
      <w:r w:rsidR="00DD5992">
        <w:rPr>
          <w:rFonts w:eastAsia="Calibri"/>
          <w:szCs w:val="22"/>
          <w:lang w:val="en-GB" w:eastAsia="en-US"/>
        </w:rPr>
        <w:t>value of items, past experience, etc.</w:t>
      </w:r>
    </w:p>
    <w:p w:rsidR="00B41E8E" w:rsidRPr="00B41E8E" w:rsidRDefault="00B41E8E" w:rsidP="00B41E8E">
      <w:pPr>
        <w:numPr>
          <w:ilvl w:val="0"/>
          <w:numId w:val="7"/>
        </w:numPr>
        <w:spacing w:before="120" w:after="120"/>
        <w:jc w:val="both"/>
        <w:rPr>
          <w:rFonts w:eastAsia="Calibri"/>
          <w:szCs w:val="22"/>
          <w:lang w:val="en-GB" w:eastAsia="en-US"/>
        </w:rPr>
      </w:pPr>
      <w:r w:rsidRPr="00B41E8E">
        <w:rPr>
          <w:rFonts w:eastAsia="Calibri"/>
          <w:lang w:val="en-GB" w:eastAsia="en-US"/>
        </w:rPr>
        <w:t>the main results and type</w:t>
      </w:r>
      <w:r w:rsidR="008E1A8C">
        <w:rPr>
          <w:rFonts w:eastAsia="Calibri"/>
          <w:lang w:val="en-GB" w:eastAsia="en-US"/>
        </w:rPr>
        <w:t>(s)</w:t>
      </w:r>
      <w:r w:rsidRPr="00B41E8E">
        <w:rPr>
          <w:rFonts w:eastAsia="Calibri"/>
          <w:lang w:val="en-GB" w:eastAsia="en-US"/>
        </w:rPr>
        <w:t xml:space="preserve"> of errors detected</w:t>
      </w:r>
    </w:p>
    <w:p w:rsidR="00B41E8E" w:rsidRPr="0057334D" w:rsidRDefault="00B41E8E" w:rsidP="00B41E8E">
      <w:pPr>
        <w:numPr>
          <w:ilvl w:val="0"/>
          <w:numId w:val="7"/>
        </w:numPr>
        <w:spacing w:before="120" w:after="120"/>
        <w:jc w:val="both"/>
        <w:rPr>
          <w:rFonts w:eastAsia="Calibri"/>
          <w:szCs w:val="22"/>
          <w:lang w:val="en-GB" w:eastAsia="en-US"/>
        </w:rPr>
      </w:pPr>
      <w:r w:rsidRPr="00B41E8E">
        <w:rPr>
          <w:rFonts w:eastAsia="Calibri"/>
          <w:lang w:val="en-GB" w:eastAsia="en-US"/>
        </w:rPr>
        <w:t>Conclusions drawn from these controls and, consequently, the correcti</w:t>
      </w:r>
      <w:r w:rsidR="00044AFB">
        <w:rPr>
          <w:rFonts w:eastAsia="Calibri"/>
          <w:lang w:val="en-GB" w:eastAsia="en-US"/>
        </w:rPr>
        <w:t>ve</w:t>
      </w:r>
      <w:r w:rsidRPr="00B41E8E">
        <w:rPr>
          <w:rFonts w:eastAsia="Calibri"/>
          <w:lang w:val="en-GB" w:eastAsia="en-US"/>
        </w:rPr>
        <w:t xml:space="preserve"> measures adopted regarding </w:t>
      </w:r>
      <w:r w:rsidR="0057334D">
        <w:rPr>
          <w:rFonts w:eastAsia="Calibri"/>
          <w:lang w:val="en-GB" w:eastAsia="en-US"/>
        </w:rPr>
        <w:t xml:space="preserve">e.g. </w:t>
      </w:r>
      <w:r w:rsidRPr="00B41E8E">
        <w:rPr>
          <w:rFonts w:eastAsia="Calibri"/>
          <w:lang w:val="en-GB" w:eastAsia="en-US"/>
        </w:rPr>
        <w:t xml:space="preserve">the functioning of the </w:t>
      </w:r>
      <w:r w:rsidR="008E1A8C">
        <w:rPr>
          <w:rFonts w:eastAsia="Calibri"/>
          <w:lang w:val="en-GB" w:eastAsia="en-US"/>
        </w:rPr>
        <w:t xml:space="preserve">management and control </w:t>
      </w:r>
      <w:r w:rsidRPr="00B41E8E">
        <w:rPr>
          <w:rFonts w:eastAsia="Calibri"/>
          <w:lang w:val="en-GB" w:eastAsia="en-US"/>
        </w:rPr>
        <w:t>system</w:t>
      </w:r>
      <w:r w:rsidR="008E1A8C">
        <w:rPr>
          <w:rFonts w:eastAsia="Calibri"/>
          <w:lang w:val="en-GB" w:eastAsia="en-US"/>
        </w:rPr>
        <w:t xml:space="preserve">, </w:t>
      </w:r>
      <w:r w:rsidR="0057334D">
        <w:rPr>
          <w:rFonts w:eastAsia="Calibri"/>
          <w:lang w:val="en-GB" w:eastAsia="en-US"/>
        </w:rPr>
        <w:t>in particular in case of detection of systemic irregularities, the need for update of the methodology for management verifications and/or of instructions or guidance to beneficiaries, etc</w:t>
      </w:r>
      <w:r w:rsidRPr="00B41E8E">
        <w:rPr>
          <w:rFonts w:eastAsia="Calibri"/>
          <w:lang w:val="en-GB" w:eastAsia="en-US"/>
        </w:rPr>
        <w:t>.</w:t>
      </w:r>
    </w:p>
    <w:p w:rsidR="0057334D" w:rsidRPr="00894599" w:rsidRDefault="0057334D" w:rsidP="00B41E8E">
      <w:pPr>
        <w:numPr>
          <w:ilvl w:val="0"/>
          <w:numId w:val="7"/>
        </w:numPr>
        <w:spacing w:before="120" w:after="120"/>
        <w:jc w:val="both"/>
        <w:rPr>
          <w:rFonts w:eastAsia="Calibri"/>
          <w:szCs w:val="22"/>
          <w:lang w:val="en-GB" w:eastAsia="en-US"/>
        </w:rPr>
      </w:pPr>
      <w:r>
        <w:rPr>
          <w:rFonts w:eastAsia="Calibri"/>
          <w:szCs w:val="22"/>
          <w:lang w:val="en-GB" w:eastAsia="en-US"/>
        </w:rPr>
        <w:t xml:space="preserve">Financial corrections applied, per priority axis, as a result of management verifications carried out after the end of the accounting year and in relation to expenditure to be entered in the accounts </w:t>
      </w:r>
    </w:p>
    <w:p w:rsidR="00894599" w:rsidRDefault="00894599" w:rsidP="00AA4CCA">
      <w:pPr>
        <w:spacing w:before="120" w:after="120"/>
        <w:jc w:val="both"/>
        <w:rPr>
          <w:rFonts w:eastAsia="Calibri"/>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268"/>
        <w:gridCol w:w="2268"/>
      </w:tblGrid>
      <w:tr w:rsidR="00AE24D8" w:rsidRPr="00663E80" w:rsidTr="00AE24D8">
        <w:tc>
          <w:tcPr>
            <w:tcW w:w="8897" w:type="dxa"/>
            <w:gridSpan w:val="3"/>
            <w:shd w:val="clear" w:color="auto" w:fill="auto"/>
          </w:tcPr>
          <w:p w:rsidR="00AE24D8" w:rsidRDefault="00AE24D8" w:rsidP="00AE24D8">
            <w:pPr>
              <w:spacing w:before="120" w:after="120"/>
              <w:rPr>
                <w:rFonts w:eastAsia="Calibri"/>
                <w:szCs w:val="22"/>
                <w:lang w:val="en-GB" w:eastAsia="en-US"/>
              </w:rPr>
            </w:pPr>
            <w:r w:rsidRPr="00663E80">
              <w:rPr>
                <w:rFonts w:eastAsia="Calibri"/>
                <w:szCs w:val="22"/>
                <w:lang w:val="en-GB" w:eastAsia="en-US"/>
              </w:rPr>
              <w:t>Description of the methodology</w:t>
            </w:r>
            <w:r w:rsidR="0057334D">
              <w:rPr>
                <w:rFonts w:eastAsia="Calibri"/>
                <w:szCs w:val="22"/>
                <w:lang w:val="en-GB" w:eastAsia="en-US"/>
              </w:rPr>
              <w:t xml:space="preserve"> applied:</w:t>
            </w:r>
          </w:p>
          <w:p w:rsidR="00AE24D8" w:rsidRDefault="00AE24D8" w:rsidP="00AE24D8">
            <w:pPr>
              <w:spacing w:before="120" w:after="120"/>
              <w:rPr>
                <w:rFonts w:eastAsia="Calibri"/>
                <w:szCs w:val="22"/>
                <w:lang w:val="en-GB" w:eastAsia="en-US"/>
              </w:rPr>
            </w:pPr>
          </w:p>
          <w:p w:rsidR="00AE24D8" w:rsidRPr="00663E80" w:rsidRDefault="00AE24D8" w:rsidP="00AE24D8">
            <w:pPr>
              <w:spacing w:before="120" w:after="120"/>
              <w:rPr>
                <w:rFonts w:eastAsia="Calibri"/>
                <w:szCs w:val="22"/>
                <w:lang w:val="en-GB" w:eastAsia="en-US"/>
              </w:rPr>
            </w:pPr>
          </w:p>
        </w:tc>
      </w:tr>
      <w:tr w:rsidR="00AE24D8" w:rsidRPr="00663E80" w:rsidTr="00AE24D8">
        <w:tc>
          <w:tcPr>
            <w:tcW w:w="4361" w:type="dxa"/>
            <w:shd w:val="clear" w:color="auto" w:fill="auto"/>
          </w:tcPr>
          <w:p w:rsidR="00AE24D8" w:rsidRPr="00663E80" w:rsidRDefault="00AE24D8" w:rsidP="00AE24D8">
            <w:pPr>
              <w:spacing w:before="120" w:after="120"/>
              <w:rPr>
                <w:rFonts w:eastAsia="Calibri"/>
                <w:szCs w:val="22"/>
                <w:lang w:val="en-GB" w:eastAsia="en-US"/>
              </w:rPr>
            </w:pPr>
            <w:r w:rsidRPr="00AE24D8">
              <w:rPr>
                <w:rFonts w:eastAsia="Calibri"/>
                <w:b/>
                <w:szCs w:val="22"/>
                <w:u w:val="single"/>
                <w:lang w:val="en-GB" w:eastAsia="en-US"/>
              </w:rPr>
              <w:t>Main results</w:t>
            </w:r>
            <w:r w:rsidRPr="00663E80">
              <w:rPr>
                <w:rFonts w:eastAsia="Calibri"/>
                <w:szCs w:val="22"/>
                <w:lang w:val="en-GB" w:eastAsia="en-US"/>
              </w:rPr>
              <w:t xml:space="preserve"> and type of errors detected</w:t>
            </w:r>
          </w:p>
        </w:tc>
        <w:tc>
          <w:tcPr>
            <w:tcW w:w="4536" w:type="dxa"/>
            <w:gridSpan w:val="2"/>
            <w:shd w:val="clear" w:color="auto" w:fill="auto"/>
          </w:tcPr>
          <w:p w:rsidR="00AE24D8" w:rsidRPr="00663E80" w:rsidRDefault="00AE24D8" w:rsidP="00282CA7">
            <w:pPr>
              <w:spacing w:before="120" w:after="120"/>
              <w:jc w:val="center"/>
              <w:rPr>
                <w:rFonts w:eastAsia="Calibri"/>
                <w:szCs w:val="22"/>
                <w:lang w:val="en-GB" w:eastAsia="en-US"/>
              </w:rPr>
            </w:pPr>
            <w:r w:rsidRPr="00663E80">
              <w:rPr>
                <w:rFonts w:eastAsia="Calibri"/>
                <w:szCs w:val="22"/>
                <w:lang w:val="en-GB" w:eastAsia="en-US"/>
              </w:rPr>
              <w:t xml:space="preserve">Conclusions drawn and corrective </w:t>
            </w:r>
            <w:r w:rsidR="00282CA7">
              <w:rPr>
                <w:rFonts w:eastAsia="Calibri"/>
                <w:szCs w:val="22"/>
                <w:lang w:val="en-GB" w:eastAsia="en-US"/>
              </w:rPr>
              <w:t>action</w:t>
            </w:r>
            <w:r w:rsidRPr="00663E80">
              <w:rPr>
                <w:rFonts w:eastAsia="Calibri"/>
                <w:szCs w:val="22"/>
                <w:lang w:val="en-GB" w:eastAsia="en-US"/>
              </w:rPr>
              <w:t xml:space="preserve"> </w:t>
            </w:r>
            <w:r w:rsidR="00282CA7">
              <w:rPr>
                <w:rFonts w:eastAsia="Calibri"/>
                <w:szCs w:val="22"/>
                <w:lang w:val="en-GB" w:eastAsia="en-US"/>
              </w:rPr>
              <w:t>taken or planned</w:t>
            </w:r>
          </w:p>
        </w:tc>
      </w:tr>
      <w:tr w:rsidR="00AE24D8" w:rsidRPr="00663E80" w:rsidTr="00AE24D8">
        <w:tc>
          <w:tcPr>
            <w:tcW w:w="4361" w:type="dxa"/>
            <w:shd w:val="clear" w:color="auto" w:fill="auto"/>
          </w:tcPr>
          <w:p w:rsidR="00AE24D8" w:rsidRPr="00033448" w:rsidRDefault="00AE24D8" w:rsidP="00663E80">
            <w:pPr>
              <w:spacing w:before="120" w:after="120"/>
              <w:jc w:val="both"/>
              <w:rPr>
                <w:rFonts w:eastAsia="Calibri"/>
                <w:b/>
                <w:szCs w:val="22"/>
                <w:u w:val="single"/>
                <w:lang w:val="en-GB" w:eastAsia="en-US"/>
              </w:rPr>
            </w:pPr>
            <w:r>
              <w:rPr>
                <w:rFonts w:eastAsia="Calibri"/>
                <w:b/>
                <w:szCs w:val="22"/>
                <w:u w:val="single"/>
                <w:lang w:val="en-GB" w:eastAsia="en-US"/>
              </w:rPr>
              <w:t>[Example of m</w:t>
            </w:r>
            <w:r w:rsidRPr="00033448">
              <w:rPr>
                <w:rFonts w:eastAsia="Calibri"/>
                <w:b/>
                <w:szCs w:val="22"/>
                <w:u w:val="single"/>
                <w:lang w:val="en-GB" w:eastAsia="en-US"/>
              </w:rPr>
              <w:t>ain type of errors detected</w:t>
            </w:r>
          </w:p>
          <w:p w:rsidR="00AE24D8" w:rsidRPr="00663E80" w:rsidRDefault="00AE24D8" w:rsidP="00663E80">
            <w:pPr>
              <w:spacing w:before="120" w:after="120"/>
              <w:jc w:val="both"/>
              <w:rPr>
                <w:rFonts w:eastAsia="Calibri"/>
                <w:szCs w:val="22"/>
                <w:lang w:val="en-GB" w:eastAsia="en-US"/>
              </w:rPr>
            </w:pPr>
            <w:r w:rsidRPr="00663E80">
              <w:rPr>
                <w:rFonts w:eastAsia="Calibri"/>
                <w:szCs w:val="22"/>
                <w:lang w:val="en-GB" w:eastAsia="en-US"/>
              </w:rPr>
              <w:t>Ineligible projects</w:t>
            </w:r>
          </w:p>
          <w:p w:rsidR="00AE24D8" w:rsidRPr="00663E80" w:rsidRDefault="00AE24D8" w:rsidP="00663E80">
            <w:pPr>
              <w:spacing w:before="120" w:after="120"/>
              <w:jc w:val="both"/>
              <w:rPr>
                <w:rFonts w:eastAsia="Calibri"/>
                <w:szCs w:val="22"/>
                <w:lang w:val="en-GB" w:eastAsia="en-US"/>
              </w:rPr>
            </w:pPr>
            <w:r w:rsidRPr="00663E80">
              <w:rPr>
                <w:rFonts w:eastAsia="Calibri"/>
                <w:szCs w:val="22"/>
                <w:lang w:val="en-GB" w:eastAsia="en-US"/>
              </w:rPr>
              <w:t>Ineligible expenditure</w:t>
            </w:r>
          </w:p>
          <w:p w:rsidR="00AE24D8" w:rsidRPr="00663E80" w:rsidRDefault="00AE24D8" w:rsidP="00663E80">
            <w:pPr>
              <w:spacing w:before="120" w:after="120"/>
              <w:jc w:val="both"/>
              <w:rPr>
                <w:rFonts w:eastAsia="Calibri"/>
                <w:szCs w:val="22"/>
                <w:lang w:val="en-GB" w:eastAsia="en-US"/>
              </w:rPr>
            </w:pPr>
            <w:r w:rsidRPr="00663E80">
              <w:rPr>
                <w:rFonts w:eastAsia="Calibri"/>
                <w:szCs w:val="22"/>
                <w:lang w:val="en-GB" w:eastAsia="en-US"/>
              </w:rPr>
              <w:t>Public Procurement</w:t>
            </w:r>
          </w:p>
          <w:p w:rsidR="00AE24D8" w:rsidRPr="00663E80" w:rsidRDefault="00AE24D8" w:rsidP="00663E80">
            <w:pPr>
              <w:spacing w:before="120" w:after="120"/>
              <w:jc w:val="both"/>
              <w:rPr>
                <w:rFonts w:eastAsia="Calibri"/>
                <w:szCs w:val="22"/>
                <w:lang w:val="en-GB" w:eastAsia="en-US"/>
              </w:rPr>
            </w:pPr>
            <w:r w:rsidRPr="00663E80">
              <w:rPr>
                <w:rFonts w:eastAsia="Calibri"/>
                <w:szCs w:val="22"/>
                <w:lang w:val="en-GB" w:eastAsia="en-US"/>
              </w:rPr>
              <w:lastRenderedPageBreak/>
              <w:t>State Aid</w:t>
            </w:r>
          </w:p>
          <w:p w:rsidR="00AE24D8" w:rsidRPr="00663E80" w:rsidRDefault="00AE24D8" w:rsidP="00663E80">
            <w:pPr>
              <w:spacing w:before="120" w:after="120"/>
              <w:jc w:val="both"/>
              <w:rPr>
                <w:rFonts w:eastAsia="Calibri"/>
                <w:szCs w:val="22"/>
                <w:lang w:val="en-GB" w:eastAsia="en-US"/>
              </w:rPr>
            </w:pPr>
            <w:r w:rsidRPr="00663E80">
              <w:rPr>
                <w:rFonts w:eastAsia="Calibri"/>
                <w:szCs w:val="22"/>
                <w:lang w:val="en-GB" w:eastAsia="en-US"/>
              </w:rPr>
              <w:t>Financial Instrument</w:t>
            </w:r>
          </w:p>
          <w:p w:rsidR="00AE24D8" w:rsidRPr="00663E80" w:rsidRDefault="00AE24D8" w:rsidP="00663E80">
            <w:pPr>
              <w:spacing w:before="120" w:after="120"/>
              <w:jc w:val="both"/>
              <w:rPr>
                <w:rFonts w:eastAsia="Calibri"/>
                <w:szCs w:val="22"/>
                <w:lang w:val="en-GB" w:eastAsia="en-US"/>
              </w:rPr>
            </w:pPr>
            <w:r w:rsidRPr="00663E80">
              <w:rPr>
                <w:rFonts w:eastAsia="Calibri"/>
                <w:szCs w:val="22"/>
                <w:lang w:val="en-GB" w:eastAsia="en-US"/>
              </w:rPr>
              <w:t>Revenue generating operations</w:t>
            </w:r>
          </w:p>
          <w:p w:rsidR="00AE24D8" w:rsidRPr="00663E80" w:rsidRDefault="00AE24D8" w:rsidP="00663E80">
            <w:pPr>
              <w:spacing w:before="120" w:after="120"/>
              <w:jc w:val="both"/>
              <w:rPr>
                <w:rFonts w:eastAsia="Calibri"/>
                <w:szCs w:val="22"/>
                <w:lang w:val="en-GB" w:eastAsia="en-US"/>
              </w:rPr>
            </w:pPr>
            <w:r w:rsidRPr="00663E80">
              <w:rPr>
                <w:rFonts w:eastAsia="Calibri"/>
                <w:szCs w:val="22"/>
                <w:lang w:val="en-GB" w:eastAsia="en-US"/>
              </w:rPr>
              <w:t>Reliability of data / indicators</w:t>
            </w:r>
          </w:p>
          <w:p w:rsidR="00AE24D8" w:rsidRPr="00663E80" w:rsidRDefault="00AE24D8" w:rsidP="00663E80">
            <w:pPr>
              <w:spacing w:before="120" w:after="120"/>
              <w:jc w:val="both"/>
              <w:rPr>
                <w:rFonts w:eastAsia="Calibri"/>
                <w:szCs w:val="22"/>
                <w:lang w:val="en-GB" w:eastAsia="en-US"/>
              </w:rPr>
            </w:pPr>
            <w:r w:rsidRPr="00663E80">
              <w:rPr>
                <w:rFonts w:eastAsia="Calibri"/>
                <w:szCs w:val="22"/>
                <w:lang w:val="en-GB" w:eastAsia="en-US"/>
              </w:rPr>
              <w:t>Information and publicity measures</w:t>
            </w:r>
          </w:p>
          <w:p w:rsidR="00AE24D8" w:rsidRPr="00663E80" w:rsidRDefault="00AE24D8" w:rsidP="00663E80">
            <w:pPr>
              <w:spacing w:before="120" w:after="120"/>
              <w:jc w:val="both"/>
              <w:rPr>
                <w:rFonts w:eastAsia="Calibri"/>
                <w:szCs w:val="22"/>
                <w:lang w:val="en-GB" w:eastAsia="en-US"/>
              </w:rPr>
            </w:pPr>
            <w:r w:rsidRPr="00663E80">
              <w:rPr>
                <w:rFonts w:eastAsia="Calibri"/>
                <w:szCs w:val="22"/>
                <w:lang w:val="en-GB" w:eastAsia="en-US"/>
              </w:rPr>
              <w:t>Environmental rules</w:t>
            </w:r>
          </w:p>
          <w:p w:rsidR="00AE24D8" w:rsidRPr="00663E80" w:rsidRDefault="00AE24D8" w:rsidP="00663E80">
            <w:pPr>
              <w:spacing w:before="120" w:after="120"/>
              <w:jc w:val="both"/>
              <w:rPr>
                <w:rFonts w:eastAsia="Calibri"/>
                <w:szCs w:val="22"/>
                <w:lang w:val="en-GB" w:eastAsia="en-US"/>
              </w:rPr>
            </w:pPr>
            <w:r w:rsidRPr="00663E80">
              <w:rPr>
                <w:rFonts w:eastAsia="Calibri"/>
                <w:szCs w:val="22"/>
                <w:lang w:val="en-GB" w:eastAsia="en-US"/>
              </w:rPr>
              <w:t>Equal opportunities</w:t>
            </w:r>
          </w:p>
          <w:p w:rsidR="00AE24D8" w:rsidRPr="00663E80" w:rsidRDefault="00F33921" w:rsidP="00663E80">
            <w:pPr>
              <w:spacing w:before="120" w:after="120"/>
              <w:jc w:val="both"/>
              <w:rPr>
                <w:rFonts w:eastAsia="Calibri"/>
                <w:szCs w:val="22"/>
                <w:lang w:val="en-GB" w:eastAsia="en-US"/>
              </w:rPr>
            </w:pPr>
            <w:r>
              <w:rPr>
                <w:rFonts w:eastAsia="Calibri"/>
                <w:szCs w:val="22"/>
                <w:lang w:val="en-GB" w:eastAsia="en-US"/>
              </w:rPr>
              <w:t>[</w:t>
            </w:r>
            <w:r w:rsidR="00AE24D8" w:rsidRPr="00663E80">
              <w:rPr>
                <w:rFonts w:eastAsia="Calibri"/>
                <w:szCs w:val="22"/>
                <w:lang w:val="en-GB" w:eastAsia="en-US"/>
              </w:rPr>
              <w:t>Other]</w:t>
            </w:r>
          </w:p>
        </w:tc>
        <w:tc>
          <w:tcPr>
            <w:tcW w:w="4536" w:type="dxa"/>
            <w:gridSpan w:val="2"/>
            <w:shd w:val="clear" w:color="auto" w:fill="auto"/>
          </w:tcPr>
          <w:p w:rsidR="00AE24D8" w:rsidRPr="00663E80" w:rsidRDefault="00AE24D8" w:rsidP="00663E80">
            <w:pPr>
              <w:spacing w:before="120" w:after="120"/>
              <w:jc w:val="both"/>
              <w:rPr>
                <w:rFonts w:eastAsia="Calibri"/>
                <w:szCs w:val="22"/>
                <w:lang w:val="en-GB" w:eastAsia="en-US"/>
              </w:rPr>
            </w:pPr>
          </w:p>
        </w:tc>
      </w:tr>
      <w:tr w:rsidR="0051408D" w:rsidRPr="00663E80" w:rsidTr="003753EF">
        <w:tc>
          <w:tcPr>
            <w:tcW w:w="8897" w:type="dxa"/>
            <w:gridSpan w:val="3"/>
            <w:shd w:val="clear" w:color="auto" w:fill="auto"/>
          </w:tcPr>
          <w:p w:rsidR="0051408D" w:rsidRDefault="00282CA7" w:rsidP="00CA07E2">
            <w:pPr>
              <w:spacing w:before="120" w:after="120"/>
              <w:jc w:val="both"/>
              <w:rPr>
                <w:rFonts w:eastAsia="Calibri"/>
                <w:szCs w:val="22"/>
                <w:lang w:val="en-GB" w:eastAsia="en-US"/>
              </w:rPr>
            </w:pPr>
            <w:r>
              <w:rPr>
                <w:rFonts w:eastAsia="Calibri"/>
                <w:szCs w:val="22"/>
                <w:lang w:val="en-GB" w:eastAsia="en-US"/>
              </w:rPr>
              <w:lastRenderedPageBreak/>
              <w:t xml:space="preserve">Amount of </w:t>
            </w:r>
            <w:r w:rsidR="00377064">
              <w:rPr>
                <w:rFonts w:eastAsia="Calibri"/>
                <w:szCs w:val="22"/>
                <w:lang w:val="en-GB" w:eastAsia="en-US"/>
              </w:rPr>
              <w:t xml:space="preserve">corrections </w:t>
            </w:r>
            <w:r>
              <w:rPr>
                <w:rFonts w:eastAsia="Calibri"/>
                <w:szCs w:val="22"/>
                <w:lang w:val="en-GB" w:eastAsia="en-US"/>
              </w:rPr>
              <w:t xml:space="preserve">in the accounts as a result of irregularities detected </w:t>
            </w:r>
            <w:r w:rsidR="00CA07E2">
              <w:rPr>
                <w:rFonts w:eastAsia="Calibri"/>
                <w:szCs w:val="22"/>
                <w:lang w:val="en-GB" w:eastAsia="en-US"/>
              </w:rPr>
              <w:t>and implemented after the submission of the final interim payment claim</w:t>
            </w:r>
            <w:r w:rsidR="0051408D">
              <w:rPr>
                <w:rFonts w:eastAsia="Calibri"/>
                <w:szCs w:val="22"/>
                <w:lang w:val="en-GB" w:eastAsia="en-US"/>
              </w:rPr>
              <w:t xml:space="preserve"> (ref. table on reconciliation of expenditure – Appendix 8 of Commission Implementing Regulation No 1011/2014)</w:t>
            </w:r>
            <w:r w:rsidR="000A320D">
              <w:rPr>
                <w:rFonts w:eastAsia="Calibri"/>
                <w:szCs w:val="22"/>
                <w:lang w:val="en-GB" w:eastAsia="en-US"/>
              </w:rPr>
              <w:t xml:space="preserve">. Indicate whether these relate to individual or systemic irregularities. </w:t>
            </w:r>
          </w:p>
        </w:tc>
      </w:tr>
      <w:tr w:rsidR="00D04119" w:rsidRPr="00663E80" w:rsidTr="00B11A77">
        <w:tc>
          <w:tcPr>
            <w:tcW w:w="4361" w:type="dxa"/>
            <w:shd w:val="clear" w:color="auto" w:fill="auto"/>
          </w:tcPr>
          <w:p w:rsidR="00D04119" w:rsidRDefault="00D04119" w:rsidP="000B5316">
            <w:pPr>
              <w:spacing w:before="120" w:after="120"/>
              <w:jc w:val="both"/>
              <w:rPr>
                <w:rFonts w:eastAsia="Calibri"/>
                <w:b/>
                <w:szCs w:val="22"/>
                <w:u w:val="single"/>
                <w:lang w:val="en-GB" w:eastAsia="en-US"/>
              </w:rPr>
            </w:pPr>
            <w:r>
              <w:rPr>
                <w:rFonts w:eastAsia="Calibri"/>
                <w:b/>
                <w:szCs w:val="22"/>
                <w:u w:val="single"/>
                <w:lang w:val="en-GB" w:eastAsia="en-US"/>
              </w:rPr>
              <w:t xml:space="preserve">Priority axis </w:t>
            </w:r>
          </w:p>
        </w:tc>
        <w:tc>
          <w:tcPr>
            <w:tcW w:w="4536" w:type="dxa"/>
            <w:gridSpan w:val="2"/>
            <w:shd w:val="clear" w:color="auto" w:fill="auto"/>
          </w:tcPr>
          <w:p w:rsidR="00D04119" w:rsidRPr="003753EF" w:rsidRDefault="0051408D" w:rsidP="00654BB5">
            <w:pPr>
              <w:spacing w:before="120" w:after="120"/>
              <w:jc w:val="center"/>
              <w:rPr>
                <w:rFonts w:eastAsia="Calibri"/>
                <w:b/>
                <w:szCs w:val="22"/>
                <w:u w:val="single"/>
                <w:lang w:val="en-GB" w:eastAsia="en-US"/>
              </w:rPr>
            </w:pPr>
            <w:r w:rsidRPr="003753EF">
              <w:rPr>
                <w:rFonts w:eastAsia="Calibri"/>
                <w:b/>
                <w:szCs w:val="22"/>
                <w:u w:val="single"/>
                <w:lang w:val="en-GB" w:eastAsia="en-US"/>
              </w:rPr>
              <w:t>Aggregated amount</w:t>
            </w:r>
          </w:p>
        </w:tc>
      </w:tr>
      <w:tr w:rsidR="0067090E" w:rsidRPr="00663E80" w:rsidTr="00610CD3">
        <w:trPr>
          <w:trHeight w:val="255"/>
        </w:trPr>
        <w:tc>
          <w:tcPr>
            <w:tcW w:w="4361" w:type="dxa"/>
            <w:shd w:val="clear" w:color="auto" w:fill="auto"/>
          </w:tcPr>
          <w:p w:rsidR="0067090E" w:rsidRDefault="0067090E" w:rsidP="000B5316">
            <w:pPr>
              <w:spacing w:before="120" w:after="120"/>
              <w:jc w:val="both"/>
              <w:rPr>
                <w:rFonts w:eastAsia="Calibri"/>
                <w:b/>
                <w:szCs w:val="22"/>
                <w:u w:val="single"/>
                <w:lang w:val="en-GB" w:eastAsia="en-US"/>
              </w:rPr>
            </w:pPr>
          </w:p>
        </w:tc>
        <w:tc>
          <w:tcPr>
            <w:tcW w:w="2268" w:type="dxa"/>
            <w:shd w:val="clear" w:color="auto" w:fill="auto"/>
          </w:tcPr>
          <w:p w:rsidR="0067090E" w:rsidRPr="00654BB5" w:rsidRDefault="0067090E" w:rsidP="00654BB5">
            <w:pPr>
              <w:spacing w:before="120" w:after="120"/>
              <w:jc w:val="center"/>
              <w:rPr>
                <w:rFonts w:eastAsia="Calibri"/>
                <w:szCs w:val="22"/>
                <w:lang w:val="en-GB" w:eastAsia="en-US"/>
              </w:rPr>
            </w:pPr>
            <w:r w:rsidRPr="00654BB5">
              <w:rPr>
                <w:rFonts w:eastAsia="Calibri"/>
                <w:szCs w:val="22"/>
                <w:lang w:val="en-GB" w:eastAsia="en-US"/>
              </w:rPr>
              <w:t>Individual irregularities</w:t>
            </w:r>
          </w:p>
        </w:tc>
        <w:tc>
          <w:tcPr>
            <w:tcW w:w="2268" w:type="dxa"/>
            <w:shd w:val="clear" w:color="auto" w:fill="auto"/>
          </w:tcPr>
          <w:p w:rsidR="0067090E" w:rsidRPr="00654BB5" w:rsidRDefault="0067090E" w:rsidP="00654BB5">
            <w:pPr>
              <w:spacing w:before="120" w:after="120"/>
              <w:jc w:val="center"/>
              <w:rPr>
                <w:rFonts w:eastAsia="Calibri"/>
                <w:szCs w:val="22"/>
                <w:lang w:val="en-GB" w:eastAsia="en-US"/>
              </w:rPr>
            </w:pPr>
            <w:r w:rsidRPr="00654BB5">
              <w:rPr>
                <w:rFonts w:eastAsia="Calibri"/>
                <w:szCs w:val="22"/>
                <w:lang w:val="en-GB" w:eastAsia="en-US"/>
              </w:rPr>
              <w:t>Systemic irregularities</w:t>
            </w:r>
          </w:p>
        </w:tc>
      </w:tr>
      <w:tr w:rsidR="0067090E" w:rsidRPr="00663E80" w:rsidTr="00610CD3">
        <w:tc>
          <w:tcPr>
            <w:tcW w:w="4361" w:type="dxa"/>
            <w:shd w:val="clear" w:color="auto" w:fill="auto"/>
          </w:tcPr>
          <w:p w:rsidR="0067090E" w:rsidRDefault="0067090E" w:rsidP="000B5316">
            <w:pPr>
              <w:spacing w:before="120" w:after="120"/>
              <w:jc w:val="both"/>
              <w:rPr>
                <w:rFonts w:eastAsia="Calibri"/>
                <w:b/>
                <w:szCs w:val="22"/>
                <w:u w:val="single"/>
                <w:lang w:val="en-GB" w:eastAsia="en-US"/>
              </w:rPr>
            </w:pPr>
            <w:r>
              <w:rPr>
                <w:rFonts w:eastAsia="Calibri"/>
                <w:b/>
                <w:szCs w:val="22"/>
                <w:u w:val="single"/>
                <w:lang w:val="en-GB" w:eastAsia="en-US"/>
              </w:rPr>
              <w:t>Priority axis 1</w:t>
            </w:r>
          </w:p>
        </w:tc>
        <w:tc>
          <w:tcPr>
            <w:tcW w:w="2268" w:type="dxa"/>
            <w:shd w:val="clear" w:color="auto" w:fill="auto"/>
          </w:tcPr>
          <w:p w:rsidR="0067090E" w:rsidRPr="00663E80" w:rsidRDefault="0067090E" w:rsidP="000B5316">
            <w:pPr>
              <w:spacing w:before="120" w:after="120"/>
              <w:jc w:val="both"/>
              <w:rPr>
                <w:rFonts w:eastAsia="Calibri"/>
                <w:szCs w:val="22"/>
                <w:lang w:val="en-GB" w:eastAsia="en-US"/>
              </w:rPr>
            </w:pPr>
          </w:p>
        </w:tc>
        <w:tc>
          <w:tcPr>
            <w:tcW w:w="2268" w:type="dxa"/>
            <w:shd w:val="clear" w:color="auto" w:fill="auto"/>
          </w:tcPr>
          <w:p w:rsidR="0067090E" w:rsidRPr="00663E80" w:rsidRDefault="0067090E" w:rsidP="000B5316">
            <w:pPr>
              <w:spacing w:before="120" w:after="120"/>
              <w:jc w:val="both"/>
              <w:rPr>
                <w:rFonts w:eastAsia="Calibri"/>
                <w:szCs w:val="22"/>
                <w:lang w:val="en-GB" w:eastAsia="en-US"/>
              </w:rPr>
            </w:pPr>
          </w:p>
        </w:tc>
      </w:tr>
      <w:tr w:rsidR="0067090E" w:rsidRPr="00663E80" w:rsidTr="00610CD3">
        <w:tc>
          <w:tcPr>
            <w:tcW w:w="4361" w:type="dxa"/>
            <w:shd w:val="clear" w:color="auto" w:fill="auto"/>
          </w:tcPr>
          <w:p w:rsidR="0067090E" w:rsidRDefault="0067090E" w:rsidP="000B5316">
            <w:pPr>
              <w:spacing w:before="120" w:after="120"/>
              <w:jc w:val="both"/>
              <w:rPr>
                <w:rFonts w:eastAsia="Calibri"/>
                <w:b/>
                <w:szCs w:val="22"/>
                <w:u w:val="single"/>
                <w:lang w:val="en-GB" w:eastAsia="en-US"/>
              </w:rPr>
            </w:pPr>
            <w:r>
              <w:rPr>
                <w:rFonts w:eastAsia="Calibri"/>
                <w:b/>
                <w:szCs w:val="22"/>
                <w:u w:val="single"/>
                <w:lang w:val="en-GB" w:eastAsia="en-US"/>
              </w:rPr>
              <w:t>Priority axis n</w:t>
            </w:r>
          </w:p>
        </w:tc>
        <w:tc>
          <w:tcPr>
            <w:tcW w:w="2268" w:type="dxa"/>
            <w:shd w:val="clear" w:color="auto" w:fill="auto"/>
          </w:tcPr>
          <w:p w:rsidR="0067090E" w:rsidRPr="00663E80" w:rsidRDefault="0067090E" w:rsidP="000B5316">
            <w:pPr>
              <w:spacing w:before="120" w:after="120"/>
              <w:jc w:val="both"/>
              <w:rPr>
                <w:rFonts w:eastAsia="Calibri"/>
                <w:szCs w:val="22"/>
                <w:lang w:val="en-GB" w:eastAsia="en-US"/>
              </w:rPr>
            </w:pPr>
          </w:p>
        </w:tc>
        <w:tc>
          <w:tcPr>
            <w:tcW w:w="2268" w:type="dxa"/>
            <w:shd w:val="clear" w:color="auto" w:fill="auto"/>
          </w:tcPr>
          <w:p w:rsidR="0067090E" w:rsidRPr="00663E80" w:rsidRDefault="0067090E" w:rsidP="000B5316">
            <w:pPr>
              <w:spacing w:before="120" w:after="120"/>
              <w:jc w:val="both"/>
              <w:rPr>
                <w:rFonts w:eastAsia="Calibri"/>
                <w:szCs w:val="22"/>
                <w:lang w:val="en-GB" w:eastAsia="en-US"/>
              </w:rPr>
            </w:pPr>
          </w:p>
        </w:tc>
      </w:tr>
    </w:tbl>
    <w:p w:rsidR="0057334D" w:rsidRDefault="0057334D" w:rsidP="00044AFB">
      <w:pPr>
        <w:spacing w:before="120" w:after="200" w:line="276" w:lineRule="auto"/>
        <w:jc w:val="both"/>
        <w:rPr>
          <w:lang w:val="en-GB" w:eastAsia="en-US"/>
        </w:rPr>
      </w:pPr>
    </w:p>
    <w:p w:rsidR="0057334D" w:rsidRDefault="0057334D" w:rsidP="00044AFB">
      <w:pPr>
        <w:spacing w:before="120" w:after="200" w:line="276" w:lineRule="auto"/>
        <w:jc w:val="both"/>
        <w:rPr>
          <w:lang w:val="en-GB" w:eastAsia="en-US"/>
        </w:rPr>
      </w:pPr>
    </w:p>
    <w:p w:rsidR="00044AFB" w:rsidRDefault="00B41E8E" w:rsidP="00044AFB">
      <w:pPr>
        <w:spacing w:before="120" w:after="200" w:line="276" w:lineRule="auto"/>
        <w:jc w:val="both"/>
        <w:rPr>
          <w:rFonts w:eastAsia="Calibri"/>
          <w:szCs w:val="20"/>
          <w:u w:val="single"/>
          <w:lang w:val="en" w:eastAsia="en-GB"/>
        </w:rPr>
      </w:pPr>
      <w:r w:rsidRPr="00B41E8E">
        <w:rPr>
          <w:lang w:val="en-GB" w:eastAsia="en-US"/>
        </w:rPr>
        <w:t xml:space="preserve">C) </w:t>
      </w:r>
      <w:r w:rsidR="00044AFB" w:rsidRPr="00B41E8E">
        <w:rPr>
          <w:u w:val="single"/>
          <w:shd w:val="clear" w:color="auto" w:fill="FFFFFF"/>
          <w:lang w:val="en-GB" w:eastAsia="en-US"/>
        </w:rPr>
        <w:t xml:space="preserve">Summary of the controls carried out </w:t>
      </w:r>
      <w:r w:rsidR="008F6CA9">
        <w:rPr>
          <w:u w:val="single"/>
          <w:shd w:val="clear" w:color="auto" w:fill="FFFFFF"/>
          <w:lang w:val="en-GB" w:eastAsia="en-US"/>
        </w:rPr>
        <w:t xml:space="preserve">on expenditure </w:t>
      </w:r>
      <w:r w:rsidR="00E075DC">
        <w:rPr>
          <w:u w:val="single"/>
          <w:shd w:val="clear" w:color="auto" w:fill="FFFFFF"/>
          <w:lang w:val="en-GB" w:eastAsia="en-US"/>
        </w:rPr>
        <w:t xml:space="preserve">in relation to </w:t>
      </w:r>
      <w:r w:rsidR="00044AFB" w:rsidRPr="004B4443">
        <w:rPr>
          <w:rFonts w:eastAsia="Calibri"/>
          <w:szCs w:val="20"/>
          <w:u w:val="single"/>
          <w:lang w:val="en" w:eastAsia="en-GB"/>
        </w:rPr>
        <w:t xml:space="preserve">the accounting year </w:t>
      </w:r>
      <w:r w:rsidR="00044AFB" w:rsidRPr="004B4443">
        <w:rPr>
          <w:rFonts w:eastAsia="Calibri"/>
          <w:color w:val="000000"/>
          <w:szCs w:val="20"/>
          <w:u w:val="single"/>
          <w:lang w:val="en-GB" w:eastAsia="en-GB"/>
        </w:rPr>
        <w:t>ended 30 June … (year)</w:t>
      </w:r>
      <w:r w:rsidR="00044AFB">
        <w:rPr>
          <w:rFonts w:eastAsia="Calibri"/>
          <w:color w:val="000000"/>
          <w:szCs w:val="20"/>
          <w:u w:val="single"/>
          <w:lang w:val="en-GB" w:eastAsia="en-GB"/>
        </w:rPr>
        <w:t xml:space="preserve">: </w:t>
      </w:r>
      <w:r w:rsidR="00044AFB" w:rsidRPr="00D368C0">
        <w:rPr>
          <w:rFonts w:eastAsia="Calibri"/>
          <w:b/>
          <w:color w:val="000000"/>
          <w:szCs w:val="20"/>
          <w:u w:val="single"/>
          <w:lang w:val="en-GB" w:eastAsia="en-GB"/>
        </w:rPr>
        <w:t>on-the-spot verifications</w:t>
      </w:r>
      <w:r w:rsidR="00044AFB">
        <w:rPr>
          <w:rFonts w:eastAsia="Calibri"/>
          <w:color w:val="000000"/>
          <w:szCs w:val="20"/>
          <w:u w:val="single"/>
          <w:lang w:val="en-GB" w:eastAsia="en-GB"/>
        </w:rPr>
        <w:t xml:space="preserve"> pursuant to Article 125(5</w:t>
      </w:r>
      <w:proofErr w:type="gramStart"/>
      <w:r w:rsidR="00044AFB">
        <w:rPr>
          <w:rFonts w:eastAsia="Calibri"/>
          <w:color w:val="000000"/>
          <w:szCs w:val="20"/>
          <w:u w:val="single"/>
          <w:lang w:val="en-GB" w:eastAsia="en-GB"/>
        </w:rPr>
        <w:t>)(</w:t>
      </w:r>
      <w:proofErr w:type="gramEnd"/>
      <w:r w:rsidR="00044AFB">
        <w:rPr>
          <w:rFonts w:eastAsia="Calibri"/>
          <w:color w:val="000000"/>
          <w:szCs w:val="20"/>
          <w:u w:val="single"/>
          <w:lang w:val="en-GB" w:eastAsia="en-GB"/>
        </w:rPr>
        <w:t xml:space="preserve">b) of  </w:t>
      </w:r>
      <w:r w:rsidR="00044AFB" w:rsidRPr="004B4443">
        <w:rPr>
          <w:rFonts w:eastAsia="Calibri"/>
          <w:szCs w:val="20"/>
          <w:u w:val="single"/>
          <w:lang w:val="en" w:eastAsia="en-GB"/>
        </w:rPr>
        <w:t>Regulation (EU) No 1303/2013</w:t>
      </w:r>
    </w:p>
    <w:p w:rsidR="00D368C0" w:rsidRPr="00044AFB" w:rsidRDefault="00D368C0" w:rsidP="00D368C0">
      <w:pPr>
        <w:spacing w:before="120" w:after="120"/>
        <w:jc w:val="both"/>
        <w:rPr>
          <w:i/>
          <w:shd w:val="clear" w:color="auto" w:fill="FFFFFF"/>
          <w:lang w:val="en-GB" w:eastAsia="en-US"/>
        </w:rPr>
      </w:pPr>
      <w:r w:rsidRPr="00B41E8E">
        <w:rPr>
          <w:shd w:val="clear" w:color="auto" w:fill="FFFFFF"/>
          <w:lang w:val="en-GB" w:eastAsia="en-US"/>
        </w:rPr>
        <w:t xml:space="preserve">Provide </w:t>
      </w:r>
      <w:r w:rsidR="00D20C85">
        <w:rPr>
          <w:shd w:val="clear" w:color="auto" w:fill="FFFFFF"/>
          <w:lang w:val="en-GB" w:eastAsia="en-US"/>
        </w:rPr>
        <w:t xml:space="preserve">the total </w:t>
      </w:r>
      <w:r w:rsidR="00D20C85" w:rsidRPr="00AA4CCA">
        <w:rPr>
          <w:shd w:val="clear" w:color="auto" w:fill="FFFFFF"/>
          <w:lang w:val="en-GB" w:eastAsia="en-US"/>
        </w:rPr>
        <w:t>number of on-the-spot verifications carried out</w:t>
      </w:r>
      <w:r w:rsidR="00D20C85">
        <w:rPr>
          <w:shd w:val="clear" w:color="auto" w:fill="FFFFFF"/>
          <w:lang w:val="en-GB" w:eastAsia="en-US"/>
        </w:rPr>
        <w:t xml:space="preserve"> and</w:t>
      </w:r>
      <w:r w:rsidR="00ED511F">
        <w:rPr>
          <w:shd w:val="clear" w:color="auto" w:fill="FFFFFF"/>
          <w:lang w:val="en-GB" w:eastAsia="en-US"/>
        </w:rPr>
        <w:t xml:space="preserve"> </w:t>
      </w:r>
      <w:r w:rsidRPr="00B41E8E">
        <w:rPr>
          <w:shd w:val="clear" w:color="auto" w:fill="FFFFFF"/>
          <w:lang w:val="en-GB" w:eastAsia="en-US"/>
        </w:rPr>
        <w:t xml:space="preserve">a brief description or summary of </w:t>
      </w:r>
    </w:p>
    <w:p w:rsidR="00D368C0" w:rsidRPr="00B41E8E" w:rsidRDefault="00D368C0" w:rsidP="00D368C0">
      <w:pPr>
        <w:numPr>
          <w:ilvl w:val="0"/>
          <w:numId w:val="7"/>
        </w:numPr>
        <w:spacing w:before="120" w:after="120"/>
        <w:jc w:val="both"/>
        <w:rPr>
          <w:rFonts w:eastAsia="Calibri"/>
          <w:szCs w:val="22"/>
          <w:lang w:val="en-GB" w:eastAsia="en-US"/>
        </w:rPr>
      </w:pPr>
      <w:proofErr w:type="gramStart"/>
      <w:r w:rsidRPr="00B41E8E">
        <w:rPr>
          <w:rFonts w:eastAsia="Calibri"/>
          <w:szCs w:val="22"/>
          <w:lang w:val="en-GB" w:eastAsia="en-US"/>
        </w:rPr>
        <w:t>the</w:t>
      </w:r>
      <w:proofErr w:type="gramEnd"/>
      <w:r w:rsidRPr="00B41E8E">
        <w:rPr>
          <w:rFonts w:eastAsia="Calibri"/>
          <w:szCs w:val="22"/>
          <w:lang w:val="en-GB" w:eastAsia="en-US"/>
        </w:rPr>
        <w:t xml:space="preserve"> </w:t>
      </w:r>
      <w:r w:rsidR="008F6CA9">
        <w:rPr>
          <w:rFonts w:eastAsia="Calibri"/>
          <w:szCs w:val="22"/>
          <w:lang w:val="en-GB" w:eastAsia="en-US"/>
        </w:rPr>
        <w:t xml:space="preserve">methodology </w:t>
      </w:r>
      <w:r w:rsidR="0057334D">
        <w:rPr>
          <w:rFonts w:eastAsia="Calibri"/>
          <w:szCs w:val="22"/>
          <w:lang w:val="en-GB" w:eastAsia="en-US"/>
        </w:rPr>
        <w:t>applied, objective of the verifications (</w:t>
      </w:r>
      <w:r w:rsidR="008B27BA">
        <w:rPr>
          <w:rFonts w:eastAsia="Calibri"/>
          <w:szCs w:val="22"/>
          <w:lang w:val="en-GB" w:eastAsia="en-US"/>
        </w:rPr>
        <w:t xml:space="preserve">to </w:t>
      </w:r>
      <w:r w:rsidR="00DD5992">
        <w:rPr>
          <w:rFonts w:eastAsia="Calibri"/>
          <w:szCs w:val="22"/>
          <w:lang w:val="en-GB" w:eastAsia="en-US"/>
        </w:rPr>
        <w:t xml:space="preserve">confirm </w:t>
      </w:r>
      <w:r w:rsidR="008B27BA">
        <w:rPr>
          <w:rFonts w:eastAsia="Calibri"/>
          <w:szCs w:val="22"/>
          <w:lang w:val="en-GB" w:eastAsia="en-US"/>
        </w:rPr>
        <w:t xml:space="preserve">or to </w:t>
      </w:r>
      <w:r w:rsidR="00DD5992">
        <w:rPr>
          <w:rFonts w:eastAsia="Calibri"/>
          <w:szCs w:val="22"/>
          <w:lang w:val="en-GB" w:eastAsia="en-US"/>
        </w:rPr>
        <w:t xml:space="preserve">complement </w:t>
      </w:r>
      <w:r w:rsidR="008B27BA">
        <w:rPr>
          <w:rFonts w:eastAsia="Calibri"/>
          <w:szCs w:val="22"/>
          <w:lang w:val="en-GB" w:eastAsia="en-US"/>
        </w:rPr>
        <w:t xml:space="preserve">the result of </w:t>
      </w:r>
      <w:r w:rsidR="00DD5992">
        <w:rPr>
          <w:rFonts w:eastAsia="Calibri"/>
          <w:szCs w:val="22"/>
          <w:lang w:val="en-GB" w:eastAsia="en-US"/>
        </w:rPr>
        <w:t>administrative verifications</w:t>
      </w:r>
      <w:r w:rsidR="0057334D">
        <w:rPr>
          <w:rFonts w:eastAsia="Calibri"/>
          <w:szCs w:val="22"/>
          <w:lang w:val="en-GB" w:eastAsia="en-US"/>
        </w:rPr>
        <w:t>)</w:t>
      </w:r>
      <w:r w:rsidR="008B27BA">
        <w:rPr>
          <w:rFonts w:eastAsia="Calibri"/>
          <w:szCs w:val="22"/>
          <w:lang w:val="en-GB" w:eastAsia="en-US"/>
        </w:rPr>
        <w:t xml:space="preserve">; aspects verified; etc. </w:t>
      </w:r>
    </w:p>
    <w:p w:rsidR="00D368C0" w:rsidRPr="00B41E8E" w:rsidRDefault="00D368C0" w:rsidP="00D368C0">
      <w:pPr>
        <w:numPr>
          <w:ilvl w:val="0"/>
          <w:numId w:val="7"/>
        </w:numPr>
        <w:spacing w:before="120" w:after="120"/>
        <w:jc w:val="both"/>
        <w:rPr>
          <w:rFonts w:eastAsia="Calibri"/>
          <w:szCs w:val="22"/>
          <w:lang w:val="en-GB" w:eastAsia="en-US"/>
        </w:rPr>
      </w:pPr>
      <w:r w:rsidRPr="00B41E8E">
        <w:rPr>
          <w:rFonts w:eastAsia="Calibri"/>
          <w:lang w:val="en-GB" w:eastAsia="en-US"/>
        </w:rPr>
        <w:t>the main results and of the type of errors detected</w:t>
      </w:r>
    </w:p>
    <w:p w:rsidR="00D20C85" w:rsidRDefault="00D368C0" w:rsidP="00AA4CCA">
      <w:pPr>
        <w:numPr>
          <w:ilvl w:val="0"/>
          <w:numId w:val="7"/>
        </w:numPr>
        <w:spacing w:before="120" w:after="120"/>
        <w:jc w:val="both"/>
        <w:rPr>
          <w:rFonts w:eastAsia="Calibri"/>
          <w:lang w:val="en-GB" w:eastAsia="en-US"/>
        </w:rPr>
      </w:pPr>
      <w:r w:rsidRPr="00B7785E">
        <w:rPr>
          <w:rFonts w:eastAsia="Calibri"/>
          <w:lang w:val="en-GB" w:eastAsia="en-US"/>
        </w:rPr>
        <w:t xml:space="preserve">Conclusions drawn from these controls and, consequently, the corrective measures adopted regarding the functioning of </w:t>
      </w:r>
      <w:proofErr w:type="spellStart"/>
      <w:r w:rsidRPr="00B7785E">
        <w:rPr>
          <w:rFonts w:eastAsia="Calibri"/>
          <w:lang w:val="en-GB" w:eastAsia="en-US"/>
        </w:rPr>
        <w:t>the</w:t>
      </w:r>
      <w:r w:rsidR="0057334D">
        <w:rPr>
          <w:rFonts w:eastAsia="Calibri"/>
          <w:lang w:val="en-GB" w:eastAsia="en-US"/>
        </w:rPr>
        <w:t>management</w:t>
      </w:r>
      <w:proofErr w:type="spellEnd"/>
      <w:r w:rsidR="0057334D">
        <w:rPr>
          <w:rFonts w:eastAsia="Calibri"/>
          <w:lang w:val="en-GB" w:eastAsia="en-US"/>
        </w:rPr>
        <w:t xml:space="preserve"> and control </w:t>
      </w:r>
      <w:r w:rsidR="0057334D" w:rsidRPr="00B41E8E">
        <w:rPr>
          <w:rFonts w:eastAsia="Calibri"/>
          <w:lang w:val="en-GB" w:eastAsia="en-US"/>
        </w:rPr>
        <w:t>system</w:t>
      </w:r>
      <w:r w:rsidR="0057334D">
        <w:rPr>
          <w:rFonts w:eastAsia="Calibri"/>
          <w:lang w:val="en-GB" w:eastAsia="en-US"/>
        </w:rPr>
        <w:t>, in particular in case of detection of systemic irregularities, the need for update of the methodology for management verifications and/or of instructions or guidance to beneficiaries, etc</w:t>
      </w:r>
      <w:r w:rsidR="0057334D" w:rsidRPr="00B41E8E">
        <w:rPr>
          <w:rFonts w:eastAsia="Calibri"/>
          <w:lang w:val="en-GB" w:eastAsia="en-US"/>
        </w:rPr>
        <w:t>.</w:t>
      </w:r>
    </w:p>
    <w:p w:rsidR="0057334D" w:rsidRPr="0057334D" w:rsidRDefault="0057334D" w:rsidP="0057334D">
      <w:pPr>
        <w:numPr>
          <w:ilvl w:val="0"/>
          <w:numId w:val="7"/>
        </w:numPr>
        <w:spacing w:before="120" w:after="120"/>
        <w:jc w:val="both"/>
        <w:rPr>
          <w:rFonts w:eastAsia="Calibri"/>
          <w:szCs w:val="22"/>
          <w:lang w:val="en-GB" w:eastAsia="en-US"/>
        </w:rPr>
      </w:pPr>
      <w:r>
        <w:rPr>
          <w:rFonts w:eastAsia="Calibri"/>
          <w:szCs w:val="22"/>
          <w:lang w:val="en-GB" w:eastAsia="en-US"/>
        </w:rPr>
        <w:t xml:space="preserve">Financial corrections applied, per priority axis, as a result of on-the-spot verifications carried out after the end of the accounting year and in relation to expenditure to be entered in the accounts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AE24D8" w:rsidRPr="002C5CFE" w:rsidTr="00AE24D8">
        <w:tc>
          <w:tcPr>
            <w:tcW w:w="8897" w:type="dxa"/>
            <w:shd w:val="clear" w:color="auto" w:fill="auto"/>
          </w:tcPr>
          <w:p w:rsidR="00AE24D8" w:rsidRPr="002C5CFE" w:rsidRDefault="00AE24D8" w:rsidP="00AE24D8">
            <w:pPr>
              <w:spacing w:before="120" w:after="120"/>
              <w:jc w:val="both"/>
              <w:rPr>
                <w:rFonts w:eastAsia="Calibri"/>
                <w:szCs w:val="22"/>
                <w:lang w:val="en-GB" w:eastAsia="en-US"/>
              </w:rPr>
            </w:pPr>
            <w:r w:rsidRPr="00AA4CCA">
              <w:rPr>
                <w:rFonts w:eastAsia="Calibri"/>
                <w:szCs w:val="22"/>
                <w:lang w:val="en-GB" w:eastAsia="en-US"/>
              </w:rPr>
              <w:t>Total number of on-the-spot verifications</w:t>
            </w:r>
            <w:r>
              <w:rPr>
                <w:rFonts w:eastAsia="Calibri"/>
                <w:szCs w:val="22"/>
                <w:lang w:val="en-GB" w:eastAsia="en-US"/>
              </w:rPr>
              <w:t xml:space="preserve"> </w:t>
            </w:r>
            <w:r w:rsidRPr="002C5CFE">
              <w:rPr>
                <w:rFonts w:eastAsia="Calibri"/>
                <w:szCs w:val="22"/>
                <w:lang w:val="en-GB" w:eastAsia="en-US"/>
              </w:rPr>
              <w:t>[ N° ]</w:t>
            </w:r>
          </w:p>
        </w:tc>
      </w:tr>
      <w:tr w:rsidR="00AE24D8" w:rsidRPr="002C5CFE" w:rsidTr="00AE24D8">
        <w:tc>
          <w:tcPr>
            <w:tcW w:w="8897" w:type="dxa"/>
            <w:shd w:val="clear" w:color="auto" w:fill="auto"/>
          </w:tcPr>
          <w:p w:rsidR="00AE24D8" w:rsidRDefault="00AE24D8" w:rsidP="00AE24D8">
            <w:pPr>
              <w:spacing w:before="120" w:after="120"/>
              <w:rPr>
                <w:rFonts w:eastAsia="Calibri"/>
                <w:szCs w:val="22"/>
                <w:lang w:val="en-GB" w:eastAsia="en-US"/>
              </w:rPr>
            </w:pPr>
            <w:r w:rsidRPr="00663E80">
              <w:rPr>
                <w:rFonts w:eastAsia="Calibri"/>
                <w:szCs w:val="22"/>
                <w:lang w:val="en-GB" w:eastAsia="en-US"/>
              </w:rPr>
              <w:t>Description of the methodology adopted</w:t>
            </w:r>
          </w:p>
          <w:p w:rsidR="00AE24D8" w:rsidRDefault="00AE24D8" w:rsidP="00AE24D8">
            <w:pPr>
              <w:spacing w:before="120" w:after="120"/>
              <w:rPr>
                <w:rFonts w:eastAsia="Calibri"/>
                <w:szCs w:val="22"/>
                <w:lang w:val="en-GB" w:eastAsia="en-US"/>
              </w:rPr>
            </w:pPr>
          </w:p>
          <w:p w:rsidR="00AE24D8" w:rsidRPr="002C5CFE" w:rsidRDefault="00AE24D8" w:rsidP="00AE24D8">
            <w:pPr>
              <w:spacing w:before="120" w:after="120"/>
              <w:rPr>
                <w:rFonts w:eastAsia="Calibri"/>
                <w:szCs w:val="22"/>
                <w:lang w:val="en-GB" w:eastAsia="en-US"/>
              </w:rPr>
            </w:pPr>
          </w:p>
        </w:tc>
      </w:tr>
    </w:tbl>
    <w:p w:rsidR="00663E80" w:rsidRPr="00663E80" w:rsidRDefault="00663E80" w:rsidP="00663E8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97"/>
        <w:gridCol w:w="2197"/>
      </w:tblGrid>
      <w:tr w:rsidR="00AE24D8" w:rsidRPr="00663E80" w:rsidTr="00AE24D8">
        <w:tc>
          <w:tcPr>
            <w:tcW w:w="4503" w:type="dxa"/>
            <w:shd w:val="clear" w:color="auto" w:fill="auto"/>
          </w:tcPr>
          <w:p w:rsidR="00AE24D8" w:rsidRPr="00663E80" w:rsidRDefault="00AE24D8" w:rsidP="00663E80">
            <w:pPr>
              <w:spacing w:before="120" w:after="120"/>
              <w:jc w:val="center"/>
              <w:rPr>
                <w:rFonts w:eastAsia="Calibri"/>
                <w:szCs w:val="22"/>
                <w:lang w:val="en-GB" w:eastAsia="en-US"/>
              </w:rPr>
            </w:pPr>
            <w:r w:rsidRPr="00AE24D8">
              <w:rPr>
                <w:rFonts w:eastAsia="Calibri"/>
                <w:b/>
                <w:szCs w:val="22"/>
                <w:u w:val="single"/>
                <w:lang w:val="en-GB" w:eastAsia="en-US"/>
              </w:rPr>
              <w:t>Main results</w:t>
            </w:r>
            <w:r w:rsidRPr="00663E80">
              <w:rPr>
                <w:rFonts w:eastAsia="Calibri"/>
                <w:szCs w:val="22"/>
                <w:lang w:val="en-GB" w:eastAsia="en-US"/>
              </w:rPr>
              <w:t xml:space="preserve"> and type of errors detected</w:t>
            </w:r>
          </w:p>
        </w:tc>
        <w:tc>
          <w:tcPr>
            <w:tcW w:w="4394" w:type="dxa"/>
            <w:gridSpan w:val="2"/>
            <w:shd w:val="clear" w:color="auto" w:fill="auto"/>
          </w:tcPr>
          <w:p w:rsidR="00AE24D8" w:rsidRPr="00663E80" w:rsidRDefault="00AE24D8" w:rsidP="00282CA7">
            <w:pPr>
              <w:spacing w:before="120" w:after="120"/>
              <w:jc w:val="center"/>
              <w:rPr>
                <w:rFonts w:eastAsia="Calibri"/>
                <w:szCs w:val="22"/>
                <w:lang w:val="en-GB" w:eastAsia="en-US"/>
              </w:rPr>
            </w:pPr>
            <w:r w:rsidRPr="00663E80">
              <w:rPr>
                <w:rFonts w:eastAsia="Calibri"/>
                <w:szCs w:val="22"/>
                <w:lang w:val="en-GB" w:eastAsia="en-US"/>
              </w:rPr>
              <w:t xml:space="preserve">Conclusions drawn and corrective </w:t>
            </w:r>
            <w:r w:rsidR="00282CA7">
              <w:rPr>
                <w:rFonts w:eastAsia="Calibri"/>
                <w:szCs w:val="22"/>
                <w:lang w:val="en-GB" w:eastAsia="en-US"/>
              </w:rPr>
              <w:t>action taken or planned</w:t>
            </w:r>
          </w:p>
        </w:tc>
      </w:tr>
      <w:tr w:rsidR="00AE24D8" w:rsidRPr="00663E80" w:rsidTr="00AE24D8">
        <w:tc>
          <w:tcPr>
            <w:tcW w:w="4503" w:type="dxa"/>
            <w:shd w:val="clear" w:color="auto" w:fill="auto"/>
          </w:tcPr>
          <w:p w:rsidR="00AE24D8" w:rsidRPr="00663E80" w:rsidRDefault="00AE24D8" w:rsidP="00663E80">
            <w:pPr>
              <w:spacing w:before="120" w:after="120"/>
              <w:jc w:val="both"/>
              <w:rPr>
                <w:rFonts w:eastAsia="Calibri"/>
                <w:b/>
                <w:szCs w:val="22"/>
                <w:u w:val="single"/>
                <w:lang w:val="en-GB" w:eastAsia="en-US"/>
              </w:rPr>
            </w:pPr>
            <w:r>
              <w:rPr>
                <w:rFonts w:eastAsia="Calibri"/>
                <w:b/>
                <w:szCs w:val="22"/>
                <w:u w:val="single"/>
                <w:lang w:val="en-GB" w:eastAsia="en-US"/>
              </w:rPr>
              <w:t>[Example of m</w:t>
            </w:r>
            <w:r w:rsidRPr="00663E80">
              <w:rPr>
                <w:rFonts w:eastAsia="Calibri"/>
                <w:b/>
                <w:szCs w:val="22"/>
                <w:u w:val="single"/>
                <w:lang w:val="en-GB" w:eastAsia="en-US"/>
              </w:rPr>
              <w:t>ain type of errors detected</w:t>
            </w:r>
          </w:p>
          <w:p w:rsidR="00AE24D8" w:rsidRPr="00663E80" w:rsidRDefault="00AE24D8" w:rsidP="00663E80">
            <w:pPr>
              <w:spacing w:before="120" w:after="120"/>
              <w:jc w:val="both"/>
              <w:rPr>
                <w:rFonts w:eastAsia="Calibri"/>
                <w:szCs w:val="22"/>
                <w:lang w:val="en-GB" w:eastAsia="en-US"/>
              </w:rPr>
            </w:pPr>
            <w:r w:rsidRPr="00663E80">
              <w:rPr>
                <w:rFonts w:eastAsia="Calibri"/>
                <w:szCs w:val="22"/>
                <w:lang w:val="en-GB" w:eastAsia="en-US"/>
              </w:rPr>
              <w:t>Ineligible projects</w:t>
            </w:r>
          </w:p>
          <w:p w:rsidR="00AE24D8" w:rsidRPr="00663E80" w:rsidRDefault="00AE24D8" w:rsidP="00663E80">
            <w:pPr>
              <w:spacing w:before="120" w:after="120"/>
              <w:jc w:val="both"/>
              <w:rPr>
                <w:rFonts w:eastAsia="Calibri"/>
                <w:szCs w:val="22"/>
                <w:lang w:val="en-GB" w:eastAsia="en-US"/>
              </w:rPr>
            </w:pPr>
            <w:r w:rsidRPr="00663E80">
              <w:rPr>
                <w:rFonts w:eastAsia="Calibri"/>
                <w:szCs w:val="22"/>
                <w:lang w:val="en-GB" w:eastAsia="en-US"/>
              </w:rPr>
              <w:t>Ineligible expenditure</w:t>
            </w:r>
          </w:p>
          <w:p w:rsidR="00AE24D8" w:rsidRPr="00663E80" w:rsidRDefault="00AE24D8" w:rsidP="00663E80">
            <w:pPr>
              <w:spacing w:before="120" w:after="120"/>
              <w:jc w:val="both"/>
              <w:rPr>
                <w:rFonts w:eastAsia="Calibri"/>
                <w:szCs w:val="22"/>
                <w:lang w:val="en-GB" w:eastAsia="en-US"/>
              </w:rPr>
            </w:pPr>
            <w:r w:rsidRPr="00663E80">
              <w:rPr>
                <w:rFonts w:eastAsia="Calibri"/>
                <w:szCs w:val="22"/>
                <w:lang w:val="en-GB" w:eastAsia="en-US"/>
              </w:rPr>
              <w:t>Public Procurement</w:t>
            </w:r>
          </w:p>
          <w:p w:rsidR="00AE24D8" w:rsidRPr="00663E80" w:rsidRDefault="00AE24D8" w:rsidP="00663E80">
            <w:pPr>
              <w:spacing w:before="120" w:after="120"/>
              <w:jc w:val="both"/>
              <w:rPr>
                <w:rFonts w:eastAsia="Calibri"/>
                <w:szCs w:val="22"/>
                <w:lang w:val="en-GB" w:eastAsia="en-US"/>
              </w:rPr>
            </w:pPr>
            <w:r w:rsidRPr="00663E80">
              <w:rPr>
                <w:rFonts w:eastAsia="Calibri"/>
                <w:szCs w:val="22"/>
                <w:lang w:val="en-GB" w:eastAsia="en-US"/>
              </w:rPr>
              <w:t>State Aid</w:t>
            </w:r>
          </w:p>
          <w:p w:rsidR="00AE24D8" w:rsidRPr="00663E80" w:rsidRDefault="00AE24D8" w:rsidP="00663E80">
            <w:pPr>
              <w:spacing w:before="120" w:after="120"/>
              <w:jc w:val="both"/>
              <w:rPr>
                <w:rFonts w:eastAsia="Calibri"/>
                <w:szCs w:val="22"/>
                <w:lang w:val="en-GB" w:eastAsia="en-US"/>
              </w:rPr>
            </w:pPr>
            <w:r w:rsidRPr="00663E80">
              <w:rPr>
                <w:rFonts w:eastAsia="Calibri"/>
                <w:szCs w:val="22"/>
                <w:lang w:val="en-GB" w:eastAsia="en-US"/>
              </w:rPr>
              <w:t>Financial Instrument</w:t>
            </w:r>
          </w:p>
          <w:p w:rsidR="00AE24D8" w:rsidRPr="00663E80" w:rsidRDefault="00AE24D8" w:rsidP="00663E80">
            <w:pPr>
              <w:spacing w:before="120" w:after="120"/>
              <w:jc w:val="both"/>
              <w:rPr>
                <w:rFonts w:eastAsia="Calibri"/>
                <w:szCs w:val="22"/>
                <w:lang w:val="en-GB" w:eastAsia="en-US"/>
              </w:rPr>
            </w:pPr>
            <w:r w:rsidRPr="00663E80">
              <w:rPr>
                <w:rFonts w:eastAsia="Calibri"/>
                <w:szCs w:val="22"/>
                <w:lang w:val="en-GB" w:eastAsia="en-US"/>
              </w:rPr>
              <w:t>Revenue generating operations</w:t>
            </w:r>
          </w:p>
          <w:p w:rsidR="00AE24D8" w:rsidRPr="00663E80" w:rsidRDefault="00AE24D8" w:rsidP="00663E80">
            <w:pPr>
              <w:spacing w:before="120" w:after="120"/>
              <w:jc w:val="both"/>
              <w:rPr>
                <w:rFonts w:eastAsia="Calibri"/>
                <w:szCs w:val="22"/>
                <w:lang w:val="en-GB" w:eastAsia="en-US"/>
              </w:rPr>
            </w:pPr>
            <w:r w:rsidRPr="00663E80">
              <w:rPr>
                <w:rFonts w:eastAsia="Calibri"/>
                <w:szCs w:val="22"/>
                <w:lang w:val="en-GB" w:eastAsia="en-US"/>
              </w:rPr>
              <w:t>Reliability of data / indicators</w:t>
            </w:r>
          </w:p>
          <w:p w:rsidR="00AE24D8" w:rsidRPr="00663E80" w:rsidRDefault="00AE24D8" w:rsidP="00663E80">
            <w:pPr>
              <w:spacing w:before="120" w:after="120"/>
              <w:jc w:val="both"/>
              <w:rPr>
                <w:rFonts w:eastAsia="Calibri"/>
                <w:szCs w:val="22"/>
                <w:lang w:val="en-GB" w:eastAsia="en-US"/>
              </w:rPr>
            </w:pPr>
            <w:r w:rsidRPr="00663E80">
              <w:rPr>
                <w:rFonts w:eastAsia="Calibri"/>
                <w:szCs w:val="22"/>
                <w:lang w:val="en-GB" w:eastAsia="en-US"/>
              </w:rPr>
              <w:t>Information and publicity measures</w:t>
            </w:r>
          </w:p>
          <w:p w:rsidR="00AE24D8" w:rsidRPr="00663E80" w:rsidRDefault="00AE24D8" w:rsidP="00663E80">
            <w:pPr>
              <w:spacing w:before="120" w:after="120"/>
              <w:jc w:val="both"/>
              <w:rPr>
                <w:rFonts w:eastAsia="Calibri"/>
                <w:szCs w:val="22"/>
                <w:lang w:val="en-GB" w:eastAsia="en-US"/>
              </w:rPr>
            </w:pPr>
            <w:r w:rsidRPr="00663E80">
              <w:rPr>
                <w:rFonts w:eastAsia="Calibri"/>
                <w:szCs w:val="22"/>
                <w:lang w:val="en-GB" w:eastAsia="en-US"/>
              </w:rPr>
              <w:t>Environmental rules</w:t>
            </w:r>
          </w:p>
          <w:p w:rsidR="00AE24D8" w:rsidRPr="00663E80" w:rsidRDefault="00AE24D8" w:rsidP="00663E80">
            <w:pPr>
              <w:spacing w:before="120" w:after="120"/>
              <w:jc w:val="both"/>
              <w:rPr>
                <w:rFonts w:eastAsia="Calibri"/>
                <w:szCs w:val="22"/>
                <w:lang w:val="en-GB" w:eastAsia="en-US"/>
              </w:rPr>
            </w:pPr>
            <w:r w:rsidRPr="00663E80">
              <w:rPr>
                <w:rFonts w:eastAsia="Calibri"/>
                <w:szCs w:val="22"/>
                <w:lang w:val="en-GB" w:eastAsia="en-US"/>
              </w:rPr>
              <w:t>Equal opportunities</w:t>
            </w:r>
          </w:p>
          <w:p w:rsidR="00AE24D8" w:rsidRPr="00663E80" w:rsidRDefault="00AE24D8" w:rsidP="00663E80">
            <w:pPr>
              <w:spacing w:before="120" w:after="120"/>
              <w:jc w:val="both"/>
              <w:rPr>
                <w:rFonts w:eastAsia="Calibri"/>
                <w:szCs w:val="22"/>
                <w:lang w:val="en-GB" w:eastAsia="en-US"/>
              </w:rPr>
            </w:pPr>
            <w:r w:rsidRPr="00663E80">
              <w:rPr>
                <w:rFonts w:eastAsia="Calibri"/>
                <w:szCs w:val="22"/>
                <w:lang w:val="en-GB" w:eastAsia="en-US"/>
              </w:rPr>
              <w:t>Reliability of data / indicators</w:t>
            </w:r>
          </w:p>
          <w:p w:rsidR="00AE24D8" w:rsidRPr="00663E80" w:rsidRDefault="00F33921" w:rsidP="00663E80">
            <w:pPr>
              <w:spacing w:before="120" w:after="120"/>
              <w:jc w:val="both"/>
              <w:rPr>
                <w:rFonts w:eastAsia="Calibri"/>
                <w:szCs w:val="22"/>
                <w:lang w:val="en-GB" w:eastAsia="en-US"/>
              </w:rPr>
            </w:pPr>
            <w:r>
              <w:rPr>
                <w:rFonts w:eastAsia="Calibri"/>
                <w:szCs w:val="22"/>
                <w:lang w:val="en-GB" w:eastAsia="en-US"/>
              </w:rPr>
              <w:t>[</w:t>
            </w:r>
            <w:r w:rsidR="00AE24D8" w:rsidRPr="00663E80">
              <w:rPr>
                <w:rFonts w:eastAsia="Calibri"/>
                <w:szCs w:val="22"/>
                <w:lang w:val="en-GB" w:eastAsia="en-US"/>
              </w:rPr>
              <w:t>Other]</w:t>
            </w:r>
          </w:p>
        </w:tc>
        <w:tc>
          <w:tcPr>
            <w:tcW w:w="4394" w:type="dxa"/>
            <w:gridSpan w:val="2"/>
            <w:shd w:val="clear" w:color="auto" w:fill="auto"/>
          </w:tcPr>
          <w:p w:rsidR="00AE24D8" w:rsidRPr="00663E80" w:rsidRDefault="00AE24D8" w:rsidP="00663E80">
            <w:pPr>
              <w:spacing w:before="120" w:after="120"/>
              <w:jc w:val="both"/>
              <w:rPr>
                <w:rFonts w:eastAsia="Calibri"/>
                <w:szCs w:val="22"/>
                <w:lang w:val="en-GB" w:eastAsia="en-US"/>
              </w:rPr>
            </w:pPr>
          </w:p>
        </w:tc>
      </w:tr>
      <w:tr w:rsidR="0051408D" w:rsidRPr="00663E80" w:rsidTr="003753EF">
        <w:tc>
          <w:tcPr>
            <w:tcW w:w="8897" w:type="dxa"/>
            <w:gridSpan w:val="3"/>
            <w:shd w:val="clear" w:color="auto" w:fill="auto"/>
          </w:tcPr>
          <w:p w:rsidR="0051408D" w:rsidRDefault="00282CA7" w:rsidP="00282CA7">
            <w:pPr>
              <w:spacing w:before="120" w:after="120"/>
              <w:jc w:val="both"/>
              <w:rPr>
                <w:rFonts w:eastAsia="Calibri"/>
                <w:szCs w:val="22"/>
                <w:lang w:val="en-GB" w:eastAsia="en-US"/>
              </w:rPr>
            </w:pPr>
            <w:r>
              <w:rPr>
                <w:rFonts w:eastAsia="Calibri"/>
                <w:szCs w:val="22"/>
                <w:lang w:val="en-GB" w:eastAsia="en-US"/>
              </w:rPr>
              <w:t xml:space="preserve">Amount of </w:t>
            </w:r>
            <w:r w:rsidR="00377064">
              <w:rPr>
                <w:rFonts w:eastAsia="Calibri"/>
                <w:szCs w:val="22"/>
                <w:lang w:val="en-GB" w:eastAsia="en-US"/>
              </w:rPr>
              <w:t xml:space="preserve">corrections </w:t>
            </w:r>
            <w:r>
              <w:rPr>
                <w:rFonts w:eastAsia="Calibri"/>
                <w:szCs w:val="22"/>
                <w:lang w:val="en-GB" w:eastAsia="en-US"/>
              </w:rPr>
              <w:t xml:space="preserve">in the accounts as a result of irregularities detected and implemented after the </w:t>
            </w:r>
            <w:r w:rsidR="00CA07E2">
              <w:rPr>
                <w:rFonts w:eastAsia="Calibri"/>
                <w:szCs w:val="22"/>
                <w:lang w:val="en-GB" w:eastAsia="en-US"/>
              </w:rPr>
              <w:t xml:space="preserve">submission of the </w:t>
            </w:r>
            <w:r>
              <w:rPr>
                <w:rFonts w:eastAsia="Calibri"/>
                <w:szCs w:val="22"/>
                <w:lang w:val="en-GB" w:eastAsia="en-US"/>
              </w:rPr>
              <w:t xml:space="preserve">final interim payment claim. </w:t>
            </w:r>
            <w:r w:rsidR="00377064">
              <w:rPr>
                <w:rFonts w:eastAsia="Calibri"/>
                <w:szCs w:val="22"/>
                <w:lang w:val="en-GB" w:eastAsia="en-US"/>
              </w:rPr>
              <w:t>(</w:t>
            </w:r>
            <w:proofErr w:type="gramStart"/>
            <w:r w:rsidR="00377064">
              <w:rPr>
                <w:rFonts w:eastAsia="Calibri"/>
                <w:szCs w:val="22"/>
                <w:lang w:val="en-GB" w:eastAsia="en-US"/>
              </w:rPr>
              <w:t>ref</w:t>
            </w:r>
            <w:proofErr w:type="gramEnd"/>
            <w:r w:rsidR="00377064">
              <w:rPr>
                <w:rFonts w:eastAsia="Calibri"/>
                <w:szCs w:val="22"/>
                <w:lang w:val="en-GB" w:eastAsia="en-US"/>
              </w:rPr>
              <w:t>. table on reconciliation of expenditure – Appendix 8 of Commission Implementing Regulation No 1011/2014)</w:t>
            </w:r>
            <w:r w:rsidR="000A320D">
              <w:rPr>
                <w:rFonts w:eastAsia="Calibri"/>
                <w:szCs w:val="22"/>
                <w:lang w:val="en-GB" w:eastAsia="en-US"/>
              </w:rPr>
              <w:t>. Indicate whether these relate to individual or systemic irregularities.</w:t>
            </w:r>
          </w:p>
        </w:tc>
      </w:tr>
      <w:tr w:rsidR="00C94E75" w:rsidRPr="00663E80" w:rsidTr="00610CD3">
        <w:trPr>
          <w:trHeight w:val="255"/>
        </w:trPr>
        <w:tc>
          <w:tcPr>
            <w:tcW w:w="4503" w:type="dxa"/>
            <w:vMerge w:val="restart"/>
            <w:shd w:val="clear" w:color="auto" w:fill="auto"/>
          </w:tcPr>
          <w:p w:rsidR="00C94E75" w:rsidRDefault="00C94E75" w:rsidP="00663E80">
            <w:pPr>
              <w:spacing w:before="120" w:after="120"/>
              <w:jc w:val="both"/>
              <w:rPr>
                <w:rFonts w:eastAsia="Calibri"/>
                <w:b/>
                <w:szCs w:val="22"/>
                <w:u w:val="single"/>
                <w:lang w:val="en-GB" w:eastAsia="en-US"/>
              </w:rPr>
            </w:pPr>
            <w:r>
              <w:rPr>
                <w:rFonts w:eastAsia="Calibri"/>
                <w:b/>
                <w:szCs w:val="22"/>
                <w:u w:val="single"/>
                <w:lang w:val="en-GB" w:eastAsia="en-US"/>
              </w:rPr>
              <w:t xml:space="preserve">Priority axis </w:t>
            </w:r>
          </w:p>
        </w:tc>
        <w:tc>
          <w:tcPr>
            <w:tcW w:w="4394" w:type="dxa"/>
            <w:gridSpan w:val="2"/>
            <w:shd w:val="clear" w:color="auto" w:fill="auto"/>
          </w:tcPr>
          <w:p w:rsidR="00C94E75" w:rsidRPr="00663E80" w:rsidRDefault="00C94E75" w:rsidP="00654BB5">
            <w:pPr>
              <w:spacing w:before="120" w:after="120"/>
              <w:jc w:val="center"/>
              <w:rPr>
                <w:rFonts w:eastAsia="Calibri"/>
                <w:szCs w:val="22"/>
                <w:lang w:val="en-GB" w:eastAsia="en-US"/>
              </w:rPr>
            </w:pPr>
            <w:r w:rsidRPr="00521DB2">
              <w:rPr>
                <w:rFonts w:eastAsia="Calibri"/>
                <w:b/>
                <w:szCs w:val="22"/>
                <w:u w:val="single"/>
                <w:lang w:val="en-GB" w:eastAsia="en-US"/>
              </w:rPr>
              <w:t>Aggregated amount</w:t>
            </w:r>
          </w:p>
        </w:tc>
      </w:tr>
      <w:tr w:rsidR="00C94E75" w:rsidRPr="00663E80" w:rsidTr="00610CD3">
        <w:trPr>
          <w:trHeight w:val="255"/>
        </w:trPr>
        <w:tc>
          <w:tcPr>
            <w:tcW w:w="4503" w:type="dxa"/>
            <w:vMerge/>
            <w:shd w:val="clear" w:color="auto" w:fill="auto"/>
          </w:tcPr>
          <w:p w:rsidR="00C94E75" w:rsidRDefault="00C94E75" w:rsidP="00663E80">
            <w:pPr>
              <w:spacing w:before="120" w:after="120"/>
              <w:jc w:val="both"/>
              <w:rPr>
                <w:rFonts w:eastAsia="Calibri"/>
                <w:b/>
                <w:szCs w:val="22"/>
                <w:u w:val="single"/>
                <w:lang w:val="en-GB" w:eastAsia="en-US"/>
              </w:rPr>
            </w:pPr>
          </w:p>
        </w:tc>
        <w:tc>
          <w:tcPr>
            <w:tcW w:w="2197" w:type="dxa"/>
            <w:shd w:val="clear" w:color="auto" w:fill="auto"/>
          </w:tcPr>
          <w:p w:rsidR="00C94E75" w:rsidRPr="00654BB5" w:rsidRDefault="00C94E75" w:rsidP="00654BB5">
            <w:pPr>
              <w:spacing w:before="120" w:after="120"/>
              <w:jc w:val="center"/>
              <w:rPr>
                <w:rFonts w:eastAsia="Calibri"/>
                <w:szCs w:val="22"/>
                <w:lang w:val="en-GB" w:eastAsia="en-US"/>
              </w:rPr>
            </w:pPr>
            <w:r w:rsidRPr="00654BB5">
              <w:rPr>
                <w:rFonts w:eastAsia="Calibri"/>
                <w:szCs w:val="22"/>
                <w:lang w:val="en-GB" w:eastAsia="en-US"/>
              </w:rPr>
              <w:t>Individual irregularities</w:t>
            </w:r>
          </w:p>
        </w:tc>
        <w:tc>
          <w:tcPr>
            <w:tcW w:w="2197" w:type="dxa"/>
            <w:shd w:val="clear" w:color="auto" w:fill="auto"/>
          </w:tcPr>
          <w:p w:rsidR="00C94E75" w:rsidRPr="00654BB5" w:rsidRDefault="00C94E75" w:rsidP="00654BB5">
            <w:pPr>
              <w:spacing w:before="120" w:after="120"/>
              <w:jc w:val="center"/>
              <w:rPr>
                <w:rFonts w:eastAsia="Calibri"/>
                <w:szCs w:val="22"/>
                <w:lang w:val="en-GB" w:eastAsia="en-US"/>
              </w:rPr>
            </w:pPr>
            <w:r w:rsidRPr="00654BB5">
              <w:rPr>
                <w:rFonts w:eastAsia="Calibri"/>
                <w:szCs w:val="22"/>
                <w:lang w:val="en-GB" w:eastAsia="en-US"/>
              </w:rPr>
              <w:t>Systemic irregularities</w:t>
            </w:r>
          </w:p>
        </w:tc>
      </w:tr>
      <w:tr w:rsidR="00C94E75" w:rsidRPr="00663E80" w:rsidTr="00610CD3">
        <w:trPr>
          <w:trHeight w:val="255"/>
        </w:trPr>
        <w:tc>
          <w:tcPr>
            <w:tcW w:w="4503" w:type="dxa"/>
            <w:shd w:val="clear" w:color="auto" w:fill="auto"/>
          </w:tcPr>
          <w:p w:rsidR="00C94E75" w:rsidRDefault="00C94E75" w:rsidP="00663E80">
            <w:pPr>
              <w:spacing w:before="120" w:after="120"/>
              <w:jc w:val="both"/>
              <w:rPr>
                <w:rFonts w:eastAsia="Calibri"/>
                <w:b/>
                <w:szCs w:val="22"/>
                <w:u w:val="single"/>
                <w:lang w:val="en-GB" w:eastAsia="en-US"/>
              </w:rPr>
            </w:pPr>
            <w:r>
              <w:rPr>
                <w:rFonts w:eastAsia="Calibri"/>
                <w:b/>
                <w:szCs w:val="22"/>
                <w:u w:val="single"/>
                <w:lang w:val="en-GB" w:eastAsia="en-US"/>
              </w:rPr>
              <w:t>Priority axis 1</w:t>
            </w:r>
          </w:p>
        </w:tc>
        <w:tc>
          <w:tcPr>
            <w:tcW w:w="2197" w:type="dxa"/>
            <w:shd w:val="clear" w:color="auto" w:fill="auto"/>
          </w:tcPr>
          <w:p w:rsidR="00C94E75" w:rsidRPr="00663E80" w:rsidRDefault="00C94E75" w:rsidP="00663E80">
            <w:pPr>
              <w:spacing w:before="120" w:after="120"/>
              <w:jc w:val="both"/>
              <w:rPr>
                <w:rFonts w:eastAsia="Calibri"/>
                <w:szCs w:val="22"/>
                <w:lang w:val="en-GB" w:eastAsia="en-US"/>
              </w:rPr>
            </w:pPr>
          </w:p>
        </w:tc>
        <w:tc>
          <w:tcPr>
            <w:tcW w:w="2197" w:type="dxa"/>
            <w:shd w:val="clear" w:color="auto" w:fill="auto"/>
          </w:tcPr>
          <w:p w:rsidR="00C94E75" w:rsidRPr="00663E80" w:rsidRDefault="00C94E75" w:rsidP="00663E80">
            <w:pPr>
              <w:spacing w:before="120" w:after="120"/>
              <w:jc w:val="both"/>
              <w:rPr>
                <w:rFonts w:eastAsia="Calibri"/>
                <w:szCs w:val="22"/>
                <w:lang w:val="en-GB" w:eastAsia="en-US"/>
              </w:rPr>
            </w:pPr>
          </w:p>
        </w:tc>
      </w:tr>
      <w:tr w:rsidR="00C94E75" w:rsidRPr="00663E80" w:rsidTr="00610CD3">
        <w:trPr>
          <w:trHeight w:val="255"/>
        </w:trPr>
        <w:tc>
          <w:tcPr>
            <w:tcW w:w="4503" w:type="dxa"/>
            <w:shd w:val="clear" w:color="auto" w:fill="auto"/>
          </w:tcPr>
          <w:p w:rsidR="00C94E75" w:rsidRDefault="00C94E75" w:rsidP="00663E80">
            <w:pPr>
              <w:spacing w:before="120" w:after="120"/>
              <w:jc w:val="both"/>
              <w:rPr>
                <w:rFonts w:eastAsia="Calibri"/>
                <w:b/>
                <w:szCs w:val="22"/>
                <w:u w:val="single"/>
                <w:lang w:val="en-GB" w:eastAsia="en-US"/>
              </w:rPr>
            </w:pPr>
            <w:r>
              <w:rPr>
                <w:rFonts w:eastAsia="Calibri"/>
                <w:b/>
                <w:szCs w:val="22"/>
                <w:u w:val="single"/>
                <w:lang w:val="en-GB" w:eastAsia="en-US"/>
              </w:rPr>
              <w:t>Priority axis n</w:t>
            </w:r>
          </w:p>
        </w:tc>
        <w:tc>
          <w:tcPr>
            <w:tcW w:w="2197" w:type="dxa"/>
            <w:shd w:val="clear" w:color="auto" w:fill="auto"/>
          </w:tcPr>
          <w:p w:rsidR="00C94E75" w:rsidRPr="00663E80" w:rsidRDefault="00C94E75" w:rsidP="00663E80">
            <w:pPr>
              <w:spacing w:before="120" w:after="120"/>
              <w:jc w:val="both"/>
              <w:rPr>
                <w:rFonts w:eastAsia="Calibri"/>
                <w:szCs w:val="22"/>
                <w:lang w:val="en-GB" w:eastAsia="en-US"/>
              </w:rPr>
            </w:pPr>
          </w:p>
        </w:tc>
        <w:tc>
          <w:tcPr>
            <w:tcW w:w="2197" w:type="dxa"/>
            <w:shd w:val="clear" w:color="auto" w:fill="auto"/>
          </w:tcPr>
          <w:p w:rsidR="00C94E75" w:rsidRPr="00663E80" w:rsidRDefault="00C94E75" w:rsidP="00663E80">
            <w:pPr>
              <w:spacing w:before="120" w:after="120"/>
              <w:jc w:val="both"/>
              <w:rPr>
                <w:rFonts w:eastAsia="Calibri"/>
                <w:szCs w:val="22"/>
                <w:lang w:val="en-GB" w:eastAsia="en-US"/>
              </w:rPr>
            </w:pPr>
          </w:p>
        </w:tc>
      </w:tr>
    </w:tbl>
    <w:p w:rsidR="00580EFC" w:rsidRDefault="00580EFC" w:rsidP="00B614DD">
      <w:pPr>
        <w:rPr>
          <w:shd w:val="clear" w:color="auto" w:fill="FFFFFF"/>
          <w:lang w:val="en-GB" w:eastAsia="en-US"/>
        </w:rPr>
        <w:sectPr w:rsidR="00580EFC" w:rsidSect="0037619F">
          <w:footerReference w:type="even" r:id="rId15"/>
          <w:footerReference w:type="default" r:id="rId16"/>
          <w:headerReference w:type="first" r:id="rId17"/>
          <w:pgSz w:w="11906" w:h="16838" w:code="9"/>
          <w:pgMar w:top="567" w:right="1417" w:bottom="540" w:left="1417" w:header="708" w:footer="708" w:gutter="0"/>
          <w:cols w:space="708"/>
          <w:titlePg/>
          <w:docGrid w:linePitch="360"/>
        </w:sectPr>
      </w:pPr>
    </w:p>
    <w:p w:rsidR="00580EFC" w:rsidRDefault="00580EFC" w:rsidP="00580EFC">
      <w:pPr>
        <w:pStyle w:val="Heading1"/>
        <w:ind w:left="720" w:hanging="578"/>
        <w:rPr>
          <w:rFonts w:ascii="Times New Roman Bold" w:hAnsi="Times New Roman Bold"/>
          <w:b/>
          <w:smallCaps/>
        </w:rPr>
      </w:pPr>
      <w:bookmarkStart w:id="71" w:name="_Toc411489402"/>
      <w:bookmarkStart w:id="72" w:name="_Toc420863633"/>
      <w:r w:rsidRPr="00580EFC">
        <w:rPr>
          <w:rFonts w:ascii="Times New Roman Bold" w:hAnsi="Times New Roman Bold"/>
          <w:b/>
          <w:smallCaps/>
        </w:rPr>
        <w:lastRenderedPageBreak/>
        <w:t xml:space="preserve">Annex </w:t>
      </w:r>
      <w:r>
        <w:rPr>
          <w:rFonts w:ascii="Times New Roman Bold" w:hAnsi="Times New Roman Bold"/>
          <w:b/>
          <w:smallCaps/>
        </w:rPr>
        <w:t xml:space="preserve">2 </w:t>
      </w:r>
      <w:proofErr w:type="gramStart"/>
      <w:r>
        <w:rPr>
          <w:rFonts w:ascii="Times New Roman Bold" w:hAnsi="Times New Roman Bold"/>
          <w:b/>
          <w:smallCaps/>
        </w:rPr>
        <w:t xml:space="preserve">- </w:t>
      </w:r>
      <w:r w:rsidRPr="00580EFC">
        <w:rPr>
          <w:rFonts w:ascii="Times New Roman Bold" w:hAnsi="Times New Roman Bold"/>
          <w:b/>
          <w:smallCaps/>
        </w:rPr>
        <w:t xml:space="preserve"> </w:t>
      </w:r>
      <w:bookmarkStart w:id="73" w:name="_Toc408329490"/>
      <w:r w:rsidRPr="00580EFC">
        <w:rPr>
          <w:rFonts w:ascii="Times New Roman Bold" w:hAnsi="Times New Roman Bold"/>
          <w:b/>
          <w:smallCaps/>
        </w:rPr>
        <w:t>Audit</w:t>
      </w:r>
      <w:proofErr w:type="gramEnd"/>
      <w:r w:rsidRPr="00580EFC">
        <w:rPr>
          <w:rFonts w:ascii="Times New Roman Bold" w:hAnsi="Times New Roman Bold"/>
          <w:b/>
          <w:smallCaps/>
        </w:rPr>
        <w:t xml:space="preserve"> work indicative timelines</w:t>
      </w:r>
      <w:bookmarkEnd w:id="71"/>
      <w:bookmarkEnd w:id="72"/>
      <w:bookmarkEnd w:id="73"/>
    </w:p>
    <w:p w:rsidR="00580EFC" w:rsidRDefault="00580EFC" w:rsidP="00580EFC">
      <w:pPr>
        <w:rPr>
          <w:lang w:val="en-US" w:eastAsia="en-GB"/>
        </w:rPr>
      </w:pPr>
    </w:p>
    <w:bookmarkStart w:id="74" w:name="_MON_1460202720"/>
    <w:bookmarkEnd w:id="74"/>
    <w:p w:rsidR="00580EFC" w:rsidRPr="00580EFC" w:rsidRDefault="000C65B6" w:rsidP="00580EFC">
      <w:pPr>
        <w:rPr>
          <w:lang w:val="en-US" w:eastAsia="en-GB"/>
        </w:rPr>
      </w:pPr>
      <w:r>
        <w:rPr>
          <w:shd w:val="clear" w:color="auto" w:fill="FFFFFF"/>
          <w:lang w:val="en-GB" w:eastAsia="en-US"/>
        </w:rPr>
        <w:object w:dxaOrig="15610" w:dyaOrig="10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0.75pt;height:500.25pt" o:ole="">
            <v:imagedata r:id="rId18" o:title=""/>
          </v:shape>
          <o:OLEObject Type="Embed" ProgID="Word.Document.8" ShapeID="_x0000_i1025" DrawAspect="Content" ObjectID="_1494919374" r:id="rId19">
            <o:FieldCodes>\s</o:FieldCodes>
          </o:OLEObject>
        </w:object>
      </w:r>
    </w:p>
    <w:sectPr w:rsidR="00580EFC" w:rsidRPr="00580EFC" w:rsidSect="00F41281">
      <w:pgSz w:w="16838" w:h="11906" w:orient="landscape"/>
      <w:pgMar w:top="1417" w:right="567" w:bottom="1417" w:left="5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CD3" w:rsidRDefault="00610CD3">
      <w:r>
        <w:separator/>
      </w:r>
    </w:p>
  </w:endnote>
  <w:endnote w:type="continuationSeparator" w:id="0">
    <w:p w:rsidR="00610CD3" w:rsidRDefault="00610CD3">
      <w:r>
        <w:continuationSeparator/>
      </w:r>
    </w:p>
  </w:endnote>
  <w:endnote w:type="continuationNotice" w:id="1">
    <w:p w:rsidR="00610CD3" w:rsidRDefault="00610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CD3" w:rsidRDefault="00610CD3" w:rsidP="00B73F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10CD3" w:rsidRDefault="00610C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CD3" w:rsidRDefault="00610CD3">
    <w:pPr>
      <w:pStyle w:val="Footer"/>
      <w:jc w:val="center"/>
    </w:pPr>
    <w:proofErr w:type="spellStart"/>
    <w:r>
      <w:t>Page</w:t>
    </w:r>
    <w:proofErr w:type="spellEnd"/>
    <w:r>
      <w:t xml:space="preserve"> </w:t>
    </w:r>
    <w:r>
      <w:rPr>
        <w:b/>
        <w:bCs/>
      </w:rPr>
      <w:fldChar w:fldCharType="begin"/>
    </w:r>
    <w:r>
      <w:rPr>
        <w:b/>
        <w:bCs/>
      </w:rPr>
      <w:instrText xml:space="preserve"> PAGE </w:instrText>
    </w:r>
    <w:r>
      <w:rPr>
        <w:b/>
        <w:bCs/>
      </w:rPr>
      <w:fldChar w:fldCharType="separate"/>
    </w:r>
    <w:r w:rsidR="0037619F">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37619F">
      <w:rPr>
        <w:b/>
        <w:bCs/>
        <w:noProof/>
      </w:rPr>
      <w:t>21</w:t>
    </w:r>
    <w:r>
      <w:rPr>
        <w:b/>
        <w:bCs/>
      </w:rPr>
      <w:fldChar w:fldCharType="end"/>
    </w:r>
  </w:p>
  <w:p w:rsidR="00610CD3" w:rsidRPr="00A1274D" w:rsidRDefault="00610CD3">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CD3" w:rsidRDefault="00610CD3">
      <w:r>
        <w:separator/>
      </w:r>
    </w:p>
  </w:footnote>
  <w:footnote w:type="continuationSeparator" w:id="0">
    <w:p w:rsidR="00610CD3" w:rsidRDefault="00610CD3">
      <w:r>
        <w:continuationSeparator/>
      </w:r>
    </w:p>
  </w:footnote>
  <w:footnote w:type="continuationNotice" w:id="1">
    <w:p w:rsidR="00610CD3" w:rsidRDefault="00610CD3"/>
  </w:footnote>
  <w:footnote w:id="2">
    <w:p w:rsidR="00610CD3" w:rsidRPr="006111A5" w:rsidRDefault="00610CD3" w:rsidP="00EE617E">
      <w:pPr>
        <w:pStyle w:val="FootnoteText"/>
      </w:pPr>
      <w:r>
        <w:rPr>
          <w:rStyle w:val="FootnoteReference"/>
        </w:rPr>
        <w:footnoteRef/>
      </w:r>
      <w:r>
        <w:t xml:space="preserve"> </w:t>
      </w:r>
      <w:hyperlink r:id="rId1" w:history="1">
        <w:r w:rsidRPr="00AF4281">
          <w:rPr>
            <w:rStyle w:val="Hyperlink"/>
            <w:sz w:val="20"/>
          </w:rPr>
          <w:t>http://eur-lex.europa.eu/legal-content/EN/TXT/?uri=CELEX:32013R1303</w:t>
        </w:r>
      </w:hyperlink>
      <w:r>
        <w:t xml:space="preserve"> </w:t>
      </w:r>
    </w:p>
  </w:footnote>
  <w:footnote w:id="3">
    <w:p w:rsidR="00610CD3" w:rsidRPr="0075338D" w:rsidRDefault="00610CD3" w:rsidP="005036D3">
      <w:pPr>
        <w:pStyle w:val="FootnoteText"/>
      </w:pPr>
      <w:r>
        <w:rPr>
          <w:rStyle w:val="FootnoteReference"/>
        </w:rPr>
        <w:footnoteRef/>
      </w:r>
      <w:r>
        <w:t xml:space="preserve"> </w:t>
      </w:r>
      <w:r>
        <w:tab/>
      </w:r>
      <w:r w:rsidRPr="005036D3">
        <w:rPr>
          <w:sz w:val="20"/>
        </w:rPr>
        <w:t>Required under Article 125 (4</w:t>
      </w:r>
      <w:proofErr w:type="gramStart"/>
      <w:r w:rsidRPr="005036D3">
        <w:rPr>
          <w:sz w:val="20"/>
        </w:rPr>
        <w:t>)(</w:t>
      </w:r>
      <w:proofErr w:type="gramEnd"/>
      <w:r w:rsidRPr="005036D3">
        <w:rPr>
          <w:sz w:val="20"/>
        </w:rPr>
        <w:t>e) of the CPR  and Article 23 of ETC Regulation.</w:t>
      </w:r>
    </w:p>
  </w:footnote>
  <w:footnote w:id="4">
    <w:p w:rsidR="00610CD3" w:rsidRPr="00E85A88" w:rsidRDefault="00610CD3" w:rsidP="00D723D6">
      <w:pPr>
        <w:pStyle w:val="FootnoteText"/>
        <w:ind w:left="284" w:hanging="284"/>
        <w:jc w:val="both"/>
        <w:rPr>
          <w:sz w:val="20"/>
        </w:rPr>
      </w:pPr>
      <w:r>
        <w:rPr>
          <w:rStyle w:val="FootnoteReference"/>
        </w:rPr>
        <w:footnoteRef/>
      </w:r>
      <w:r>
        <w:t xml:space="preserve"> </w:t>
      </w:r>
      <w:r>
        <w:tab/>
      </w:r>
      <w:r w:rsidRPr="002D4879">
        <w:rPr>
          <w:i/>
          <w:sz w:val="20"/>
        </w:rPr>
        <w:t xml:space="preserve">The following components can be supported under the ETC goal: </w:t>
      </w:r>
      <w:proofErr w:type="spellStart"/>
      <w:r w:rsidRPr="002D4879">
        <w:rPr>
          <w:i/>
          <w:sz w:val="20"/>
        </w:rPr>
        <w:t>cross-border</w:t>
      </w:r>
      <w:proofErr w:type="spellEnd"/>
      <w:r w:rsidRPr="002D4879">
        <w:rPr>
          <w:i/>
          <w:sz w:val="20"/>
        </w:rPr>
        <w:t xml:space="preserve"> cooperation, transnational cooperation and interregional cooperation.</w:t>
      </w:r>
      <w:r w:rsidRPr="00E85A88">
        <w:rPr>
          <w:sz w:val="20"/>
        </w:rPr>
        <w:t xml:space="preserve">   </w:t>
      </w:r>
    </w:p>
  </w:footnote>
  <w:footnote w:id="5">
    <w:p w:rsidR="00610CD3" w:rsidRPr="00E85A88" w:rsidRDefault="00610CD3" w:rsidP="00BA6305">
      <w:pPr>
        <w:pStyle w:val="FootnoteText"/>
        <w:ind w:left="284" w:hanging="284"/>
        <w:jc w:val="both"/>
        <w:rPr>
          <w:sz w:val="20"/>
        </w:rPr>
      </w:pPr>
      <w:r>
        <w:rPr>
          <w:rStyle w:val="FootnoteReference"/>
        </w:rPr>
        <w:footnoteRef/>
      </w:r>
      <w:r>
        <w:t xml:space="preserve"> </w:t>
      </w:r>
      <w:r>
        <w:tab/>
      </w:r>
      <w:r w:rsidRPr="002D4879">
        <w:rPr>
          <w:i/>
          <w:sz w:val="20"/>
        </w:rPr>
        <w:t>e.g. Poor accessibility, especially in relation to ICT connectivity and transport infrastructures, declining local industries, inappropriate business environment, lack of networks among local and regional administrations, low levels of research and innovation, environmental pollution, risk prevention and negative attitudes towards neighbouring country citizens.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19F" w:rsidRDefault="0037619F">
    <w:pPr>
      <w:pStyle w:val="Header"/>
    </w:pPr>
    <w:r w:rsidRPr="002F415C">
      <w:rPr>
        <w:rFonts w:ascii="Arial" w:hAnsi="Arial" w:cs="Arial"/>
        <w:sz w:val="16"/>
        <w:szCs w:val="16"/>
        <w:lang w:val="en-GB"/>
      </w:rPr>
      <w:t>EGESIF</w:t>
    </w:r>
    <w:r>
      <w:rPr>
        <w:rFonts w:ascii="Arial" w:hAnsi="Arial" w:cs="Arial"/>
        <w:sz w:val="16"/>
        <w:szCs w:val="16"/>
        <w:lang w:val="en-GB"/>
      </w:rPr>
      <w:t>_15-0008-01</w:t>
    </w:r>
    <w:r>
      <w:rPr>
        <w:rFonts w:ascii="Arial" w:hAnsi="Arial" w:cs="Arial"/>
        <w:sz w:val="16"/>
        <w:szCs w:val="16"/>
        <w:lang w:val="en-GB"/>
      </w:rPr>
      <w:br/>
      <w:t>04/06/2015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74D"/>
    <w:multiLevelType w:val="hybridMultilevel"/>
    <w:tmpl w:val="9CCA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EE73F6"/>
    <w:multiLevelType w:val="hybridMultilevel"/>
    <w:tmpl w:val="E0DC0AB4"/>
    <w:lvl w:ilvl="0" w:tplc="8482EE7C">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
    <w:nsid w:val="089C03DB"/>
    <w:multiLevelType w:val="hybridMultilevel"/>
    <w:tmpl w:val="2CB233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BE7BCC"/>
    <w:multiLevelType w:val="hybridMultilevel"/>
    <w:tmpl w:val="33EC514C"/>
    <w:lvl w:ilvl="0" w:tplc="8482EE7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8C3BE4"/>
    <w:multiLevelType w:val="hybridMultilevel"/>
    <w:tmpl w:val="01CEB3D2"/>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665" w:hanging="360"/>
      </w:pPr>
      <w:rPr>
        <w:rFonts w:cs="Times New Roman"/>
      </w:rPr>
    </w:lvl>
    <w:lvl w:ilvl="2" w:tplc="0809001B" w:tentative="1">
      <w:start w:val="1"/>
      <w:numFmt w:val="lowerRoman"/>
      <w:lvlText w:val="%3."/>
      <w:lvlJc w:val="right"/>
      <w:pPr>
        <w:ind w:left="1385" w:hanging="180"/>
      </w:pPr>
      <w:rPr>
        <w:rFonts w:cs="Times New Roman"/>
      </w:rPr>
    </w:lvl>
    <w:lvl w:ilvl="3" w:tplc="0809000F" w:tentative="1">
      <w:start w:val="1"/>
      <w:numFmt w:val="decimal"/>
      <w:lvlText w:val="%4."/>
      <w:lvlJc w:val="left"/>
      <w:pPr>
        <w:ind w:left="2105" w:hanging="360"/>
      </w:pPr>
      <w:rPr>
        <w:rFonts w:cs="Times New Roman"/>
      </w:rPr>
    </w:lvl>
    <w:lvl w:ilvl="4" w:tplc="08090019" w:tentative="1">
      <w:start w:val="1"/>
      <w:numFmt w:val="lowerLetter"/>
      <w:lvlText w:val="%5."/>
      <w:lvlJc w:val="left"/>
      <w:pPr>
        <w:ind w:left="2825" w:hanging="360"/>
      </w:pPr>
      <w:rPr>
        <w:rFonts w:cs="Times New Roman"/>
      </w:rPr>
    </w:lvl>
    <w:lvl w:ilvl="5" w:tplc="0809001B" w:tentative="1">
      <w:start w:val="1"/>
      <w:numFmt w:val="lowerRoman"/>
      <w:lvlText w:val="%6."/>
      <w:lvlJc w:val="right"/>
      <w:pPr>
        <w:ind w:left="3545" w:hanging="180"/>
      </w:pPr>
      <w:rPr>
        <w:rFonts w:cs="Times New Roman"/>
      </w:rPr>
    </w:lvl>
    <w:lvl w:ilvl="6" w:tplc="0809000F" w:tentative="1">
      <w:start w:val="1"/>
      <w:numFmt w:val="decimal"/>
      <w:lvlText w:val="%7."/>
      <w:lvlJc w:val="left"/>
      <w:pPr>
        <w:ind w:left="4265" w:hanging="360"/>
      </w:pPr>
      <w:rPr>
        <w:rFonts w:cs="Times New Roman"/>
      </w:rPr>
    </w:lvl>
    <w:lvl w:ilvl="7" w:tplc="08090019" w:tentative="1">
      <w:start w:val="1"/>
      <w:numFmt w:val="lowerLetter"/>
      <w:lvlText w:val="%8."/>
      <w:lvlJc w:val="left"/>
      <w:pPr>
        <w:ind w:left="4985" w:hanging="360"/>
      </w:pPr>
      <w:rPr>
        <w:rFonts w:cs="Times New Roman"/>
      </w:rPr>
    </w:lvl>
    <w:lvl w:ilvl="8" w:tplc="0809001B" w:tentative="1">
      <w:start w:val="1"/>
      <w:numFmt w:val="lowerRoman"/>
      <w:lvlText w:val="%9."/>
      <w:lvlJc w:val="right"/>
      <w:pPr>
        <w:ind w:left="5705" w:hanging="180"/>
      </w:pPr>
      <w:rPr>
        <w:rFonts w:cs="Times New Roman"/>
      </w:rPr>
    </w:lvl>
  </w:abstractNum>
  <w:abstractNum w:abstractNumId="5">
    <w:nsid w:val="143B4BE2"/>
    <w:multiLevelType w:val="hybridMultilevel"/>
    <w:tmpl w:val="D8724B20"/>
    <w:lvl w:ilvl="0" w:tplc="8482EE7C">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nsid w:val="1B3C78B8"/>
    <w:multiLevelType w:val="multilevel"/>
    <w:tmpl w:val="4F5C11A0"/>
    <w:name w:val="Point"/>
    <w:lvl w:ilvl="0">
      <w:start w:val="1"/>
      <w:numFmt w:val="decimal"/>
      <w:lvlRestart w:val="0"/>
      <w:pStyle w:val="Point0number"/>
      <w:lvlText w:val="(%1)"/>
      <w:lvlJc w:val="left"/>
      <w:pPr>
        <w:tabs>
          <w:tab w:val="num" w:pos="850"/>
        </w:tabs>
        <w:ind w:left="850" w:hanging="850"/>
      </w:pPr>
      <w:rPr>
        <w:b w:val="0"/>
      </w:rPr>
    </w:lvl>
    <w:lvl w:ilvl="1">
      <w:start w:val="1"/>
      <w:numFmt w:val="lowerLetter"/>
      <w:pStyle w:val="Point0letter"/>
      <w:lvlText w:val="(%2)"/>
      <w:lvlJc w:val="left"/>
      <w:pPr>
        <w:tabs>
          <w:tab w:val="num" w:pos="850"/>
        </w:tabs>
        <w:ind w:left="850" w:hanging="850"/>
      </w:pPr>
      <w:rPr>
        <w:b w:val="0"/>
      </w:r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1F8B59B1"/>
    <w:multiLevelType w:val="hybridMultilevel"/>
    <w:tmpl w:val="01CEB3D2"/>
    <w:lvl w:ilvl="0" w:tplc="08090019">
      <w:start w:val="1"/>
      <w:numFmt w:val="lowerLetter"/>
      <w:lvlText w:val="%1."/>
      <w:lvlJc w:val="left"/>
      <w:pPr>
        <w:ind w:left="1080" w:hanging="360"/>
      </w:pPr>
      <w:rPr>
        <w:rFonts w:cs="Times New Roman" w:hint="default"/>
      </w:rPr>
    </w:lvl>
    <w:lvl w:ilvl="1" w:tplc="08090019">
      <w:start w:val="1"/>
      <w:numFmt w:val="lowerLetter"/>
      <w:lvlText w:val="%2."/>
      <w:lvlJc w:val="left"/>
      <w:pPr>
        <w:ind w:left="1025" w:hanging="360"/>
      </w:pPr>
      <w:rPr>
        <w:rFonts w:cs="Times New Roman"/>
      </w:rPr>
    </w:lvl>
    <w:lvl w:ilvl="2" w:tplc="0809001B" w:tentative="1">
      <w:start w:val="1"/>
      <w:numFmt w:val="lowerRoman"/>
      <w:lvlText w:val="%3."/>
      <w:lvlJc w:val="right"/>
      <w:pPr>
        <w:ind w:left="1745" w:hanging="180"/>
      </w:pPr>
      <w:rPr>
        <w:rFonts w:cs="Times New Roman"/>
      </w:rPr>
    </w:lvl>
    <w:lvl w:ilvl="3" w:tplc="0809000F" w:tentative="1">
      <w:start w:val="1"/>
      <w:numFmt w:val="decimal"/>
      <w:lvlText w:val="%4."/>
      <w:lvlJc w:val="left"/>
      <w:pPr>
        <w:ind w:left="2465" w:hanging="360"/>
      </w:pPr>
      <w:rPr>
        <w:rFonts w:cs="Times New Roman"/>
      </w:rPr>
    </w:lvl>
    <w:lvl w:ilvl="4" w:tplc="08090019" w:tentative="1">
      <w:start w:val="1"/>
      <w:numFmt w:val="lowerLetter"/>
      <w:lvlText w:val="%5."/>
      <w:lvlJc w:val="left"/>
      <w:pPr>
        <w:ind w:left="3185" w:hanging="360"/>
      </w:pPr>
      <w:rPr>
        <w:rFonts w:cs="Times New Roman"/>
      </w:rPr>
    </w:lvl>
    <w:lvl w:ilvl="5" w:tplc="0809001B" w:tentative="1">
      <w:start w:val="1"/>
      <w:numFmt w:val="lowerRoman"/>
      <w:lvlText w:val="%6."/>
      <w:lvlJc w:val="right"/>
      <w:pPr>
        <w:ind w:left="3905" w:hanging="180"/>
      </w:pPr>
      <w:rPr>
        <w:rFonts w:cs="Times New Roman"/>
      </w:rPr>
    </w:lvl>
    <w:lvl w:ilvl="6" w:tplc="0809000F" w:tentative="1">
      <w:start w:val="1"/>
      <w:numFmt w:val="decimal"/>
      <w:lvlText w:val="%7."/>
      <w:lvlJc w:val="left"/>
      <w:pPr>
        <w:ind w:left="4625" w:hanging="360"/>
      </w:pPr>
      <w:rPr>
        <w:rFonts w:cs="Times New Roman"/>
      </w:rPr>
    </w:lvl>
    <w:lvl w:ilvl="7" w:tplc="08090019" w:tentative="1">
      <w:start w:val="1"/>
      <w:numFmt w:val="lowerLetter"/>
      <w:lvlText w:val="%8."/>
      <w:lvlJc w:val="left"/>
      <w:pPr>
        <w:ind w:left="5345" w:hanging="360"/>
      </w:pPr>
      <w:rPr>
        <w:rFonts w:cs="Times New Roman"/>
      </w:rPr>
    </w:lvl>
    <w:lvl w:ilvl="8" w:tplc="0809001B" w:tentative="1">
      <w:start w:val="1"/>
      <w:numFmt w:val="lowerRoman"/>
      <w:lvlText w:val="%9."/>
      <w:lvlJc w:val="right"/>
      <w:pPr>
        <w:ind w:left="6065" w:hanging="180"/>
      </w:pPr>
      <w:rPr>
        <w:rFonts w:cs="Times New Roman"/>
      </w:rPr>
    </w:lvl>
  </w:abstractNum>
  <w:abstractNum w:abstractNumId="8">
    <w:nsid w:val="1FB22C43"/>
    <w:multiLevelType w:val="hybridMultilevel"/>
    <w:tmpl w:val="8692F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585838"/>
    <w:multiLevelType w:val="hybridMultilevel"/>
    <w:tmpl w:val="3D5C688C"/>
    <w:lvl w:ilvl="0" w:tplc="8482EE7C">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363E1CD2"/>
    <w:multiLevelType w:val="hybridMultilevel"/>
    <w:tmpl w:val="AFDE52AE"/>
    <w:lvl w:ilvl="0" w:tplc="8482EE7C">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11">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2">
    <w:nsid w:val="42EB6248"/>
    <w:multiLevelType w:val="hybridMultilevel"/>
    <w:tmpl w:val="725A8334"/>
    <w:lvl w:ilvl="0" w:tplc="8482EE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FA6AAD"/>
    <w:multiLevelType w:val="hybridMultilevel"/>
    <w:tmpl w:val="6026069C"/>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14">
    <w:nsid w:val="46A4460B"/>
    <w:multiLevelType w:val="hybridMultilevel"/>
    <w:tmpl w:val="9E76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A82E7C"/>
    <w:multiLevelType w:val="hybridMultilevel"/>
    <w:tmpl w:val="2708A3B4"/>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6">
    <w:nsid w:val="54837EA7"/>
    <w:multiLevelType w:val="hybridMultilevel"/>
    <w:tmpl w:val="24AA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635C1195"/>
    <w:multiLevelType w:val="hybridMultilevel"/>
    <w:tmpl w:val="660661C8"/>
    <w:lvl w:ilvl="0" w:tplc="8482EE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46677B8"/>
    <w:multiLevelType w:val="hybridMultilevel"/>
    <w:tmpl w:val="01CEB3D2"/>
    <w:lvl w:ilvl="0" w:tplc="08090019">
      <w:start w:val="1"/>
      <w:numFmt w:val="lowerLetter"/>
      <w:lvlText w:val="%1."/>
      <w:lvlJc w:val="left"/>
      <w:pPr>
        <w:ind w:left="-1764" w:hanging="360"/>
      </w:pPr>
      <w:rPr>
        <w:rFonts w:cs="Times New Roman" w:hint="default"/>
      </w:rPr>
    </w:lvl>
    <w:lvl w:ilvl="1" w:tplc="08090019" w:tentative="1">
      <w:start w:val="1"/>
      <w:numFmt w:val="lowerLetter"/>
      <w:lvlText w:val="%2."/>
      <w:lvlJc w:val="left"/>
      <w:pPr>
        <w:ind w:left="-1044" w:hanging="360"/>
      </w:pPr>
      <w:rPr>
        <w:rFonts w:cs="Times New Roman"/>
      </w:rPr>
    </w:lvl>
    <w:lvl w:ilvl="2" w:tplc="0809001B" w:tentative="1">
      <w:start w:val="1"/>
      <w:numFmt w:val="lowerRoman"/>
      <w:lvlText w:val="%3."/>
      <w:lvlJc w:val="right"/>
      <w:pPr>
        <w:ind w:left="-324" w:hanging="180"/>
      </w:pPr>
      <w:rPr>
        <w:rFonts w:cs="Times New Roman"/>
      </w:rPr>
    </w:lvl>
    <w:lvl w:ilvl="3" w:tplc="0809000F" w:tentative="1">
      <w:start w:val="1"/>
      <w:numFmt w:val="decimal"/>
      <w:lvlText w:val="%4."/>
      <w:lvlJc w:val="left"/>
      <w:pPr>
        <w:ind w:left="396" w:hanging="360"/>
      </w:pPr>
      <w:rPr>
        <w:rFonts w:cs="Times New Roman"/>
      </w:rPr>
    </w:lvl>
    <w:lvl w:ilvl="4" w:tplc="08090019" w:tentative="1">
      <w:start w:val="1"/>
      <w:numFmt w:val="lowerLetter"/>
      <w:lvlText w:val="%5."/>
      <w:lvlJc w:val="left"/>
      <w:pPr>
        <w:ind w:left="1116" w:hanging="360"/>
      </w:pPr>
      <w:rPr>
        <w:rFonts w:cs="Times New Roman"/>
      </w:rPr>
    </w:lvl>
    <w:lvl w:ilvl="5" w:tplc="0809001B" w:tentative="1">
      <w:start w:val="1"/>
      <w:numFmt w:val="lowerRoman"/>
      <w:lvlText w:val="%6."/>
      <w:lvlJc w:val="right"/>
      <w:pPr>
        <w:ind w:left="1836" w:hanging="180"/>
      </w:pPr>
      <w:rPr>
        <w:rFonts w:cs="Times New Roman"/>
      </w:rPr>
    </w:lvl>
    <w:lvl w:ilvl="6" w:tplc="0809000F" w:tentative="1">
      <w:start w:val="1"/>
      <w:numFmt w:val="decimal"/>
      <w:lvlText w:val="%7."/>
      <w:lvlJc w:val="left"/>
      <w:pPr>
        <w:ind w:left="2556" w:hanging="360"/>
      </w:pPr>
      <w:rPr>
        <w:rFonts w:cs="Times New Roman"/>
      </w:rPr>
    </w:lvl>
    <w:lvl w:ilvl="7" w:tplc="08090019" w:tentative="1">
      <w:start w:val="1"/>
      <w:numFmt w:val="lowerLetter"/>
      <w:lvlText w:val="%8."/>
      <w:lvlJc w:val="left"/>
      <w:pPr>
        <w:ind w:left="3276" w:hanging="360"/>
      </w:pPr>
      <w:rPr>
        <w:rFonts w:cs="Times New Roman"/>
      </w:rPr>
    </w:lvl>
    <w:lvl w:ilvl="8" w:tplc="0809001B" w:tentative="1">
      <w:start w:val="1"/>
      <w:numFmt w:val="lowerRoman"/>
      <w:lvlText w:val="%9."/>
      <w:lvlJc w:val="right"/>
      <w:pPr>
        <w:ind w:left="3996" w:hanging="180"/>
      </w:pPr>
      <w:rPr>
        <w:rFonts w:cs="Times New Roman"/>
      </w:rPr>
    </w:lvl>
  </w:abstractNum>
  <w:abstractNum w:abstractNumId="20">
    <w:nsid w:val="7613089F"/>
    <w:multiLevelType w:val="hybridMultilevel"/>
    <w:tmpl w:val="C8726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7EC7C90"/>
    <w:multiLevelType w:val="hybridMultilevel"/>
    <w:tmpl w:val="D4AC48A2"/>
    <w:lvl w:ilvl="0" w:tplc="CAC2F896">
      <w:numFmt w:val="bullet"/>
      <w:lvlText w:val="-"/>
      <w:lvlJc w:val="left"/>
      <w:pPr>
        <w:tabs>
          <w:tab w:val="num" w:pos="585"/>
        </w:tabs>
        <w:ind w:left="585" w:hanging="360"/>
      </w:pPr>
      <w:rPr>
        <w:rFonts w:ascii="Times New Roman" w:eastAsia="Times New Roman" w:hAnsi="Times New Roman" w:cs="Times New Roman" w:hint="default"/>
      </w:rPr>
    </w:lvl>
    <w:lvl w:ilvl="1" w:tplc="08090003" w:tentative="1">
      <w:start w:val="1"/>
      <w:numFmt w:val="bullet"/>
      <w:lvlText w:val="o"/>
      <w:lvlJc w:val="left"/>
      <w:pPr>
        <w:tabs>
          <w:tab w:val="num" w:pos="1305"/>
        </w:tabs>
        <w:ind w:left="1305" w:hanging="360"/>
      </w:pPr>
      <w:rPr>
        <w:rFonts w:ascii="Courier New" w:hAnsi="Courier New" w:cs="Courier New" w:hint="default"/>
      </w:rPr>
    </w:lvl>
    <w:lvl w:ilvl="2" w:tplc="08090005" w:tentative="1">
      <w:start w:val="1"/>
      <w:numFmt w:val="bullet"/>
      <w:lvlText w:val=""/>
      <w:lvlJc w:val="left"/>
      <w:pPr>
        <w:tabs>
          <w:tab w:val="num" w:pos="2025"/>
        </w:tabs>
        <w:ind w:left="2025" w:hanging="360"/>
      </w:pPr>
      <w:rPr>
        <w:rFonts w:ascii="Wingdings" w:hAnsi="Wingdings" w:hint="default"/>
      </w:rPr>
    </w:lvl>
    <w:lvl w:ilvl="3" w:tplc="08090001" w:tentative="1">
      <w:start w:val="1"/>
      <w:numFmt w:val="bullet"/>
      <w:lvlText w:val=""/>
      <w:lvlJc w:val="left"/>
      <w:pPr>
        <w:tabs>
          <w:tab w:val="num" w:pos="2745"/>
        </w:tabs>
        <w:ind w:left="2745" w:hanging="360"/>
      </w:pPr>
      <w:rPr>
        <w:rFonts w:ascii="Symbol" w:hAnsi="Symbol" w:hint="default"/>
      </w:rPr>
    </w:lvl>
    <w:lvl w:ilvl="4" w:tplc="08090003" w:tentative="1">
      <w:start w:val="1"/>
      <w:numFmt w:val="bullet"/>
      <w:lvlText w:val="o"/>
      <w:lvlJc w:val="left"/>
      <w:pPr>
        <w:tabs>
          <w:tab w:val="num" w:pos="3465"/>
        </w:tabs>
        <w:ind w:left="3465" w:hanging="360"/>
      </w:pPr>
      <w:rPr>
        <w:rFonts w:ascii="Courier New" w:hAnsi="Courier New" w:cs="Courier New" w:hint="default"/>
      </w:rPr>
    </w:lvl>
    <w:lvl w:ilvl="5" w:tplc="08090005" w:tentative="1">
      <w:start w:val="1"/>
      <w:numFmt w:val="bullet"/>
      <w:lvlText w:val=""/>
      <w:lvlJc w:val="left"/>
      <w:pPr>
        <w:tabs>
          <w:tab w:val="num" w:pos="4185"/>
        </w:tabs>
        <w:ind w:left="4185" w:hanging="360"/>
      </w:pPr>
      <w:rPr>
        <w:rFonts w:ascii="Wingdings" w:hAnsi="Wingdings" w:hint="default"/>
      </w:rPr>
    </w:lvl>
    <w:lvl w:ilvl="6" w:tplc="08090001" w:tentative="1">
      <w:start w:val="1"/>
      <w:numFmt w:val="bullet"/>
      <w:lvlText w:val=""/>
      <w:lvlJc w:val="left"/>
      <w:pPr>
        <w:tabs>
          <w:tab w:val="num" w:pos="4905"/>
        </w:tabs>
        <w:ind w:left="4905" w:hanging="360"/>
      </w:pPr>
      <w:rPr>
        <w:rFonts w:ascii="Symbol" w:hAnsi="Symbol" w:hint="default"/>
      </w:rPr>
    </w:lvl>
    <w:lvl w:ilvl="7" w:tplc="08090003" w:tentative="1">
      <w:start w:val="1"/>
      <w:numFmt w:val="bullet"/>
      <w:lvlText w:val="o"/>
      <w:lvlJc w:val="left"/>
      <w:pPr>
        <w:tabs>
          <w:tab w:val="num" w:pos="5625"/>
        </w:tabs>
        <w:ind w:left="5625" w:hanging="360"/>
      </w:pPr>
      <w:rPr>
        <w:rFonts w:ascii="Courier New" w:hAnsi="Courier New" w:cs="Courier New" w:hint="default"/>
      </w:rPr>
    </w:lvl>
    <w:lvl w:ilvl="8" w:tplc="08090005" w:tentative="1">
      <w:start w:val="1"/>
      <w:numFmt w:val="bullet"/>
      <w:lvlText w:val=""/>
      <w:lvlJc w:val="left"/>
      <w:pPr>
        <w:tabs>
          <w:tab w:val="num" w:pos="6345"/>
        </w:tabs>
        <w:ind w:left="6345" w:hanging="360"/>
      </w:pPr>
      <w:rPr>
        <w:rFonts w:ascii="Wingdings" w:hAnsi="Wingdings" w:hint="default"/>
      </w:rPr>
    </w:lvl>
  </w:abstractNum>
  <w:abstractNum w:abstractNumId="22">
    <w:nsid w:val="79A75A2A"/>
    <w:multiLevelType w:val="hybridMultilevel"/>
    <w:tmpl w:val="9AEE0E6A"/>
    <w:lvl w:ilvl="0" w:tplc="08090001">
      <w:start w:val="1"/>
      <w:numFmt w:val="bullet"/>
      <w:lvlText w:val=""/>
      <w:lvlJc w:val="left"/>
      <w:pPr>
        <w:ind w:left="1068" w:hanging="360"/>
      </w:pPr>
      <w:rPr>
        <w:rFonts w:ascii="Symbol" w:hAnsi="Symbol" w:hint="default"/>
      </w:rPr>
    </w:lvl>
    <w:lvl w:ilvl="1" w:tplc="08090003">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start w:val="1"/>
      <w:numFmt w:val="bullet"/>
      <w:lvlText w:val=""/>
      <w:lvlJc w:val="left"/>
      <w:pPr>
        <w:ind w:left="3228" w:hanging="360"/>
      </w:pPr>
      <w:rPr>
        <w:rFonts w:ascii="Symbol" w:hAnsi="Symbol" w:hint="default"/>
      </w:rPr>
    </w:lvl>
    <w:lvl w:ilvl="4" w:tplc="08090003">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abstractNumId w:val="21"/>
  </w:num>
  <w:num w:numId="2">
    <w:abstractNumId w:val="16"/>
  </w:num>
  <w:num w:numId="3">
    <w:abstractNumId w:val="1"/>
  </w:num>
  <w:num w:numId="4">
    <w:abstractNumId w:val="10"/>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4"/>
  </w:num>
  <w:num w:numId="9">
    <w:abstractNumId w:val="12"/>
  </w:num>
  <w:num w:numId="10">
    <w:abstractNumId w:val="5"/>
  </w:num>
  <w:num w:numId="11">
    <w:abstractNumId w:val="2"/>
  </w:num>
  <w:num w:numId="12">
    <w:abstractNumId w:val="17"/>
  </w:num>
  <w:num w:numId="13">
    <w:abstractNumId w:val="13"/>
  </w:num>
  <w:num w:numId="14">
    <w:abstractNumId w:val="11"/>
  </w:num>
  <w:num w:numId="15">
    <w:abstractNumId w:val="22"/>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5"/>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4"/>
  </w:num>
  <w:num w:numId="25">
    <w:abstractNumId w:val="18"/>
  </w:num>
  <w:num w:numId="26">
    <w:abstractNumId w:val="9"/>
  </w:num>
  <w:num w:numId="27">
    <w:abstractNumId w:val="3"/>
  </w:num>
  <w:num w:numId="28">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fa Lopez">
    <w15:presenceInfo w15:providerId="Windows Live" w15:userId="14d1389cfcb538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314CB"/>
    <w:rsid w:val="0000204E"/>
    <w:rsid w:val="00003E0A"/>
    <w:rsid w:val="00004E79"/>
    <w:rsid w:val="00005097"/>
    <w:rsid w:val="0000509D"/>
    <w:rsid w:val="000056C2"/>
    <w:rsid w:val="0000600C"/>
    <w:rsid w:val="0000735F"/>
    <w:rsid w:val="00010A8E"/>
    <w:rsid w:val="00010E39"/>
    <w:rsid w:val="00010F1F"/>
    <w:rsid w:val="000111EB"/>
    <w:rsid w:val="00011B93"/>
    <w:rsid w:val="00016A42"/>
    <w:rsid w:val="00017AFB"/>
    <w:rsid w:val="000202EF"/>
    <w:rsid w:val="000207C8"/>
    <w:rsid w:val="000217C4"/>
    <w:rsid w:val="000255AC"/>
    <w:rsid w:val="00026182"/>
    <w:rsid w:val="00026250"/>
    <w:rsid w:val="000324C5"/>
    <w:rsid w:val="00032F51"/>
    <w:rsid w:val="00033448"/>
    <w:rsid w:val="00033EF9"/>
    <w:rsid w:val="00035F65"/>
    <w:rsid w:val="00037387"/>
    <w:rsid w:val="00040706"/>
    <w:rsid w:val="00041E80"/>
    <w:rsid w:val="00042479"/>
    <w:rsid w:val="00044AFB"/>
    <w:rsid w:val="000474A9"/>
    <w:rsid w:val="0005096B"/>
    <w:rsid w:val="00050D8B"/>
    <w:rsid w:val="00055EFD"/>
    <w:rsid w:val="00056F15"/>
    <w:rsid w:val="00060A48"/>
    <w:rsid w:val="00060E67"/>
    <w:rsid w:val="00061C6E"/>
    <w:rsid w:val="00067001"/>
    <w:rsid w:val="00067012"/>
    <w:rsid w:val="00070F3F"/>
    <w:rsid w:val="00070FFF"/>
    <w:rsid w:val="0007245E"/>
    <w:rsid w:val="0007374D"/>
    <w:rsid w:val="000747EB"/>
    <w:rsid w:val="00082A48"/>
    <w:rsid w:val="00083225"/>
    <w:rsid w:val="000836CE"/>
    <w:rsid w:val="00084EF1"/>
    <w:rsid w:val="00090C02"/>
    <w:rsid w:val="00091773"/>
    <w:rsid w:val="0009219C"/>
    <w:rsid w:val="00092218"/>
    <w:rsid w:val="00092C3B"/>
    <w:rsid w:val="000933FF"/>
    <w:rsid w:val="0009352E"/>
    <w:rsid w:val="00093E28"/>
    <w:rsid w:val="00094304"/>
    <w:rsid w:val="0009602A"/>
    <w:rsid w:val="00097485"/>
    <w:rsid w:val="000A1720"/>
    <w:rsid w:val="000A2BEC"/>
    <w:rsid w:val="000A320D"/>
    <w:rsid w:val="000A3F45"/>
    <w:rsid w:val="000A48EB"/>
    <w:rsid w:val="000A4F03"/>
    <w:rsid w:val="000A6356"/>
    <w:rsid w:val="000A739E"/>
    <w:rsid w:val="000A790C"/>
    <w:rsid w:val="000B0BFF"/>
    <w:rsid w:val="000B10D3"/>
    <w:rsid w:val="000B1B98"/>
    <w:rsid w:val="000B264D"/>
    <w:rsid w:val="000B4B10"/>
    <w:rsid w:val="000B5316"/>
    <w:rsid w:val="000B5C2E"/>
    <w:rsid w:val="000B5F6B"/>
    <w:rsid w:val="000B7F4A"/>
    <w:rsid w:val="000C0B65"/>
    <w:rsid w:val="000C14B3"/>
    <w:rsid w:val="000C1615"/>
    <w:rsid w:val="000C5F01"/>
    <w:rsid w:val="000C65B6"/>
    <w:rsid w:val="000C70DC"/>
    <w:rsid w:val="000D007D"/>
    <w:rsid w:val="000D02E3"/>
    <w:rsid w:val="000D0FDB"/>
    <w:rsid w:val="000D1F17"/>
    <w:rsid w:val="000D2094"/>
    <w:rsid w:val="000D2449"/>
    <w:rsid w:val="000D3965"/>
    <w:rsid w:val="000D3A37"/>
    <w:rsid w:val="000D3AB3"/>
    <w:rsid w:val="000D3D8E"/>
    <w:rsid w:val="000D3DF7"/>
    <w:rsid w:val="000D41B8"/>
    <w:rsid w:val="000D4B98"/>
    <w:rsid w:val="000D4F4F"/>
    <w:rsid w:val="000D5EC8"/>
    <w:rsid w:val="000D63E8"/>
    <w:rsid w:val="000E3162"/>
    <w:rsid w:val="000E4A7C"/>
    <w:rsid w:val="000E4E3B"/>
    <w:rsid w:val="000E5176"/>
    <w:rsid w:val="000E610E"/>
    <w:rsid w:val="000F1818"/>
    <w:rsid w:val="000F1B68"/>
    <w:rsid w:val="000F2ECA"/>
    <w:rsid w:val="000F3CB6"/>
    <w:rsid w:val="000F3D59"/>
    <w:rsid w:val="000F3FD0"/>
    <w:rsid w:val="000F44F4"/>
    <w:rsid w:val="000F5F11"/>
    <w:rsid w:val="000F789B"/>
    <w:rsid w:val="000F7C4C"/>
    <w:rsid w:val="00100FB7"/>
    <w:rsid w:val="001012AF"/>
    <w:rsid w:val="001014DB"/>
    <w:rsid w:val="00103B9F"/>
    <w:rsid w:val="0010695A"/>
    <w:rsid w:val="00106ECB"/>
    <w:rsid w:val="001076A6"/>
    <w:rsid w:val="0011212F"/>
    <w:rsid w:val="0011224B"/>
    <w:rsid w:val="0011240F"/>
    <w:rsid w:val="00113C5C"/>
    <w:rsid w:val="0011485A"/>
    <w:rsid w:val="00116DA4"/>
    <w:rsid w:val="00117251"/>
    <w:rsid w:val="0011765A"/>
    <w:rsid w:val="00120908"/>
    <w:rsid w:val="00124292"/>
    <w:rsid w:val="00124358"/>
    <w:rsid w:val="00124D6F"/>
    <w:rsid w:val="00124FDF"/>
    <w:rsid w:val="00126155"/>
    <w:rsid w:val="00130601"/>
    <w:rsid w:val="00130EF7"/>
    <w:rsid w:val="001321F3"/>
    <w:rsid w:val="001324CF"/>
    <w:rsid w:val="00132653"/>
    <w:rsid w:val="0013297B"/>
    <w:rsid w:val="001357D8"/>
    <w:rsid w:val="00136652"/>
    <w:rsid w:val="00137AC3"/>
    <w:rsid w:val="00141DAE"/>
    <w:rsid w:val="00144E53"/>
    <w:rsid w:val="001475D4"/>
    <w:rsid w:val="00147698"/>
    <w:rsid w:val="00150095"/>
    <w:rsid w:val="00150146"/>
    <w:rsid w:val="00151724"/>
    <w:rsid w:val="00151EB2"/>
    <w:rsid w:val="00154923"/>
    <w:rsid w:val="00154956"/>
    <w:rsid w:val="00156076"/>
    <w:rsid w:val="001607E9"/>
    <w:rsid w:val="0016336D"/>
    <w:rsid w:val="00165261"/>
    <w:rsid w:val="001655AE"/>
    <w:rsid w:val="001671C5"/>
    <w:rsid w:val="00167F3F"/>
    <w:rsid w:val="001700E4"/>
    <w:rsid w:val="00172405"/>
    <w:rsid w:val="00174977"/>
    <w:rsid w:val="0017613D"/>
    <w:rsid w:val="001767CA"/>
    <w:rsid w:val="001767D4"/>
    <w:rsid w:val="00177275"/>
    <w:rsid w:val="0018099A"/>
    <w:rsid w:val="001818E4"/>
    <w:rsid w:val="00181E8D"/>
    <w:rsid w:val="0018613D"/>
    <w:rsid w:val="0019286C"/>
    <w:rsid w:val="00192E78"/>
    <w:rsid w:val="00193378"/>
    <w:rsid w:val="00193BE5"/>
    <w:rsid w:val="00193DCB"/>
    <w:rsid w:val="0019765A"/>
    <w:rsid w:val="00197700"/>
    <w:rsid w:val="001977AB"/>
    <w:rsid w:val="00197931"/>
    <w:rsid w:val="00197D80"/>
    <w:rsid w:val="00197DCE"/>
    <w:rsid w:val="001A00C0"/>
    <w:rsid w:val="001A2684"/>
    <w:rsid w:val="001A26B5"/>
    <w:rsid w:val="001A2F1A"/>
    <w:rsid w:val="001A331A"/>
    <w:rsid w:val="001A60AD"/>
    <w:rsid w:val="001A615B"/>
    <w:rsid w:val="001A67BE"/>
    <w:rsid w:val="001A6C9B"/>
    <w:rsid w:val="001B1727"/>
    <w:rsid w:val="001B2704"/>
    <w:rsid w:val="001B2A8A"/>
    <w:rsid w:val="001B3427"/>
    <w:rsid w:val="001B39C3"/>
    <w:rsid w:val="001B44C5"/>
    <w:rsid w:val="001B5DD0"/>
    <w:rsid w:val="001B63BA"/>
    <w:rsid w:val="001B6785"/>
    <w:rsid w:val="001C1636"/>
    <w:rsid w:val="001C4479"/>
    <w:rsid w:val="001D0A58"/>
    <w:rsid w:val="001D103A"/>
    <w:rsid w:val="001D2A46"/>
    <w:rsid w:val="001D663C"/>
    <w:rsid w:val="001D66CF"/>
    <w:rsid w:val="001E0BFC"/>
    <w:rsid w:val="001E4CB2"/>
    <w:rsid w:val="001E5FCC"/>
    <w:rsid w:val="001F132F"/>
    <w:rsid w:val="001F1596"/>
    <w:rsid w:val="001F1C29"/>
    <w:rsid w:val="001F1C49"/>
    <w:rsid w:val="001F3674"/>
    <w:rsid w:val="001F450B"/>
    <w:rsid w:val="001F47DD"/>
    <w:rsid w:val="0020171B"/>
    <w:rsid w:val="00202701"/>
    <w:rsid w:val="00202B5F"/>
    <w:rsid w:val="00202C79"/>
    <w:rsid w:val="00204603"/>
    <w:rsid w:val="002047F9"/>
    <w:rsid w:val="00205376"/>
    <w:rsid w:val="00205B0C"/>
    <w:rsid w:val="002061BB"/>
    <w:rsid w:val="00206A5E"/>
    <w:rsid w:val="00211BF0"/>
    <w:rsid w:val="00211DB0"/>
    <w:rsid w:val="00213E2C"/>
    <w:rsid w:val="00220F28"/>
    <w:rsid w:val="00221868"/>
    <w:rsid w:val="00221995"/>
    <w:rsid w:val="00221BC2"/>
    <w:rsid w:val="00222512"/>
    <w:rsid w:val="00222FEC"/>
    <w:rsid w:val="002245FE"/>
    <w:rsid w:val="0022484D"/>
    <w:rsid w:val="00224B9D"/>
    <w:rsid w:val="00225C34"/>
    <w:rsid w:val="00225F33"/>
    <w:rsid w:val="0022696B"/>
    <w:rsid w:val="00226EA9"/>
    <w:rsid w:val="00227FAF"/>
    <w:rsid w:val="0023180E"/>
    <w:rsid w:val="00232BF6"/>
    <w:rsid w:val="0023379F"/>
    <w:rsid w:val="002357A5"/>
    <w:rsid w:val="002378BE"/>
    <w:rsid w:val="0024146F"/>
    <w:rsid w:val="00241DE9"/>
    <w:rsid w:val="00242B0B"/>
    <w:rsid w:val="0024374F"/>
    <w:rsid w:val="00244973"/>
    <w:rsid w:val="00245DD7"/>
    <w:rsid w:val="00251281"/>
    <w:rsid w:val="002522A5"/>
    <w:rsid w:val="002549FF"/>
    <w:rsid w:val="00256BDA"/>
    <w:rsid w:val="0026030B"/>
    <w:rsid w:val="00260963"/>
    <w:rsid w:val="0026349C"/>
    <w:rsid w:val="00266F62"/>
    <w:rsid w:val="0027037B"/>
    <w:rsid w:val="00271601"/>
    <w:rsid w:val="00274708"/>
    <w:rsid w:val="00276202"/>
    <w:rsid w:val="00276AC7"/>
    <w:rsid w:val="00277E45"/>
    <w:rsid w:val="00281C5C"/>
    <w:rsid w:val="00282CA7"/>
    <w:rsid w:val="002855A1"/>
    <w:rsid w:val="00286607"/>
    <w:rsid w:val="0028705D"/>
    <w:rsid w:val="00290F1C"/>
    <w:rsid w:val="00292A47"/>
    <w:rsid w:val="00293BD7"/>
    <w:rsid w:val="0029471E"/>
    <w:rsid w:val="00294F44"/>
    <w:rsid w:val="0029514A"/>
    <w:rsid w:val="002951C2"/>
    <w:rsid w:val="002A0CF9"/>
    <w:rsid w:val="002A2E9E"/>
    <w:rsid w:val="002A363C"/>
    <w:rsid w:val="002A50B1"/>
    <w:rsid w:val="002A5357"/>
    <w:rsid w:val="002A58EB"/>
    <w:rsid w:val="002A70B1"/>
    <w:rsid w:val="002B06E8"/>
    <w:rsid w:val="002B1CEE"/>
    <w:rsid w:val="002B1DF1"/>
    <w:rsid w:val="002B63B6"/>
    <w:rsid w:val="002B671D"/>
    <w:rsid w:val="002B730E"/>
    <w:rsid w:val="002B7E12"/>
    <w:rsid w:val="002B7EE8"/>
    <w:rsid w:val="002C1E96"/>
    <w:rsid w:val="002C2388"/>
    <w:rsid w:val="002C25B5"/>
    <w:rsid w:val="002C27D7"/>
    <w:rsid w:val="002C2B97"/>
    <w:rsid w:val="002C31CB"/>
    <w:rsid w:val="002C31D9"/>
    <w:rsid w:val="002C44C6"/>
    <w:rsid w:val="002C4AB3"/>
    <w:rsid w:val="002C5228"/>
    <w:rsid w:val="002C5CFE"/>
    <w:rsid w:val="002C6B73"/>
    <w:rsid w:val="002D0BF6"/>
    <w:rsid w:val="002D2B7F"/>
    <w:rsid w:val="002D4879"/>
    <w:rsid w:val="002D55E9"/>
    <w:rsid w:val="002D5DF6"/>
    <w:rsid w:val="002E1EE8"/>
    <w:rsid w:val="002E2D71"/>
    <w:rsid w:val="002E2ECC"/>
    <w:rsid w:val="002E2F13"/>
    <w:rsid w:val="002E55D1"/>
    <w:rsid w:val="002F0FC3"/>
    <w:rsid w:val="002F1054"/>
    <w:rsid w:val="002F21AA"/>
    <w:rsid w:val="002F3A48"/>
    <w:rsid w:val="002F415C"/>
    <w:rsid w:val="002F6601"/>
    <w:rsid w:val="002F7E76"/>
    <w:rsid w:val="00302508"/>
    <w:rsid w:val="0030640D"/>
    <w:rsid w:val="003104B0"/>
    <w:rsid w:val="00312CA0"/>
    <w:rsid w:val="003139E7"/>
    <w:rsid w:val="0031539E"/>
    <w:rsid w:val="00315C07"/>
    <w:rsid w:val="00321EAF"/>
    <w:rsid w:val="0032220C"/>
    <w:rsid w:val="00322972"/>
    <w:rsid w:val="00322A86"/>
    <w:rsid w:val="003234A1"/>
    <w:rsid w:val="00324F29"/>
    <w:rsid w:val="00326D32"/>
    <w:rsid w:val="00330905"/>
    <w:rsid w:val="003316E5"/>
    <w:rsid w:val="0033204E"/>
    <w:rsid w:val="00332D43"/>
    <w:rsid w:val="00335E95"/>
    <w:rsid w:val="00337FEB"/>
    <w:rsid w:val="00340D22"/>
    <w:rsid w:val="00342717"/>
    <w:rsid w:val="00342D99"/>
    <w:rsid w:val="00342E0A"/>
    <w:rsid w:val="0035016A"/>
    <w:rsid w:val="00351CE7"/>
    <w:rsid w:val="00352FDC"/>
    <w:rsid w:val="00355304"/>
    <w:rsid w:val="00355680"/>
    <w:rsid w:val="00357433"/>
    <w:rsid w:val="003604B4"/>
    <w:rsid w:val="00360B0F"/>
    <w:rsid w:val="00360C25"/>
    <w:rsid w:val="0036177F"/>
    <w:rsid w:val="00361CC0"/>
    <w:rsid w:val="00362765"/>
    <w:rsid w:val="00362DE8"/>
    <w:rsid w:val="00364D9A"/>
    <w:rsid w:val="003656F9"/>
    <w:rsid w:val="0036764F"/>
    <w:rsid w:val="00367C3F"/>
    <w:rsid w:val="00370507"/>
    <w:rsid w:val="00370DA5"/>
    <w:rsid w:val="003714BE"/>
    <w:rsid w:val="003716BE"/>
    <w:rsid w:val="0037363F"/>
    <w:rsid w:val="00373820"/>
    <w:rsid w:val="00374137"/>
    <w:rsid w:val="00374844"/>
    <w:rsid w:val="003753EF"/>
    <w:rsid w:val="00375446"/>
    <w:rsid w:val="0037619F"/>
    <w:rsid w:val="00376E3A"/>
    <w:rsid w:val="00376EAA"/>
    <w:rsid w:val="00377064"/>
    <w:rsid w:val="003779D2"/>
    <w:rsid w:val="00377AB7"/>
    <w:rsid w:val="0038024D"/>
    <w:rsid w:val="00381190"/>
    <w:rsid w:val="0038146B"/>
    <w:rsid w:val="003824F7"/>
    <w:rsid w:val="00382D79"/>
    <w:rsid w:val="00383094"/>
    <w:rsid w:val="00384548"/>
    <w:rsid w:val="003849B9"/>
    <w:rsid w:val="00385B6B"/>
    <w:rsid w:val="00386798"/>
    <w:rsid w:val="003870B6"/>
    <w:rsid w:val="00387CAB"/>
    <w:rsid w:val="0039164A"/>
    <w:rsid w:val="00392580"/>
    <w:rsid w:val="00394CF0"/>
    <w:rsid w:val="00395375"/>
    <w:rsid w:val="003959AB"/>
    <w:rsid w:val="0039605C"/>
    <w:rsid w:val="003A0299"/>
    <w:rsid w:val="003A0F92"/>
    <w:rsid w:val="003A1638"/>
    <w:rsid w:val="003A2BCC"/>
    <w:rsid w:val="003A6F77"/>
    <w:rsid w:val="003B1059"/>
    <w:rsid w:val="003B2485"/>
    <w:rsid w:val="003B33FB"/>
    <w:rsid w:val="003B3EBD"/>
    <w:rsid w:val="003B56A7"/>
    <w:rsid w:val="003B60AC"/>
    <w:rsid w:val="003B66CF"/>
    <w:rsid w:val="003B6E24"/>
    <w:rsid w:val="003B714F"/>
    <w:rsid w:val="003C0712"/>
    <w:rsid w:val="003C0D05"/>
    <w:rsid w:val="003C2673"/>
    <w:rsid w:val="003C2756"/>
    <w:rsid w:val="003C39C7"/>
    <w:rsid w:val="003C4598"/>
    <w:rsid w:val="003C4FB8"/>
    <w:rsid w:val="003C5255"/>
    <w:rsid w:val="003C5CB9"/>
    <w:rsid w:val="003C66E1"/>
    <w:rsid w:val="003C68BE"/>
    <w:rsid w:val="003C6C5F"/>
    <w:rsid w:val="003D0427"/>
    <w:rsid w:val="003D0975"/>
    <w:rsid w:val="003D1347"/>
    <w:rsid w:val="003D4023"/>
    <w:rsid w:val="003D453C"/>
    <w:rsid w:val="003D5197"/>
    <w:rsid w:val="003E63F2"/>
    <w:rsid w:val="003E6B03"/>
    <w:rsid w:val="003E7AE8"/>
    <w:rsid w:val="003F28D7"/>
    <w:rsid w:val="003F30AB"/>
    <w:rsid w:val="003F3EEC"/>
    <w:rsid w:val="003F4636"/>
    <w:rsid w:val="003F67C5"/>
    <w:rsid w:val="00401693"/>
    <w:rsid w:val="004025FF"/>
    <w:rsid w:val="00404C6E"/>
    <w:rsid w:val="00410005"/>
    <w:rsid w:val="00411092"/>
    <w:rsid w:val="00413689"/>
    <w:rsid w:val="00413738"/>
    <w:rsid w:val="00414ABC"/>
    <w:rsid w:val="004154C2"/>
    <w:rsid w:val="00417E40"/>
    <w:rsid w:val="004208D5"/>
    <w:rsid w:val="00422048"/>
    <w:rsid w:val="00424C84"/>
    <w:rsid w:val="00426A40"/>
    <w:rsid w:val="00427C27"/>
    <w:rsid w:val="00427D43"/>
    <w:rsid w:val="00430EDA"/>
    <w:rsid w:val="00430F6E"/>
    <w:rsid w:val="004311B0"/>
    <w:rsid w:val="0043274D"/>
    <w:rsid w:val="0043300E"/>
    <w:rsid w:val="00433ACE"/>
    <w:rsid w:val="00437DB3"/>
    <w:rsid w:val="0044008A"/>
    <w:rsid w:val="00440421"/>
    <w:rsid w:val="0044087A"/>
    <w:rsid w:val="00440A83"/>
    <w:rsid w:val="00441AAD"/>
    <w:rsid w:val="00441C71"/>
    <w:rsid w:val="00442839"/>
    <w:rsid w:val="00443A81"/>
    <w:rsid w:val="00447572"/>
    <w:rsid w:val="0045004C"/>
    <w:rsid w:val="004511BB"/>
    <w:rsid w:val="00451C26"/>
    <w:rsid w:val="0045374A"/>
    <w:rsid w:val="00453D7F"/>
    <w:rsid w:val="004557C7"/>
    <w:rsid w:val="00455F7E"/>
    <w:rsid w:val="00456308"/>
    <w:rsid w:val="00457CC7"/>
    <w:rsid w:val="00460A9D"/>
    <w:rsid w:val="0046201A"/>
    <w:rsid w:val="004626D3"/>
    <w:rsid w:val="00462CC3"/>
    <w:rsid w:val="00463804"/>
    <w:rsid w:val="00464DBB"/>
    <w:rsid w:val="004678EF"/>
    <w:rsid w:val="00472AE9"/>
    <w:rsid w:val="00476E31"/>
    <w:rsid w:val="00477B79"/>
    <w:rsid w:val="00477CE6"/>
    <w:rsid w:val="0048061C"/>
    <w:rsid w:val="00484A7F"/>
    <w:rsid w:val="004851EE"/>
    <w:rsid w:val="00486AA1"/>
    <w:rsid w:val="004905B4"/>
    <w:rsid w:val="004912C6"/>
    <w:rsid w:val="004923DC"/>
    <w:rsid w:val="00494A44"/>
    <w:rsid w:val="004A1365"/>
    <w:rsid w:val="004A2746"/>
    <w:rsid w:val="004A2C9A"/>
    <w:rsid w:val="004A2E89"/>
    <w:rsid w:val="004A3DD9"/>
    <w:rsid w:val="004A4851"/>
    <w:rsid w:val="004A59CF"/>
    <w:rsid w:val="004A607D"/>
    <w:rsid w:val="004B0354"/>
    <w:rsid w:val="004B1CE4"/>
    <w:rsid w:val="004B2846"/>
    <w:rsid w:val="004B2B87"/>
    <w:rsid w:val="004B3106"/>
    <w:rsid w:val="004B4443"/>
    <w:rsid w:val="004B51BD"/>
    <w:rsid w:val="004B52E4"/>
    <w:rsid w:val="004B5D69"/>
    <w:rsid w:val="004B748E"/>
    <w:rsid w:val="004C053E"/>
    <w:rsid w:val="004C17B6"/>
    <w:rsid w:val="004C1CEA"/>
    <w:rsid w:val="004C228E"/>
    <w:rsid w:val="004C230F"/>
    <w:rsid w:val="004C2A47"/>
    <w:rsid w:val="004C36AD"/>
    <w:rsid w:val="004C497C"/>
    <w:rsid w:val="004C5852"/>
    <w:rsid w:val="004D0682"/>
    <w:rsid w:val="004D36F7"/>
    <w:rsid w:val="004D3806"/>
    <w:rsid w:val="004D4069"/>
    <w:rsid w:val="004D61F9"/>
    <w:rsid w:val="004E4895"/>
    <w:rsid w:val="004E5E37"/>
    <w:rsid w:val="004F32AA"/>
    <w:rsid w:val="004F5149"/>
    <w:rsid w:val="004F531E"/>
    <w:rsid w:val="004F6B84"/>
    <w:rsid w:val="005036D3"/>
    <w:rsid w:val="00505B03"/>
    <w:rsid w:val="00506F62"/>
    <w:rsid w:val="00507183"/>
    <w:rsid w:val="00510304"/>
    <w:rsid w:val="00510ACF"/>
    <w:rsid w:val="00512EA2"/>
    <w:rsid w:val="005131DE"/>
    <w:rsid w:val="005133E1"/>
    <w:rsid w:val="0051408D"/>
    <w:rsid w:val="005149D3"/>
    <w:rsid w:val="005177A1"/>
    <w:rsid w:val="00520938"/>
    <w:rsid w:val="00522453"/>
    <w:rsid w:val="0052268D"/>
    <w:rsid w:val="005230EB"/>
    <w:rsid w:val="00524EB8"/>
    <w:rsid w:val="00525773"/>
    <w:rsid w:val="00525DA5"/>
    <w:rsid w:val="00527056"/>
    <w:rsid w:val="00527C6B"/>
    <w:rsid w:val="0053276C"/>
    <w:rsid w:val="00534822"/>
    <w:rsid w:val="00537566"/>
    <w:rsid w:val="0054135D"/>
    <w:rsid w:val="00541725"/>
    <w:rsid w:val="0054180D"/>
    <w:rsid w:val="00543223"/>
    <w:rsid w:val="005436AE"/>
    <w:rsid w:val="00543B8C"/>
    <w:rsid w:val="005453AD"/>
    <w:rsid w:val="0054691D"/>
    <w:rsid w:val="005478E2"/>
    <w:rsid w:val="0055154C"/>
    <w:rsid w:val="00553BFB"/>
    <w:rsid w:val="005573E8"/>
    <w:rsid w:val="00560C77"/>
    <w:rsid w:val="00561089"/>
    <w:rsid w:val="00561BBF"/>
    <w:rsid w:val="005621D9"/>
    <w:rsid w:val="0056362B"/>
    <w:rsid w:val="0056367C"/>
    <w:rsid w:val="00565030"/>
    <w:rsid w:val="005653D7"/>
    <w:rsid w:val="005656C5"/>
    <w:rsid w:val="00572743"/>
    <w:rsid w:val="00572E19"/>
    <w:rsid w:val="0057334D"/>
    <w:rsid w:val="00573C7B"/>
    <w:rsid w:val="005746B3"/>
    <w:rsid w:val="00575807"/>
    <w:rsid w:val="00580EFC"/>
    <w:rsid w:val="005835A8"/>
    <w:rsid w:val="00583D47"/>
    <w:rsid w:val="00584575"/>
    <w:rsid w:val="005870C9"/>
    <w:rsid w:val="0058776B"/>
    <w:rsid w:val="005879E8"/>
    <w:rsid w:val="0059388F"/>
    <w:rsid w:val="005945A8"/>
    <w:rsid w:val="00595D5A"/>
    <w:rsid w:val="00597212"/>
    <w:rsid w:val="00597AEE"/>
    <w:rsid w:val="005A1242"/>
    <w:rsid w:val="005A76F1"/>
    <w:rsid w:val="005B0870"/>
    <w:rsid w:val="005B0D23"/>
    <w:rsid w:val="005B0E5E"/>
    <w:rsid w:val="005B2BEC"/>
    <w:rsid w:val="005B3C58"/>
    <w:rsid w:val="005B5AAA"/>
    <w:rsid w:val="005B60AC"/>
    <w:rsid w:val="005B6511"/>
    <w:rsid w:val="005B6AA1"/>
    <w:rsid w:val="005C04D3"/>
    <w:rsid w:val="005C453F"/>
    <w:rsid w:val="005C4B33"/>
    <w:rsid w:val="005C6D91"/>
    <w:rsid w:val="005C7BEF"/>
    <w:rsid w:val="005C7C8C"/>
    <w:rsid w:val="005D0AA1"/>
    <w:rsid w:val="005D0C59"/>
    <w:rsid w:val="005D3125"/>
    <w:rsid w:val="005D3BBA"/>
    <w:rsid w:val="005E1108"/>
    <w:rsid w:val="005E13B5"/>
    <w:rsid w:val="005E1AE2"/>
    <w:rsid w:val="005E2C72"/>
    <w:rsid w:val="005E44AB"/>
    <w:rsid w:val="005E4A88"/>
    <w:rsid w:val="005F00D2"/>
    <w:rsid w:val="005F1A04"/>
    <w:rsid w:val="005F2B2E"/>
    <w:rsid w:val="005F2C1F"/>
    <w:rsid w:val="005F3249"/>
    <w:rsid w:val="005F55BF"/>
    <w:rsid w:val="005F696F"/>
    <w:rsid w:val="005F69C6"/>
    <w:rsid w:val="005F6A2A"/>
    <w:rsid w:val="005F6B38"/>
    <w:rsid w:val="005F7E21"/>
    <w:rsid w:val="006028C3"/>
    <w:rsid w:val="00603099"/>
    <w:rsid w:val="006030BE"/>
    <w:rsid w:val="00604315"/>
    <w:rsid w:val="006059C7"/>
    <w:rsid w:val="00606B71"/>
    <w:rsid w:val="0061059B"/>
    <w:rsid w:val="00610CD3"/>
    <w:rsid w:val="00611796"/>
    <w:rsid w:val="006135AB"/>
    <w:rsid w:val="006147D5"/>
    <w:rsid w:val="006155D2"/>
    <w:rsid w:val="00616429"/>
    <w:rsid w:val="00616511"/>
    <w:rsid w:val="006173F7"/>
    <w:rsid w:val="00621635"/>
    <w:rsid w:val="006216FE"/>
    <w:rsid w:val="00621764"/>
    <w:rsid w:val="006217A3"/>
    <w:rsid w:val="00624B7D"/>
    <w:rsid w:val="00630A1D"/>
    <w:rsid w:val="006314CB"/>
    <w:rsid w:val="0063235E"/>
    <w:rsid w:val="006326DF"/>
    <w:rsid w:val="00633314"/>
    <w:rsid w:val="00633656"/>
    <w:rsid w:val="006351D3"/>
    <w:rsid w:val="00643F97"/>
    <w:rsid w:val="0064487D"/>
    <w:rsid w:val="006464BE"/>
    <w:rsid w:val="00646895"/>
    <w:rsid w:val="00650FD2"/>
    <w:rsid w:val="00654BB5"/>
    <w:rsid w:val="00655239"/>
    <w:rsid w:val="00656423"/>
    <w:rsid w:val="00656B1B"/>
    <w:rsid w:val="00662D86"/>
    <w:rsid w:val="00662EC7"/>
    <w:rsid w:val="0066377D"/>
    <w:rsid w:val="00663DC6"/>
    <w:rsid w:val="00663E80"/>
    <w:rsid w:val="00664375"/>
    <w:rsid w:val="00667A4B"/>
    <w:rsid w:val="00667CD3"/>
    <w:rsid w:val="0067028F"/>
    <w:rsid w:val="0067057C"/>
    <w:rsid w:val="006707CD"/>
    <w:rsid w:val="0067090E"/>
    <w:rsid w:val="00671D3E"/>
    <w:rsid w:val="00671F38"/>
    <w:rsid w:val="00672C08"/>
    <w:rsid w:val="00675CAB"/>
    <w:rsid w:val="006761BA"/>
    <w:rsid w:val="0068554C"/>
    <w:rsid w:val="0068652C"/>
    <w:rsid w:val="00687E3F"/>
    <w:rsid w:val="00690627"/>
    <w:rsid w:val="00690A73"/>
    <w:rsid w:val="00690AC0"/>
    <w:rsid w:val="00691222"/>
    <w:rsid w:val="00692405"/>
    <w:rsid w:val="00692CA3"/>
    <w:rsid w:val="0069334A"/>
    <w:rsid w:val="00695073"/>
    <w:rsid w:val="00695474"/>
    <w:rsid w:val="006956B9"/>
    <w:rsid w:val="006A0A4F"/>
    <w:rsid w:val="006A121F"/>
    <w:rsid w:val="006A1AFB"/>
    <w:rsid w:val="006A1BF0"/>
    <w:rsid w:val="006A3852"/>
    <w:rsid w:val="006A3D41"/>
    <w:rsid w:val="006A4442"/>
    <w:rsid w:val="006B1BF2"/>
    <w:rsid w:val="006B2412"/>
    <w:rsid w:val="006B443D"/>
    <w:rsid w:val="006B51AF"/>
    <w:rsid w:val="006B547C"/>
    <w:rsid w:val="006B5D47"/>
    <w:rsid w:val="006B6EB6"/>
    <w:rsid w:val="006B7493"/>
    <w:rsid w:val="006C0F8B"/>
    <w:rsid w:val="006C2C85"/>
    <w:rsid w:val="006C3CD7"/>
    <w:rsid w:val="006C4074"/>
    <w:rsid w:val="006C4E9E"/>
    <w:rsid w:val="006C5397"/>
    <w:rsid w:val="006C53C8"/>
    <w:rsid w:val="006C7972"/>
    <w:rsid w:val="006C7A79"/>
    <w:rsid w:val="006C7AAA"/>
    <w:rsid w:val="006D0513"/>
    <w:rsid w:val="006D08E9"/>
    <w:rsid w:val="006D1364"/>
    <w:rsid w:val="006D1D5E"/>
    <w:rsid w:val="006D1FB3"/>
    <w:rsid w:val="006D2221"/>
    <w:rsid w:val="006D2AD2"/>
    <w:rsid w:val="006D55EA"/>
    <w:rsid w:val="006D7001"/>
    <w:rsid w:val="006E07A4"/>
    <w:rsid w:val="006E1A51"/>
    <w:rsid w:val="006E3137"/>
    <w:rsid w:val="006E47E6"/>
    <w:rsid w:val="006E6610"/>
    <w:rsid w:val="006E6A1F"/>
    <w:rsid w:val="006E6A72"/>
    <w:rsid w:val="006E6B55"/>
    <w:rsid w:val="006F0F03"/>
    <w:rsid w:val="006F140F"/>
    <w:rsid w:val="006F3315"/>
    <w:rsid w:val="006F5E5D"/>
    <w:rsid w:val="006F64EB"/>
    <w:rsid w:val="007020E4"/>
    <w:rsid w:val="00702DB4"/>
    <w:rsid w:val="007036A7"/>
    <w:rsid w:val="00704D6A"/>
    <w:rsid w:val="00705CCF"/>
    <w:rsid w:val="00705D01"/>
    <w:rsid w:val="00706CB5"/>
    <w:rsid w:val="00707C42"/>
    <w:rsid w:val="00710628"/>
    <w:rsid w:val="00711C09"/>
    <w:rsid w:val="00713423"/>
    <w:rsid w:val="00714CC3"/>
    <w:rsid w:val="00716815"/>
    <w:rsid w:val="00720A83"/>
    <w:rsid w:val="0072440F"/>
    <w:rsid w:val="00724AB8"/>
    <w:rsid w:val="00725A68"/>
    <w:rsid w:val="00726E64"/>
    <w:rsid w:val="00730479"/>
    <w:rsid w:val="00732C8D"/>
    <w:rsid w:val="00733BD1"/>
    <w:rsid w:val="007350E1"/>
    <w:rsid w:val="007352F2"/>
    <w:rsid w:val="00737D16"/>
    <w:rsid w:val="00741180"/>
    <w:rsid w:val="007411E5"/>
    <w:rsid w:val="00741937"/>
    <w:rsid w:val="007420E1"/>
    <w:rsid w:val="00742C0B"/>
    <w:rsid w:val="0074331C"/>
    <w:rsid w:val="00743D07"/>
    <w:rsid w:val="0074550D"/>
    <w:rsid w:val="00746536"/>
    <w:rsid w:val="007503FA"/>
    <w:rsid w:val="007527B1"/>
    <w:rsid w:val="0075338D"/>
    <w:rsid w:val="00753DBF"/>
    <w:rsid w:val="00756E9E"/>
    <w:rsid w:val="00760A15"/>
    <w:rsid w:val="00761758"/>
    <w:rsid w:val="007627D5"/>
    <w:rsid w:val="00764C5B"/>
    <w:rsid w:val="00765950"/>
    <w:rsid w:val="00766263"/>
    <w:rsid w:val="00766B0F"/>
    <w:rsid w:val="00767828"/>
    <w:rsid w:val="00770766"/>
    <w:rsid w:val="00771C5E"/>
    <w:rsid w:val="0077477F"/>
    <w:rsid w:val="00775C8F"/>
    <w:rsid w:val="00780145"/>
    <w:rsid w:val="007824AE"/>
    <w:rsid w:val="00782A76"/>
    <w:rsid w:val="00783A53"/>
    <w:rsid w:val="00784F42"/>
    <w:rsid w:val="007875F9"/>
    <w:rsid w:val="007900C9"/>
    <w:rsid w:val="0079117E"/>
    <w:rsid w:val="007916C9"/>
    <w:rsid w:val="00793815"/>
    <w:rsid w:val="00793862"/>
    <w:rsid w:val="007944E1"/>
    <w:rsid w:val="0079520E"/>
    <w:rsid w:val="00797A70"/>
    <w:rsid w:val="007A0443"/>
    <w:rsid w:val="007A09FB"/>
    <w:rsid w:val="007A1C4B"/>
    <w:rsid w:val="007A2EE4"/>
    <w:rsid w:val="007A38B1"/>
    <w:rsid w:val="007A4D89"/>
    <w:rsid w:val="007A5349"/>
    <w:rsid w:val="007A6FFB"/>
    <w:rsid w:val="007A7868"/>
    <w:rsid w:val="007B0E1B"/>
    <w:rsid w:val="007B26CD"/>
    <w:rsid w:val="007B2C8C"/>
    <w:rsid w:val="007B5018"/>
    <w:rsid w:val="007B5633"/>
    <w:rsid w:val="007B5C79"/>
    <w:rsid w:val="007B60B9"/>
    <w:rsid w:val="007B71E9"/>
    <w:rsid w:val="007C009C"/>
    <w:rsid w:val="007C0E95"/>
    <w:rsid w:val="007C19AF"/>
    <w:rsid w:val="007C19F5"/>
    <w:rsid w:val="007C4594"/>
    <w:rsid w:val="007C4A84"/>
    <w:rsid w:val="007C4D1C"/>
    <w:rsid w:val="007C54AF"/>
    <w:rsid w:val="007C6E97"/>
    <w:rsid w:val="007D1C7E"/>
    <w:rsid w:val="007D1D82"/>
    <w:rsid w:val="007D2E95"/>
    <w:rsid w:val="007D7AA3"/>
    <w:rsid w:val="007E081F"/>
    <w:rsid w:val="007E14B9"/>
    <w:rsid w:val="007E2727"/>
    <w:rsid w:val="007E2BFB"/>
    <w:rsid w:val="007E3CEB"/>
    <w:rsid w:val="007E484A"/>
    <w:rsid w:val="007E6227"/>
    <w:rsid w:val="007E7E00"/>
    <w:rsid w:val="007F03A6"/>
    <w:rsid w:val="007F100D"/>
    <w:rsid w:val="007F11AA"/>
    <w:rsid w:val="007F20B7"/>
    <w:rsid w:val="007F2CFD"/>
    <w:rsid w:val="007F34DD"/>
    <w:rsid w:val="007F50D4"/>
    <w:rsid w:val="007F59A0"/>
    <w:rsid w:val="007F6393"/>
    <w:rsid w:val="007F69C9"/>
    <w:rsid w:val="007F7444"/>
    <w:rsid w:val="007F7D0A"/>
    <w:rsid w:val="00802D59"/>
    <w:rsid w:val="008037F0"/>
    <w:rsid w:val="008048CF"/>
    <w:rsid w:val="008102E6"/>
    <w:rsid w:val="00812CDF"/>
    <w:rsid w:val="008139D5"/>
    <w:rsid w:val="0081400C"/>
    <w:rsid w:val="008140C7"/>
    <w:rsid w:val="008149A0"/>
    <w:rsid w:val="0081503B"/>
    <w:rsid w:val="00816E79"/>
    <w:rsid w:val="00817B4A"/>
    <w:rsid w:val="00821419"/>
    <w:rsid w:val="00822160"/>
    <w:rsid w:val="0082420A"/>
    <w:rsid w:val="00827401"/>
    <w:rsid w:val="00831F2D"/>
    <w:rsid w:val="008328ED"/>
    <w:rsid w:val="00833B36"/>
    <w:rsid w:val="00835B1C"/>
    <w:rsid w:val="008362FC"/>
    <w:rsid w:val="00836C36"/>
    <w:rsid w:val="00837321"/>
    <w:rsid w:val="0083762C"/>
    <w:rsid w:val="00837B08"/>
    <w:rsid w:val="0084408F"/>
    <w:rsid w:val="00846B43"/>
    <w:rsid w:val="008473A5"/>
    <w:rsid w:val="008476BD"/>
    <w:rsid w:val="008503EB"/>
    <w:rsid w:val="00851639"/>
    <w:rsid w:val="00852FF2"/>
    <w:rsid w:val="00853421"/>
    <w:rsid w:val="00854235"/>
    <w:rsid w:val="00854D5A"/>
    <w:rsid w:val="00861EC3"/>
    <w:rsid w:val="00863373"/>
    <w:rsid w:val="008659A4"/>
    <w:rsid w:val="008709EB"/>
    <w:rsid w:val="008724F3"/>
    <w:rsid w:val="00872B96"/>
    <w:rsid w:val="00872F56"/>
    <w:rsid w:val="00873D23"/>
    <w:rsid w:val="00874D55"/>
    <w:rsid w:val="00875373"/>
    <w:rsid w:val="0087539A"/>
    <w:rsid w:val="00875929"/>
    <w:rsid w:val="0087701E"/>
    <w:rsid w:val="00877BAF"/>
    <w:rsid w:val="00880859"/>
    <w:rsid w:val="00881B0E"/>
    <w:rsid w:val="00885936"/>
    <w:rsid w:val="008863CB"/>
    <w:rsid w:val="00887114"/>
    <w:rsid w:val="008908B7"/>
    <w:rsid w:val="00891184"/>
    <w:rsid w:val="00891AC2"/>
    <w:rsid w:val="008930C8"/>
    <w:rsid w:val="0089381D"/>
    <w:rsid w:val="00894599"/>
    <w:rsid w:val="00894C19"/>
    <w:rsid w:val="008955AD"/>
    <w:rsid w:val="00895E9B"/>
    <w:rsid w:val="00896096"/>
    <w:rsid w:val="008965E1"/>
    <w:rsid w:val="008A0B92"/>
    <w:rsid w:val="008A0E7C"/>
    <w:rsid w:val="008A19BF"/>
    <w:rsid w:val="008A1C30"/>
    <w:rsid w:val="008A1D0C"/>
    <w:rsid w:val="008A4A2C"/>
    <w:rsid w:val="008A70F4"/>
    <w:rsid w:val="008B1419"/>
    <w:rsid w:val="008B27BA"/>
    <w:rsid w:val="008B38E6"/>
    <w:rsid w:val="008B3AF1"/>
    <w:rsid w:val="008B3F9F"/>
    <w:rsid w:val="008B4BF9"/>
    <w:rsid w:val="008B5CC5"/>
    <w:rsid w:val="008C122F"/>
    <w:rsid w:val="008C1CCA"/>
    <w:rsid w:val="008C4534"/>
    <w:rsid w:val="008C4CAB"/>
    <w:rsid w:val="008C5634"/>
    <w:rsid w:val="008C636A"/>
    <w:rsid w:val="008C6FA8"/>
    <w:rsid w:val="008D14C3"/>
    <w:rsid w:val="008D1A2E"/>
    <w:rsid w:val="008D1B6E"/>
    <w:rsid w:val="008D560D"/>
    <w:rsid w:val="008D5A56"/>
    <w:rsid w:val="008D6DA9"/>
    <w:rsid w:val="008E0E2A"/>
    <w:rsid w:val="008E1A8C"/>
    <w:rsid w:val="008E2780"/>
    <w:rsid w:val="008E30B4"/>
    <w:rsid w:val="008E5D2A"/>
    <w:rsid w:val="008E6268"/>
    <w:rsid w:val="008E6938"/>
    <w:rsid w:val="008E6BFE"/>
    <w:rsid w:val="008F191C"/>
    <w:rsid w:val="008F29DA"/>
    <w:rsid w:val="008F3777"/>
    <w:rsid w:val="008F422E"/>
    <w:rsid w:val="008F5F3B"/>
    <w:rsid w:val="008F6CA9"/>
    <w:rsid w:val="00900D5E"/>
    <w:rsid w:val="0090260D"/>
    <w:rsid w:val="009033AB"/>
    <w:rsid w:val="00903A1E"/>
    <w:rsid w:val="00906F3E"/>
    <w:rsid w:val="00907DBD"/>
    <w:rsid w:val="00912068"/>
    <w:rsid w:val="00912D0B"/>
    <w:rsid w:val="00917408"/>
    <w:rsid w:val="009203A2"/>
    <w:rsid w:val="00920642"/>
    <w:rsid w:val="00920E5C"/>
    <w:rsid w:val="00924C27"/>
    <w:rsid w:val="0092548B"/>
    <w:rsid w:val="0092579E"/>
    <w:rsid w:val="00927DEA"/>
    <w:rsid w:val="009320C7"/>
    <w:rsid w:val="009323C2"/>
    <w:rsid w:val="00932D71"/>
    <w:rsid w:val="009332B9"/>
    <w:rsid w:val="009339AE"/>
    <w:rsid w:val="00937350"/>
    <w:rsid w:val="009401D2"/>
    <w:rsid w:val="00940A49"/>
    <w:rsid w:val="00941878"/>
    <w:rsid w:val="0094444A"/>
    <w:rsid w:val="00945826"/>
    <w:rsid w:val="00950132"/>
    <w:rsid w:val="009509CA"/>
    <w:rsid w:val="009509D5"/>
    <w:rsid w:val="00951C32"/>
    <w:rsid w:val="0095226D"/>
    <w:rsid w:val="00957B17"/>
    <w:rsid w:val="00957D4C"/>
    <w:rsid w:val="0096021F"/>
    <w:rsid w:val="00961331"/>
    <w:rsid w:val="00961F0F"/>
    <w:rsid w:val="009623F6"/>
    <w:rsid w:val="0097033A"/>
    <w:rsid w:val="00971011"/>
    <w:rsid w:val="00971297"/>
    <w:rsid w:val="009719F6"/>
    <w:rsid w:val="00972909"/>
    <w:rsid w:val="00972CE1"/>
    <w:rsid w:val="00972F2E"/>
    <w:rsid w:val="00973079"/>
    <w:rsid w:val="009733A0"/>
    <w:rsid w:val="009737A7"/>
    <w:rsid w:val="00973E27"/>
    <w:rsid w:val="00976416"/>
    <w:rsid w:val="00980093"/>
    <w:rsid w:val="009803FA"/>
    <w:rsid w:val="009804AD"/>
    <w:rsid w:val="00980D05"/>
    <w:rsid w:val="009811E4"/>
    <w:rsid w:val="00982CEE"/>
    <w:rsid w:val="00983A1A"/>
    <w:rsid w:val="00985006"/>
    <w:rsid w:val="00987034"/>
    <w:rsid w:val="00990ACB"/>
    <w:rsid w:val="009917C5"/>
    <w:rsid w:val="00993259"/>
    <w:rsid w:val="0099791C"/>
    <w:rsid w:val="00997CEE"/>
    <w:rsid w:val="009A4BC8"/>
    <w:rsid w:val="009A5266"/>
    <w:rsid w:val="009A754C"/>
    <w:rsid w:val="009B1CB4"/>
    <w:rsid w:val="009B2688"/>
    <w:rsid w:val="009B31C6"/>
    <w:rsid w:val="009B4C6B"/>
    <w:rsid w:val="009B5B54"/>
    <w:rsid w:val="009B653C"/>
    <w:rsid w:val="009C0BD4"/>
    <w:rsid w:val="009C140A"/>
    <w:rsid w:val="009C20B5"/>
    <w:rsid w:val="009C2118"/>
    <w:rsid w:val="009C4128"/>
    <w:rsid w:val="009C453C"/>
    <w:rsid w:val="009C45D6"/>
    <w:rsid w:val="009C489B"/>
    <w:rsid w:val="009C5994"/>
    <w:rsid w:val="009C5AA5"/>
    <w:rsid w:val="009C5E7F"/>
    <w:rsid w:val="009D0620"/>
    <w:rsid w:val="009D0D36"/>
    <w:rsid w:val="009D192A"/>
    <w:rsid w:val="009D2547"/>
    <w:rsid w:val="009D2E5B"/>
    <w:rsid w:val="009D40C6"/>
    <w:rsid w:val="009D61A8"/>
    <w:rsid w:val="009E0D5F"/>
    <w:rsid w:val="009E129F"/>
    <w:rsid w:val="009E1D3A"/>
    <w:rsid w:val="009E3470"/>
    <w:rsid w:val="009F3525"/>
    <w:rsid w:val="009F4EE8"/>
    <w:rsid w:val="009F5C51"/>
    <w:rsid w:val="009F7374"/>
    <w:rsid w:val="00A00AE0"/>
    <w:rsid w:val="00A00E81"/>
    <w:rsid w:val="00A0170E"/>
    <w:rsid w:val="00A01EA0"/>
    <w:rsid w:val="00A02BB2"/>
    <w:rsid w:val="00A030ED"/>
    <w:rsid w:val="00A03873"/>
    <w:rsid w:val="00A03BBD"/>
    <w:rsid w:val="00A0697C"/>
    <w:rsid w:val="00A06BAA"/>
    <w:rsid w:val="00A07FF5"/>
    <w:rsid w:val="00A10169"/>
    <w:rsid w:val="00A114DD"/>
    <w:rsid w:val="00A1274D"/>
    <w:rsid w:val="00A16F5D"/>
    <w:rsid w:val="00A20015"/>
    <w:rsid w:val="00A21F94"/>
    <w:rsid w:val="00A25503"/>
    <w:rsid w:val="00A25BD0"/>
    <w:rsid w:val="00A25C94"/>
    <w:rsid w:val="00A26291"/>
    <w:rsid w:val="00A26CB4"/>
    <w:rsid w:val="00A278D5"/>
    <w:rsid w:val="00A27CDB"/>
    <w:rsid w:val="00A3079B"/>
    <w:rsid w:val="00A30856"/>
    <w:rsid w:val="00A30CB3"/>
    <w:rsid w:val="00A34418"/>
    <w:rsid w:val="00A34528"/>
    <w:rsid w:val="00A40AA8"/>
    <w:rsid w:val="00A42292"/>
    <w:rsid w:val="00A43C5F"/>
    <w:rsid w:val="00A43D23"/>
    <w:rsid w:val="00A44B3F"/>
    <w:rsid w:val="00A46AB2"/>
    <w:rsid w:val="00A479CD"/>
    <w:rsid w:val="00A5022B"/>
    <w:rsid w:val="00A50FC7"/>
    <w:rsid w:val="00A5276B"/>
    <w:rsid w:val="00A52FA6"/>
    <w:rsid w:val="00A539E1"/>
    <w:rsid w:val="00A53AA3"/>
    <w:rsid w:val="00A5458D"/>
    <w:rsid w:val="00A56E05"/>
    <w:rsid w:val="00A6017F"/>
    <w:rsid w:val="00A61A1E"/>
    <w:rsid w:val="00A624B6"/>
    <w:rsid w:val="00A64639"/>
    <w:rsid w:val="00A64D69"/>
    <w:rsid w:val="00A6511E"/>
    <w:rsid w:val="00A6524D"/>
    <w:rsid w:val="00A652A8"/>
    <w:rsid w:val="00A66D19"/>
    <w:rsid w:val="00A672E5"/>
    <w:rsid w:val="00A67FC0"/>
    <w:rsid w:val="00A71B4D"/>
    <w:rsid w:val="00A71F8F"/>
    <w:rsid w:val="00A740C1"/>
    <w:rsid w:val="00A75F6B"/>
    <w:rsid w:val="00A77E6F"/>
    <w:rsid w:val="00A83517"/>
    <w:rsid w:val="00A85059"/>
    <w:rsid w:val="00A857F6"/>
    <w:rsid w:val="00A87B00"/>
    <w:rsid w:val="00A905BF"/>
    <w:rsid w:val="00A90972"/>
    <w:rsid w:val="00A9160F"/>
    <w:rsid w:val="00A946C8"/>
    <w:rsid w:val="00A95F1F"/>
    <w:rsid w:val="00A96316"/>
    <w:rsid w:val="00A96B0E"/>
    <w:rsid w:val="00AA0196"/>
    <w:rsid w:val="00AA1346"/>
    <w:rsid w:val="00AA2F97"/>
    <w:rsid w:val="00AA4CCA"/>
    <w:rsid w:val="00AA4EDC"/>
    <w:rsid w:val="00AA562A"/>
    <w:rsid w:val="00AA5B07"/>
    <w:rsid w:val="00AA7437"/>
    <w:rsid w:val="00AA7FBD"/>
    <w:rsid w:val="00AB065F"/>
    <w:rsid w:val="00AB7143"/>
    <w:rsid w:val="00AC1030"/>
    <w:rsid w:val="00AC2B31"/>
    <w:rsid w:val="00AC2DC5"/>
    <w:rsid w:val="00AC3451"/>
    <w:rsid w:val="00AC61A8"/>
    <w:rsid w:val="00AD0F68"/>
    <w:rsid w:val="00AD1081"/>
    <w:rsid w:val="00AD1D55"/>
    <w:rsid w:val="00AD2B49"/>
    <w:rsid w:val="00AD2B5A"/>
    <w:rsid w:val="00AD3AD6"/>
    <w:rsid w:val="00AD4299"/>
    <w:rsid w:val="00AD6B69"/>
    <w:rsid w:val="00AD7E96"/>
    <w:rsid w:val="00AE07FD"/>
    <w:rsid w:val="00AE095C"/>
    <w:rsid w:val="00AE24D8"/>
    <w:rsid w:val="00AE2B7F"/>
    <w:rsid w:val="00AE524A"/>
    <w:rsid w:val="00AE54DA"/>
    <w:rsid w:val="00AE6ADD"/>
    <w:rsid w:val="00AE6F4C"/>
    <w:rsid w:val="00AF02DB"/>
    <w:rsid w:val="00AF1AE8"/>
    <w:rsid w:val="00AF1E4E"/>
    <w:rsid w:val="00AF2D1B"/>
    <w:rsid w:val="00AF2D5E"/>
    <w:rsid w:val="00AF4281"/>
    <w:rsid w:val="00AF44AB"/>
    <w:rsid w:val="00AF478D"/>
    <w:rsid w:val="00AF6E5D"/>
    <w:rsid w:val="00B00019"/>
    <w:rsid w:val="00B00A31"/>
    <w:rsid w:val="00B0230C"/>
    <w:rsid w:val="00B027BA"/>
    <w:rsid w:val="00B034A1"/>
    <w:rsid w:val="00B045F5"/>
    <w:rsid w:val="00B0577F"/>
    <w:rsid w:val="00B109CD"/>
    <w:rsid w:val="00B11A77"/>
    <w:rsid w:val="00B11AB5"/>
    <w:rsid w:val="00B11F84"/>
    <w:rsid w:val="00B127D4"/>
    <w:rsid w:val="00B13B23"/>
    <w:rsid w:val="00B16100"/>
    <w:rsid w:val="00B16617"/>
    <w:rsid w:val="00B20876"/>
    <w:rsid w:val="00B21010"/>
    <w:rsid w:val="00B233A8"/>
    <w:rsid w:val="00B248FE"/>
    <w:rsid w:val="00B253F5"/>
    <w:rsid w:val="00B261B1"/>
    <w:rsid w:val="00B30B48"/>
    <w:rsid w:val="00B31CAC"/>
    <w:rsid w:val="00B32388"/>
    <w:rsid w:val="00B33185"/>
    <w:rsid w:val="00B349EF"/>
    <w:rsid w:val="00B34D95"/>
    <w:rsid w:val="00B34DD1"/>
    <w:rsid w:val="00B409C9"/>
    <w:rsid w:val="00B41D99"/>
    <w:rsid w:val="00B41E8E"/>
    <w:rsid w:val="00B43131"/>
    <w:rsid w:val="00B45BA0"/>
    <w:rsid w:val="00B47B83"/>
    <w:rsid w:val="00B47F8E"/>
    <w:rsid w:val="00B505D3"/>
    <w:rsid w:val="00B51AFB"/>
    <w:rsid w:val="00B54452"/>
    <w:rsid w:val="00B54B23"/>
    <w:rsid w:val="00B556BC"/>
    <w:rsid w:val="00B606C8"/>
    <w:rsid w:val="00B614DD"/>
    <w:rsid w:val="00B614F5"/>
    <w:rsid w:val="00B62B93"/>
    <w:rsid w:val="00B64DE4"/>
    <w:rsid w:val="00B65017"/>
    <w:rsid w:val="00B66FFC"/>
    <w:rsid w:val="00B7014D"/>
    <w:rsid w:val="00B718AF"/>
    <w:rsid w:val="00B7194C"/>
    <w:rsid w:val="00B7338E"/>
    <w:rsid w:val="00B73FA7"/>
    <w:rsid w:val="00B7413E"/>
    <w:rsid w:val="00B7546D"/>
    <w:rsid w:val="00B76963"/>
    <w:rsid w:val="00B77439"/>
    <w:rsid w:val="00B7785E"/>
    <w:rsid w:val="00B77C9D"/>
    <w:rsid w:val="00B82081"/>
    <w:rsid w:val="00B832A8"/>
    <w:rsid w:val="00B83810"/>
    <w:rsid w:val="00B8416F"/>
    <w:rsid w:val="00B84CA3"/>
    <w:rsid w:val="00B84E8B"/>
    <w:rsid w:val="00B879AA"/>
    <w:rsid w:val="00B9032F"/>
    <w:rsid w:val="00B945CC"/>
    <w:rsid w:val="00B95BBB"/>
    <w:rsid w:val="00B960DA"/>
    <w:rsid w:val="00B97620"/>
    <w:rsid w:val="00B97760"/>
    <w:rsid w:val="00BA12DE"/>
    <w:rsid w:val="00BA6305"/>
    <w:rsid w:val="00BA6FAF"/>
    <w:rsid w:val="00BB0EF0"/>
    <w:rsid w:val="00BB3989"/>
    <w:rsid w:val="00BB3AA1"/>
    <w:rsid w:val="00BB3E11"/>
    <w:rsid w:val="00BB4321"/>
    <w:rsid w:val="00BB45FB"/>
    <w:rsid w:val="00BB67C2"/>
    <w:rsid w:val="00BC08CE"/>
    <w:rsid w:val="00BC0CDA"/>
    <w:rsid w:val="00BC1C98"/>
    <w:rsid w:val="00BC2A0E"/>
    <w:rsid w:val="00BC3F41"/>
    <w:rsid w:val="00BC5BB5"/>
    <w:rsid w:val="00BC79E2"/>
    <w:rsid w:val="00BD0563"/>
    <w:rsid w:val="00BD0E6F"/>
    <w:rsid w:val="00BD1E37"/>
    <w:rsid w:val="00BD2266"/>
    <w:rsid w:val="00BD3E5C"/>
    <w:rsid w:val="00BD4266"/>
    <w:rsid w:val="00BD772C"/>
    <w:rsid w:val="00BE163E"/>
    <w:rsid w:val="00BE2924"/>
    <w:rsid w:val="00BE2A4E"/>
    <w:rsid w:val="00BE2E75"/>
    <w:rsid w:val="00BE358A"/>
    <w:rsid w:val="00BE3BF8"/>
    <w:rsid w:val="00BE4421"/>
    <w:rsid w:val="00BE5E2B"/>
    <w:rsid w:val="00BE77FE"/>
    <w:rsid w:val="00BF1B25"/>
    <w:rsid w:val="00BF2BA8"/>
    <w:rsid w:val="00BF2E50"/>
    <w:rsid w:val="00BF2EFB"/>
    <w:rsid w:val="00BF5788"/>
    <w:rsid w:val="00BF6CB2"/>
    <w:rsid w:val="00BF7453"/>
    <w:rsid w:val="00BF7E91"/>
    <w:rsid w:val="00C01F58"/>
    <w:rsid w:val="00C027FE"/>
    <w:rsid w:val="00C03B02"/>
    <w:rsid w:val="00C04C58"/>
    <w:rsid w:val="00C05017"/>
    <w:rsid w:val="00C07C9A"/>
    <w:rsid w:val="00C11565"/>
    <w:rsid w:val="00C138C7"/>
    <w:rsid w:val="00C16207"/>
    <w:rsid w:val="00C16C2C"/>
    <w:rsid w:val="00C20143"/>
    <w:rsid w:val="00C2037E"/>
    <w:rsid w:val="00C2038B"/>
    <w:rsid w:val="00C2060C"/>
    <w:rsid w:val="00C2222B"/>
    <w:rsid w:val="00C23C9F"/>
    <w:rsid w:val="00C23E34"/>
    <w:rsid w:val="00C243AB"/>
    <w:rsid w:val="00C25162"/>
    <w:rsid w:val="00C267CE"/>
    <w:rsid w:val="00C32EA5"/>
    <w:rsid w:val="00C331B8"/>
    <w:rsid w:val="00C34134"/>
    <w:rsid w:val="00C34324"/>
    <w:rsid w:val="00C35295"/>
    <w:rsid w:val="00C365DC"/>
    <w:rsid w:val="00C36867"/>
    <w:rsid w:val="00C3758C"/>
    <w:rsid w:val="00C379CF"/>
    <w:rsid w:val="00C4065B"/>
    <w:rsid w:val="00C40682"/>
    <w:rsid w:val="00C4133B"/>
    <w:rsid w:val="00C4140B"/>
    <w:rsid w:val="00C455E3"/>
    <w:rsid w:val="00C45A9A"/>
    <w:rsid w:val="00C46D77"/>
    <w:rsid w:val="00C474D1"/>
    <w:rsid w:val="00C479E9"/>
    <w:rsid w:val="00C47A3D"/>
    <w:rsid w:val="00C47ADE"/>
    <w:rsid w:val="00C47E76"/>
    <w:rsid w:val="00C51DE7"/>
    <w:rsid w:val="00C533DD"/>
    <w:rsid w:val="00C53F46"/>
    <w:rsid w:val="00C5483E"/>
    <w:rsid w:val="00C610D1"/>
    <w:rsid w:val="00C62762"/>
    <w:rsid w:val="00C65111"/>
    <w:rsid w:val="00C65C34"/>
    <w:rsid w:val="00C6687F"/>
    <w:rsid w:val="00C66A88"/>
    <w:rsid w:val="00C674D6"/>
    <w:rsid w:val="00C71431"/>
    <w:rsid w:val="00C72C12"/>
    <w:rsid w:val="00C73127"/>
    <w:rsid w:val="00C7378D"/>
    <w:rsid w:val="00C73799"/>
    <w:rsid w:val="00C74C02"/>
    <w:rsid w:val="00C74D24"/>
    <w:rsid w:val="00C75BA0"/>
    <w:rsid w:val="00C770A8"/>
    <w:rsid w:val="00C77450"/>
    <w:rsid w:val="00C77B5A"/>
    <w:rsid w:val="00C820B9"/>
    <w:rsid w:val="00C82A6E"/>
    <w:rsid w:val="00C85B98"/>
    <w:rsid w:val="00C86EEA"/>
    <w:rsid w:val="00C876E2"/>
    <w:rsid w:val="00C90533"/>
    <w:rsid w:val="00C91B25"/>
    <w:rsid w:val="00C945A8"/>
    <w:rsid w:val="00C94E56"/>
    <w:rsid w:val="00C94E75"/>
    <w:rsid w:val="00C9502A"/>
    <w:rsid w:val="00CA006E"/>
    <w:rsid w:val="00CA07E2"/>
    <w:rsid w:val="00CA3819"/>
    <w:rsid w:val="00CA5543"/>
    <w:rsid w:val="00CA6890"/>
    <w:rsid w:val="00CB3EBB"/>
    <w:rsid w:val="00CB4FC4"/>
    <w:rsid w:val="00CB6D70"/>
    <w:rsid w:val="00CC0E02"/>
    <w:rsid w:val="00CC1FB7"/>
    <w:rsid w:val="00CC25E3"/>
    <w:rsid w:val="00CC3251"/>
    <w:rsid w:val="00CC5288"/>
    <w:rsid w:val="00CD0A38"/>
    <w:rsid w:val="00CD1C6D"/>
    <w:rsid w:val="00CD23B4"/>
    <w:rsid w:val="00CD280F"/>
    <w:rsid w:val="00CD3830"/>
    <w:rsid w:val="00CD4E76"/>
    <w:rsid w:val="00CE03DD"/>
    <w:rsid w:val="00CE0CAC"/>
    <w:rsid w:val="00CE2995"/>
    <w:rsid w:val="00CE4FD1"/>
    <w:rsid w:val="00CE54B3"/>
    <w:rsid w:val="00CE5622"/>
    <w:rsid w:val="00CE5947"/>
    <w:rsid w:val="00CF0607"/>
    <w:rsid w:val="00CF0F95"/>
    <w:rsid w:val="00CF2961"/>
    <w:rsid w:val="00CF429F"/>
    <w:rsid w:val="00CF6232"/>
    <w:rsid w:val="00CF6EC9"/>
    <w:rsid w:val="00CF74C4"/>
    <w:rsid w:val="00CF763F"/>
    <w:rsid w:val="00D0335B"/>
    <w:rsid w:val="00D04119"/>
    <w:rsid w:val="00D055FC"/>
    <w:rsid w:val="00D06211"/>
    <w:rsid w:val="00D068C6"/>
    <w:rsid w:val="00D068FE"/>
    <w:rsid w:val="00D140E5"/>
    <w:rsid w:val="00D15018"/>
    <w:rsid w:val="00D151E9"/>
    <w:rsid w:val="00D2062E"/>
    <w:rsid w:val="00D20C85"/>
    <w:rsid w:val="00D212F5"/>
    <w:rsid w:val="00D21405"/>
    <w:rsid w:val="00D21447"/>
    <w:rsid w:val="00D2316B"/>
    <w:rsid w:val="00D237CA"/>
    <w:rsid w:val="00D26542"/>
    <w:rsid w:val="00D2699C"/>
    <w:rsid w:val="00D272C6"/>
    <w:rsid w:val="00D30B4B"/>
    <w:rsid w:val="00D3210B"/>
    <w:rsid w:val="00D35684"/>
    <w:rsid w:val="00D368C0"/>
    <w:rsid w:val="00D368E9"/>
    <w:rsid w:val="00D40068"/>
    <w:rsid w:val="00D41100"/>
    <w:rsid w:val="00D413E3"/>
    <w:rsid w:val="00D41FA1"/>
    <w:rsid w:val="00D424E9"/>
    <w:rsid w:val="00D446C9"/>
    <w:rsid w:val="00D46003"/>
    <w:rsid w:val="00D50149"/>
    <w:rsid w:val="00D5140A"/>
    <w:rsid w:val="00D51CA7"/>
    <w:rsid w:val="00D53870"/>
    <w:rsid w:val="00D57103"/>
    <w:rsid w:val="00D60E30"/>
    <w:rsid w:val="00D6214A"/>
    <w:rsid w:val="00D6329F"/>
    <w:rsid w:val="00D6342E"/>
    <w:rsid w:val="00D65E06"/>
    <w:rsid w:val="00D70B18"/>
    <w:rsid w:val="00D723D6"/>
    <w:rsid w:val="00D72447"/>
    <w:rsid w:val="00D7244E"/>
    <w:rsid w:val="00D727D8"/>
    <w:rsid w:val="00D72F7A"/>
    <w:rsid w:val="00D756B3"/>
    <w:rsid w:val="00D75F57"/>
    <w:rsid w:val="00D801EE"/>
    <w:rsid w:val="00D80425"/>
    <w:rsid w:val="00D81ABD"/>
    <w:rsid w:val="00D82744"/>
    <w:rsid w:val="00D82ACF"/>
    <w:rsid w:val="00D83D88"/>
    <w:rsid w:val="00D847F4"/>
    <w:rsid w:val="00D9191B"/>
    <w:rsid w:val="00D91B9D"/>
    <w:rsid w:val="00D91BDB"/>
    <w:rsid w:val="00D924F6"/>
    <w:rsid w:val="00D93648"/>
    <w:rsid w:val="00D95493"/>
    <w:rsid w:val="00D954E7"/>
    <w:rsid w:val="00D95DBD"/>
    <w:rsid w:val="00D966BA"/>
    <w:rsid w:val="00D972DD"/>
    <w:rsid w:val="00D97FF0"/>
    <w:rsid w:val="00DA0FC4"/>
    <w:rsid w:val="00DA1BA2"/>
    <w:rsid w:val="00DA4019"/>
    <w:rsid w:val="00DA4030"/>
    <w:rsid w:val="00DA6B01"/>
    <w:rsid w:val="00DA6C09"/>
    <w:rsid w:val="00DB04B7"/>
    <w:rsid w:val="00DB09FD"/>
    <w:rsid w:val="00DB16DF"/>
    <w:rsid w:val="00DB24A3"/>
    <w:rsid w:val="00DB5A09"/>
    <w:rsid w:val="00DB69E4"/>
    <w:rsid w:val="00DC0155"/>
    <w:rsid w:val="00DC0B8B"/>
    <w:rsid w:val="00DC1F8D"/>
    <w:rsid w:val="00DC3595"/>
    <w:rsid w:val="00DC360B"/>
    <w:rsid w:val="00DC3C32"/>
    <w:rsid w:val="00DC4581"/>
    <w:rsid w:val="00DC4F06"/>
    <w:rsid w:val="00DC6318"/>
    <w:rsid w:val="00DD177E"/>
    <w:rsid w:val="00DD2922"/>
    <w:rsid w:val="00DD2CB4"/>
    <w:rsid w:val="00DD3188"/>
    <w:rsid w:val="00DD3723"/>
    <w:rsid w:val="00DD3EA7"/>
    <w:rsid w:val="00DD5992"/>
    <w:rsid w:val="00DD6892"/>
    <w:rsid w:val="00DD6F5E"/>
    <w:rsid w:val="00DE01B6"/>
    <w:rsid w:val="00DE082A"/>
    <w:rsid w:val="00DE2455"/>
    <w:rsid w:val="00DE2634"/>
    <w:rsid w:val="00DE576D"/>
    <w:rsid w:val="00DE5E15"/>
    <w:rsid w:val="00DE6B10"/>
    <w:rsid w:val="00DE7069"/>
    <w:rsid w:val="00DF07F6"/>
    <w:rsid w:val="00DF2A59"/>
    <w:rsid w:val="00DF37DF"/>
    <w:rsid w:val="00DF517E"/>
    <w:rsid w:val="00DF5598"/>
    <w:rsid w:val="00DF644F"/>
    <w:rsid w:val="00DF7BAB"/>
    <w:rsid w:val="00E00553"/>
    <w:rsid w:val="00E03901"/>
    <w:rsid w:val="00E05364"/>
    <w:rsid w:val="00E0622A"/>
    <w:rsid w:val="00E06872"/>
    <w:rsid w:val="00E075DC"/>
    <w:rsid w:val="00E07C3B"/>
    <w:rsid w:val="00E1334B"/>
    <w:rsid w:val="00E14140"/>
    <w:rsid w:val="00E14718"/>
    <w:rsid w:val="00E16005"/>
    <w:rsid w:val="00E16445"/>
    <w:rsid w:val="00E204CA"/>
    <w:rsid w:val="00E213EB"/>
    <w:rsid w:val="00E225D6"/>
    <w:rsid w:val="00E22C69"/>
    <w:rsid w:val="00E24776"/>
    <w:rsid w:val="00E25D2A"/>
    <w:rsid w:val="00E301EF"/>
    <w:rsid w:val="00E30EFE"/>
    <w:rsid w:val="00E31391"/>
    <w:rsid w:val="00E31B14"/>
    <w:rsid w:val="00E31F49"/>
    <w:rsid w:val="00E34EF1"/>
    <w:rsid w:val="00E40099"/>
    <w:rsid w:val="00E42B38"/>
    <w:rsid w:val="00E437A6"/>
    <w:rsid w:val="00E4437D"/>
    <w:rsid w:val="00E452AF"/>
    <w:rsid w:val="00E45DCE"/>
    <w:rsid w:val="00E4654C"/>
    <w:rsid w:val="00E471F6"/>
    <w:rsid w:val="00E47273"/>
    <w:rsid w:val="00E47C61"/>
    <w:rsid w:val="00E50F4B"/>
    <w:rsid w:val="00E51EF6"/>
    <w:rsid w:val="00E53C53"/>
    <w:rsid w:val="00E55471"/>
    <w:rsid w:val="00E57069"/>
    <w:rsid w:val="00E57AFA"/>
    <w:rsid w:val="00E61B71"/>
    <w:rsid w:val="00E61C84"/>
    <w:rsid w:val="00E620F2"/>
    <w:rsid w:val="00E646A1"/>
    <w:rsid w:val="00E663A8"/>
    <w:rsid w:val="00E66682"/>
    <w:rsid w:val="00E6681A"/>
    <w:rsid w:val="00E677EB"/>
    <w:rsid w:val="00E74123"/>
    <w:rsid w:val="00E76176"/>
    <w:rsid w:val="00E7696F"/>
    <w:rsid w:val="00E76C12"/>
    <w:rsid w:val="00E77317"/>
    <w:rsid w:val="00E824A9"/>
    <w:rsid w:val="00E832B7"/>
    <w:rsid w:val="00E83FF7"/>
    <w:rsid w:val="00E8484C"/>
    <w:rsid w:val="00E85A88"/>
    <w:rsid w:val="00E87120"/>
    <w:rsid w:val="00E874A4"/>
    <w:rsid w:val="00E92BEB"/>
    <w:rsid w:val="00E941CC"/>
    <w:rsid w:val="00E94F9B"/>
    <w:rsid w:val="00E95682"/>
    <w:rsid w:val="00E95761"/>
    <w:rsid w:val="00E962B9"/>
    <w:rsid w:val="00E97EEE"/>
    <w:rsid w:val="00EA1336"/>
    <w:rsid w:val="00EA204C"/>
    <w:rsid w:val="00EA3F0A"/>
    <w:rsid w:val="00EA4BF7"/>
    <w:rsid w:val="00EA51E3"/>
    <w:rsid w:val="00EA6D33"/>
    <w:rsid w:val="00EA77D0"/>
    <w:rsid w:val="00EB0ADE"/>
    <w:rsid w:val="00EB0F58"/>
    <w:rsid w:val="00EB3E9A"/>
    <w:rsid w:val="00EB4C01"/>
    <w:rsid w:val="00EB4FB5"/>
    <w:rsid w:val="00EB58B6"/>
    <w:rsid w:val="00EB58EA"/>
    <w:rsid w:val="00EB6C55"/>
    <w:rsid w:val="00EB7157"/>
    <w:rsid w:val="00EB7F9A"/>
    <w:rsid w:val="00EC1C4C"/>
    <w:rsid w:val="00EC1F8C"/>
    <w:rsid w:val="00EC33E0"/>
    <w:rsid w:val="00EC4363"/>
    <w:rsid w:val="00EC44DE"/>
    <w:rsid w:val="00EC4AB9"/>
    <w:rsid w:val="00EC642B"/>
    <w:rsid w:val="00EC6B2F"/>
    <w:rsid w:val="00ED14FF"/>
    <w:rsid w:val="00ED1A3C"/>
    <w:rsid w:val="00ED1BF9"/>
    <w:rsid w:val="00ED1D73"/>
    <w:rsid w:val="00ED38C6"/>
    <w:rsid w:val="00ED466E"/>
    <w:rsid w:val="00ED511F"/>
    <w:rsid w:val="00ED598A"/>
    <w:rsid w:val="00EE009C"/>
    <w:rsid w:val="00EE044F"/>
    <w:rsid w:val="00EE072D"/>
    <w:rsid w:val="00EE2651"/>
    <w:rsid w:val="00EE28F1"/>
    <w:rsid w:val="00EE2EFB"/>
    <w:rsid w:val="00EE40CF"/>
    <w:rsid w:val="00EE4251"/>
    <w:rsid w:val="00EE4884"/>
    <w:rsid w:val="00EE50AD"/>
    <w:rsid w:val="00EE5DBF"/>
    <w:rsid w:val="00EE617E"/>
    <w:rsid w:val="00EF3209"/>
    <w:rsid w:val="00EF79DB"/>
    <w:rsid w:val="00F0004A"/>
    <w:rsid w:val="00F003D8"/>
    <w:rsid w:val="00F00508"/>
    <w:rsid w:val="00F01B91"/>
    <w:rsid w:val="00F032C9"/>
    <w:rsid w:val="00F0488C"/>
    <w:rsid w:val="00F04D8A"/>
    <w:rsid w:val="00F0554A"/>
    <w:rsid w:val="00F05A2F"/>
    <w:rsid w:val="00F0732D"/>
    <w:rsid w:val="00F07575"/>
    <w:rsid w:val="00F11EB9"/>
    <w:rsid w:val="00F14EED"/>
    <w:rsid w:val="00F1712A"/>
    <w:rsid w:val="00F25A14"/>
    <w:rsid w:val="00F25BC4"/>
    <w:rsid w:val="00F31185"/>
    <w:rsid w:val="00F31E1E"/>
    <w:rsid w:val="00F33921"/>
    <w:rsid w:val="00F34DF8"/>
    <w:rsid w:val="00F357A5"/>
    <w:rsid w:val="00F3616F"/>
    <w:rsid w:val="00F40873"/>
    <w:rsid w:val="00F40902"/>
    <w:rsid w:val="00F410C8"/>
    <w:rsid w:val="00F41281"/>
    <w:rsid w:val="00F426C7"/>
    <w:rsid w:val="00F429F0"/>
    <w:rsid w:val="00F43198"/>
    <w:rsid w:val="00F43737"/>
    <w:rsid w:val="00F43E43"/>
    <w:rsid w:val="00F44CFE"/>
    <w:rsid w:val="00F46237"/>
    <w:rsid w:val="00F503F1"/>
    <w:rsid w:val="00F50B16"/>
    <w:rsid w:val="00F50D0D"/>
    <w:rsid w:val="00F516CA"/>
    <w:rsid w:val="00F51713"/>
    <w:rsid w:val="00F526BD"/>
    <w:rsid w:val="00F54AB0"/>
    <w:rsid w:val="00F54EBE"/>
    <w:rsid w:val="00F558C6"/>
    <w:rsid w:val="00F55FAD"/>
    <w:rsid w:val="00F57F62"/>
    <w:rsid w:val="00F6024A"/>
    <w:rsid w:val="00F650FB"/>
    <w:rsid w:val="00F65FF7"/>
    <w:rsid w:val="00F667D8"/>
    <w:rsid w:val="00F673C4"/>
    <w:rsid w:val="00F676A4"/>
    <w:rsid w:val="00F73061"/>
    <w:rsid w:val="00F730C6"/>
    <w:rsid w:val="00F76AD5"/>
    <w:rsid w:val="00F76C51"/>
    <w:rsid w:val="00F77E8C"/>
    <w:rsid w:val="00F8105F"/>
    <w:rsid w:val="00F8237E"/>
    <w:rsid w:val="00F83458"/>
    <w:rsid w:val="00F83B1E"/>
    <w:rsid w:val="00F83D90"/>
    <w:rsid w:val="00F86DF9"/>
    <w:rsid w:val="00F91C7E"/>
    <w:rsid w:val="00F93AEC"/>
    <w:rsid w:val="00F95168"/>
    <w:rsid w:val="00FA1DB9"/>
    <w:rsid w:val="00FA2DA0"/>
    <w:rsid w:val="00FA6201"/>
    <w:rsid w:val="00FA6738"/>
    <w:rsid w:val="00FB03D4"/>
    <w:rsid w:val="00FB16DB"/>
    <w:rsid w:val="00FB1D85"/>
    <w:rsid w:val="00FB1E06"/>
    <w:rsid w:val="00FB2F9C"/>
    <w:rsid w:val="00FB365C"/>
    <w:rsid w:val="00FB3AFE"/>
    <w:rsid w:val="00FB41A0"/>
    <w:rsid w:val="00FB51B3"/>
    <w:rsid w:val="00FC017B"/>
    <w:rsid w:val="00FC0545"/>
    <w:rsid w:val="00FC1FAE"/>
    <w:rsid w:val="00FC3D70"/>
    <w:rsid w:val="00FC44CB"/>
    <w:rsid w:val="00FC65B8"/>
    <w:rsid w:val="00FD2335"/>
    <w:rsid w:val="00FD2EBA"/>
    <w:rsid w:val="00FD2FF4"/>
    <w:rsid w:val="00FD388E"/>
    <w:rsid w:val="00FD3F8A"/>
    <w:rsid w:val="00FD5954"/>
    <w:rsid w:val="00FD6249"/>
    <w:rsid w:val="00FD670F"/>
    <w:rsid w:val="00FD6D73"/>
    <w:rsid w:val="00FD78EA"/>
    <w:rsid w:val="00FD7B72"/>
    <w:rsid w:val="00FE013B"/>
    <w:rsid w:val="00FE42FC"/>
    <w:rsid w:val="00FE527E"/>
    <w:rsid w:val="00FE6ACE"/>
    <w:rsid w:val="00FE6DA2"/>
    <w:rsid w:val="00FE72CF"/>
    <w:rsid w:val="00FE741C"/>
    <w:rsid w:val="00FF043C"/>
    <w:rsid w:val="00FF06FE"/>
    <w:rsid w:val="00FF2BA7"/>
    <w:rsid w:val="00FF4615"/>
    <w:rsid w:val="00FF6A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4235"/>
    <w:rPr>
      <w:sz w:val="24"/>
      <w:szCs w:val="24"/>
      <w:lang w:val="cs-CZ" w:eastAsia="cs-CZ"/>
    </w:rPr>
  </w:style>
  <w:style w:type="paragraph" w:styleId="Heading1">
    <w:name w:val="heading 1"/>
    <w:basedOn w:val="Normal"/>
    <w:next w:val="Normal"/>
    <w:qFormat/>
    <w:rsid w:val="00633656"/>
    <w:pPr>
      <w:widowControl w:val="0"/>
      <w:autoSpaceDE w:val="0"/>
      <w:autoSpaceDN w:val="0"/>
      <w:adjustRightInd w:val="0"/>
      <w:outlineLvl w:val="0"/>
    </w:pPr>
    <w:rPr>
      <w:lang w:val="en-US" w:eastAsia="en-GB"/>
    </w:rPr>
  </w:style>
  <w:style w:type="paragraph" w:styleId="Heading2">
    <w:name w:val="heading 2"/>
    <w:basedOn w:val="Normal"/>
    <w:next w:val="Normal"/>
    <w:qFormat/>
    <w:rsid w:val="00F31E1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3300E"/>
    <w:rPr>
      <w:sz w:val="16"/>
      <w:szCs w:val="16"/>
    </w:rPr>
  </w:style>
  <w:style w:type="paragraph" w:styleId="CommentText">
    <w:name w:val="annotation text"/>
    <w:basedOn w:val="Normal"/>
    <w:semiHidden/>
    <w:rsid w:val="0043300E"/>
    <w:rPr>
      <w:sz w:val="20"/>
      <w:szCs w:val="20"/>
    </w:rPr>
  </w:style>
  <w:style w:type="paragraph" w:styleId="CommentSubject">
    <w:name w:val="annotation subject"/>
    <w:basedOn w:val="CommentText"/>
    <w:next w:val="CommentText"/>
    <w:semiHidden/>
    <w:rsid w:val="0043300E"/>
    <w:rPr>
      <w:b/>
      <w:bCs/>
    </w:rPr>
  </w:style>
  <w:style w:type="paragraph" w:styleId="BalloonText">
    <w:name w:val="Balloon Text"/>
    <w:basedOn w:val="Normal"/>
    <w:semiHidden/>
    <w:rsid w:val="0043300E"/>
    <w:rPr>
      <w:rFonts w:ascii="Tahoma" w:hAnsi="Tahoma" w:cs="Tahoma"/>
      <w:sz w:val="16"/>
      <w:szCs w:val="16"/>
    </w:rPr>
  </w:style>
  <w:style w:type="paragraph" w:styleId="DocumentMap">
    <w:name w:val="Document Map"/>
    <w:basedOn w:val="Normal"/>
    <w:semiHidden/>
    <w:rsid w:val="0043300E"/>
    <w:pPr>
      <w:shd w:val="clear" w:color="auto" w:fill="000080"/>
    </w:pPr>
    <w:rPr>
      <w:rFonts w:ascii="Tahoma" w:hAnsi="Tahoma" w:cs="Tahoma"/>
      <w:sz w:val="20"/>
      <w:szCs w:val="20"/>
    </w:rPr>
  </w:style>
  <w:style w:type="character" w:styleId="Strong">
    <w:name w:val="Strong"/>
    <w:qFormat/>
    <w:rsid w:val="008D6DA9"/>
    <w:rPr>
      <w:b/>
      <w:bCs/>
    </w:rPr>
  </w:style>
  <w:style w:type="paragraph" w:styleId="Footer">
    <w:name w:val="footer"/>
    <w:basedOn w:val="Normal"/>
    <w:link w:val="FooterChar"/>
    <w:uiPriority w:val="99"/>
    <w:rsid w:val="00C71431"/>
    <w:pPr>
      <w:tabs>
        <w:tab w:val="center" w:pos="4536"/>
        <w:tab w:val="right" w:pos="9072"/>
      </w:tabs>
    </w:pPr>
  </w:style>
  <w:style w:type="character" w:styleId="PageNumber">
    <w:name w:val="page number"/>
    <w:basedOn w:val="DefaultParagraphFont"/>
    <w:rsid w:val="00C71431"/>
  </w:style>
  <w:style w:type="table" w:styleId="TableGrid">
    <w:name w:val="Table Grid"/>
    <w:basedOn w:val="TableNormal"/>
    <w:rsid w:val="00151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1274D"/>
    <w:pPr>
      <w:tabs>
        <w:tab w:val="center" w:pos="4536"/>
        <w:tab w:val="right" w:pos="9072"/>
      </w:tabs>
    </w:pPr>
  </w:style>
  <w:style w:type="paragraph" w:styleId="ListParagraph">
    <w:name w:val="List Paragraph"/>
    <w:basedOn w:val="Normal"/>
    <w:uiPriority w:val="34"/>
    <w:qFormat/>
    <w:rsid w:val="00232BF6"/>
    <w:pPr>
      <w:ind w:left="720"/>
    </w:pPr>
    <w:rPr>
      <w:rFonts w:ascii="Calibri" w:hAnsi="Calibri"/>
      <w:sz w:val="22"/>
      <w:szCs w:val="22"/>
      <w:lang w:val="en-GB" w:eastAsia="en-US"/>
    </w:rPr>
  </w:style>
  <w:style w:type="character" w:styleId="FootnoteReference">
    <w:name w:val="footnote reference"/>
    <w:uiPriority w:val="99"/>
    <w:unhideWhenUsed/>
    <w:rsid w:val="005D0C59"/>
    <w:rPr>
      <w:vertAlign w:val="superscript"/>
    </w:rPr>
  </w:style>
  <w:style w:type="paragraph" w:styleId="Revision">
    <w:name w:val="Revision"/>
    <w:hidden/>
    <w:uiPriority w:val="99"/>
    <w:semiHidden/>
    <w:rsid w:val="00575807"/>
    <w:rPr>
      <w:sz w:val="24"/>
      <w:szCs w:val="24"/>
      <w:lang w:val="cs-CZ" w:eastAsia="cs-CZ"/>
    </w:rPr>
  </w:style>
  <w:style w:type="paragraph" w:customStyle="1" w:styleId="Text1">
    <w:name w:val="Text 1"/>
    <w:basedOn w:val="Normal"/>
    <w:rsid w:val="005879E8"/>
    <w:pPr>
      <w:spacing w:before="120" w:after="120" w:line="360" w:lineRule="auto"/>
      <w:ind w:left="850"/>
      <w:outlineLvl w:val="0"/>
    </w:pPr>
    <w:rPr>
      <w:lang w:val="en-GB" w:eastAsia="en-US"/>
    </w:rPr>
  </w:style>
  <w:style w:type="paragraph" w:customStyle="1" w:styleId="ManualNumPar1">
    <w:name w:val="Manual NumPar 1"/>
    <w:basedOn w:val="Normal"/>
    <w:next w:val="Text1"/>
    <w:rsid w:val="005879E8"/>
    <w:pPr>
      <w:spacing w:before="120" w:after="120" w:line="360" w:lineRule="auto"/>
      <w:ind w:left="850" w:hanging="850"/>
      <w:outlineLvl w:val="0"/>
    </w:pPr>
    <w:rPr>
      <w:lang w:val="en-GB" w:eastAsia="en-US"/>
    </w:rPr>
  </w:style>
  <w:style w:type="paragraph" w:customStyle="1" w:styleId="Titrearticle">
    <w:name w:val="Titre article"/>
    <w:basedOn w:val="Normal"/>
    <w:next w:val="Normal"/>
    <w:rsid w:val="005879E8"/>
    <w:pPr>
      <w:keepNext/>
      <w:spacing w:before="360" w:after="120" w:line="360" w:lineRule="auto"/>
      <w:jc w:val="center"/>
    </w:pPr>
    <w:rPr>
      <w:i/>
      <w:lang w:val="en-GB" w:eastAsia="en-US"/>
    </w:rPr>
  </w:style>
  <w:style w:type="paragraph" w:styleId="FootnoteText">
    <w:name w:val="footnote text"/>
    <w:basedOn w:val="Normal"/>
    <w:link w:val="FootnoteTextChar"/>
    <w:uiPriority w:val="99"/>
    <w:rsid w:val="00AE524A"/>
    <w:pPr>
      <w:ind w:left="720" w:hanging="720"/>
    </w:pPr>
    <w:rPr>
      <w:szCs w:val="20"/>
      <w:lang w:val="en-GB" w:eastAsia="en-US"/>
    </w:rPr>
  </w:style>
  <w:style w:type="character" w:customStyle="1" w:styleId="FootnoteTextChar">
    <w:name w:val="Footnote Text Char"/>
    <w:link w:val="FootnoteText"/>
    <w:uiPriority w:val="99"/>
    <w:rsid w:val="00AE524A"/>
    <w:rPr>
      <w:sz w:val="24"/>
      <w:lang w:eastAsia="en-US"/>
    </w:rPr>
  </w:style>
  <w:style w:type="paragraph" w:customStyle="1" w:styleId="Default">
    <w:name w:val="Default"/>
    <w:rsid w:val="00662EC7"/>
    <w:pPr>
      <w:autoSpaceDE w:val="0"/>
      <w:autoSpaceDN w:val="0"/>
      <w:adjustRightInd w:val="0"/>
    </w:pPr>
    <w:rPr>
      <w:color w:val="000000"/>
      <w:sz w:val="24"/>
      <w:szCs w:val="24"/>
      <w:lang w:val="en-GB" w:eastAsia="en-GB"/>
    </w:rPr>
  </w:style>
  <w:style w:type="paragraph" w:styleId="TOC1">
    <w:name w:val="toc 1"/>
    <w:basedOn w:val="Normal"/>
    <w:next w:val="Normal"/>
    <w:autoRedefine/>
    <w:uiPriority w:val="39"/>
    <w:qFormat/>
    <w:rsid w:val="006E6A72"/>
    <w:pPr>
      <w:tabs>
        <w:tab w:val="left" w:pos="440"/>
        <w:tab w:val="right" w:leader="dot" w:pos="9062"/>
      </w:tabs>
      <w:ind w:left="442" w:hanging="442"/>
    </w:pPr>
    <w:rPr>
      <w:b/>
      <w:noProof/>
    </w:rPr>
  </w:style>
  <w:style w:type="character" w:styleId="Hyperlink">
    <w:name w:val="Hyperlink"/>
    <w:uiPriority w:val="99"/>
    <w:unhideWhenUsed/>
    <w:rsid w:val="00662EC7"/>
    <w:rPr>
      <w:color w:val="0000FF"/>
      <w:u w:val="single"/>
    </w:rPr>
  </w:style>
  <w:style w:type="paragraph" w:styleId="TOCHeading">
    <w:name w:val="TOC Heading"/>
    <w:basedOn w:val="Heading1"/>
    <w:next w:val="Normal"/>
    <w:uiPriority w:val="39"/>
    <w:semiHidden/>
    <w:unhideWhenUsed/>
    <w:qFormat/>
    <w:rsid w:val="00662EC7"/>
    <w:pPr>
      <w:keepNext/>
      <w:keepLines/>
      <w:widowControl/>
      <w:autoSpaceDE/>
      <w:autoSpaceDN/>
      <w:adjustRightInd/>
      <w:spacing w:before="480" w:line="276" w:lineRule="auto"/>
      <w:outlineLvl w:val="9"/>
    </w:pPr>
    <w:rPr>
      <w:rFonts w:ascii="Cambria" w:eastAsia="MS Gothic" w:hAnsi="Cambria"/>
      <w:b/>
      <w:bCs/>
      <w:color w:val="365F91"/>
      <w:sz w:val="28"/>
      <w:szCs w:val="28"/>
      <w:lang w:eastAsia="ja-JP"/>
    </w:rPr>
  </w:style>
  <w:style w:type="paragraph" w:styleId="TOC2">
    <w:name w:val="toc 2"/>
    <w:basedOn w:val="Normal"/>
    <w:next w:val="Normal"/>
    <w:autoRedefine/>
    <w:uiPriority w:val="39"/>
    <w:unhideWhenUsed/>
    <w:qFormat/>
    <w:rsid w:val="00973E27"/>
    <w:pPr>
      <w:tabs>
        <w:tab w:val="left" w:pos="709"/>
        <w:tab w:val="right" w:leader="dot" w:pos="9062"/>
      </w:tabs>
      <w:spacing w:after="100" w:line="276" w:lineRule="auto"/>
      <w:ind w:left="220"/>
    </w:pPr>
    <w:rPr>
      <w:rFonts w:ascii="Calibri" w:eastAsia="MS Mincho" w:hAnsi="Calibri" w:cs="Arial"/>
      <w:sz w:val="22"/>
      <w:szCs w:val="22"/>
      <w:lang w:val="en-US" w:eastAsia="ja-JP"/>
    </w:rPr>
  </w:style>
  <w:style w:type="paragraph" w:styleId="TOC3">
    <w:name w:val="toc 3"/>
    <w:basedOn w:val="Normal"/>
    <w:next w:val="Normal"/>
    <w:autoRedefine/>
    <w:uiPriority w:val="39"/>
    <w:unhideWhenUsed/>
    <w:qFormat/>
    <w:rsid w:val="00662EC7"/>
    <w:pPr>
      <w:spacing w:after="100" w:line="276" w:lineRule="auto"/>
      <w:ind w:left="440"/>
    </w:pPr>
    <w:rPr>
      <w:rFonts w:ascii="Calibri" w:eastAsia="MS Mincho" w:hAnsi="Calibri" w:cs="Arial"/>
      <w:sz w:val="22"/>
      <w:szCs w:val="22"/>
      <w:lang w:val="en-US" w:eastAsia="ja-JP"/>
    </w:rPr>
  </w:style>
  <w:style w:type="paragraph" w:customStyle="1" w:styleId="ZDGName">
    <w:name w:val="Z_DGName"/>
    <w:basedOn w:val="Normal"/>
    <w:uiPriority w:val="99"/>
    <w:rsid w:val="00116DA4"/>
    <w:pPr>
      <w:widowControl w:val="0"/>
      <w:autoSpaceDE w:val="0"/>
      <w:autoSpaceDN w:val="0"/>
      <w:ind w:right="85"/>
    </w:pPr>
    <w:rPr>
      <w:rFonts w:ascii="Arial" w:hAnsi="Arial" w:cs="Arial"/>
      <w:sz w:val="16"/>
      <w:szCs w:val="16"/>
      <w:lang w:val="en-GB" w:eastAsia="en-GB"/>
    </w:rPr>
  </w:style>
  <w:style w:type="paragraph" w:customStyle="1" w:styleId="ZCom">
    <w:name w:val="Z_Com"/>
    <w:basedOn w:val="Normal"/>
    <w:next w:val="ZDGName"/>
    <w:uiPriority w:val="99"/>
    <w:rsid w:val="005D0AA1"/>
    <w:pPr>
      <w:widowControl w:val="0"/>
      <w:autoSpaceDE w:val="0"/>
      <w:autoSpaceDN w:val="0"/>
      <w:ind w:right="85"/>
      <w:jc w:val="both"/>
    </w:pPr>
    <w:rPr>
      <w:rFonts w:ascii="Arial" w:hAnsi="Arial" w:cs="Arial"/>
      <w:lang w:val="en-GB" w:eastAsia="en-GB"/>
    </w:rPr>
  </w:style>
  <w:style w:type="character" w:customStyle="1" w:styleId="FooterChar">
    <w:name w:val="Footer Char"/>
    <w:link w:val="Footer"/>
    <w:uiPriority w:val="99"/>
    <w:rsid w:val="00B32388"/>
    <w:rPr>
      <w:sz w:val="24"/>
      <w:szCs w:val="24"/>
      <w:lang w:val="cs-CZ" w:eastAsia="cs-CZ"/>
    </w:rPr>
  </w:style>
  <w:style w:type="paragraph" w:customStyle="1" w:styleId="CM1">
    <w:name w:val="CM1"/>
    <w:basedOn w:val="Default"/>
    <w:next w:val="Default"/>
    <w:uiPriority w:val="99"/>
    <w:rsid w:val="006A121F"/>
    <w:rPr>
      <w:rFonts w:ascii="EUAlbertina" w:hAnsi="EUAlbertina"/>
      <w:color w:val="auto"/>
    </w:rPr>
  </w:style>
  <w:style w:type="paragraph" w:customStyle="1" w:styleId="CM3">
    <w:name w:val="CM3"/>
    <w:basedOn w:val="Default"/>
    <w:next w:val="Default"/>
    <w:uiPriority w:val="99"/>
    <w:rsid w:val="006A121F"/>
    <w:rPr>
      <w:rFonts w:ascii="EUAlbertina" w:hAnsi="EUAlbertina"/>
      <w:color w:val="auto"/>
    </w:rPr>
  </w:style>
  <w:style w:type="paragraph" w:customStyle="1" w:styleId="CM4">
    <w:name w:val="CM4"/>
    <w:basedOn w:val="Default"/>
    <w:next w:val="Default"/>
    <w:uiPriority w:val="99"/>
    <w:rsid w:val="006A121F"/>
    <w:rPr>
      <w:rFonts w:ascii="EUAlbertina" w:hAnsi="EUAlbertina"/>
      <w:color w:val="auto"/>
    </w:rPr>
  </w:style>
  <w:style w:type="character" w:customStyle="1" w:styleId="glossary">
    <w:name w:val="glossary"/>
    <w:rsid w:val="00A00E81"/>
  </w:style>
  <w:style w:type="paragraph" w:styleId="EndnoteText">
    <w:name w:val="endnote text"/>
    <w:basedOn w:val="Normal"/>
    <w:link w:val="EndnoteTextChar"/>
    <w:rsid w:val="003234A1"/>
    <w:rPr>
      <w:sz w:val="20"/>
      <w:szCs w:val="20"/>
    </w:rPr>
  </w:style>
  <w:style w:type="character" w:customStyle="1" w:styleId="EndnoteTextChar">
    <w:name w:val="Endnote Text Char"/>
    <w:link w:val="EndnoteText"/>
    <w:rsid w:val="003234A1"/>
    <w:rPr>
      <w:lang w:val="cs-CZ" w:eastAsia="cs-CZ"/>
    </w:rPr>
  </w:style>
  <w:style w:type="character" w:styleId="EndnoteReference">
    <w:name w:val="endnote reference"/>
    <w:rsid w:val="003234A1"/>
    <w:rPr>
      <w:vertAlign w:val="superscript"/>
    </w:rPr>
  </w:style>
  <w:style w:type="paragraph" w:customStyle="1" w:styleId="Point0number">
    <w:name w:val="Point 0 (number)"/>
    <w:basedOn w:val="Normal"/>
    <w:rsid w:val="00B41E8E"/>
    <w:pPr>
      <w:numPr>
        <w:numId w:val="5"/>
      </w:numPr>
      <w:spacing w:before="120" w:after="120"/>
      <w:jc w:val="both"/>
    </w:pPr>
    <w:rPr>
      <w:rFonts w:eastAsia="Calibri"/>
      <w:szCs w:val="22"/>
      <w:lang w:val="en-GB" w:eastAsia="en-US"/>
    </w:rPr>
  </w:style>
  <w:style w:type="paragraph" w:customStyle="1" w:styleId="Point1number">
    <w:name w:val="Point 1 (number)"/>
    <w:basedOn w:val="Normal"/>
    <w:rsid w:val="00B41E8E"/>
    <w:pPr>
      <w:numPr>
        <w:ilvl w:val="2"/>
        <w:numId w:val="5"/>
      </w:numPr>
      <w:spacing w:before="120" w:after="120"/>
      <w:jc w:val="both"/>
    </w:pPr>
    <w:rPr>
      <w:rFonts w:eastAsia="Calibri"/>
      <w:szCs w:val="22"/>
      <w:lang w:val="en-GB" w:eastAsia="en-US"/>
    </w:rPr>
  </w:style>
  <w:style w:type="paragraph" w:customStyle="1" w:styleId="Point2number">
    <w:name w:val="Point 2 (number)"/>
    <w:basedOn w:val="Normal"/>
    <w:rsid w:val="00B41E8E"/>
    <w:pPr>
      <w:numPr>
        <w:ilvl w:val="4"/>
        <w:numId w:val="5"/>
      </w:numPr>
      <w:spacing w:before="120" w:after="120"/>
      <w:jc w:val="both"/>
    </w:pPr>
    <w:rPr>
      <w:rFonts w:eastAsia="Calibri"/>
      <w:szCs w:val="22"/>
      <w:lang w:val="en-GB" w:eastAsia="en-US"/>
    </w:rPr>
  </w:style>
  <w:style w:type="paragraph" w:customStyle="1" w:styleId="Point3number">
    <w:name w:val="Point 3 (number)"/>
    <w:basedOn w:val="Normal"/>
    <w:rsid w:val="00B41E8E"/>
    <w:pPr>
      <w:numPr>
        <w:ilvl w:val="6"/>
        <w:numId w:val="5"/>
      </w:numPr>
      <w:spacing w:before="120" w:after="120"/>
      <w:jc w:val="both"/>
    </w:pPr>
    <w:rPr>
      <w:rFonts w:eastAsia="Calibri"/>
      <w:szCs w:val="22"/>
      <w:lang w:val="en-GB" w:eastAsia="en-US"/>
    </w:rPr>
  </w:style>
  <w:style w:type="paragraph" w:customStyle="1" w:styleId="Point0letter">
    <w:name w:val="Point 0 (letter)"/>
    <w:basedOn w:val="Normal"/>
    <w:rsid w:val="00B41E8E"/>
    <w:pPr>
      <w:numPr>
        <w:ilvl w:val="1"/>
        <w:numId w:val="5"/>
      </w:numPr>
      <w:spacing w:before="120" w:after="120"/>
      <w:jc w:val="both"/>
    </w:pPr>
    <w:rPr>
      <w:rFonts w:eastAsia="Calibri"/>
      <w:szCs w:val="22"/>
      <w:lang w:val="en-GB" w:eastAsia="en-US"/>
    </w:rPr>
  </w:style>
  <w:style w:type="paragraph" w:customStyle="1" w:styleId="Point1letter">
    <w:name w:val="Point 1 (letter)"/>
    <w:basedOn w:val="Normal"/>
    <w:rsid w:val="00B41E8E"/>
    <w:pPr>
      <w:numPr>
        <w:ilvl w:val="3"/>
        <w:numId w:val="5"/>
      </w:numPr>
      <w:spacing w:before="120" w:after="120"/>
      <w:jc w:val="both"/>
    </w:pPr>
    <w:rPr>
      <w:rFonts w:eastAsia="Calibri"/>
      <w:szCs w:val="22"/>
      <w:lang w:val="en-GB" w:eastAsia="en-US"/>
    </w:rPr>
  </w:style>
  <w:style w:type="paragraph" w:customStyle="1" w:styleId="Point2letter">
    <w:name w:val="Point 2 (letter)"/>
    <w:basedOn w:val="Normal"/>
    <w:rsid w:val="00B41E8E"/>
    <w:pPr>
      <w:numPr>
        <w:ilvl w:val="5"/>
        <w:numId w:val="5"/>
      </w:numPr>
      <w:spacing w:before="120" w:after="120"/>
      <w:jc w:val="both"/>
    </w:pPr>
    <w:rPr>
      <w:rFonts w:eastAsia="Calibri"/>
      <w:szCs w:val="22"/>
      <w:lang w:val="en-GB" w:eastAsia="en-US"/>
    </w:rPr>
  </w:style>
  <w:style w:type="paragraph" w:customStyle="1" w:styleId="Point3letter">
    <w:name w:val="Point 3 (letter)"/>
    <w:basedOn w:val="Normal"/>
    <w:rsid w:val="00B41E8E"/>
    <w:pPr>
      <w:numPr>
        <w:ilvl w:val="7"/>
        <w:numId w:val="5"/>
      </w:numPr>
      <w:spacing w:before="120" w:after="120"/>
      <w:jc w:val="both"/>
    </w:pPr>
    <w:rPr>
      <w:rFonts w:eastAsia="Calibri"/>
      <w:szCs w:val="22"/>
      <w:lang w:val="en-GB" w:eastAsia="en-US"/>
    </w:rPr>
  </w:style>
  <w:style w:type="paragraph" w:customStyle="1" w:styleId="Point4letter">
    <w:name w:val="Point 4 (letter)"/>
    <w:basedOn w:val="Normal"/>
    <w:rsid w:val="00B41E8E"/>
    <w:pPr>
      <w:numPr>
        <w:ilvl w:val="8"/>
        <w:numId w:val="5"/>
      </w:numPr>
      <w:spacing w:before="120" w:after="120"/>
      <w:jc w:val="both"/>
    </w:pPr>
    <w:rPr>
      <w:rFonts w:eastAsia="Calibri"/>
      <w:szCs w:val="22"/>
      <w:lang w:val="en-GB" w:eastAsia="en-US"/>
    </w:rPr>
  </w:style>
  <w:style w:type="paragraph" w:customStyle="1" w:styleId="HeaderLandscape">
    <w:name w:val="HeaderLandscape"/>
    <w:basedOn w:val="Normal"/>
    <w:rsid w:val="004F32AA"/>
    <w:pPr>
      <w:tabs>
        <w:tab w:val="center" w:pos="7285"/>
        <w:tab w:val="right" w:pos="14003"/>
      </w:tabs>
      <w:spacing w:after="120"/>
      <w:jc w:val="both"/>
    </w:pPr>
    <w:rPr>
      <w:rFonts w:eastAsia="Calibri"/>
      <w:szCs w:val="20"/>
      <w:lang w:val="en-GB" w:eastAsia="en-GB"/>
    </w:rPr>
  </w:style>
  <w:style w:type="paragraph" w:customStyle="1" w:styleId="FooterLandscape">
    <w:name w:val="FooterLandscape"/>
    <w:basedOn w:val="Normal"/>
    <w:rsid w:val="004F32AA"/>
    <w:pPr>
      <w:tabs>
        <w:tab w:val="center" w:pos="7285"/>
        <w:tab w:val="center" w:pos="10913"/>
        <w:tab w:val="right" w:pos="15137"/>
      </w:tabs>
      <w:spacing w:before="360"/>
      <w:ind w:left="-567" w:right="-567"/>
    </w:pPr>
    <w:rPr>
      <w:rFonts w:eastAsia="Calibri"/>
      <w:szCs w:val="20"/>
      <w:lang w:val="en-GB" w:eastAsia="en-GB"/>
    </w:rPr>
  </w:style>
  <w:style w:type="paragraph" w:customStyle="1" w:styleId="Tiret0">
    <w:name w:val="Tiret 0"/>
    <w:basedOn w:val="Normal"/>
    <w:rsid w:val="004F32AA"/>
    <w:pPr>
      <w:numPr>
        <w:numId w:val="12"/>
      </w:numPr>
      <w:spacing w:before="120" w:after="120"/>
      <w:jc w:val="both"/>
    </w:pPr>
    <w:rPr>
      <w:rFonts w:eastAsia="Calibri"/>
      <w:szCs w:val="20"/>
      <w:lang w:val="en-GB" w:eastAsia="en-GB"/>
    </w:rPr>
  </w:style>
  <w:style w:type="character" w:customStyle="1" w:styleId="Corpsdutexte3">
    <w:name w:val="Corps du texte (3)_"/>
    <w:link w:val="Corpsdutexte30"/>
    <w:uiPriority w:val="99"/>
    <w:locked/>
    <w:rsid w:val="007824AE"/>
    <w:rPr>
      <w:b/>
      <w:bCs/>
      <w:sz w:val="23"/>
      <w:szCs w:val="23"/>
      <w:shd w:val="clear" w:color="auto" w:fill="FFFFFF"/>
      <w:lang w:val="fr-FR" w:eastAsia="fr-FR"/>
    </w:rPr>
  </w:style>
  <w:style w:type="paragraph" w:customStyle="1" w:styleId="Corpsdutexte30">
    <w:name w:val="Corps du texte (3)"/>
    <w:basedOn w:val="Normal"/>
    <w:link w:val="Corpsdutexte3"/>
    <w:uiPriority w:val="99"/>
    <w:rsid w:val="007824AE"/>
    <w:pPr>
      <w:widowControl w:val="0"/>
      <w:shd w:val="clear" w:color="auto" w:fill="FFFFFF"/>
      <w:spacing w:before="4440" w:line="514" w:lineRule="exact"/>
      <w:jc w:val="center"/>
    </w:pPr>
    <w:rPr>
      <w:b/>
      <w:bCs/>
      <w:sz w:val="23"/>
      <w:szCs w:val="23"/>
      <w:lang w:val="fr-FR" w:eastAsia="fr-FR"/>
    </w:rPr>
  </w:style>
  <w:style w:type="paragraph" w:customStyle="1" w:styleId="Tiret1">
    <w:name w:val="Tiret 1"/>
    <w:basedOn w:val="Normal"/>
    <w:rsid w:val="00C85B98"/>
    <w:pPr>
      <w:numPr>
        <w:numId w:val="14"/>
      </w:numPr>
      <w:spacing w:before="120" w:after="120"/>
      <w:jc w:val="both"/>
    </w:pPr>
    <w:rPr>
      <w:rFonts w:eastAsia="Calibri"/>
      <w:szCs w:val="20"/>
      <w:lang w:val="en-GB" w:eastAsia="en-GB"/>
    </w:rPr>
  </w:style>
  <w:style w:type="character" w:customStyle="1" w:styleId="Corpsdutexte">
    <w:name w:val="Corps du texte_"/>
    <w:link w:val="Corpsdutexte1"/>
    <w:uiPriority w:val="99"/>
    <w:locked/>
    <w:rsid w:val="00AF6E5D"/>
    <w:rPr>
      <w:sz w:val="23"/>
      <w:shd w:val="clear" w:color="auto" w:fill="FFFFFF"/>
    </w:rPr>
  </w:style>
  <w:style w:type="paragraph" w:customStyle="1" w:styleId="Corpsdutexte1">
    <w:name w:val="Corps du texte1"/>
    <w:basedOn w:val="Normal"/>
    <w:link w:val="Corpsdutexte"/>
    <w:uiPriority w:val="99"/>
    <w:rsid w:val="00AF6E5D"/>
    <w:pPr>
      <w:widowControl w:val="0"/>
      <w:shd w:val="clear" w:color="auto" w:fill="FFFFFF"/>
      <w:spacing w:before="300" w:after="180" w:line="274" w:lineRule="exact"/>
      <w:ind w:hanging="1480"/>
      <w:jc w:val="both"/>
    </w:pPr>
    <w:rPr>
      <w:sz w:val="23"/>
      <w:szCs w:val="20"/>
      <w:lang w:val="en-GB" w:eastAsia="en-GB"/>
    </w:rPr>
  </w:style>
  <w:style w:type="character" w:customStyle="1" w:styleId="HeaderChar">
    <w:name w:val="Header Char"/>
    <w:link w:val="Header"/>
    <w:uiPriority w:val="99"/>
    <w:locked/>
    <w:rsid w:val="007411E5"/>
    <w:rPr>
      <w:sz w:val="24"/>
      <w:szCs w:val="24"/>
      <w:lang w:val="cs-CZ" w:eastAsia="cs-CZ"/>
    </w:rPr>
  </w:style>
  <w:style w:type="character" w:customStyle="1" w:styleId="Corpsdutexte2">
    <w:name w:val="Corps du texte (2)_"/>
    <w:link w:val="Corpsdutexte20"/>
    <w:uiPriority w:val="99"/>
    <w:locked/>
    <w:rsid w:val="007411E5"/>
    <w:rPr>
      <w:rFonts w:ascii="Arial" w:hAnsi="Arial" w:cs="Arial"/>
      <w:sz w:val="19"/>
      <w:szCs w:val="19"/>
      <w:shd w:val="clear" w:color="auto" w:fill="FFFFFF"/>
      <w:lang w:val="fr-FR" w:eastAsia="fr-FR"/>
    </w:rPr>
  </w:style>
  <w:style w:type="paragraph" w:customStyle="1" w:styleId="Corpsdutexte20">
    <w:name w:val="Corps du texte (2)"/>
    <w:basedOn w:val="Normal"/>
    <w:link w:val="Corpsdutexte2"/>
    <w:uiPriority w:val="99"/>
    <w:rsid w:val="007411E5"/>
    <w:pPr>
      <w:widowControl w:val="0"/>
      <w:shd w:val="clear" w:color="auto" w:fill="FFFFFF"/>
      <w:spacing w:after="4440" w:line="240" w:lineRule="atLeast"/>
    </w:pPr>
    <w:rPr>
      <w:rFonts w:ascii="Arial" w:hAnsi="Arial" w:cs="Arial"/>
      <w:sz w:val="19"/>
      <w:szCs w:val="19"/>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4235"/>
    <w:rPr>
      <w:sz w:val="24"/>
      <w:szCs w:val="24"/>
      <w:lang w:val="cs-CZ" w:eastAsia="cs-CZ"/>
    </w:rPr>
  </w:style>
  <w:style w:type="paragraph" w:styleId="Heading1">
    <w:name w:val="heading 1"/>
    <w:basedOn w:val="Normal"/>
    <w:next w:val="Normal"/>
    <w:qFormat/>
    <w:rsid w:val="00633656"/>
    <w:pPr>
      <w:widowControl w:val="0"/>
      <w:autoSpaceDE w:val="0"/>
      <w:autoSpaceDN w:val="0"/>
      <w:adjustRightInd w:val="0"/>
      <w:outlineLvl w:val="0"/>
    </w:pPr>
    <w:rPr>
      <w:lang w:val="en-US" w:eastAsia="en-GB"/>
    </w:rPr>
  </w:style>
  <w:style w:type="paragraph" w:styleId="Heading2">
    <w:name w:val="heading 2"/>
    <w:basedOn w:val="Normal"/>
    <w:next w:val="Normal"/>
    <w:qFormat/>
    <w:rsid w:val="00F31E1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3300E"/>
    <w:rPr>
      <w:sz w:val="16"/>
      <w:szCs w:val="16"/>
    </w:rPr>
  </w:style>
  <w:style w:type="paragraph" w:styleId="CommentText">
    <w:name w:val="annotation text"/>
    <w:basedOn w:val="Normal"/>
    <w:semiHidden/>
    <w:rsid w:val="0043300E"/>
    <w:rPr>
      <w:sz w:val="20"/>
      <w:szCs w:val="20"/>
    </w:rPr>
  </w:style>
  <w:style w:type="paragraph" w:styleId="CommentSubject">
    <w:name w:val="annotation subject"/>
    <w:basedOn w:val="CommentText"/>
    <w:next w:val="CommentText"/>
    <w:semiHidden/>
    <w:rsid w:val="0043300E"/>
    <w:rPr>
      <w:b/>
      <w:bCs/>
    </w:rPr>
  </w:style>
  <w:style w:type="paragraph" w:styleId="BalloonText">
    <w:name w:val="Balloon Text"/>
    <w:basedOn w:val="Normal"/>
    <w:semiHidden/>
    <w:rsid w:val="0043300E"/>
    <w:rPr>
      <w:rFonts w:ascii="Tahoma" w:hAnsi="Tahoma" w:cs="Tahoma"/>
      <w:sz w:val="16"/>
      <w:szCs w:val="16"/>
    </w:rPr>
  </w:style>
  <w:style w:type="paragraph" w:styleId="DocumentMap">
    <w:name w:val="Document Map"/>
    <w:basedOn w:val="Normal"/>
    <w:semiHidden/>
    <w:rsid w:val="0043300E"/>
    <w:pPr>
      <w:shd w:val="clear" w:color="auto" w:fill="000080"/>
    </w:pPr>
    <w:rPr>
      <w:rFonts w:ascii="Tahoma" w:hAnsi="Tahoma" w:cs="Tahoma"/>
      <w:sz w:val="20"/>
      <w:szCs w:val="20"/>
    </w:rPr>
  </w:style>
  <w:style w:type="character" w:styleId="Strong">
    <w:name w:val="Strong"/>
    <w:qFormat/>
    <w:rsid w:val="008D6DA9"/>
    <w:rPr>
      <w:b/>
      <w:bCs/>
    </w:rPr>
  </w:style>
  <w:style w:type="paragraph" w:styleId="Footer">
    <w:name w:val="footer"/>
    <w:basedOn w:val="Normal"/>
    <w:link w:val="FooterChar"/>
    <w:uiPriority w:val="99"/>
    <w:rsid w:val="00C71431"/>
    <w:pPr>
      <w:tabs>
        <w:tab w:val="center" w:pos="4536"/>
        <w:tab w:val="right" w:pos="9072"/>
      </w:tabs>
    </w:pPr>
  </w:style>
  <w:style w:type="character" w:styleId="PageNumber">
    <w:name w:val="page number"/>
    <w:basedOn w:val="DefaultParagraphFont"/>
    <w:rsid w:val="00C71431"/>
  </w:style>
  <w:style w:type="table" w:styleId="TableGrid">
    <w:name w:val="Table Grid"/>
    <w:basedOn w:val="TableNormal"/>
    <w:rsid w:val="00151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1274D"/>
    <w:pPr>
      <w:tabs>
        <w:tab w:val="center" w:pos="4536"/>
        <w:tab w:val="right" w:pos="9072"/>
      </w:tabs>
    </w:pPr>
  </w:style>
  <w:style w:type="paragraph" w:styleId="ListParagraph">
    <w:name w:val="List Paragraph"/>
    <w:basedOn w:val="Normal"/>
    <w:uiPriority w:val="34"/>
    <w:qFormat/>
    <w:rsid w:val="00232BF6"/>
    <w:pPr>
      <w:ind w:left="720"/>
    </w:pPr>
    <w:rPr>
      <w:rFonts w:ascii="Calibri" w:hAnsi="Calibri"/>
      <w:sz w:val="22"/>
      <w:szCs w:val="22"/>
      <w:lang w:val="en-GB" w:eastAsia="en-US"/>
    </w:rPr>
  </w:style>
  <w:style w:type="character" w:styleId="FootnoteReference">
    <w:name w:val="footnote reference"/>
    <w:uiPriority w:val="99"/>
    <w:unhideWhenUsed/>
    <w:rsid w:val="005D0C59"/>
    <w:rPr>
      <w:vertAlign w:val="superscript"/>
    </w:rPr>
  </w:style>
  <w:style w:type="paragraph" w:styleId="Revision">
    <w:name w:val="Revision"/>
    <w:hidden/>
    <w:uiPriority w:val="99"/>
    <w:semiHidden/>
    <w:rsid w:val="00575807"/>
    <w:rPr>
      <w:sz w:val="24"/>
      <w:szCs w:val="24"/>
      <w:lang w:val="cs-CZ" w:eastAsia="cs-CZ"/>
    </w:rPr>
  </w:style>
  <w:style w:type="paragraph" w:customStyle="1" w:styleId="Text1">
    <w:name w:val="Text 1"/>
    <w:basedOn w:val="Normal"/>
    <w:rsid w:val="005879E8"/>
    <w:pPr>
      <w:spacing w:before="120" w:after="120" w:line="360" w:lineRule="auto"/>
      <w:ind w:left="850"/>
      <w:outlineLvl w:val="0"/>
    </w:pPr>
    <w:rPr>
      <w:lang w:val="en-GB" w:eastAsia="en-US"/>
    </w:rPr>
  </w:style>
  <w:style w:type="paragraph" w:customStyle="1" w:styleId="ManualNumPar1">
    <w:name w:val="Manual NumPar 1"/>
    <w:basedOn w:val="Normal"/>
    <w:next w:val="Text1"/>
    <w:rsid w:val="005879E8"/>
    <w:pPr>
      <w:spacing w:before="120" w:after="120" w:line="360" w:lineRule="auto"/>
      <w:ind w:left="850" w:hanging="850"/>
      <w:outlineLvl w:val="0"/>
    </w:pPr>
    <w:rPr>
      <w:lang w:val="en-GB" w:eastAsia="en-US"/>
    </w:rPr>
  </w:style>
  <w:style w:type="paragraph" w:customStyle="1" w:styleId="Titrearticle">
    <w:name w:val="Titre article"/>
    <w:basedOn w:val="Normal"/>
    <w:next w:val="Normal"/>
    <w:rsid w:val="005879E8"/>
    <w:pPr>
      <w:keepNext/>
      <w:spacing w:before="360" w:after="120" w:line="360" w:lineRule="auto"/>
      <w:jc w:val="center"/>
    </w:pPr>
    <w:rPr>
      <w:i/>
      <w:lang w:val="en-GB" w:eastAsia="en-US"/>
    </w:rPr>
  </w:style>
  <w:style w:type="paragraph" w:styleId="FootnoteText">
    <w:name w:val="footnote text"/>
    <w:basedOn w:val="Normal"/>
    <w:link w:val="FootnoteTextChar"/>
    <w:uiPriority w:val="99"/>
    <w:rsid w:val="00AE524A"/>
    <w:pPr>
      <w:ind w:left="720" w:hanging="720"/>
    </w:pPr>
    <w:rPr>
      <w:szCs w:val="20"/>
      <w:lang w:val="en-GB" w:eastAsia="en-US"/>
    </w:rPr>
  </w:style>
  <w:style w:type="character" w:customStyle="1" w:styleId="FootnoteTextChar">
    <w:name w:val="Footnote Text Char"/>
    <w:link w:val="FootnoteText"/>
    <w:uiPriority w:val="99"/>
    <w:rsid w:val="00AE524A"/>
    <w:rPr>
      <w:sz w:val="24"/>
      <w:lang w:eastAsia="en-US"/>
    </w:rPr>
  </w:style>
  <w:style w:type="paragraph" w:customStyle="1" w:styleId="Default">
    <w:name w:val="Default"/>
    <w:rsid w:val="00662EC7"/>
    <w:pPr>
      <w:autoSpaceDE w:val="0"/>
      <w:autoSpaceDN w:val="0"/>
      <w:adjustRightInd w:val="0"/>
    </w:pPr>
    <w:rPr>
      <w:color w:val="000000"/>
      <w:sz w:val="24"/>
      <w:szCs w:val="24"/>
      <w:lang w:val="en-GB" w:eastAsia="en-GB"/>
    </w:rPr>
  </w:style>
  <w:style w:type="paragraph" w:styleId="TOC1">
    <w:name w:val="toc 1"/>
    <w:basedOn w:val="Normal"/>
    <w:next w:val="Normal"/>
    <w:autoRedefine/>
    <w:uiPriority w:val="39"/>
    <w:qFormat/>
    <w:rsid w:val="006E6A72"/>
    <w:pPr>
      <w:tabs>
        <w:tab w:val="left" w:pos="440"/>
        <w:tab w:val="right" w:leader="dot" w:pos="9062"/>
      </w:tabs>
      <w:ind w:left="442" w:hanging="442"/>
    </w:pPr>
    <w:rPr>
      <w:b/>
      <w:noProof/>
    </w:rPr>
  </w:style>
  <w:style w:type="character" w:styleId="Hyperlink">
    <w:name w:val="Hyperlink"/>
    <w:uiPriority w:val="99"/>
    <w:unhideWhenUsed/>
    <w:rsid w:val="00662EC7"/>
    <w:rPr>
      <w:color w:val="0000FF"/>
      <w:u w:val="single"/>
    </w:rPr>
  </w:style>
  <w:style w:type="paragraph" w:styleId="TOCHeading">
    <w:name w:val="TOC Heading"/>
    <w:basedOn w:val="Heading1"/>
    <w:next w:val="Normal"/>
    <w:uiPriority w:val="39"/>
    <w:semiHidden/>
    <w:unhideWhenUsed/>
    <w:qFormat/>
    <w:rsid w:val="00662EC7"/>
    <w:pPr>
      <w:keepNext/>
      <w:keepLines/>
      <w:widowControl/>
      <w:autoSpaceDE/>
      <w:autoSpaceDN/>
      <w:adjustRightInd/>
      <w:spacing w:before="480" w:line="276" w:lineRule="auto"/>
      <w:outlineLvl w:val="9"/>
    </w:pPr>
    <w:rPr>
      <w:rFonts w:ascii="Cambria" w:eastAsia="MS Gothic" w:hAnsi="Cambria"/>
      <w:b/>
      <w:bCs/>
      <w:color w:val="365F91"/>
      <w:sz w:val="28"/>
      <w:szCs w:val="28"/>
      <w:lang w:eastAsia="ja-JP"/>
    </w:rPr>
  </w:style>
  <w:style w:type="paragraph" w:styleId="TOC2">
    <w:name w:val="toc 2"/>
    <w:basedOn w:val="Normal"/>
    <w:next w:val="Normal"/>
    <w:autoRedefine/>
    <w:uiPriority w:val="39"/>
    <w:unhideWhenUsed/>
    <w:qFormat/>
    <w:rsid w:val="00973E27"/>
    <w:pPr>
      <w:tabs>
        <w:tab w:val="left" w:pos="709"/>
        <w:tab w:val="right" w:leader="dot" w:pos="9062"/>
      </w:tabs>
      <w:spacing w:after="100" w:line="276" w:lineRule="auto"/>
      <w:ind w:left="220"/>
    </w:pPr>
    <w:rPr>
      <w:rFonts w:ascii="Calibri" w:eastAsia="MS Mincho" w:hAnsi="Calibri" w:cs="Arial"/>
      <w:sz w:val="22"/>
      <w:szCs w:val="22"/>
      <w:lang w:val="en-US" w:eastAsia="ja-JP"/>
    </w:rPr>
  </w:style>
  <w:style w:type="paragraph" w:styleId="TOC3">
    <w:name w:val="toc 3"/>
    <w:basedOn w:val="Normal"/>
    <w:next w:val="Normal"/>
    <w:autoRedefine/>
    <w:uiPriority w:val="39"/>
    <w:unhideWhenUsed/>
    <w:qFormat/>
    <w:rsid w:val="00662EC7"/>
    <w:pPr>
      <w:spacing w:after="100" w:line="276" w:lineRule="auto"/>
      <w:ind w:left="440"/>
    </w:pPr>
    <w:rPr>
      <w:rFonts w:ascii="Calibri" w:eastAsia="MS Mincho" w:hAnsi="Calibri" w:cs="Arial"/>
      <w:sz w:val="22"/>
      <w:szCs w:val="22"/>
      <w:lang w:val="en-US" w:eastAsia="ja-JP"/>
    </w:rPr>
  </w:style>
  <w:style w:type="paragraph" w:customStyle="1" w:styleId="ZDGName">
    <w:name w:val="Z_DGName"/>
    <w:basedOn w:val="Normal"/>
    <w:uiPriority w:val="99"/>
    <w:rsid w:val="00116DA4"/>
    <w:pPr>
      <w:widowControl w:val="0"/>
      <w:autoSpaceDE w:val="0"/>
      <w:autoSpaceDN w:val="0"/>
      <w:ind w:right="85"/>
    </w:pPr>
    <w:rPr>
      <w:rFonts w:ascii="Arial" w:hAnsi="Arial" w:cs="Arial"/>
      <w:sz w:val="16"/>
      <w:szCs w:val="16"/>
      <w:lang w:val="en-GB" w:eastAsia="en-GB"/>
    </w:rPr>
  </w:style>
  <w:style w:type="paragraph" w:customStyle="1" w:styleId="ZCom">
    <w:name w:val="Z_Com"/>
    <w:basedOn w:val="Normal"/>
    <w:next w:val="ZDGName"/>
    <w:uiPriority w:val="99"/>
    <w:rsid w:val="005D0AA1"/>
    <w:pPr>
      <w:widowControl w:val="0"/>
      <w:autoSpaceDE w:val="0"/>
      <w:autoSpaceDN w:val="0"/>
      <w:ind w:right="85"/>
      <w:jc w:val="both"/>
    </w:pPr>
    <w:rPr>
      <w:rFonts w:ascii="Arial" w:hAnsi="Arial" w:cs="Arial"/>
      <w:lang w:val="en-GB" w:eastAsia="en-GB"/>
    </w:rPr>
  </w:style>
  <w:style w:type="character" w:customStyle="1" w:styleId="FooterChar">
    <w:name w:val="Footer Char"/>
    <w:link w:val="Footer"/>
    <w:uiPriority w:val="99"/>
    <w:rsid w:val="00B32388"/>
    <w:rPr>
      <w:sz w:val="24"/>
      <w:szCs w:val="24"/>
      <w:lang w:val="cs-CZ" w:eastAsia="cs-CZ"/>
    </w:rPr>
  </w:style>
  <w:style w:type="paragraph" w:customStyle="1" w:styleId="CM1">
    <w:name w:val="CM1"/>
    <w:basedOn w:val="Default"/>
    <w:next w:val="Default"/>
    <w:uiPriority w:val="99"/>
    <w:rsid w:val="006A121F"/>
    <w:rPr>
      <w:rFonts w:ascii="EUAlbertina" w:hAnsi="EUAlbertina"/>
      <w:color w:val="auto"/>
    </w:rPr>
  </w:style>
  <w:style w:type="paragraph" w:customStyle="1" w:styleId="CM3">
    <w:name w:val="CM3"/>
    <w:basedOn w:val="Default"/>
    <w:next w:val="Default"/>
    <w:uiPriority w:val="99"/>
    <w:rsid w:val="006A121F"/>
    <w:rPr>
      <w:rFonts w:ascii="EUAlbertina" w:hAnsi="EUAlbertina"/>
      <w:color w:val="auto"/>
    </w:rPr>
  </w:style>
  <w:style w:type="paragraph" w:customStyle="1" w:styleId="CM4">
    <w:name w:val="CM4"/>
    <w:basedOn w:val="Default"/>
    <w:next w:val="Default"/>
    <w:uiPriority w:val="99"/>
    <w:rsid w:val="006A121F"/>
    <w:rPr>
      <w:rFonts w:ascii="EUAlbertina" w:hAnsi="EUAlbertina"/>
      <w:color w:val="auto"/>
    </w:rPr>
  </w:style>
  <w:style w:type="character" w:customStyle="1" w:styleId="glossary">
    <w:name w:val="glossary"/>
    <w:rsid w:val="00A00E81"/>
  </w:style>
  <w:style w:type="paragraph" w:styleId="EndnoteText">
    <w:name w:val="endnote text"/>
    <w:basedOn w:val="Normal"/>
    <w:link w:val="EndnoteTextChar"/>
    <w:rsid w:val="003234A1"/>
    <w:rPr>
      <w:sz w:val="20"/>
      <w:szCs w:val="20"/>
    </w:rPr>
  </w:style>
  <w:style w:type="character" w:customStyle="1" w:styleId="EndnoteTextChar">
    <w:name w:val="Endnote Text Char"/>
    <w:link w:val="EndnoteText"/>
    <w:rsid w:val="003234A1"/>
    <w:rPr>
      <w:lang w:val="cs-CZ" w:eastAsia="cs-CZ"/>
    </w:rPr>
  </w:style>
  <w:style w:type="character" w:styleId="EndnoteReference">
    <w:name w:val="endnote reference"/>
    <w:rsid w:val="003234A1"/>
    <w:rPr>
      <w:vertAlign w:val="superscript"/>
    </w:rPr>
  </w:style>
  <w:style w:type="paragraph" w:customStyle="1" w:styleId="Point0number">
    <w:name w:val="Point 0 (number)"/>
    <w:basedOn w:val="Normal"/>
    <w:rsid w:val="00B41E8E"/>
    <w:pPr>
      <w:numPr>
        <w:numId w:val="5"/>
      </w:numPr>
      <w:spacing w:before="120" w:after="120"/>
      <w:jc w:val="both"/>
    </w:pPr>
    <w:rPr>
      <w:rFonts w:eastAsia="Calibri"/>
      <w:szCs w:val="22"/>
      <w:lang w:val="en-GB" w:eastAsia="en-US"/>
    </w:rPr>
  </w:style>
  <w:style w:type="paragraph" w:customStyle="1" w:styleId="Point1number">
    <w:name w:val="Point 1 (number)"/>
    <w:basedOn w:val="Normal"/>
    <w:rsid w:val="00B41E8E"/>
    <w:pPr>
      <w:numPr>
        <w:ilvl w:val="2"/>
        <w:numId w:val="5"/>
      </w:numPr>
      <w:spacing w:before="120" w:after="120"/>
      <w:jc w:val="both"/>
    </w:pPr>
    <w:rPr>
      <w:rFonts w:eastAsia="Calibri"/>
      <w:szCs w:val="22"/>
      <w:lang w:val="en-GB" w:eastAsia="en-US"/>
    </w:rPr>
  </w:style>
  <w:style w:type="paragraph" w:customStyle="1" w:styleId="Point2number">
    <w:name w:val="Point 2 (number)"/>
    <w:basedOn w:val="Normal"/>
    <w:rsid w:val="00B41E8E"/>
    <w:pPr>
      <w:numPr>
        <w:ilvl w:val="4"/>
        <w:numId w:val="5"/>
      </w:numPr>
      <w:spacing w:before="120" w:after="120"/>
      <w:jc w:val="both"/>
    </w:pPr>
    <w:rPr>
      <w:rFonts w:eastAsia="Calibri"/>
      <w:szCs w:val="22"/>
      <w:lang w:val="en-GB" w:eastAsia="en-US"/>
    </w:rPr>
  </w:style>
  <w:style w:type="paragraph" w:customStyle="1" w:styleId="Point3number">
    <w:name w:val="Point 3 (number)"/>
    <w:basedOn w:val="Normal"/>
    <w:rsid w:val="00B41E8E"/>
    <w:pPr>
      <w:numPr>
        <w:ilvl w:val="6"/>
        <w:numId w:val="5"/>
      </w:numPr>
      <w:spacing w:before="120" w:after="120"/>
      <w:jc w:val="both"/>
    </w:pPr>
    <w:rPr>
      <w:rFonts w:eastAsia="Calibri"/>
      <w:szCs w:val="22"/>
      <w:lang w:val="en-GB" w:eastAsia="en-US"/>
    </w:rPr>
  </w:style>
  <w:style w:type="paragraph" w:customStyle="1" w:styleId="Point0letter">
    <w:name w:val="Point 0 (letter)"/>
    <w:basedOn w:val="Normal"/>
    <w:rsid w:val="00B41E8E"/>
    <w:pPr>
      <w:numPr>
        <w:ilvl w:val="1"/>
        <w:numId w:val="5"/>
      </w:numPr>
      <w:spacing w:before="120" w:after="120"/>
      <w:jc w:val="both"/>
    </w:pPr>
    <w:rPr>
      <w:rFonts w:eastAsia="Calibri"/>
      <w:szCs w:val="22"/>
      <w:lang w:val="en-GB" w:eastAsia="en-US"/>
    </w:rPr>
  </w:style>
  <w:style w:type="paragraph" w:customStyle="1" w:styleId="Point1letter">
    <w:name w:val="Point 1 (letter)"/>
    <w:basedOn w:val="Normal"/>
    <w:rsid w:val="00B41E8E"/>
    <w:pPr>
      <w:numPr>
        <w:ilvl w:val="3"/>
        <w:numId w:val="5"/>
      </w:numPr>
      <w:spacing w:before="120" w:after="120"/>
      <w:jc w:val="both"/>
    </w:pPr>
    <w:rPr>
      <w:rFonts w:eastAsia="Calibri"/>
      <w:szCs w:val="22"/>
      <w:lang w:val="en-GB" w:eastAsia="en-US"/>
    </w:rPr>
  </w:style>
  <w:style w:type="paragraph" w:customStyle="1" w:styleId="Point2letter">
    <w:name w:val="Point 2 (letter)"/>
    <w:basedOn w:val="Normal"/>
    <w:rsid w:val="00B41E8E"/>
    <w:pPr>
      <w:numPr>
        <w:ilvl w:val="5"/>
        <w:numId w:val="5"/>
      </w:numPr>
      <w:spacing w:before="120" w:after="120"/>
      <w:jc w:val="both"/>
    </w:pPr>
    <w:rPr>
      <w:rFonts w:eastAsia="Calibri"/>
      <w:szCs w:val="22"/>
      <w:lang w:val="en-GB" w:eastAsia="en-US"/>
    </w:rPr>
  </w:style>
  <w:style w:type="paragraph" w:customStyle="1" w:styleId="Point3letter">
    <w:name w:val="Point 3 (letter)"/>
    <w:basedOn w:val="Normal"/>
    <w:rsid w:val="00B41E8E"/>
    <w:pPr>
      <w:numPr>
        <w:ilvl w:val="7"/>
        <w:numId w:val="5"/>
      </w:numPr>
      <w:spacing w:before="120" w:after="120"/>
      <w:jc w:val="both"/>
    </w:pPr>
    <w:rPr>
      <w:rFonts w:eastAsia="Calibri"/>
      <w:szCs w:val="22"/>
      <w:lang w:val="en-GB" w:eastAsia="en-US"/>
    </w:rPr>
  </w:style>
  <w:style w:type="paragraph" w:customStyle="1" w:styleId="Point4letter">
    <w:name w:val="Point 4 (letter)"/>
    <w:basedOn w:val="Normal"/>
    <w:rsid w:val="00B41E8E"/>
    <w:pPr>
      <w:numPr>
        <w:ilvl w:val="8"/>
        <w:numId w:val="5"/>
      </w:numPr>
      <w:spacing w:before="120" w:after="120"/>
      <w:jc w:val="both"/>
    </w:pPr>
    <w:rPr>
      <w:rFonts w:eastAsia="Calibri"/>
      <w:szCs w:val="22"/>
      <w:lang w:val="en-GB" w:eastAsia="en-US"/>
    </w:rPr>
  </w:style>
  <w:style w:type="paragraph" w:customStyle="1" w:styleId="HeaderLandscape">
    <w:name w:val="HeaderLandscape"/>
    <w:basedOn w:val="Normal"/>
    <w:rsid w:val="004F32AA"/>
    <w:pPr>
      <w:tabs>
        <w:tab w:val="center" w:pos="7285"/>
        <w:tab w:val="right" w:pos="14003"/>
      </w:tabs>
      <w:spacing w:after="120"/>
      <w:jc w:val="both"/>
    </w:pPr>
    <w:rPr>
      <w:rFonts w:eastAsia="Calibri"/>
      <w:szCs w:val="20"/>
      <w:lang w:val="en-GB" w:eastAsia="en-GB"/>
    </w:rPr>
  </w:style>
  <w:style w:type="paragraph" w:customStyle="1" w:styleId="FooterLandscape">
    <w:name w:val="FooterLandscape"/>
    <w:basedOn w:val="Normal"/>
    <w:rsid w:val="004F32AA"/>
    <w:pPr>
      <w:tabs>
        <w:tab w:val="center" w:pos="7285"/>
        <w:tab w:val="center" w:pos="10913"/>
        <w:tab w:val="right" w:pos="15137"/>
      </w:tabs>
      <w:spacing w:before="360"/>
      <w:ind w:left="-567" w:right="-567"/>
    </w:pPr>
    <w:rPr>
      <w:rFonts w:eastAsia="Calibri"/>
      <w:szCs w:val="20"/>
      <w:lang w:val="en-GB" w:eastAsia="en-GB"/>
    </w:rPr>
  </w:style>
  <w:style w:type="paragraph" w:customStyle="1" w:styleId="Tiret0">
    <w:name w:val="Tiret 0"/>
    <w:basedOn w:val="Normal"/>
    <w:rsid w:val="004F32AA"/>
    <w:pPr>
      <w:numPr>
        <w:numId w:val="12"/>
      </w:numPr>
      <w:spacing w:before="120" w:after="120"/>
      <w:jc w:val="both"/>
    </w:pPr>
    <w:rPr>
      <w:rFonts w:eastAsia="Calibri"/>
      <w:szCs w:val="20"/>
      <w:lang w:val="en-GB" w:eastAsia="en-GB"/>
    </w:rPr>
  </w:style>
  <w:style w:type="character" w:customStyle="1" w:styleId="Corpsdutexte3">
    <w:name w:val="Corps du texte (3)_"/>
    <w:link w:val="Corpsdutexte30"/>
    <w:uiPriority w:val="99"/>
    <w:locked/>
    <w:rsid w:val="007824AE"/>
    <w:rPr>
      <w:b/>
      <w:bCs/>
      <w:sz w:val="23"/>
      <w:szCs w:val="23"/>
      <w:shd w:val="clear" w:color="auto" w:fill="FFFFFF"/>
      <w:lang w:val="fr-FR" w:eastAsia="fr-FR"/>
    </w:rPr>
  </w:style>
  <w:style w:type="paragraph" w:customStyle="1" w:styleId="Corpsdutexte30">
    <w:name w:val="Corps du texte (3)"/>
    <w:basedOn w:val="Normal"/>
    <w:link w:val="Corpsdutexte3"/>
    <w:uiPriority w:val="99"/>
    <w:rsid w:val="007824AE"/>
    <w:pPr>
      <w:widowControl w:val="0"/>
      <w:shd w:val="clear" w:color="auto" w:fill="FFFFFF"/>
      <w:spacing w:before="4440" w:line="514" w:lineRule="exact"/>
      <w:jc w:val="center"/>
    </w:pPr>
    <w:rPr>
      <w:b/>
      <w:bCs/>
      <w:sz w:val="23"/>
      <w:szCs w:val="23"/>
      <w:lang w:val="fr-FR" w:eastAsia="fr-FR"/>
    </w:rPr>
  </w:style>
  <w:style w:type="paragraph" w:customStyle="1" w:styleId="Tiret1">
    <w:name w:val="Tiret 1"/>
    <w:basedOn w:val="Normal"/>
    <w:rsid w:val="00C85B98"/>
    <w:pPr>
      <w:numPr>
        <w:numId w:val="14"/>
      </w:numPr>
      <w:spacing w:before="120" w:after="120"/>
      <w:jc w:val="both"/>
    </w:pPr>
    <w:rPr>
      <w:rFonts w:eastAsia="Calibri"/>
      <w:szCs w:val="20"/>
      <w:lang w:val="en-GB" w:eastAsia="en-GB"/>
    </w:rPr>
  </w:style>
  <w:style w:type="character" w:customStyle="1" w:styleId="Corpsdutexte">
    <w:name w:val="Corps du texte_"/>
    <w:link w:val="Corpsdutexte1"/>
    <w:uiPriority w:val="99"/>
    <w:locked/>
    <w:rsid w:val="00AF6E5D"/>
    <w:rPr>
      <w:sz w:val="23"/>
      <w:shd w:val="clear" w:color="auto" w:fill="FFFFFF"/>
    </w:rPr>
  </w:style>
  <w:style w:type="paragraph" w:customStyle="1" w:styleId="Corpsdutexte1">
    <w:name w:val="Corps du texte1"/>
    <w:basedOn w:val="Normal"/>
    <w:link w:val="Corpsdutexte"/>
    <w:uiPriority w:val="99"/>
    <w:rsid w:val="00AF6E5D"/>
    <w:pPr>
      <w:widowControl w:val="0"/>
      <w:shd w:val="clear" w:color="auto" w:fill="FFFFFF"/>
      <w:spacing w:before="300" w:after="180" w:line="274" w:lineRule="exact"/>
      <w:ind w:hanging="1480"/>
      <w:jc w:val="both"/>
    </w:pPr>
    <w:rPr>
      <w:sz w:val="23"/>
      <w:szCs w:val="20"/>
      <w:lang w:val="en-GB" w:eastAsia="en-GB"/>
    </w:rPr>
  </w:style>
  <w:style w:type="character" w:customStyle="1" w:styleId="HeaderChar">
    <w:name w:val="Header Char"/>
    <w:link w:val="Header"/>
    <w:uiPriority w:val="99"/>
    <w:locked/>
    <w:rsid w:val="007411E5"/>
    <w:rPr>
      <w:sz w:val="24"/>
      <w:szCs w:val="24"/>
      <w:lang w:val="cs-CZ" w:eastAsia="cs-CZ"/>
    </w:rPr>
  </w:style>
  <w:style w:type="character" w:customStyle="1" w:styleId="Corpsdutexte2">
    <w:name w:val="Corps du texte (2)_"/>
    <w:link w:val="Corpsdutexte20"/>
    <w:uiPriority w:val="99"/>
    <w:locked/>
    <w:rsid w:val="007411E5"/>
    <w:rPr>
      <w:rFonts w:ascii="Arial" w:hAnsi="Arial" w:cs="Arial"/>
      <w:sz w:val="19"/>
      <w:szCs w:val="19"/>
      <w:shd w:val="clear" w:color="auto" w:fill="FFFFFF"/>
      <w:lang w:val="fr-FR" w:eastAsia="fr-FR"/>
    </w:rPr>
  </w:style>
  <w:style w:type="paragraph" w:customStyle="1" w:styleId="Corpsdutexte20">
    <w:name w:val="Corps du texte (2)"/>
    <w:basedOn w:val="Normal"/>
    <w:link w:val="Corpsdutexte2"/>
    <w:uiPriority w:val="99"/>
    <w:rsid w:val="007411E5"/>
    <w:pPr>
      <w:widowControl w:val="0"/>
      <w:shd w:val="clear" w:color="auto" w:fill="FFFFFF"/>
      <w:spacing w:after="4440" w:line="240" w:lineRule="atLeast"/>
    </w:pPr>
    <w:rPr>
      <w:rFonts w:ascii="Arial" w:hAnsi="Arial" w:cs="Arial"/>
      <w:sz w:val="19"/>
      <w:szCs w:val="19"/>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96154">
      <w:bodyDiv w:val="1"/>
      <w:marLeft w:val="0"/>
      <w:marRight w:val="0"/>
      <w:marTop w:val="0"/>
      <w:marBottom w:val="0"/>
      <w:divBdr>
        <w:top w:val="none" w:sz="0" w:space="0" w:color="auto"/>
        <w:left w:val="none" w:sz="0" w:space="0" w:color="auto"/>
        <w:bottom w:val="none" w:sz="0" w:space="0" w:color="auto"/>
        <w:right w:val="none" w:sz="0" w:space="0" w:color="auto"/>
      </w:divBdr>
    </w:div>
    <w:div w:id="465976590">
      <w:bodyDiv w:val="1"/>
      <w:marLeft w:val="0"/>
      <w:marRight w:val="0"/>
      <w:marTop w:val="0"/>
      <w:marBottom w:val="0"/>
      <w:divBdr>
        <w:top w:val="none" w:sz="0" w:space="0" w:color="auto"/>
        <w:left w:val="none" w:sz="0" w:space="0" w:color="auto"/>
        <w:bottom w:val="none" w:sz="0" w:space="0" w:color="auto"/>
        <w:right w:val="none" w:sz="0" w:space="0" w:color="auto"/>
      </w:divBdr>
    </w:div>
    <w:div w:id="890769374">
      <w:bodyDiv w:val="1"/>
      <w:marLeft w:val="400"/>
      <w:marRight w:val="400"/>
      <w:marTop w:val="0"/>
      <w:marBottom w:val="0"/>
      <w:divBdr>
        <w:top w:val="none" w:sz="0" w:space="0" w:color="auto"/>
        <w:left w:val="none" w:sz="0" w:space="0" w:color="auto"/>
        <w:bottom w:val="none" w:sz="0" w:space="0" w:color="auto"/>
        <w:right w:val="none" w:sz="0" w:space="0" w:color="auto"/>
      </w:divBdr>
      <w:divsChild>
        <w:div w:id="156774795">
          <w:marLeft w:val="0"/>
          <w:marRight w:val="0"/>
          <w:marTop w:val="0"/>
          <w:marBottom w:val="0"/>
          <w:divBdr>
            <w:top w:val="none" w:sz="0" w:space="0" w:color="auto"/>
            <w:left w:val="none" w:sz="0" w:space="0" w:color="auto"/>
            <w:bottom w:val="none" w:sz="0" w:space="0" w:color="auto"/>
            <w:right w:val="none" w:sz="0" w:space="0" w:color="auto"/>
          </w:divBdr>
        </w:div>
      </w:divsChild>
    </w:div>
    <w:div w:id="955915307">
      <w:bodyDiv w:val="1"/>
      <w:marLeft w:val="0"/>
      <w:marRight w:val="0"/>
      <w:marTop w:val="0"/>
      <w:marBottom w:val="0"/>
      <w:divBdr>
        <w:top w:val="none" w:sz="0" w:space="0" w:color="auto"/>
        <w:left w:val="none" w:sz="0" w:space="0" w:color="auto"/>
        <w:bottom w:val="none" w:sz="0" w:space="0" w:color="auto"/>
        <w:right w:val="none" w:sz="0" w:space="0" w:color="auto"/>
      </w:divBdr>
    </w:div>
    <w:div w:id="1528980397">
      <w:bodyDiv w:val="1"/>
      <w:marLeft w:val="0"/>
      <w:marRight w:val="0"/>
      <w:marTop w:val="0"/>
      <w:marBottom w:val="0"/>
      <w:divBdr>
        <w:top w:val="none" w:sz="0" w:space="0" w:color="auto"/>
        <w:left w:val="none" w:sz="0" w:space="0" w:color="auto"/>
        <w:bottom w:val="none" w:sz="0" w:space="0" w:color="auto"/>
        <w:right w:val="none" w:sz="0" w:space="0" w:color="auto"/>
      </w:divBdr>
    </w:div>
    <w:div w:id="1553076628">
      <w:bodyDiv w:val="1"/>
      <w:marLeft w:val="0"/>
      <w:marRight w:val="0"/>
      <w:marTop w:val="0"/>
      <w:marBottom w:val="0"/>
      <w:divBdr>
        <w:top w:val="none" w:sz="0" w:space="0" w:color="auto"/>
        <w:left w:val="none" w:sz="0" w:space="0" w:color="auto"/>
        <w:bottom w:val="none" w:sz="0" w:space="0" w:color="auto"/>
        <w:right w:val="none" w:sz="0" w:space="0" w:color="auto"/>
      </w:divBdr>
    </w:div>
    <w:div w:id="1649893726">
      <w:bodyDiv w:val="1"/>
      <w:marLeft w:val="0"/>
      <w:marRight w:val="0"/>
      <w:marTop w:val="0"/>
      <w:marBottom w:val="0"/>
      <w:divBdr>
        <w:top w:val="none" w:sz="0" w:space="0" w:color="auto"/>
        <w:left w:val="none" w:sz="0" w:space="0" w:color="auto"/>
        <w:bottom w:val="none" w:sz="0" w:space="0" w:color="auto"/>
        <w:right w:val="none" w:sz="0" w:space="0" w:color="auto"/>
      </w:divBdr>
    </w:div>
    <w:div w:id="205778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oleObject" Target="embeddings/Microsoft_Word_97_-_2003_Document1.doc"/><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CELEX:32013R13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FFBEE78B6B81FE44AF7A4E99179547FB" ma:contentTypeVersion="2" ma:contentTypeDescription="Create a new document in this library." ma:contentTypeScope="" ma:versionID="bc10dae84faf0e099a37f79f3bc3e3c8">
  <xsd:schema xmlns:xsd="http://www.w3.org/2001/XMLSchema" xmlns:xs="http://www.w3.org/2001/XMLSchema" xmlns:p="http://schemas.microsoft.com/office/2006/metadata/properties" xmlns:ns3="994097c6-a663-4483-82d6-b26e67f69cf0" targetNamespace="http://schemas.microsoft.com/office/2006/metadata/properties" ma:root="true" ma:fieldsID="231a4cde11a1d51513605bade2e2d930" ns3:_="">
    <xsd:import namespace="994097c6-a663-4483-82d6-b26e67f69cf0"/>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097c6-a663-4483-82d6-b26e67f69cf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EC_Collab_DocumentLanguage xmlns="994097c6-a663-4483-82d6-b26e67f69cf0">EN</EC_Collab_DocumentLanguage>
    <EC_Collab_Reference xmlns="994097c6-a663-4483-82d6-b26e67f69cf0" xsi:nil="true"/>
    <EC_Collab_Status xmlns="994097c6-a663-4483-82d6-b26e67f69cf0">Not Started</EC_Collab_Statu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242F2-96BD-47A1-A984-C05818C2429A}">
  <ds:schemaRefs>
    <ds:schemaRef ds:uri="http://schemas.microsoft.com/sharepoint/v3/contenttype/forms"/>
  </ds:schemaRefs>
</ds:datastoreItem>
</file>

<file path=customXml/itemProps2.xml><?xml version="1.0" encoding="utf-8"?>
<ds:datastoreItem xmlns:ds="http://schemas.openxmlformats.org/officeDocument/2006/customXml" ds:itemID="{870A22C8-4754-415D-BB1D-27E7BF680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097c6-a663-4483-82d6-b26e67f69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B4F435-EE74-4481-A072-C224D6E0BA59}">
  <ds:schemaRefs>
    <ds:schemaRef ds:uri="http://schemas.microsoft.com/office/2006/metadata/longProperties"/>
  </ds:schemaRefs>
</ds:datastoreItem>
</file>

<file path=customXml/itemProps4.xml><?xml version="1.0" encoding="utf-8"?>
<ds:datastoreItem xmlns:ds="http://schemas.openxmlformats.org/officeDocument/2006/customXml" ds:itemID="{2F24238F-7C5F-45B4-905A-EDED1915EF85}">
  <ds:schemaRefs>
    <ds:schemaRef ds:uri="http://purl.org/dc/terms/"/>
    <ds:schemaRef ds:uri="http://www.w3.org/XML/1998/namespace"/>
    <ds:schemaRef ds:uri="http://schemas.microsoft.com/office/infopath/2007/PartnerControls"/>
    <ds:schemaRef ds:uri="http://schemas.microsoft.com/office/2006/documentManagement/types"/>
    <ds:schemaRef ds:uri="994097c6-a663-4483-82d6-b26e67f69cf0"/>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408C90CC-D422-4C17-955C-38BEE66971E9}">
  <ds:schemaRefs>
    <ds:schemaRef ds:uri="http://schemas.openxmlformats.org/officeDocument/2006/bibliography"/>
  </ds:schemaRefs>
</ds:datastoreItem>
</file>

<file path=customXml/itemProps6.xml><?xml version="1.0" encoding="utf-8"?>
<ds:datastoreItem xmlns:ds="http://schemas.openxmlformats.org/officeDocument/2006/customXml" ds:itemID="{086AF246-A43C-46CA-9459-6662550E4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6913</Words>
  <Characters>39784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Guidance note on management declaration and annual summary</vt:lpstr>
    </vt:vector>
  </TitlesOfParts>
  <Company>European Commission</Company>
  <LinksUpToDate>false</LinksUpToDate>
  <CharactersWithSpaces>46604</CharactersWithSpaces>
  <SharedDoc>false</SharedDoc>
  <HLinks>
    <vt:vector size="180" baseType="variant">
      <vt:variant>
        <vt:i4>1572920</vt:i4>
      </vt:variant>
      <vt:variant>
        <vt:i4>172</vt:i4>
      </vt:variant>
      <vt:variant>
        <vt:i4>0</vt:i4>
      </vt:variant>
      <vt:variant>
        <vt:i4>5</vt:i4>
      </vt:variant>
      <vt:variant>
        <vt:lpwstr/>
      </vt:variant>
      <vt:variant>
        <vt:lpwstr>_Toc411489532</vt:lpwstr>
      </vt:variant>
      <vt:variant>
        <vt:i4>1572920</vt:i4>
      </vt:variant>
      <vt:variant>
        <vt:i4>166</vt:i4>
      </vt:variant>
      <vt:variant>
        <vt:i4>0</vt:i4>
      </vt:variant>
      <vt:variant>
        <vt:i4>5</vt:i4>
      </vt:variant>
      <vt:variant>
        <vt:lpwstr/>
      </vt:variant>
      <vt:variant>
        <vt:lpwstr>_Toc411489531</vt:lpwstr>
      </vt:variant>
      <vt:variant>
        <vt:i4>1572920</vt:i4>
      </vt:variant>
      <vt:variant>
        <vt:i4>160</vt:i4>
      </vt:variant>
      <vt:variant>
        <vt:i4>0</vt:i4>
      </vt:variant>
      <vt:variant>
        <vt:i4>5</vt:i4>
      </vt:variant>
      <vt:variant>
        <vt:lpwstr/>
      </vt:variant>
      <vt:variant>
        <vt:lpwstr>_Toc411489530</vt:lpwstr>
      </vt:variant>
      <vt:variant>
        <vt:i4>1638456</vt:i4>
      </vt:variant>
      <vt:variant>
        <vt:i4>154</vt:i4>
      </vt:variant>
      <vt:variant>
        <vt:i4>0</vt:i4>
      </vt:variant>
      <vt:variant>
        <vt:i4>5</vt:i4>
      </vt:variant>
      <vt:variant>
        <vt:lpwstr/>
      </vt:variant>
      <vt:variant>
        <vt:lpwstr>_Toc411489529</vt:lpwstr>
      </vt:variant>
      <vt:variant>
        <vt:i4>1638456</vt:i4>
      </vt:variant>
      <vt:variant>
        <vt:i4>148</vt:i4>
      </vt:variant>
      <vt:variant>
        <vt:i4>0</vt:i4>
      </vt:variant>
      <vt:variant>
        <vt:i4>5</vt:i4>
      </vt:variant>
      <vt:variant>
        <vt:lpwstr/>
      </vt:variant>
      <vt:variant>
        <vt:lpwstr>_Toc411489528</vt:lpwstr>
      </vt:variant>
      <vt:variant>
        <vt:i4>1638456</vt:i4>
      </vt:variant>
      <vt:variant>
        <vt:i4>142</vt:i4>
      </vt:variant>
      <vt:variant>
        <vt:i4>0</vt:i4>
      </vt:variant>
      <vt:variant>
        <vt:i4>5</vt:i4>
      </vt:variant>
      <vt:variant>
        <vt:lpwstr/>
      </vt:variant>
      <vt:variant>
        <vt:lpwstr>_Toc411489527</vt:lpwstr>
      </vt:variant>
      <vt:variant>
        <vt:i4>1638456</vt:i4>
      </vt:variant>
      <vt:variant>
        <vt:i4>136</vt:i4>
      </vt:variant>
      <vt:variant>
        <vt:i4>0</vt:i4>
      </vt:variant>
      <vt:variant>
        <vt:i4>5</vt:i4>
      </vt:variant>
      <vt:variant>
        <vt:lpwstr/>
      </vt:variant>
      <vt:variant>
        <vt:lpwstr>_Toc411489526</vt:lpwstr>
      </vt:variant>
      <vt:variant>
        <vt:i4>1638456</vt:i4>
      </vt:variant>
      <vt:variant>
        <vt:i4>130</vt:i4>
      </vt:variant>
      <vt:variant>
        <vt:i4>0</vt:i4>
      </vt:variant>
      <vt:variant>
        <vt:i4>5</vt:i4>
      </vt:variant>
      <vt:variant>
        <vt:lpwstr/>
      </vt:variant>
      <vt:variant>
        <vt:lpwstr>_Toc411489525</vt:lpwstr>
      </vt:variant>
      <vt:variant>
        <vt:i4>1638456</vt:i4>
      </vt:variant>
      <vt:variant>
        <vt:i4>124</vt:i4>
      </vt:variant>
      <vt:variant>
        <vt:i4>0</vt:i4>
      </vt:variant>
      <vt:variant>
        <vt:i4>5</vt:i4>
      </vt:variant>
      <vt:variant>
        <vt:lpwstr/>
      </vt:variant>
      <vt:variant>
        <vt:lpwstr>_Toc411489524</vt:lpwstr>
      </vt:variant>
      <vt:variant>
        <vt:i4>1638456</vt:i4>
      </vt:variant>
      <vt:variant>
        <vt:i4>118</vt:i4>
      </vt:variant>
      <vt:variant>
        <vt:i4>0</vt:i4>
      </vt:variant>
      <vt:variant>
        <vt:i4>5</vt:i4>
      </vt:variant>
      <vt:variant>
        <vt:lpwstr/>
      </vt:variant>
      <vt:variant>
        <vt:lpwstr>_Toc411489523</vt:lpwstr>
      </vt:variant>
      <vt:variant>
        <vt:i4>1638456</vt:i4>
      </vt:variant>
      <vt:variant>
        <vt:i4>112</vt:i4>
      </vt:variant>
      <vt:variant>
        <vt:i4>0</vt:i4>
      </vt:variant>
      <vt:variant>
        <vt:i4>5</vt:i4>
      </vt:variant>
      <vt:variant>
        <vt:lpwstr/>
      </vt:variant>
      <vt:variant>
        <vt:lpwstr>_Toc411489522</vt:lpwstr>
      </vt:variant>
      <vt:variant>
        <vt:i4>1638456</vt:i4>
      </vt:variant>
      <vt:variant>
        <vt:i4>106</vt:i4>
      </vt:variant>
      <vt:variant>
        <vt:i4>0</vt:i4>
      </vt:variant>
      <vt:variant>
        <vt:i4>5</vt:i4>
      </vt:variant>
      <vt:variant>
        <vt:lpwstr/>
      </vt:variant>
      <vt:variant>
        <vt:lpwstr>_Toc411489521</vt:lpwstr>
      </vt:variant>
      <vt:variant>
        <vt:i4>1638456</vt:i4>
      </vt:variant>
      <vt:variant>
        <vt:i4>100</vt:i4>
      </vt:variant>
      <vt:variant>
        <vt:i4>0</vt:i4>
      </vt:variant>
      <vt:variant>
        <vt:i4>5</vt:i4>
      </vt:variant>
      <vt:variant>
        <vt:lpwstr/>
      </vt:variant>
      <vt:variant>
        <vt:lpwstr>_Toc411489520</vt:lpwstr>
      </vt:variant>
      <vt:variant>
        <vt:i4>1703992</vt:i4>
      </vt:variant>
      <vt:variant>
        <vt:i4>94</vt:i4>
      </vt:variant>
      <vt:variant>
        <vt:i4>0</vt:i4>
      </vt:variant>
      <vt:variant>
        <vt:i4>5</vt:i4>
      </vt:variant>
      <vt:variant>
        <vt:lpwstr/>
      </vt:variant>
      <vt:variant>
        <vt:lpwstr>_Toc411489519</vt:lpwstr>
      </vt:variant>
      <vt:variant>
        <vt:i4>1703992</vt:i4>
      </vt:variant>
      <vt:variant>
        <vt:i4>88</vt:i4>
      </vt:variant>
      <vt:variant>
        <vt:i4>0</vt:i4>
      </vt:variant>
      <vt:variant>
        <vt:i4>5</vt:i4>
      </vt:variant>
      <vt:variant>
        <vt:lpwstr/>
      </vt:variant>
      <vt:variant>
        <vt:lpwstr>_Toc411489518</vt:lpwstr>
      </vt:variant>
      <vt:variant>
        <vt:i4>1703992</vt:i4>
      </vt:variant>
      <vt:variant>
        <vt:i4>82</vt:i4>
      </vt:variant>
      <vt:variant>
        <vt:i4>0</vt:i4>
      </vt:variant>
      <vt:variant>
        <vt:i4>5</vt:i4>
      </vt:variant>
      <vt:variant>
        <vt:lpwstr/>
      </vt:variant>
      <vt:variant>
        <vt:lpwstr>_Toc411489517</vt:lpwstr>
      </vt:variant>
      <vt:variant>
        <vt:i4>1703992</vt:i4>
      </vt:variant>
      <vt:variant>
        <vt:i4>76</vt:i4>
      </vt:variant>
      <vt:variant>
        <vt:i4>0</vt:i4>
      </vt:variant>
      <vt:variant>
        <vt:i4>5</vt:i4>
      </vt:variant>
      <vt:variant>
        <vt:lpwstr/>
      </vt:variant>
      <vt:variant>
        <vt:lpwstr>_Toc411489516</vt:lpwstr>
      </vt:variant>
      <vt:variant>
        <vt:i4>1703992</vt:i4>
      </vt:variant>
      <vt:variant>
        <vt:i4>70</vt:i4>
      </vt:variant>
      <vt:variant>
        <vt:i4>0</vt:i4>
      </vt:variant>
      <vt:variant>
        <vt:i4>5</vt:i4>
      </vt:variant>
      <vt:variant>
        <vt:lpwstr/>
      </vt:variant>
      <vt:variant>
        <vt:lpwstr>_Toc411489515</vt:lpwstr>
      </vt:variant>
      <vt:variant>
        <vt:i4>1703992</vt:i4>
      </vt:variant>
      <vt:variant>
        <vt:i4>64</vt:i4>
      </vt:variant>
      <vt:variant>
        <vt:i4>0</vt:i4>
      </vt:variant>
      <vt:variant>
        <vt:i4>5</vt:i4>
      </vt:variant>
      <vt:variant>
        <vt:lpwstr/>
      </vt:variant>
      <vt:variant>
        <vt:lpwstr>_Toc411489514</vt:lpwstr>
      </vt:variant>
      <vt:variant>
        <vt:i4>1703992</vt:i4>
      </vt:variant>
      <vt:variant>
        <vt:i4>58</vt:i4>
      </vt:variant>
      <vt:variant>
        <vt:i4>0</vt:i4>
      </vt:variant>
      <vt:variant>
        <vt:i4>5</vt:i4>
      </vt:variant>
      <vt:variant>
        <vt:lpwstr/>
      </vt:variant>
      <vt:variant>
        <vt:lpwstr>_Toc411489513</vt:lpwstr>
      </vt:variant>
      <vt:variant>
        <vt:i4>1703992</vt:i4>
      </vt:variant>
      <vt:variant>
        <vt:i4>52</vt:i4>
      </vt:variant>
      <vt:variant>
        <vt:i4>0</vt:i4>
      </vt:variant>
      <vt:variant>
        <vt:i4>5</vt:i4>
      </vt:variant>
      <vt:variant>
        <vt:lpwstr/>
      </vt:variant>
      <vt:variant>
        <vt:lpwstr>_Toc411489512</vt:lpwstr>
      </vt:variant>
      <vt:variant>
        <vt:i4>1703992</vt:i4>
      </vt:variant>
      <vt:variant>
        <vt:i4>46</vt:i4>
      </vt:variant>
      <vt:variant>
        <vt:i4>0</vt:i4>
      </vt:variant>
      <vt:variant>
        <vt:i4>5</vt:i4>
      </vt:variant>
      <vt:variant>
        <vt:lpwstr/>
      </vt:variant>
      <vt:variant>
        <vt:lpwstr>_Toc411489511</vt:lpwstr>
      </vt:variant>
      <vt:variant>
        <vt:i4>1703992</vt:i4>
      </vt:variant>
      <vt:variant>
        <vt:i4>40</vt:i4>
      </vt:variant>
      <vt:variant>
        <vt:i4>0</vt:i4>
      </vt:variant>
      <vt:variant>
        <vt:i4>5</vt:i4>
      </vt:variant>
      <vt:variant>
        <vt:lpwstr/>
      </vt:variant>
      <vt:variant>
        <vt:lpwstr>_Toc411489510</vt:lpwstr>
      </vt:variant>
      <vt:variant>
        <vt:i4>1769528</vt:i4>
      </vt:variant>
      <vt:variant>
        <vt:i4>34</vt:i4>
      </vt:variant>
      <vt:variant>
        <vt:i4>0</vt:i4>
      </vt:variant>
      <vt:variant>
        <vt:i4>5</vt:i4>
      </vt:variant>
      <vt:variant>
        <vt:lpwstr/>
      </vt:variant>
      <vt:variant>
        <vt:lpwstr>_Toc411489509</vt:lpwstr>
      </vt:variant>
      <vt:variant>
        <vt:i4>1769528</vt:i4>
      </vt:variant>
      <vt:variant>
        <vt:i4>28</vt:i4>
      </vt:variant>
      <vt:variant>
        <vt:i4>0</vt:i4>
      </vt:variant>
      <vt:variant>
        <vt:i4>5</vt:i4>
      </vt:variant>
      <vt:variant>
        <vt:lpwstr/>
      </vt:variant>
      <vt:variant>
        <vt:lpwstr>_Toc411489506</vt:lpwstr>
      </vt:variant>
      <vt:variant>
        <vt:i4>1769528</vt:i4>
      </vt:variant>
      <vt:variant>
        <vt:i4>22</vt:i4>
      </vt:variant>
      <vt:variant>
        <vt:i4>0</vt:i4>
      </vt:variant>
      <vt:variant>
        <vt:i4>5</vt:i4>
      </vt:variant>
      <vt:variant>
        <vt:lpwstr/>
      </vt:variant>
      <vt:variant>
        <vt:lpwstr>_Toc411489505</vt:lpwstr>
      </vt:variant>
      <vt:variant>
        <vt:i4>1769528</vt:i4>
      </vt:variant>
      <vt:variant>
        <vt:i4>16</vt:i4>
      </vt:variant>
      <vt:variant>
        <vt:i4>0</vt:i4>
      </vt:variant>
      <vt:variant>
        <vt:i4>5</vt:i4>
      </vt:variant>
      <vt:variant>
        <vt:lpwstr/>
      </vt:variant>
      <vt:variant>
        <vt:lpwstr>_Toc411489504</vt:lpwstr>
      </vt:variant>
      <vt:variant>
        <vt:i4>1769528</vt:i4>
      </vt:variant>
      <vt:variant>
        <vt:i4>10</vt:i4>
      </vt:variant>
      <vt:variant>
        <vt:i4>0</vt:i4>
      </vt:variant>
      <vt:variant>
        <vt:i4>5</vt:i4>
      </vt:variant>
      <vt:variant>
        <vt:lpwstr/>
      </vt:variant>
      <vt:variant>
        <vt:lpwstr>_Toc411489503</vt:lpwstr>
      </vt:variant>
      <vt:variant>
        <vt:i4>1769528</vt:i4>
      </vt:variant>
      <vt:variant>
        <vt:i4>4</vt:i4>
      </vt:variant>
      <vt:variant>
        <vt:i4>0</vt:i4>
      </vt:variant>
      <vt:variant>
        <vt:i4>5</vt:i4>
      </vt:variant>
      <vt:variant>
        <vt:lpwstr/>
      </vt:variant>
      <vt:variant>
        <vt:lpwstr>_Toc411489502</vt:lpwstr>
      </vt:variant>
      <vt:variant>
        <vt:i4>2621502</vt:i4>
      </vt:variant>
      <vt:variant>
        <vt:i4>0</vt:i4>
      </vt:variant>
      <vt:variant>
        <vt:i4>0</vt:i4>
      </vt:variant>
      <vt:variant>
        <vt:i4>5</vt:i4>
      </vt:variant>
      <vt:variant>
        <vt:lpwstr>http://eur-lex.europa.eu/legal-content/EN/TXT/?uri=CELEX:32013R1303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on management declaration and annual summary</dc:title>
  <dc:creator>AIMI Nicola (REGIO)</dc:creator>
  <cp:lastModifiedBy>BERARD-DELAY Cecile (REGIO)</cp:lastModifiedBy>
  <cp:revision>5</cp:revision>
  <cp:lastPrinted>2015-06-03T15:47:00Z</cp:lastPrinted>
  <dcterms:created xsi:type="dcterms:W3CDTF">2015-06-03T15:47:00Z</dcterms:created>
  <dcterms:modified xsi:type="dcterms:W3CDTF">2015-06-04T08:36:00Z</dcterms:modified>
</cp:coreProperties>
</file>