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F22E4A" w:rsidRPr="00232FDB" w:rsidTr="00543339">
        <w:trPr>
          <w:trHeight w:val="1440"/>
        </w:trPr>
        <w:tc>
          <w:tcPr>
            <w:tcW w:w="2381" w:type="dxa"/>
            <w:tcBorders>
              <w:top w:val="nil"/>
              <w:left w:val="nil"/>
              <w:bottom w:val="nil"/>
              <w:right w:val="nil"/>
            </w:tcBorders>
          </w:tcPr>
          <w:p w:rsidR="00F22E4A" w:rsidRPr="00232FDB" w:rsidRDefault="00571C39" w:rsidP="002E6E9A">
            <w:pPr>
              <w:pStyle w:val="ZCom"/>
              <w:spacing w:after="120"/>
              <w:rPr>
                <w:rFonts w:ascii="Times New Roman" w:hAnsi="Times New Roman" w:cs="Times New Roman"/>
              </w:rPr>
            </w:pPr>
            <w:r>
              <w:rPr>
                <w:rFonts w:ascii="Times New Roman" w:hAnsi="Times New Roman" w:cs="Times New Roman"/>
              </w:rPr>
              <w:pict w14:anchorId="7112E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3.25pt" fillcolor="window">
                  <v:imagedata r:id="rId9" o:title="logo_ec_17_colors_300dpi"/>
                </v:shape>
              </w:pict>
            </w:r>
          </w:p>
        </w:tc>
        <w:tc>
          <w:tcPr>
            <w:tcW w:w="7087" w:type="dxa"/>
            <w:tcBorders>
              <w:top w:val="nil"/>
              <w:left w:val="nil"/>
              <w:bottom w:val="nil"/>
              <w:right w:val="nil"/>
            </w:tcBorders>
          </w:tcPr>
          <w:p w:rsidR="00F22E4A" w:rsidRPr="00390337" w:rsidRDefault="00F22E4A" w:rsidP="00390337">
            <w:pPr>
              <w:pStyle w:val="ZCom"/>
              <w:spacing w:before="120" w:after="120"/>
            </w:pPr>
            <w:r w:rsidRPr="00390337">
              <w:t>EUROPEAN COMMISSION</w:t>
            </w:r>
          </w:p>
          <w:p w:rsidR="00F22E4A" w:rsidRPr="00232FDB" w:rsidRDefault="00F22E4A" w:rsidP="002E6E9A">
            <w:pPr>
              <w:pStyle w:val="ZDGName"/>
              <w:spacing w:after="120"/>
              <w:rPr>
                <w:rFonts w:ascii="Times New Roman" w:hAnsi="Times New Roman" w:cs="Times New Roman"/>
                <w:sz w:val="24"/>
                <w:szCs w:val="24"/>
              </w:rPr>
            </w:pPr>
          </w:p>
        </w:tc>
      </w:tr>
    </w:tbl>
    <w:p w:rsidR="00F22E4A" w:rsidRPr="00232FDB" w:rsidRDefault="00F22E4A" w:rsidP="002E6E9A">
      <w:pPr>
        <w:spacing w:after="120"/>
        <w:jc w:val="center"/>
        <w:rPr>
          <w:szCs w:val="24"/>
          <w:u w:val="single"/>
        </w:rPr>
      </w:pPr>
    </w:p>
    <w:p w:rsidR="00F377F4" w:rsidRPr="00232FDB" w:rsidRDefault="00F377F4" w:rsidP="002E6E9A">
      <w:pPr>
        <w:spacing w:after="120"/>
        <w:jc w:val="center"/>
        <w:rPr>
          <w:szCs w:val="24"/>
          <w:u w:val="single"/>
        </w:rPr>
      </w:pPr>
    </w:p>
    <w:p w:rsidR="00F377F4" w:rsidRPr="00232FDB" w:rsidRDefault="00F377F4" w:rsidP="002E6E9A">
      <w:pPr>
        <w:spacing w:after="120"/>
        <w:jc w:val="center"/>
        <w:rPr>
          <w:szCs w:val="24"/>
          <w:u w:val="single"/>
        </w:rPr>
      </w:pPr>
    </w:p>
    <w:p w:rsidR="00F377F4" w:rsidRPr="00232FDB" w:rsidRDefault="00F377F4" w:rsidP="002E6E9A">
      <w:pPr>
        <w:spacing w:after="120"/>
        <w:jc w:val="center"/>
        <w:rPr>
          <w:szCs w:val="24"/>
          <w:u w:val="single"/>
        </w:rPr>
      </w:pPr>
    </w:p>
    <w:p w:rsidR="00F22E4A" w:rsidRPr="00232FDB" w:rsidRDefault="00F22E4A" w:rsidP="002E6E9A">
      <w:pPr>
        <w:spacing w:after="120"/>
        <w:jc w:val="center"/>
        <w:rPr>
          <w:szCs w:val="24"/>
          <w:u w:val="single"/>
        </w:rPr>
      </w:pPr>
      <w:r w:rsidRPr="00232FDB">
        <w:rPr>
          <w:szCs w:val="24"/>
          <w:u w:val="single"/>
        </w:rPr>
        <w:t>European Structural and Investment Funds</w:t>
      </w:r>
    </w:p>
    <w:p w:rsidR="00F22E4A" w:rsidRPr="00232FDB" w:rsidRDefault="00F22E4A" w:rsidP="002E6E9A">
      <w:pPr>
        <w:spacing w:after="120"/>
        <w:rPr>
          <w:szCs w:val="24"/>
        </w:rPr>
      </w:pPr>
    </w:p>
    <w:p w:rsidR="00F22E4A" w:rsidRPr="001C4C85" w:rsidRDefault="00F22E4A" w:rsidP="002E6E9A">
      <w:pPr>
        <w:pStyle w:val="NoteHead"/>
        <w:spacing w:before="0" w:after="120"/>
        <w:rPr>
          <w:b w:val="0"/>
          <w:smallCaps w:val="0"/>
          <w:sz w:val="32"/>
          <w:szCs w:val="32"/>
          <w:u w:val="single"/>
        </w:rPr>
      </w:pPr>
      <w:r w:rsidRPr="001C4C85">
        <w:rPr>
          <w:b w:val="0"/>
          <w:smallCaps w:val="0"/>
          <w:sz w:val="32"/>
          <w:szCs w:val="32"/>
          <w:u w:val="single"/>
        </w:rPr>
        <w:t xml:space="preserve">Guidance for </w:t>
      </w:r>
      <w:r w:rsidR="00817567" w:rsidRPr="001C4C85">
        <w:rPr>
          <w:b w:val="0"/>
          <w:smallCaps w:val="0"/>
          <w:sz w:val="32"/>
          <w:szCs w:val="32"/>
          <w:u w:val="single"/>
        </w:rPr>
        <w:t>Member States</w:t>
      </w:r>
      <w:r w:rsidRPr="001C4C85">
        <w:rPr>
          <w:b w:val="0"/>
          <w:smallCaps w:val="0"/>
          <w:sz w:val="32"/>
          <w:szCs w:val="32"/>
          <w:u w:val="single"/>
        </w:rPr>
        <w:t xml:space="preserve"> on </w:t>
      </w:r>
    </w:p>
    <w:p w:rsidR="004971CC" w:rsidRPr="001C4C85" w:rsidRDefault="004971CC" w:rsidP="004971CC">
      <w:pPr>
        <w:pStyle w:val="Subject"/>
        <w:jc w:val="center"/>
        <w:rPr>
          <w:b w:val="0"/>
          <w:sz w:val="32"/>
          <w:szCs w:val="32"/>
          <w:u w:val="single"/>
        </w:rPr>
      </w:pPr>
      <w:r w:rsidRPr="001C4C85">
        <w:rPr>
          <w:b w:val="0"/>
          <w:sz w:val="32"/>
          <w:szCs w:val="32"/>
          <w:u w:val="single"/>
        </w:rPr>
        <w:t xml:space="preserve">CPR </w:t>
      </w:r>
      <w:r w:rsidR="001C4C85">
        <w:rPr>
          <w:b w:val="0"/>
          <w:sz w:val="32"/>
          <w:szCs w:val="32"/>
          <w:u w:val="single"/>
        </w:rPr>
        <w:t>e</w:t>
      </w:r>
      <w:r w:rsidRPr="001C4C85">
        <w:rPr>
          <w:b w:val="0"/>
          <w:sz w:val="32"/>
          <w:szCs w:val="32"/>
          <w:u w:val="single"/>
        </w:rPr>
        <w:t>ligibility rules for ESI</w:t>
      </w:r>
      <w:r w:rsidR="001C4C85">
        <w:rPr>
          <w:b w:val="0"/>
          <w:sz w:val="32"/>
          <w:szCs w:val="32"/>
          <w:u w:val="single"/>
        </w:rPr>
        <w:t xml:space="preserve"> </w:t>
      </w:r>
      <w:r w:rsidRPr="001C4C85">
        <w:rPr>
          <w:b w:val="0"/>
          <w:sz w:val="32"/>
          <w:szCs w:val="32"/>
          <w:u w:val="single"/>
        </w:rPr>
        <w:t>F</w:t>
      </w:r>
      <w:r w:rsidR="001C4C85">
        <w:rPr>
          <w:b w:val="0"/>
          <w:sz w:val="32"/>
          <w:szCs w:val="32"/>
          <w:u w:val="single"/>
        </w:rPr>
        <w:t xml:space="preserve">unds </w:t>
      </w:r>
      <w:r w:rsidR="00401BE6" w:rsidRPr="001C4C85">
        <w:rPr>
          <w:b w:val="0"/>
          <w:sz w:val="32"/>
          <w:szCs w:val="32"/>
          <w:u w:val="single"/>
        </w:rPr>
        <w:t>F</w:t>
      </w:r>
      <w:r w:rsidRPr="001C4C85">
        <w:rPr>
          <w:b w:val="0"/>
          <w:sz w:val="32"/>
          <w:szCs w:val="32"/>
          <w:u w:val="single"/>
        </w:rPr>
        <w:t xml:space="preserve">inancial </w:t>
      </w:r>
      <w:r w:rsidR="00401BE6" w:rsidRPr="001C4C85">
        <w:rPr>
          <w:b w:val="0"/>
          <w:sz w:val="32"/>
          <w:szCs w:val="32"/>
          <w:u w:val="single"/>
        </w:rPr>
        <w:t>I</w:t>
      </w:r>
      <w:r w:rsidRPr="001C4C85">
        <w:rPr>
          <w:b w:val="0"/>
          <w:sz w:val="32"/>
          <w:szCs w:val="32"/>
          <w:u w:val="single"/>
        </w:rPr>
        <w:t>nstruments</w:t>
      </w:r>
    </w:p>
    <w:p w:rsidR="00F22E4A" w:rsidRPr="00232FDB" w:rsidRDefault="00F22E4A" w:rsidP="002E6E9A">
      <w:pPr>
        <w:spacing w:after="120"/>
        <w:rPr>
          <w:szCs w:val="24"/>
        </w:rPr>
      </w:pPr>
    </w:p>
    <w:p w:rsidR="00652CF0" w:rsidRPr="00232FDB" w:rsidRDefault="00652CF0" w:rsidP="002E6E9A">
      <w:pPr>
        <w:spacing w:after="120"/>
        <w:rPr>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F22E4A" w:rsidRPr="00232FDB" w:rsidRDefault="00F22E4A" w:rsidP="002E6E9A">
      <w:pPr>
        <w:spacing w:after="120"/>
        <w:rPr>
          <w:szCs w:val="24"/>
        </w:rPr>
      </w:pPr>
    </w:p>
    <w:p w:rsidR="00F22E4A" w:rsidRPr="00232FDB" w:rsidRDefault="00F22E4A" w:rsidP="002E6E9A">
      <w:pPr>
        <w:spacing w:after="120"/>
        <w:rPr>
          <w:color w:val="FF0000"/>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F377F4" w:rsidRPr="00232FDB" w:rsidRDefault="00F377F4" w:rsidP="002E6E9A">
      <w:pPr>
        <w:spacing w:after="120"/>
        <w:rPr>
          <w:szCs w:val="24"/>
        </w:rPr>
      </w:pPr>
    </w:p>
    <w:p w:rsidR="0032182B" w:rsidRPr="00232FDB" w:rsidRDefault="00F22E4A" w:rsidP="002E6E9A">
      <w:pPr>
        <w:pBdr>
          <w:top w:val="single" w:sz="4" w:space="1" w:color="auto"/>
          <w:left w:val="single" w:sz="4" w:space="4" w:color="auto"/>
          <w:bottom w:val="single" w:sz="4" w:space="1" w:color="auto"/>
          <w:right w:val="single" w:sz="4" w:space="4" w:color="auto"/>
        </w:pBdr>
        <w:spacing w:after="120"/>
        <w:rPr>
          <w:b/>
          <w:sz w:val="22"/>
          <w:szCs w:val="22"/>
        </w:rPr>
      </w:pPr>
      <w:r w:rsidRPr="00232FDB">
        <w:rPr>
          <w:b/>
          <w:sz w:val="22"/>
          <w:szCs w:val="22"/>
        </w:rPr>
        <w:t>DISCLAIMER</w:t>
      </w:r>
    </w:p>
    <w:p w:rsidR="00F22E4A" w:rsidRPr="00232FDB" w:rsidRDefault="0032182B" w:rsidP="002E6E9A">
      <w:pPr>
        <w:pBdr>
          <w:top w:val="single" w:sz="4" w:space="1" w:color="auto"/>
          <w:left w:val="single" w:sz="4" w:space="4" w:color="auto"/>
          <w:bottom w:val="single" w:sz="4" w:space="1" w:color="auto"/>
          <w:right w:val="single" w:sz="4" w:space="4" w:color="auto"/>
        </w:pBdr>
        <w:spacing w:after="120"/>
        <w:rPr>
          <w:b/>
          <w:sz w:val="22"/>
          <w:szCs w:val="22"/>
        </w:rPr>
      </w:pPr>
      <w:r w:rsidRPr="00232FDB">
        <w:rPr>
          <w:b/>
          <w:sz w:val="22"/>
          <w:szCs w:val="22"/>
        </w:rPr>
        <w:t>“</w:t>
      </w:r>
      <w:r w:rsidR="00F22E4A" w:rsidRPr="00232FDB">
        <w:rPr>
          <w:i/>
          <w:sz w:val="22"/>
          <w:szCs w:val="22"/>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w:t>
      </w:r>
      <w:r w:rsidR="0020135D">
        <w:rPr>
          <w:i/>
          <w:sz w:val="22"/>
          <w:szCs w:val="22"/>
        </w:rPr>
        <w:t xml:space="preserve">, the applicable State aid rules </w:t>
      </w:r>
      <w:r w:rsidR="00F22E4A" w:rsidRPr="00232FDB">
        <w:rPr>
          <w:i/>
          <w:sz w:val="22"/>
          <w:szCs w:val="22"/>
        </w:rPr>
        <w:t>or decisions of the Commission</w:t>
      </w:r>
      <w:r w:rsidRPr="00232FDB">
        <w:rPr>
          <w:i/>
          <w:sz w:val="22"/>
          <w:szCs w:val="22"/>
        </w:rPr>
        <w:t>.</w:t>
      </w:r>
      <w:r w:rsidRPr="00232FDB">
        <w:rPr>
          <w:b/>
          <w:sz w:val="22"/>
          <w:szCs w:val="22"/>
        </w:rPr>
        <w:t>”</w:t>
      </w:r>
    </w:p>
    <w:p w:rsidR="00EA3F39" w:rsidRPr="00232FDB" w:rsidRDefault="00F377F4" w:rsidP="0020135D">
      <w:pPr>
        <w:pStyle w:val="Heading1"/>
        <w:numPr>
          <w:ilvl w:val="0"/>
          <w:numId w:val="0"/>
        </w:numPr>
        <w:ind w:left="792" w:hanging="792"/>
        <w:rPr>
          <w:rStyle w:val="Corpsdutexte5"/>
          <w:b/>
          <w:bCs w:val="0"/>
          <w:smallCaps/>
          <w:color w:val="000000"/>
          <w:sz w:val="24"/>
          <w:szCs w:val="24"/>
        </w:rPr>
      </w:pPr>
      <w:r w:rsidRPr="00232FDB">
        <w:rPr>
          <w:rStyle w:val="Corpsdutexte5"/>
          <w:b/>
          <w:bCs w:val="0"/>
          <w:smallCaps/>
          <w:color w:val="000000"/>
          <w:sz w:val="24"/>
          <w:szCs w:val="24"/>
        </w:rPr>
        <w:br w:type="page"/>
      </w:r>
      <w:bookmarkStart w:id="0" w:name="_Toc445141398"/>
      <w:r w:rsidR="000E3510" w:rsidRPr="00232FDB">
        <w:rPr>
          <w:rStyle w:val="Corpsdutexte5"/>
          <w:b/>
          <w:bCs w:val="0"/>
          <w:smallCaps/>
          <w:color w:val="000000"/>
          <w:sz w:val="24"/>
          <w:szCs w:val="24"/>
        </w:rPr>
        <w:lastRenderedPageBreak/>
        <w:t>Table of contents</w:t>
      </w:r>
      <w:bookmarkEnd w:id="0"/>
    </w:p>
    <w:p w:rsidR="0053646F" w:rsidRPr="00571C39" w:rsidRDefault="00C73FD0" w:rsidP="0053646F">
      <w:pPr>
        <w:pStyle w:val="TOC1"/>
        <w:spacing w:before="0"/>
        <w:rPr>
          <w:rFonts w:asciiTheme="minorHAnsi" w:eastAsiaTheme="minorEastAsia" w:hAnsiTheme="minorHAnsi" w:cstheme="minorBidi"/>
          <w:caps w:val="0"/>
          <w:smallCaps/>
          <w:noProof/>
          <w:sz w:val="22"/>
          <w:szCs w:val="22"/>
          <w:lang w:eastAsia="en-GB"/>
        </w:rPr>
      </w:pPr>
      <w:r w:rsidRPr="00571C39">
        <w:rPr>
          <w:rFonts w:eastAsia="Calibri"/>
          <w:caps w:val="0"/>
          <w:smallCaps/>
          <w:szCs w:val="24"/>
        </w:rPr>
        <w:fldChar w:fldCharType="begin"/>
      </w:r>
      <w:r w:rsidRPr="00571C39">
        <w:rPr>
          <w:rFonts w:eastAsia="Calibri"/>
          <w:caps w:val="0"/>
          <w:smallCaps/>
          <w:szCs w:val="24"/>
        </w:rPr>
        <w:instrText xml:space="preserve"> TOC \o "1-3" \h \z \u </w:instrText>
      </w:r>
      <w:r w:rsidRPr="00571C39">
        <w:rPr>
          <w:rFonts w:eastAsia="Calibri"/>
          <w:caps w:val="0"/>
          <w:smallCaps/>
          <w:szCs w:val="24"/>
        </w:rPr>
        <w:fldChar w:fldCharType="separate"/>
      </w:r>
      <w:hyperlink w:anchor="_Toc445141398" w:history="1">
        <w:r w:rsidR="0053646F" w:rsidRPr="00571C39">
          <w:rPr>
            <w:rStyle w:val="Hyperlink"/>
            <w:caps w:val="0"/>
            <w:smallCaps/>
            <w:noProof/>
            <w:color w:val="auto"/>
            <w:shd w:val="clear" w:color="auto" w:fill="FFFFFF"/>
          </w:rPr>
          <w:t>Table of contents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_Toc445141398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399" w:history="1">
        <w:r w:rsidR="0053646F" w:rsidRPr="00571C39">
          <w:rPr>
            <w:rStyle w:val="Hyperlink"/>
            <w:caps w:val="0"/>
            <w:smallCaps/>
            <w:noProof/>
            <w:color w:val="auto"/>
          </w:rPr>
          <w:t>1.</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Regulatory references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_Toc445141399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3</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0" w:history="1">
        <w:r w:rsidR="0053646F" w:rsidRPr="00571C39">
          <w:rPr>
            <w:rStyle w:val="Hyperlink"/>
            <w:caps w:val="0"/>
            <w:smallCaps/>
            <w:noProof/>
            <w:color w:val="auto"/>
          </w:rPr>
          <w:t>2.</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Purpose of the Guidance</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_Toc445141400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4</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1" w:history="1">
        <w:r w:rsidR="0053646F" w:rsidRPr="00571C39">
          <w:rPr>
            <w:rStyle w:val="Hyperlink"/>
            <w:caps w:val="0"/>
            <w:smallCaps/>
            <w:noProof/>
            <w:color w:val="auto"/>
          </w:rPr>
          <w:t>3.</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What has changed in 2014-2020?</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_Toc445141401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5</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2" w:history="1">
        <w:r w:rsidR="0053646F" w:rsidRPr="00571C39">
          <w:rPr>
            <w:rStyle w:val="Hyperlink"/>
            <w:caps w:val="0"/>
            <w:smallCaps/>
            <w:noProof/>
            <w:color w:val="auto"/>
          </w:rPr>
          <w:t>4.</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Eligible expenditure for financial instruments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_Toc445141402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7</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3" w:history="1">
        <w:r w:rsidR="0053646F" w:rsidRPr="00571C39">
          <w:rPr>
            <w:rStyle w:val="Hyperlink"/>
            <w:caps w:val="0"/>
            <w:smallCaps/>
            <w:noProof/>
            <w:color w:val="auto"/>
          </w:rPr>
          <w:t>5.</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Specific eligibility rules for Financial Instruments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_Toc445141403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9</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4" w:history="1">
        <w:r w:rsidR="0053646F" w:rsidRPr="00571C39">
          <w:rPr>
            <w:rStyle w:val="Hyperlink"/>
            <w:caps w:val="0"/>
            <w:smallCaps/>
            <w:noProof/>
            <w:color w:val="auto"/>
          </w:rPr>
          <w:t>5.1.</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 xml:space="preserve">National Public/Private contributions </w:t>
        </w:r>
        <w:r w:rsidR="0053646F" w:rsidRPr="00571C39">
          <w:rPr>
            <w:rStyle w:val="Hyperlink"/>
            <w:rFonts w:eastAsia="Calibri"/>
            <w:caps w:val="0"/>
            <w:smallCaps/>
            <w:noProof/>
            <w:color w:val="auto"/>
          </w:rPr>
          <w:t xml:space="preserve">constituting national co-financing at the level of final recipient </w:t>
        </w:r>
        <w:r w:rsidR="0053646F" w:rsidRPr="00571C39">
          <w:rPr>
            <w:rStyle w:val="Hyperlink"/>
            <w:caps w:val="0"/>
            <w:smallCaps/>
            <w:noProof/>
            <w:color w:val="auto"/>
          </w:rPr>
          <w:t>VS own contribution of final recipient</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_Toc445141404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9</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5" w:history="1">
        <w:r w:rsidR="0053646F" w:rsidRPr="00571C39">
          <w:rPr>
            <w:rStyle w:val="Hyperlink"/>
            <w:caps w:val="0"/>
            <w:smallCaps/>
            <w:noProof/>
            <w:color w:val="auto"/>
          </w:rPr>
          <w:t>5.2.</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Contributions in kind</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_Toc445141405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11</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6" w:history="1">
        <w:r w:rsidR="0053646F" w:rsidRPr="00571C39">
          <w:rPr>
            <w:rStyle w:val="Hyperlink"/>
            <w:caps w:val="0"/>
            <w:smallCaps/>
            <w:noProof/>
            <w:color w:val="auto"/>
          </w:rPr>
          <w:t>5.3.</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Purchase of land</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_Toc445141406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13</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7" w:history="1">
        <w:r w:rsidR="0053646F" w:rsidRPr="00571C39">
          <w:rPr>
            <w:rStyle w:val="Hyperlink"/>
            <w:caps w:val="0"/>
            <w:smallCaps/>
            <w:noProof/>
            <w:color w:val="auto"/>
          </w:rPr>
          <w:t>5.4.</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VAT eligibility</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_Toc445141407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14</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8" w:history="1">
        <w:r w:rsidR="0053646F" w:rsidRPr="00571C39">
          <w:rPr>
            <w:rStyle w:val="Hyperlink"/>
            <w:caps w:val="0"/>
            <w:smallCaps/>
            <w:noProof/>
            <w:color w:val="auto"/>
          </w:rPr>
          <w:t>5.5.</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Expenditure paid to final recipients before the setup of the financial instrument</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_Toc445141408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16</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09" w:history="1">
        <w:r w:rsidR="0053646F" w:rsidRPr="00571C39">
          <w:rPr>
            <w:rStyle w:val="Hyperlink"/>
            <w:caps w:val="0"/>
            <w:smallCaps/>
            <w:noProof/>
            <w:color w:val="auto"/>
          </w:rPr>
          <w:t>5.6.</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Refinancing of existing loans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_Toc445141409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17</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0" w:history="1">
        <w:r w:rsidR="0053646F" w:rsidRPr="00571C39">
          <w:rPr>
            <w:rStyle w:val="Hyperlink"/>
            <w:caps w:val="0"/>
            <w:smallCaps/>
            <w:noProof/>
            <w:color w:val="auto"/>
          </w:rPr>
          <w:t>5.7.</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Guarantees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_Toc445141410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18</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1" w:history="1">
        <w:r w:rsidR="0053646F" w:rsidRPr="00571C39">
          <w:rPr>
            <w:rStyle w:val="Hyperlink"/>
            <w:caps w:val="0"/>
            <w:smallCaps/>
            <w:noProof/>
            <w:color w:val="auto"/>
          </w:rPr>
          <w:t>5.8.</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Expenditure (payment to final recipient) vs completion of underlying investment by final recipient</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_Toc445141411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21</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2" w:history="1">
        <w:r w:rsidR="0053646F" w:rsidRPr="00571C39">
          <w:rPr>
            <w:rStyle w:val="Hyperlink"/>
            <w:caps w:val="0"/>
            <w:smallCaps/>
            <w:noProof/>
            <w:color w:val="auto"/>
          </w:rPr>
          <w:t>5.9.</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Expenditure linked to the reorganisation of a debt portfolio in certain infrastructure investments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_Toc445141412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22</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3" w:history="1">
        <w:r w:rsidR="0053646F" w:rsidRPr="00571C39">
          <w:rPr>
            <w:rStyle w:val="Hyperlink"/>
            <w:caps w:val="0"/>
            <w:smallCaps/>
            <w:noProof/>
            <w:color w:val="auto"/>
          </w:rPr>
          <w:t>5.10.</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Factoring</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_Toc445141413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23</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4" w:history="1">
        <w:r w:rsidR="0053646F" w:rsidRPr="00571C39">
          <w:rPr>
            <w:rStyle w:val="Hyperlink"/>
            <w:caps w:val="0"/>
            <w:smallCaps/>
            <w:noProof/>
            <w:color w:val="auto"/>
          </w:rPr>
          <w:t>5.11.</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Business transfers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_Toc445141414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24</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5" w:history="1">
        <w:r w:rsidR="0053646F" w:rsidRPr="00571C39">
          <w:rPr>
            <w:rStyle w:val="Hyperlink"/>
            <w:caps w:val="0"/>
            <w:smallCaps/>
            <w:noProof/>
            <w:color w:val="auto"/>
          </w:rPr>
          <w:t>5.12.</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Interest rate subsidies, guarantee fee subsidies and technical support when combined with a financial instrument in a single operation pursuant to Article 37(7) CPR</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_Toc445141415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25</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6" w:history="1">
        <w:r w:rsidR="0053646F" w:rsidRPr="00571C39">
          <w:rPr>
            <w:rStyle w:val="Hyperlink"/>
            <w:caps w:val="0"/>
            <w:smallCaps/>
            <w:noProof/>
            <w:color w:val="auto"/>
          </w:rPr>
          <w:t>5.13.</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Capitalised interest rate subsidies and guarantee fee subsidies used in combination with financial instruments (to be paid after the eligibility period)</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_Toc445141416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27</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7" w:history="1">
        <w:r w:rsidR="0053646F" w:rsidRPr="00571C39">
          <w:rPr>
            <w:rStyle w:val="Hyperlink"/>
            <w:caps w:val="0"/>
            <w:smallCaps/>
            <w:noProof/>
            <w:color w:val="auto"/>
          </w:rPr>
          <w:t>5.14.</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Follow-on investments in enterprises in the case of equity instruments (to be paid after the eligibility period)</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_Toc445141417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28</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8" w:history="1">
        <w:r w:rsidR="0053646F" w:rsidRPr="00571C39">
          <w:rPr>
            <w:rStyle w:val="Hyperlink"/>
            <w:caps w:val="0"/>
            <w:smallCaps/>
            <w:noProof/>
            <w:color w:val="auto"/>
          </w:rPr>
          <w:t>5.15.</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Eligibility depending on location, relocation and durability</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_Toc445141418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30</w:t>
        </w:r>
        <w:r w:rsidR="0053646F" w:rsidRPr="00571C39">
          <w:rPr>
            <w:caps w:val="0"/>
            <w:smallCaps/>
            <w:noProof/>
            <w:webHidden/>
          </w:rPr>
          <w:fldChar w:fldCharType="end"/>
        </w:r>
      </w:hyperlink>
    </w:p>
    <w:p w:rsidR="0053646F" w:rsidRPr="00571C39" w:rsidRDefault="00571C39" w:rsidP="0053646F">
      <w:pPr>
        <w:pStyle w:val="TOC1"/>
        <w:spacing w:before="0"/>
        <w:rPr>
          <w:rFonts w:asciiTheme="minorHAnsi" w:eastAsiaTheme="minorEastAsia" w:hAnsiTheme="minorHAnsi" w:cstheme="minorBidi"/>
          <w:caps w:val="0"/>
          <w:smallCaps/>
          <w:noProof/>
          <w:sz w:val="22"/>
          <w:szCs w:val="22"/>
          <w:lang w:eastAsia="en-GB"/>
        </w:rPr>
      </w:pPr>
      <w:hyperlink w:anchor="_Toc445141419" w:history="1">
        <w:r w:rsidR="0053646F" w:rsidRPr="00571C39">
          <w:rPr>
            <w:rStyle w:val="Hyperlink"/>
            <w:caps w:val="0"/>
            <w:smallCaps/>
            <w:noProof/>
            <w:color w:val="auto"/>
          </w:rPr>
          <w:t>5.16.</w:t>
        </w:r>
        <w:r w:rsidR="0053646F" w:rsidRPr="00571C39">
          <w:rPr>
            <w:rFonts w:asciiTheme="minorHAnsi" w:eastAsiaTheme="minorEastAsia" w:hAnsiTheme="minorHAnsi" w:cstheme="minorBidi"/>
            <w:caps w:val="0"/>
            <w:smallCaps/>
            <w:noProof/>
            <w:sz w:val="22"/>
            <w:szCs w:val="22"/>
            <w:lang w:eastAsia="en-GB"/>
          </w:rPr>
          <w:tab/>
        </w:r>
        <w:r w:rsidR="0053646F" w:rsidRPr="00571C39">
          <w:rPr>
            <w:rStyle w:val="Hyperlink"/>
            <w:caps w:val="0"/>
            <w:smallCaps/>
            <w:noProof/>
            <w:color w:val="auto"/>
          </w:rPr>
          <w:t>Technical characteristics of information and Communication measures for Financial instruments</w:t>
        </w:r>
        <w:r w:rsidR="0053646F" w:rsidRPr="00571C39">
          <w:rPr>
            <w:caps w:val="0"/>
            <w:smallCaps/>
            <w:noProof/>
            <w:webHidden/>
          </w:rPr>
          <w:tab/>
        </w:r>
        <w:r w:rsidR="0053646F" w:rsidRPr="00571C39">
          <w:rPr>
            <w:caps w:val="0"/>
            <w:smallCaps/>
            <w:noProof/>
            <w:webHidden/>
          </w:rPr>
          <w:fldChar w:fldCharType="begin"/>
        </w:r>
        <w:r w:rsidR="0053646F" w:rsidRPr="00571C39">
          <w:rPr>
            <w:caps w:val="0"/>
            <w:smallCaps/>
            <w:noProof/>
            <w:webHidden/>
          </w:rPr>
          <w:instrText xml:space="preserve"> PAGEREF _Toc445141419 \h </w:instrText>
        </w:r>
        <w:r w:rsidR="0053646F" w:rsidRPr="00571C39">
          <w:rPr>
            <w:caps w:val="0"/>
            <w:smallCaps/>
            <w:noProof/>
            <w:webHidden/>
          </w:rPr>
        </w:r>
        <w:r w:rsidR="0053646F" w:rsidRPr="00571C39">
          <w:rPr>
            <w:caps w:val="0"/>
            <w:smallCaps/>
            <w:noProof/>
            <w:webHidden/>
          </w:rPr>
          <w:fldChar w:fldCharType="separate"/>
        </w:r>
        <w:r w:rsidR="00C04EEF" w:rsidRPr="00571C39">
          <w:rPr>
            <w:caps w:val="0"/>
            <w:smallCaps/>
            <w:noProof/>
            <w:webHidden/>
          </w:rPr>
          <w:t>31</w:t>
        </w:r>
        <w:r w:rsidR="0053646F" w:rsidRPr="00571C39">
          <w:rPr>
            <w:caps w:val="0"/>
            <w:smallCaps/>
            <w:noProof/>
            <w:webHidden/>
          </w:rPr>
          <w:fldChar w:fldCharType="end"/>
        </w:r>
      </w:hyperlink>
    </w:p>
    <w:p w:rsidR="00C73FD0" w:rsidRPr="00571C39" w:rsidRDefault="00C73FD0" w:rsidP="0053646F">
      <w:pPr>
        <w:pStyle w:val="Text1"/>
        <w:spacing w:after="120"/>
        <w:ind w:left="360"/>
        <w:rPr>
          <w:rFonts w:eastAsia="Calibri"/>
          <w:b/>
          <w:bCs/>
          <w:szCs w:val="24"/>
        </w:rPr>
      </w:pPr>
      <w:r w:rsidRPr="00571C39">
        <w:rPr>
          <w:rFonts w:eastAsia="Calibri"/>
          <w:b/>
          <w:bCs/>
          <w:smallCaps/>
          <w:szCs w:val="24"/>
        </w:rPr>
        <w:fldChar w:fldCharType="end"/>
      </w:r>
    </w:p>
    <w:p w:rsidR="004D1E18" w:rsidRPr="00232FDB" w:rsidRDefault="00C73FD0" w:rsidP="00146A26">
      <w:pPr>
        <w:pStyle w:val="Heading1"/>
        <w:numPr>
          <w:ilvl w:val="0"/>
          <w:numId w:val="19"/>
        </w:numPr>
      </w:pPr>
      <w:r w:rsidRPr="00232FDB">
        <w:rPr>
          <w:rFonts w:eastAsia="Calibri"/>
          <w:bCs/>
          <w:color w:val="FF0000"/>
        </w:rPr>
        <w:br w:type="page"/>
      </w:r>
      <w:bookmarkStart w:id="1" w:name="_Toc408304360"/>
      <w:bookmarkStart w:id="2" w:name="_Toc409179439"/>
      <w:bookmarkStart w:id="3" w:name="_Toc410649214"/>
      <w:bookmarkStart w:id="4" w:name="_Toc445141399"/>
      <w:r w:rsidR="004D1E18" w:rsidRPr="00232FDB">
        <w:lastRenderedPageBreak/>
        <w:t>Regulatory references</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23"/>
      </w:tblGrid>
      <w:tr w:rsidR="004D1E18" w:rsidRPr="00232FDB" w:rsidTr="00934509">
        <w:tc>
          <w:tcPr>
            <w:tcW w:w="3510" w:type="dxa"/>
            <w:shd w:val="clear" w:color="auto" w:fill="A6A6A6"/>
          </w:tcPr>
          <w:p w:rsidR="004D1E18" w:rsidRPr="00232FDB" w:rsidRDefault="004D1E18" w:rsidP="002E6E9A">
            <w:pPr>
              <w:spacing w:before="240" w:after="120"/>
              <w:jc w:val="center"/>
              <w:rPr>
                <w:b/>
                <w:sz w:val="22"/>
                <w:szCs w:val="22"/>
              </w:rPr>
            </w:pPr>
            <w:r w:rsidRPr="00232FDB">
              <w:rPr>
                <w:b/>
                <w:sz w:val="22"/>
                <w:szCs w:val="22"/>
              </w:rPr>
              <w:t>Regulation</w:t>
            </w:r>
          </w:p>
        </w:tc>
        <w:tc>
          <w:tcPr>
            <w:tcW w:w="5323" w:type="dxa"/>
            <w:shd w:val="clear" w:color="auto" w:fill="A6A6A6"/>
          </w:tcPr>
          <w:p w:rsidR="004D1E18" w:rsidRPr="00232FDB" w:rsidRDefault="004D1E18" w:rsidP="002E6E9A">
            <w:pPr>
              <w:spacing w:before="240" w:after="120"/>
              <w:jc w:val="center"/>
              <w:rPr>
                <w:b/>
                <w:sz w:val="22"/>
                <w:szCs w:val="22"/>
              </w:rPr>
            </w:pPr>
            <w:r w:rsidRPr="00232FDB">
              <w:rPr>
                <w:b/>
                <w:sz w:val="22"/>
                <w:szCs w:val="22"/>
              </w:rPr>
              <w:t>Articles</w:t>
            </w:r>
          </w:p>
        </w:tc>
      </w:tr>
      <w:tr w:rsidR="004D1E18" w:rsidRPr="00232FDB" w:rsidTr="00934509">
        <w:tc>
          <w:tcPr>
            <w:tcW w:w="3510" w:type="dxa"/>
            <w:shd w:val="clear" w:color="auto" w:fill="auto"/>
          </w:tcPr>
          <w:p w:rsidR="004D1E18" w:rsidRPr="00232FDB" w:rsidRDefault="0068287D" w:rsidP="002E6E9A">
            <w:pPr>
              <w:spacing w:before="120" w:after="120"/>
              <w:rPr>
                <w:sz w:val="22"/>
                <w:szCs w:val="22"/>
              </w:rPr>
            </w:pPr>
            <w:r w:rsidRPr="00232FDB">
              <w:rPr>
                <w:sz w:val="22"/>
                <w:szCs w:val="22"/>
              </w:rPr>
              <w:t>Regulation</w:t>
            </w:r>
            <w:r w:rsidR="004D1E18" w:rsidRPr="00232FDB">
              <w:rPr>
                <w:sz w:val="22"/>
                <w:szCs w:val="22"/>
              </w:rPr>
              <w:t xml:space="preserve"> (EU) N° 1303/2013 </w:t>
            </w:r>
            <w:r w:rsidR="00470E52" w:rsidRPr="00232FDB">
              <w:rPr>
                <w:rFonts w:eastAsia="Calibri"/>
                <w:sz w:val="22"/>
                <w:szCs w:val="22"/>
              </w:rPr>
              <w:t>of 17 December 2013</w:t>
            </w:r>
            <w:bookmarkStart w:id="5" w:name="_GoBack"/>
            <w:bookmarkEnd w:id="5"/>
          </w:p>
          <w:p w:rsidR="004D1E18" w:rsidRPr="00232FDB" w:rsidRDefault="004D1E18" w:rsidP="002E6E9A">
            <w:pPr>
              <w:spacing w:after="120"/>
              <w:rPr>
                <w:sz w:val="22"/>
                <w:szCs w:val="22"/>
              </w:rPr>
            </w:pPr>
            <w:r w:rsidRPr="00232FDB">
              <w:rPr>
                <w:sz w:val="22"/>
                <w:szCs w:val="22"/>
              </w:rPr>
              <w:t>Common Provisions Regulation</w:t>
            </w:r>
          </w:p>
          <w:p w:rsidR="004D1E18" w:rsidRPr="00232FDB" w:rsidRDefault="004D1E18" w:rsidP="002E6E9A">
            <w:pPr>
              <w:spacing w:after="120"/>
              <w:rPr>
                <w:i/>
                <w:sz w:val="22"/>
                <w:szCs w:val="22"/>
              </w:rPr>
            </w:pPr>
            <w:r w:rsidRPr="00232FDB">
              <w:rPr>
                <w:i/>
                <w:sz w:val="22"/>
                <w:szCs w:val="22"/>
              </w:rPr>
              <w:t>(hereafter CPR)</w:t>
            </w:r>
          </w:p>
        </w:tc>
        <w:tc>
          <w:tcPr>
            <w:tcW w:w="5323" w:type="dxa"/>
            <w:shd w:val="clear" w:color="auto" w:fill="auto"/>
          </w:tcPr>
          <w:p w:rsidR="004D1E18" w:rsidRPr="00232FDB" w:rsidRDefault="00EA3F39" w:rsidP="002E6E9A">
            <w:pPr>
              <w:spacing w:before="120" w:after="120"/>
              <w:jc w:val="left"/>
              <w:rPr>
                <w:rFonts w:eastAsia="Calibri"/>
                <w:sz w:val="22"/>
                <w:szCs w:val="22"/>
              </w:rPr>
            </w:pPr>
            <w:r w:rsidRPr="00232FDB">
              <w:rPr>
                <w:sz w:val="22"/>
                <w:szCs w:val="22"/>
              </w:rPr>
              <w:t xml:space="preserve">Articles </w:t>
            </w:r>
            <w:r w:rsidR="00DA7973" w:rsidRPr="00232FDB">
              <w:rPr>
                <w:sz w:val="22"/>
                <w:szCs w:val="22"/>
              </w:rPr>
              <w:t xml:space="preserve">2, </w:t>
            </w:r>
            <w:r w:rsidRPr="00232FDB">
              <w:rPr>
                <w:sz w:val="22"/>
                <w:szCs w:val="22"/>
              </w:rPr>
              <w:t xml:space="preserve">37, 38, </w:t>
            </w:r>
            <w:r w:rsidR="00DA7973" w:rsidRPr="00232FDB">
              <w:rPr>
                <w:sz w:val="22"/>
                <w:szCs w:val="22"/>
              </w:rPr>
              <w:t xml:space="preserve">39, 40, </w:t>
            </w:r>
            <w:r w:rsidR="00AD736E" w:rsidRPr="00232FDB">
              <w:rPr>
                <w:sz w:val="22"/>
                <w:szCs w:val="22"/>
              </w:rPr>
              <w:t xml:space="preserve">41, </w:t>
            </w:r>
            <w:r w:rsidRPr="00232FDB">
              <w:rPr>
                <w:sz w:val="22"/>
                <w:szCs w:val="22"/>
              </w:rPr>
              <w:t>42</w:t>
            </w:r>
            <w:r w:rsidR="00AD736E" w:rsidRPr="00232FDB">
              <w:rPr>
                <w:sz w:val="22"/>
                <w:szCs w:val="22"/>
              </w:rPr>
              <w:t>, 44, 45</w:t>
            </w:r>
            <w:r w:rsidR="00CF0B6B" w:rsidRPr="00232FDB">
              <w:rPr>
                <w:sz w:val="22"/>
                <w:szCs w:val="22"/>
              </w:rPr>
              <w:t xml:space="preserve">, </w:t>
            </w:r>
            <w:r w:rsidR="00DA7973" w:rsidRPr="00232FDB">
              <w:rPr>
                <w:sz w:val="22"/>
                <w:szCs w:val="22"/>
              </w:rPr>
              <w:t xml:space="preserve">46, 65, 69, 70, 71 and </w:t>
            </w:r>
            <w:r w:rsidR="00CF0B6B" w:rsidRPr="00232FDB">
              <w:rPr>
                <w:sz w:val="22"/>
                <w:szCs w:val="22"/>
              </w:rPr>
              <w:t>120</w:t>
            </w:r>
          </w:p>
        </w:tc>
      </w:tr>
      <w:tr w:rsidR="006142F4" w:rsidRPr="00232FDB" w:rsidTr="00934509">
        <w:tc>
          <w:tcPr>
            <w:tcW w:w="3510" w:type="dxa"/>
            <w:shd w:val="clear" w:color="auto" w:fill="auto"/>
          </w:tcPr>
          <w:p w:rsidR="00146A26" w:rsidRPr="00232FDB" w:rsidRDefault="0068287D" w:rsidP="00146A26">
            <w:pPr>
              <w:pStyle w:val="Default"/>
              <w:rPr>
                <w:rFonts w:ascii="Times New Roman" w:hAnsi="Times New Roman" w:cs="Times New Roman"/>
                <w:sz w:val="22"/>
                <w:szCs w:val="22"/>
              </w:rPr>
            </w:pPr>
            <w:r w:rsidRPr="00232FDB">
              <w:rPr>
                <w:rFonts w:ascii="Times New Roman" w:hAnsi="Times New Roman" w:cs="Times New Roman"/>
                <w:sz w:val="22"/>
                <w:szCs w:val="22"/>
              </w:rPr>
              <w:t xml:space="preserve">Regulation </w:t>
            </w:r>
            <w:r w:rsidR="006142F4" w:rsidRPr="00232FDB">
              <w:rPr>
                <w:rFonts w:ascii="Times New Roman" w:hAnsi="Times New Roman" w:cs="Times New Roman"/>
                <w:sz w:val="22"/>
                <w:szCs w:val="22"/>
              </w:rPr>
              <w:t xml:space="preserve"> (EU) N° 480/2014 </w:t>
            </w:r>
            <w:r w:rsidR="00146A26" w:rsidRPr="00232FDB">
              <w:rPr>
                <w:rFonts w:ascii="Times New Roman" w:hAnsi="Times New Roman" w:cs="Times New Roman"/>
                <w:sz w:val="22"/>
                <w:szCs w:val="22"/>
              </w:rPr>
              <w:t xml:space="preserve">of </w:t>
            </w:r>
          </w:p>
          <w:p w:rsidR="006142F4" w:rsidRPr="00232FDB" w:rsidRDefault="00146A26" w:rsidP="00146A26">
            <w:pPr>
              <w:spacing w:before="120" w:after="120"/>
              <w:rPr>
                <w:color w:val="000000"/>
                <w:sz w:val="22"/>
                <w:szCs w:val="22"/>
                <w:lang w:eastAsia="en-GB"/>
              </w:rPr>
            </w:pPr>
            <w:r w:rsidRPr="00232FDB">
              <w:rPr>
                <w:color w:val="000000"/>
                <w:sz w:val="22"/>
                <w:szCs w:val="22"/>
                <w:lang w:eastAsia="en-GB"/>
              </w:rPr>
              <w:t xml:space="preserve"> of 3 March 2014</w:t>
            </w:r>
          </w:p>
          <w:p w:rsidR="006142F4" w:rsidRPr="00232FDB" w:rsidRDefault="006142F4" w:rsidP="002E6E9A">
            <w:pPr>
              <w:spacing w:after="120"/>
              <w:rPr>
                <w:sz w:val="22"/>
                <w:szCs w:val="22"/>
              </w:rPr>
            </w:pPr>
            <w:r w:rsidRPr="00232FDB">
              <w:rPr>
                <w:sz w:val="22"/>
                <w:szCs w:val="22"/>
              </w:rPr>
              <w:t>Commission Delegated Regulation</w:t>
            </w:r>
          </w:p>
          <w:p w:rsidR="006142F4" w:rsidRPr="00232FDB" w:rsidRDefault="006142F4" w:rsidP="002E6E9A">
            <w:pPr>
              <w:spacing w:after="120"/>
              <w:rPr>
                <w:i/>
                <w:sz w:val="22"/>
                <w:szCs w:val="22"/>
              </w:rPr>
            </w:pPr>
            <w:r w:rsidRPr="00232FDB">
              <w:rPr>
                <w:i/>
                <w:sz w:val="22"/>
                <w:szCs w:val="22"/>
              </w:rPr>
              <w:t>(hereafter CDR)</w:t>
            </w:r>
          </w:p>
        </w:tc>
        <w:tc>
          <w:tcPr>
            <w:tcW w:w="5323" w:type="dxa"/>
            <w:shd w:val="clear" w:color="auto" w:fill="auto"/>
          </w:tcPr>
          <w:p w:rsidR="006142F4" w:rsidRPr="00232FDB" w:rsidRDefault="00AD736E" w:rsidP="00CF0B6B">
            <w:pPr>
              <w:spacing w:before="120" w:after="120"/>
              <w:jc w:val="left"/>
              <w:rPr>
                <w:sz w:val="22"/>
                <w:szCs w:val="22"/>
              </w:rPr>
            </w:pPr>
            <w:r w:rsidRPr="00232FDB">
              <w:rPr>
                <w:sz w:val="22"/>
                <w:szCs w:val="22"/>
              </w:rPr>
              <w:t xml:space="preserve">Articles 4, 5, 6, 8, 9, 11, 12, 13, </w:t>
            </w:r>
            <w:r w:rsidR="009E4092" w:rsidRPr="00232FDB">
              <w:rPr>
                <w:sz w:val="22"/>
                <w:szCs w:val="22"/>
              </w:rPr>
              <w:t xml:space="preserve">14, </w:t>
            </w:r>
            <w:r w:rsidR="00CF0B6B" w:rsidRPr="00232FDB">
              <w:rPr>
                <w:sz w:val="22"/>
                <w:szCs w:val="22"/>
              </w:rPr>
              <w:t>25</w:t>
            </w:r>
          </w:p>
        </w:tc>
      </w:tr>
      <w:tr w:rsidR="00834F25" w:rsidRPr="00232FDB" w:rsidTr="00934509">
        <w:tc>
          <w:tcPr>
            <w:tcW w:w="3510" w:type="dxa"/>
            <w:shd w:val="clear" w:color="auto" w:fill="auto"/>
          </w:tcPr>
          <w:p w:rsidR="00834F25" w:rsidRPr="00232FDB" w:rsidRDefault="00834F25" w:rsidP="002E6E9A">
            <w:pPr>
              <w:spacing w:before="120" w:after="120"/>
              <w:rPr>
                <w:rFonts w:eastAsia="Calibri"/>
                <w:sz w:val="22"/>
                <w:szCs w:val="22"/>
              </w:rPr>
            </w:pPr>
            <w:r w:rsidRPr="00232FDB">
              <w:rPr>
                <w:rFonts w:eastAsia="Calibri"/>
                <w:sz w:val="22"/>
                <w:szCs w:val="22"/>
              </w:rPr>
              <w:t>Commission Implementing Regulation (EU) No 821/2014 of 28 July 2014</w:t>
            </w:r>
          </w:p>
          <w:p w:rsidR="00834F25" w:rsidRPr="00232FDB" w:rsidRDefault="009A6121" w:rsidP="00EB457F">
            <w:pPr>
              <w:spacing w:after="120"/>
              <w:rPr>
                <w:sz w:val="22"/>
                <w:szCs w:val="22"/>
              </w:rPr>
            </w:pPr>
            <w:r w:rsidRPr="00232FDB">
              <w:rPr>
                <w:i/>
                <w:sz w:val="22"/>
                <w:szCs w:val="22"/>
              </w:rPr>
              <w:t>(</w:t>
            </w:r>
            <w:r w:rsidR="00EB457F" w:rsidRPr="00232FDB">
              <w:rPr>
                <w:i/>
                <w:sz w:val="22"/>
                <w:szCs w:val="22"/>
              </w:rPr>
              <w:t>h</w:t>
            </w:r>
            <w:r w:rsidR="00834F25" w:rsidRPr="00232FDB">
              <w:rPr>
                <w:i/>
                <w:sz w:val="22"/>
                <w:szCs w:val="22"/>
              </w:rPr>
              <w:t xml:space="preserve">ereafter </w:t>
            </w:r>
            <w:r w:rsidRPr="00232FDB">
              <w:rPr>
                <w:i/>
                <w:sz w:val="22"/>
                <w:szCs w:val="22"/>
              </w:rPr>
              <w:t>CIR)</w:t>
            </w:r>
          </w:p>
        </w:tc>
        <w:tc>
          <w:tcPr>
            <w:tcW w:w="5323" w:type="dxa"/>
            <w:shd w:val="clear" w:color="auto" w:fill="auto"/>
          </w:tcPr>
          <w:p w:rsidR="00834F25" w:rsidRPr="00232FDB" w:rsidRDefault="00834F25" w:rsidP="00DA7973">
            <w:pPr>
              <w:spacing w:before="120" w:after="120"/>
              <w:jc w:val="left"/>
              <w:rPr>
                <w:sz w:val="22"/>
                <w:szCs w:val="22"/>
              </w:rPr>
            </w:pPr>
            <w:r w:rsidRPr="00232FDB">
              <w:rPr>
                <w:sz w:val="22"/>
                <w:szCs w:val="22"/>
              </w:rPr>
              <w:t>Article</w:t>
            </w:r>
            <w:r w:rsidR="00A864D1" w:rsidRPr="00232FDB">
              <w:rPr>
                <w:sz w:val="22"/>
                <w:szCs w:val="22"/>
              </w:rPr>
              <w:t>s</w:t>
            </w:r>
            <w:r w:rsidRPr="00232FDB">
              <w:rPr>
                <w:sz w:val="22"/>
                <w:szCs w:val="22"/>
              </w:rPr>
              <w:t xml:space="preserve"> 1</w:t>
            </w:r>
            <w:r w:rsidR="00DA7973" w:rsidRPr="00232FDB">
              <w:rPr>
                <w:sz w:val="22"/>
                <w:szCs w:val="22"/>
              </w:rPr>
              <w:t>, 3, 4</w:t>
            </w:r>
            <w:r w:rsidR="00A864D1" w:rsidRPr="00232FDB">
              <w:rPr>
                <w:sz w:val="22"/>
                <w:szCs w:val="22"/>
              </w:rPr>
              <w:t xml:space="preserve"> and </w:t>
            </w:r>
            <w:r w:rsidR="00DA7973" w:rsidRPr="00232FDB">
              <w:rPr>
                <w:sz w:val="22"/>
                <w:szCs w:val="22"/>
              </w:rPr>
              <w:t>5</w:t>
            </w:r>
          </w:p>
        </w:tc>
      </w:tr>
      <w:tr w:rsidR="00377155" w:rsidRPr="00232FDB" w:rsidTr="006F13CE">
        <w:tc>
          <w:tcPr>
            <w:tcW w:w="3510" w:type="dxa"/>
            <w:shd w:val="clear" w:color="auto" w:fill="auto"/>
          </w:tcPr>
          <w:p w:rsidR="00377155" w:rsidRPr="00232FDB" w:rsidRDefault="00377155" w:rsidP="00377155">
            <w:pPr>
              <w:spacing w:before="120" w:after="120"/>
              <w:rPr>
                <w:rFonts w:eastAsia="Calibri"/>
                <w:sz w:val="22"/>
                <w:szCs w:val="22"/>
              </w:rPr>
            </w:pPr>
            <w:r w:rsidRPr="00232FDB">
              <w:rPr>
                <w:rFonts w:eastAsia="Calibri"/>
                <w:sz w:val="22"/>
                <w:szCs w:val="22"/>
              </w:rPr>
              <w:t xml:space="preserve">Regulation (EU) No 1301/2013 of 17 December 2013 on the European Regional Development Fund </w:t>
            </w:r>
          </w:p>
          <w:p w:rsidR="00377155" w:rsidRPr="00232FDB" w:rsidRDefault="00377155" w:rsidP="00377155">
            <w:pPr>
              <w:spacing w:before="120" w:after="120"/>
              <w:rPr>
                <w:rFonts w:eastAsia="Calibri"/>
                <w:sz w:val="22"/>
                <w:szCs w:val="22"/>
              </w:rPr>
            </w:pPr>
            <w:r w:rsidRPr="00232FDB">
              <w:rPr>
                <w:rFonts w:eastAsia="Calibri"/>
                <w:sz w:val="22"/>
                <w:szCs w:val="22"/>
              </w:rPr>
              <w:t>(</w:t>
            </w:r>
            <w:r w:rsidRPr="00232FDB">
              <w:rPr>
                <w:rFonts w:eastAsia="Calibri"/>
                <w:i/>
                <w:sz w:val="22"/>
                <w:szCs w:val="22"/>
              </w:rPr>
              <w:t>hereafter ERDF</w:t>
            </w:r>
            <w:r w:rsidRPr="00232FDB">
              <w:rPr>
                <w:rFonts w:eastAsia="Calibri"/>
                <w:sz w:val="22"/>
                <w:szCs w:val="22"/>
              </w:rPr>
              <w:t>)</w:t>
            </w:r>
          </w:p>
        </w:tc>
        <w:tc>
          <w:tcPr>
            <w:tcW w:w="5323" w:type="dxa"/>
            <w:shd w:val="clear" w:color="auto" w:fill="auto"/>
          </w:tcPr>
          <w:p w:rsidR="00377155" w:rsidRPr="00232FDB" w:rsidRDefault="00377155" w:rsidP="001C47F3">
            <w:pPr>
              <w:spacing w:before="120" w:after="120"/>
              <w:rPr>
                <w:rFonts w:eastAsia="Calibri"/>
                <w:sz w:val="22"/>
                <w:szCs w:val="22"/>
              </w:rPr>
            </w:pPr>
            <w:r w:rsidRPr="00232FDB">
              <w:rPr>
                <w:rFonts w:eastAsia="Calibri"/>
                <w:sz w:val="22"/>
                <w:szCs w:val="22"/>
              </w:rPr>
              <w:t>Article 3</w:t>
            </w:r>
          </w:p>
        </w:tc>
      </w:tr>
      <w:tr w:rsidR="00377155" w:rsidRPr="00232FDB" w:rsidTr="007E249C">
        <w:tc>
          <w:tcPr>
            <w:tcW w:w="3510" w:type="dxa"/>
            <w:shd w:val="clear" w:color="auto" w:fill="auto"/>
          </w:tcPr>
          <w:p w:rsidR="00377155" w:rsidRPr="00232FDB" w:rsidRDefault="00377155" w:rsidP="007E249C">
            <w:pPr>
              <w:spacing w:before="120" w:after="120"/>
              <w:rPr>
                <w:rFonts w:eastAsia="Calibri"/>
                <w:sz w:val="22"/>
                <w:szCs w:val="22"/>
              </w:rPr>
            </w:pPr>
            <w:r w:rsidRPr="00232FDB">
              <w:rPr>
                <w:rFonts w:eastAsia="Calibri"/>
                <w:sz w:val="22"/>
                <w:szCs w:val="22"/>
              </w:rPr>
              <w:t xml:space="preserve">Regulation (EU) No 1300/2013 of 17 December 2013 on the Cohesion Fund </w:t>
            </w:r>
          </w:p>
          <w:p w:rsidR="00377155" w:rsidRPr="00232FDB" w:rsidRDefault="00377155" w:rsidP="00377155">
            <w:pPr>
              <w:spacing w:before="120" w:after="120"/>
              <w:rPr>
                <w:rFonts w:eastAsia="Calibri"/>
                <w:sz w:val="22"/>
                <w:szCs w:val="22"/>
              </w:rPr>
            </w:pPr>
            <w:r w:rsidRPr="00232FDB">
              <w:rPr>
                <w:rFonts w:eastAsia="Calibri"/>
                <w:sz w:val="22"/>
                <w:szCs w:val="22"/>
              </w:rPr>
              <w:t>(</w:t>
            </w:r>
            <w:r w:rsidRPr="00232FDB">
              <w:rPr>
                <w:rFonts w:eastAsia="Calibri"/>
                <w:i/>
                <w:sz w:val="22"/>
                <w:szCs w:val="22"/>
              </w:rPr>
              <w:t>hereafter CF</w:t>
            </w:r>
            <w:r w:rsidRPr="00232FDB">
              <w:rPr>
                <w:rFonts w:eastAsia="Calibri"/>
                <w:sz w:val="22"/>
                <w:szCs w:val="22"/>
              </w:rPr>
              <w:t>)</w:t>
            </w:r>
          </w:p>
        </w:tc>
        <w:tc>
          <w:tcPr>
            <w:tcW w:w="5323" w:type="dxa"/>
            <w:shd w:val="clear" w:color="auto" w:fill="auto"/>
          </w:tcPr>
          <w:p w:rsidR="00377155" w:rsidRPr="00232FDB" w:rsidRDefault="00377155" w:rsidP="007E249C">
            <w:pPr>
              <w:spacing w:before="120" w:after="120"/>
              <w:rPr>
                <w:rFonts w:eastAsia="Calibri"/>
                <w:sz w:val="22"/>
                <w:szCs w:val="22"/>
              </w:rPr>
            </w:pPr>
            <w:r w:rsidRPr="00232FDB">
              <w:rPr>
                <w:rFonts w:eastAsia="Calibri"/>
                <w:sz w:val="22"/>
                <w:szCs w:val="22"/>
              </w:rPr>
              <w:t>Article 2</w:t>
            </w:r>
          </w:p>
        </w:tc>
      </w:tr>
      <w:tr w:rsidR="00B65E0C" w:rsidRPr="00232FDB" w:rsidTr="006F13CE">
        <w:tc>
          <w:tcPr>
            <w:tcW w:w="3510" w:type="dxa"/>
            <w:shd w:val="clear" w:color="auto" w:fill="auto"/>
          </w:tcPr>
          <w:p w:rsidR="00470E52" w:rsidRPr="00232FDB" w:rsidRDefault="00B65E0C" w:rsidP="00470E52">
            <w:pPr>
              <w:spacing w:before="120" w:after="120"/>
              <w:rPr>
                <w:rFonts w:eastAsia="Calibri"/>
                <w:sz w:val="22"/>
                <w:szCs w:val="22"/>
              </w:rPr>
            </w:pPr>
            <w:r w:rsidRPr="00232FDB">
              <w:rPr>
                <w:rFonts w:eastAsia="Calibri"/>
                <w:sz w:val="22"/>
                <w:szCs w:val="22"/>
              </w:rPr>
              <w:t>Regulation (EU) No 1305/2013 of 17 December 2013</w:t>
            </w:r>
            <w:r w:rsidR="00470E52" w:rsidRPr="00232FDB">
              <w:rPr>
                <w:rFonts w:eastAsia="Calibri"/>
                <w:sz w:val="22"/>
                <w:szCs w:val="22"/>
              </w:rPr>
              <w:t xml:space="preserve"> </w:t>
            </w:r>
            <w:r w:rsidRPr="00232FDB">
              <w:rPr>
                <w:rFonts w:eastAsia="Calibri"/>
                <w:sz w:val="22"/>
                <w:szCs w:val="22"/>
              </w:rPr>
              <w:t>on support for rural development by the European Agricultural Fund for Rural Development</w:t>
            </w:r>
          </w:p>
          <w:p w:rsidR="00B65E0C" w:rsidRPr="00232FDB" w:rsidRDefault="00B65E0C" w:rsidP="00863243">
            <w:pPr>
              <w:spacing w:before="120" w:after="120"/>
              <w:rPr>
                <w:rFonts w:eastAsia="Calibri"/>
                <w:sz w:val="22"/>
                <w:szCs w:val="22"/>
              </w:rPr>
            </w:pPr>
            <w:r w:rsidRPr="00232FDB">
              <w:rPr>
                <w:rFonts w:eastAsia="Calibri"/>
                <w:sz w:val="22"/>
                <w:szCs w:val="22"/>
              </w:rPr>
              <w:t>(</w:t>
            </w:r>
            <w:r w:rsidRPr="00232FDB">
              <w:rPr>
                <w:rFonts w:eastAsia="Calibri"/>
                <w:i/>
                <w:sz w:val="22"/>
                <w:szCs w:val="22"/>
              </w:rPr>
              <w:t xml:space="preserve">hereafter </w:t>
            </w:r>
            <w:r w:rsidR="00470E52" w:rsidRPr="00232FDB">
              <w:rPr>
                <w:rFonts w:eastAsia="Calibri"/>
                <w:i/>
                <w:sz w:val="22"/>
                <w:szCs w:val="22"/>
              </w:rPr>
              <w:t>EAFRD</w:t>
            </w:r>
            <w:r w:rsidRPr="00232FDB">
              <w:rPr>
                <w:rFonts w:eastAsia="Calibri"/>
                <w:sz w:val="22"/>
                <w:szCs w:val="22"/>
              </w:rPr>
              <w:t>)</w:t>
            </w:r>
          </w:p>
        </w:tc>
        <w:tc>
          <w:tcPr>
            <w:tcW w:w="5323" w:type="dxa"/>
            <w:shd w:val="clear" w:color="auto" w:fill="auto"/>
          </w:tcPr>
          <w:p w:rsidR="00B65E0C" w:rsidRPr="00232FDB" w:rsidRDefault="00B65E0C" w:rsidP="001C47F3">
            <w:pPr>
              <w:spacing w:before="120" w:after="120"/>
              <w:rPr>
                <w:rFonts w:eastAsia="Calibri"/>
                <w:sz w:val="22"/>
                <w:szCs w:val="22"/>
              </w:rPr>
            </w:pPr>
            <w:r w:rsidRPr="00232FDB">
              <w:rPr>
                <w:rFonts w:eastAsia="Calibri"/>
                <w:sz w:val="22"/>
                <w:szCs w:val="22"/>
              </w:rPr>
              <w:t>Article</w:t>
            </w:r>
            <w:r w:rsidR="00A95C9C" w:rsidRPr="00232FDB">
              <w:rPr>
                <w:rFonts w:eastAsia="Calibri"/>
                <w:sz w:val="22"/>
                <w:szCs w:val="22"/>
              </w:rPr>
              <w:t>s</w:t>
            </w:r>
            <w:r w:rsidRPr="00232FDB">
              <w:rPr>
                <w:rFonts w:eastAsia="Calibri"/>
                <w:sz w:val="22"/>
                <w:szCs w:val="22"/>
              </w:rPr>
              <w:t xml:space="preserve"> </w:t>
            </w:r>
            <w:r w:rsidR="00470E52" w:rsidRPr="00232FDB">
              <w:rPr>
                <w:rFonts w:eastAsia="Calibri"/>
                <w:sz w:val="22"/>
                <w:szCs w:val="22"/>
              </w:rPr>
              <w:t>5</w:t>
            </w:r>
            <w:r w:rsidRPr="00232FDB">
              <w:rPr>
                <w:rFonts w:eastAsia="Calibri"/>
                <w:sz w:val="22"/>
                <w:szCs w:val="22"/>
              </w:rPr>
              <w:t xml:space="preserve">9(2) </w:t>
            </w:r>
            <w:r w:rsidR="00A95C9C" w:rsidRPr="00232FDB">
              <w:rPr>
                <w:rFonts w:eastAsia="Calibri"/>
                <w:sz w:val="22"/>
                <w:szCs w:val="22"/>
              </w:rPr>
              <w:t>and 60</w:t>
            </w:r>
          </w:p>
        </w:tc>
      </w:tr>
      <w:tr w:rsidR="0068287D" w:rsidRPr="00232FDB" w:rsidTr="00934509">
        <w:tc>
          <w:tcPr>
            <w:tcW w:w="3510" w:type="dxa"/>
            <w:shd w:val="clear" w:color="auto" w:fill="auto"/>
          </w:tcPr>
          <w:p w:rsidR="0068287D" w:rsidRPr="00232FDB" w:rsidRDefault="0068287D" w:rsidP="0068287D">
            <w:pPr>
              <w:spacing w:before="120" w:after="120"/>
              <w:rPr>
                <w:rFonts w:eastAsia="Calibri"/>
                <w:sz w:val="22"/>
                <w:szCs w:val="22"/>
              </w:rPr>
            </w:pPr>
            <w:r w:rsidRPr="00232FDB">
              <w:rPr>
                <w:rFonts w:eastAsia="Calibri"/>
                <w:sz w:val="22"/>
                <w:szCs w:val="22"/>
              </w:rPr>
              <w:t>Regulation (EU) No 508/2014 of 15 May 2014  on the European Maritime and Fisheries Fund</w:t>
            </w:r>
          </w:p>
          <w:p w:rsidR="0068287D" w:rsidRPr="00232FDB" w:rsidRDefault="0068287D" w:rsidP="00863243">
            <w:pPr>
              <w:rPr>
                <w:rFonts w:eastAsia="Calibri"/>
                <w:sz w:val="22"/>
                <w:szCs w:val="22"/>
                <w:lang w:eastAsia="en-GB"/>
              </w:rPr>
            </w:pPr>
            <w:r w:rsidRPr="00232FDB">
              <w:rPr>
                <w:i/>
                <w:sz w:val="22"/>
                <w:szCs w:val="22"/>
              </w:rPr>
              <w:t>(hereafter EMFF)</w:t>
            </w:r>
          </w:p>
        </w:tc>
        <w:tc>
          <w:tcPr>
            <w:tcW w:w="5323" w:type="dxa"/>
            <w:shd w:val="clear" w:color="auto" w:fill="auto"/>
          </w:tcPr>
          <w:p w:rsidR="0068287D" w:rsidRPr="00232FDB" w:rsidRDefault="0068287D" w:rsidP="002E6E9A">
            <w:pPr>
              <w:spacing w:before="120" w:after="120"/>
              <w:jc w:val="left"/>
              <w:rPr>
                <w:sz w:val="22"/>
                <w:szCs w:val="22"/>
              </w:rPr>
            </w:pPr>
            <w:r w:rsidRPr="00232FDB">
              <w:rPr>
                <w:sz w:val="22"/>
                <w:szCs w:val="22"/>
              </w:rPr>
              <w:t>Article</w:t>
            </w:r>
            <w:r w:rsidR="00B65E0C" w:rsidRPr="00232FDB">
              <w:rPr>
                <w:sz w:val="22"/>
                <w:szCs w:val="22"/>
              </w:rPr>
              <w:t>s</w:t>
            </w:r>
            <w:r w:rsidRPr="00232FDB">
              <w:rPr>
                <w:sz w:val="22"/>
                <w:szCs w:val="22"/>
              </w:rPr>
              <w:t xml:space="preserve"> 69(2)</w:t>
            </w:r>
            <w:r w:rsidR="00B65E0C" w:rsidRPr="00232FDB">
              <w:rPr>
                <w:sz w:val="22"/>
                <w:szCs w:val="22"/>
              </w:rPr>
              <w:t xml:space="preserve"> and 94(2)</w:t>
            </w:r>
          </w:p>
        </w:tc>
      </w:tr>
    </w:tbl>
    <w:p w:rsidR="007E249C" w:rsidRPr="00232FDB" w:rsidRDefault="007E249C" w:rsidP="00FD6527">
      <w:bookmarkStart w:id="6" w:name="_Toc391654363"/>
    </w:p>
    <w:p w:rsidR="00610CBE" w:rsidRPr="00232FDB" w:rsidRDefault="007E249C" w:rsidP="000667A3">
      <w:pPr>
        <w:pStyle w:val="Heading1"/>
        <w:numPr>
          <w:ilvl w:val="0"/>
          <w:numId w:val="0"/>
        </w:numPr>
        <w:spacing w:before="0" w:after="0"/>
        <w:ind w:left="357"/>
      </w:pPr>
      <w:r w:rsidRPr="00232FDB">
        <w:br w:type="page"/>
      </w:r>
    </w:p>
    <w:p w:rsidR="00610CBE" w:rsidRPr="00232FDB" w:rsidRDefault="0020135D" w:rsidP="00476B1B">
      <w:pPr>
        <w:pStyle w:val="Heading1"/>
        <w:numPr>
          <w:ilvl w:val="0"/>
          <w:numId w:val="19"/>
        </w:numPr>
        <w:tabs>
          <w:tab w:val="num" w:pos="480"/>
        </w:tabs>
        <w:spacing w:before="0"/>
        <w:ind w:left="482" w:hanging="482"/>
      </w:pPr>
      <w:bookmarkStart w:id="7" w:name="_Toc445141400"/>
      <w:bookmarkEnd w:id="6"/>
      <w:r w:rsidRPr="0020135D">
        <w:t>Background</w:t>
      </w:r>
      <w:r>
        <w:t xml:space="preserve"> and p</w:t>
      </w:r>
      <w:r w:rsidR="00BB7B77" w:rsidRPr="00232FDB">
        <w:t xml:space="preserve">urpose of the </w:t>
      </w:r>
      <w:r w:rsidR="00A77593">
        <w:t>g</w:t>
      </w:r>
      <w:r w:rsidR="00BB7B77" w:rsidRPr="00232FDB">
        <w:t>uidance</w:t>
      </w:r>
      <w:bookmarkEnd w:id="7"/>
    </w:p>
    <w:p w:rsidR="00654B50" w:rsidRPr="00232FDB" w:rsidRDefault="006443CE" w:rsidP="00476B1B">
      <w:pPr>
        <w:pStyle w:val="Corpsdutexte1"/>
        <w:shd w:val="clear" w:color="auto" w:fill="auto"/>
        <w:spacing w:line="240" w:lineRule="auto"/>
        <w:ind w:right="23" w:firstLine="0"/>
        <w:rPr>
          <w:rStyle w:val="Corpsdutexte"/>
          <w:rFonts w:ascii="Times New Roman" w:hAnsi="Times New Roman" w:cs="Times New Roman"/>
          <w:sz w:val="24"/>
          <w:szCs w:val="24"/>
        </w:rPr>
      </w:pPr>
      <w:r w:rsidRPr="00232FDB">
        <w:rPr>
          <w:rStyle w:val="Corpsdutexte"/>
          <w:rFonts w:ascii="Times New Roman" w:hAnsi="Times New Roman" w:cs="Times New Roman"/>
          <w:sz w:val="24"/>
          <w:szCs w:val="24"/>
        </w:rPr>
        <w:t xml:space="preserve">In contrast to the </w:t>
      </w:r>
      <w:r w:rsidRPr="00232FDB">
        <w:rPr>
          <w:rStyle w:val="Corpsdutexte"/>
          <w:rFonts w:ascii="Times New Roman" w:hAnsi="Times New Roman" w:cs="Times New Roman"/>
          <w:sz w:val="24"/>
          <w:szCs w:val="24"/>
          <w:lang w:eastAsia="sl-SI"/>
        </w:rPr>
        <w:t xml:space="preserve">2007-2013 </w:t>
      </w:r>
      <w:r w:rsidRPr="00232FDB">
        <w:rPr>
          <w:rStyle w:val="Corpsdutexte"/>
          <w:rFonts w:ascii="Times New Roman" w:hAnsi="Times New Roman" w:cs="Times New Roman"/>
          <w:sz w:val="24"/>
          <w:szCs w:val="24"/>
        </w:rPr>
        <w:t xml:space="preserve">period, where different Funds followed different rules, for </w:t>
      </w:r>
      <w:r w:rsidRPr="00232FDB">
        <w:rPr>
          <w:rStyle w:val="Corpsdutexte"/>
          <w:rFonts w:ascii="Times New Roman" w:hAnsi="Times New Roman" w:cs="Times New Roman"/>
          <w:sz w:val="24"/>
          <w:szCs w:val="24"/>
          <w:lang w:eastAsia="sl-SI"/>
        </w:rPr>
        <w:t xml:space="preserve">2014-2020 </w:t>
      </w:r>
      <w:r w:rsidRPr="00232FDB">
        <w:rPr>
          <w:rStyle w:val="Corpsdutexte"/>
          <w:rFonts w:ascii="Times New Roman" w:hAnsi="Times New Roman" w:cs="Times New Roman"/>
          <w:sz w:val="24"/>
          <w:szCs w:val="24"/>
        </w:rPr>
        <w:t xml:space="preserve">financial instruments can be used across all ESI Funds with a common legal framework as the CPR lays down common provisions for the five ESI Funds (ERDF, CF, ESF, EAFRD and EMFF) therefore allowing </w:t>
      </w:r>
      <w:r w:rsidRPr="00232FDB">
        <w:rPr>
          <w:rStyle w:val="Corpsdutexte4"/>
          <w:rFonts w:ascii="Times New Roman" w:hAnsi="Times New Roman" w:cs="Times New Roman"/>
          <w:sz w:val="24"/>
          <w:szCs w:val="24"/>
        </w:rPr>
        <w:t>Member States and managing authorities</w:t>
      </w:r>
      <w:r w:rsidRPr="00232FDB">
        <w:rPr>
          <w:rStyle w:val="Corpsdutexte11pt"/>
          <w:rFonts w:ascii="Times New Roman" w:hAnsi="Times New Roman" w:cs="Times New Roman"/>
          <w:sz w:val="24"/>
          <w:szCs w:val="24"/>
        </w:rPr>
        <w:t xml:space="preserve"> </w:t>
      </w:r>
      <w:r w:rsidRPr="00232FDB">
        <w:rPr>
          <w:rStyle w:val="Corpsdutexte11pt"/>
          <w:rFonts w:ascii="Times New Roman" w:hAnsi="Times New Roman" w:cs="Times New Roman"/>
          <w:b w:val="0"/>
          <w:sz w:val="24"/>
          <w:szCs w:val="24"/>
        </w:rPr>
        <w:t xml:space="preserve">to use financial instruments </w:t>
      </w:r>
      <w:r w:rsidRPr="00232FDB">
        <w:rPr>
          <w:rStyle w:val="Corpsdutexte11pt2"/>
          <w:rFonts w:ascii="Times New Roman" w:hAnsi="Times New Roman" w:cs="Times New Roman"/>
          <w:b w:val="0"/>
          <w:sz w:val="24"/>
          <w:szCs w:val="24"/>
        </w:rPr>
        <w:t>in relation to all thematic objectives covered by their programmes</w:t>
      </w:r>
      <w:r w:rsidRPr="00232FDB">
        <w:rPr>
          <w:rStyle w:val="Corpsdutexte11pt2"/>
          <w:rFonts w:ascii="Times New Roman" w:hAnsi="Times New Roman" w:cs="Times New Roman"/>
          <w:sz w:val="24"/>
          <w:szCs w:val="24"/>
        </w:rPr>
        <w:t>,</w:t>
      </w:r>
      <w:r w:rsidRPr="00232FDB">
        <w:rPr>
          <w:rStyle w:val="Corpsdutexte"/>
          <w:rFonts w:ascii="Times New Roman" w:hAnsi="Times New Roman" w:cs="Times New Roman"/>
          <w:sz w:val="24"/>
          <w:szCs w:val="24"/>
        </w:rPr>
        <w:t xml:space="preserve"> and for all Funds, where it is efficient and effective to do so. </w:t>
      </w:r>
    </w:p>
    <w:p w:rsidR="00654B50" w:rsidRPr="00232FDB" w:rsidRDefault="00654B50" w:rsidP="00476B1B">
      <w:pPr>
        <w:rPr>
          <w:rFonts w:eastAsia="Calibri"/>
          <w:szCs w:val="24"/>
        </w:rPr>
      </w:pPr>
      <w:r w:rsidRPr="00232FDB">
        <w:rPr>
          <w:rFonts w:eastAsia="Calibri"/>
          <w:szCs w:val="24"/>
        </w:rPr>
        <w:t>In summary, the 2014-2020 legal framework for financial instruments aims at:</w:t>
      </w:r>
    </w:p>
    <w:p w:rsidR="00654B50" w:rsidRPr="00232FDB" w:rsidRDefault="00654B50" w:rsidP="00476B1B">
      <w:pPr>
        <w:numPr>
          <w:ilvl w:val="0"/>
          <w:numId w:val="25"/>
        </w:numPr>
        <w:rPr>
          <w:rFonts w:eastAsia="Calibri"/>
          <w:szCs w:val="24"/>
        </w:rPr>
      </w:pPr>
      <w:r w:rsidRPr="00232FDB">
        <w:rPr>
          <w:rFonts w:eastAsia="Calibri"/>
          <w:szCs w:val="24"/>
          <w:u w:val="single"/>
        </w:rPr>
        <w:t>promoting sound financial management</w:t>
      </w:r>
      <w:r w:rsidRPr="00232FDB">
        <w:rPr>
          <w:rFonts w:eastAsia="Calibri"/>
          <w:szCs w:val="24"/>
        </w:rPr>
        <w:t xml:space="preserve"> in implementing financial instruments (e.g. ex-ante assessment, phased payments);</w:t>
      </w:r>
    </w:p>
    <w:p w:rsidR="00654B50" w:rsidRPr="00232FDB" w:rsidRDefault="00654B50" w:rsidP="00476B1B">
      <w:pPr>
        <w:numPr>
          <w:ilvl w:val="0"/>
          <w:numId w:val="25"/>
        </w:numPr>
        <w:rPr>
          <w:rFonts w:eastAsia="Calibri"/>
          <w:szCs w:val="24"/>
        </w:rPr>
      </w:pPr>
      <w:r w:rsidRPr="00232FDB">
        <w:rPr>
          <w:rFonts w:eastAsia="Calibri"/>
          <w:szCs w:val="24"/>
          <w:u w:val="single"/>
        </w:rPr>
        <w:t>providing the necessary flexibility for the national/regional actors</w:t>
      </w:r>
      <w:r w:rsidRPr="00232FDB">
        <w:rPr>
          <w:rFonts w:eastAsia="Calibri"/>
          <w:szCs w:val="24"/>
        </w:rPr>
        <w:t xml:space="preserve"> implementing ESI Funds policy (e.g. possibility to use financial instruments in all thematic objectives and all ESI funds, national co-financing can be provided at a later stage and at all levels of implementation, incentives on co-financing rates, clear implementation options, in-kind contributions in the form of land and real estate for urban or rural development investments); </w:t>
      </w:r>
    </w:p>
    <w:p w:rsidR="00654B50" w:rsidRPr="00232FDB" w:rsidRDefault="00654B50" w:rsidP="00476B1B">
      <w:pPr>
        <w:numPr>
          <w:ilvl w:val="0"/>
          <w:numId w:val="25"/>
        </w:numPr>
        <w:rPr>
          <w:rFonts w:eastAsia="Calibri"/>
          <w:szCs w:val="24"/>
        </w:rPr>
      </w:pPr>
      <w:r w:rsidRPr="00232FDB">
        <w:rPr>
          <w:rFonts w:eastAsia="Calibri"/>
          <w:szCs w:val="24"/>
          <w:u w:val="single"/>
        </w:rPr>
        <w:t>ensuring alignment of the legal framework with market practices</w:t>
      </w:r>
      <w:r w:rsidRPr="00232FDB">
        <w:rPr>
          <w:rFonts w:eastAsia="Calibri"/>
          <w:szCs w:val="24"/>
        </w:rPr>
        <w:t xml:space="preserve"> e.g. allowing to declare as eligible expenditure capitalised interest rate subsidies and guarantee fee subsidies to be paid after the end of eligibility period, capitalised management costs and fees to be paid after the end of the eligibility period (for equity and microcredit financial instruments), unconditional VAT eligibility, as well as expenditure for follow-on investments after the end of the eligibility period.</w:t>
      </w:r>
    </w:p>
    <w:p w:rsidR="00B50A34" w:rsidRPr="00232FDB" w:rsidRDefault="00B50A34" w:rsidP="00B50A34">
      <w:pPr>
        <w:rPr>
          <w:rFonts w:eastAsia="Calibri"/>
          <w:szCs w:val="24"/>
        </w:rPr>
      </w:pPr>
      <w:r w:rsidRPr="00232FDB">
        <w:rPr>
          <w:rFonts w:eastAsia="Calibri"/>
          <w:szCs w:val="24"/>
          <w:lang w:eastAsia="en-GB"/>
        </w:rPr>
        <w:t>The eligibility of expenditure has to comply with the CPR rules, Fund specific rules and with the national rules. The purpose of this note is not to cover in an exhaustive manner all the eligibility rules that can be established especially at national level, but to provide details on the rules established at EU level.</w:t>
      </w:r>
    </w:p>
    <w:p w:rsidR="0020135D" w:rsidRDefault="00654B50" w:rsidP="0020135D">
      <w:pPr>
        <w:rPr>
          <w:rFonts w:eastAsia="Calibri"/>
          <w:szCs w:val="24"/>
        </w:rPr>
      </w:pPr>
      <w:r w:rsidRPr="00232FDB">
        <w:rPr>
          <w:rFonts w:eastAsia="Calibri"/>
          <w:szCs w:val="24"/>
        </w:rPr>
        <w:t xml:space="preserve">In this context, </w:t>
      </w:r>
      <w:r w:rsidRPr="00232FDB">
        <w:rPr>
          <w:rFonts w:eastAsia="Calibri"/>
          <w:szCs w:val="24"/>
          <w:u w:val="single"/>
        </w:rPr>
        <w:t>this guidance note covers the most important of the legal framework's key provisions</w:t>
      </w:r>
      <w:r w:rsidRPr="00232FDB">
        <w:rPr>
          <w:rFonts w:eastAsia="Calibri"/>
          <w:szCs w:val="24"/>
        </w:rPr>
        <w:t xml:space="preserve"> mentioned </w:t>
      </w:r>
      <w:r w:rsidR="00BB7B77" w:rsidRPr="00232FDB">
        <w:rPr>
          <w:rFonts w:eastAsia="Calibri"/>
          <w:szCs w:val="24"/>
        </w:rPr>
        <w:t xml:space="preserve">above </w:t>
      </w:r>
      <w:r w:rsidRPr="00232FDB">
        <w:rPr>
          <w:rFonts w:eastAsia="Calibri"/>
          <w:szCs w:val="24"/>
        </w:rPr>
        <w:t>and which are not yet be covered by other guidance notes.</w:t>
      </w:r>
      <w:r w:rsidR="0020135D">
        <w:rPr>
          <w:rFonts w:eastAsia="Calibri"/>
          <w:szCs w:val="24"/>
        </w:rPr>
        <w:t xml:space="preserve"> This guidance note is without any prejudice to the applicable State aid </w:t>
      </w:r>
      <w:r w:rsidR="0072094B">
        <w:rPr>
          <w:rFonts w:eastAsia="Calibri"/>
          <w:szCs w:val="24"/>
        </w:rPr>
        <w:t>rules</w:t>
      </w:r>
      <w:r w:rsidR="0020135D">
        <w:rPr>
          <w:rFonts w:eastAsia="Calibri"/>
          <w:szCs w:val="24"/>
        </w:rPr>
        <w:t xml:space="preserve">. </w:t>
      </w:r>
    </w:p>
    <w:p w:rsidR="00D216F5" w:rsidRPr="00232FDB" w:rsidRDefault="00D216F5" w:rsidP="00476B1B">
      <w:pPr>
        <w:rPr>
          <w:rFonts w:eastAsia="Calibri"/>
          <w:szCs w:val="24"/>
        </w:rPr>
      </w:pPr>
    </w:p>
    <w:p w:rsidR="009836D3" w:rsidRPr="00232FDB" w:rsidRDefault="009836D3" w:rsidP="00476B1B">
      <w:pPr>
        <w:rPr>
          <w:rStyle w:val="Corpsdutexte"/>
          <w:rFonts w:ascii="Times New Roman" w:hAnsi="Times New Roman" w:cs="Times New Roman"/>
          <w:sz w:val="24"/>
          <w:szCs w:val="24"/>
        </w:rPr>
      </w:pPr>
      <w:r w:rsidRPr="00232FDB">
        <w:rPr>
          <w:rStyle w:val="Corpsdutexte"/>
          <w:rFonts w:ascii="Times New Roman" w:hAnsi="Times New Roman" w:cs="Times New Roman"/>
          <w:sz w:val="24"/>
          <w:szCs w:val="24"/>
        </w:rPr>
        <w:br w:type="page"/>
      </w:r>
    </w:p>
    <w:p w:rsidR="00BB7B77" w:rsidRPr="00232FDB" w:rsidRDefault="00BB7B77" w:rsidP="00BB7B77">
      <w:pPr>
        <w:pStyle w:val="Heading1"/>
        <w:numPr>
          <w:ilvl w:val="0"/>
          <w:numId w:val="19"/>
        </w:numPr>
        <w:tabs>
          <w:tab w:val="num" w:pos="480"/>
        </w:tabs>
        <w:spacing w:before="120"/>
        <w:ind w:left="482" w:hanging="482"/>
      </w:pPr>
      <w:bookmarkStart w:id="8" w:name="_Toc445141401"/>
      <w:r w:rsidRPr="00232FDB">
        <w:t>What has changed in 2014-2020?</w:t>
      </w:r>
      <w:bookmarkEnd w:id="8"/>
    </w:p>
    <w:p w:rsidR="00610CBE" w:rsidRPr="00232FDB" w:rsidRDefault="00610CBE" w:rsidP="00610CBE">
      <w:pPr>
        <w:pStyle w:val="Text1"/>
        <w:ind w:left="0"/>
        <w:rPr>
          <w:i/>
        </w:rPr>
      </w:pPr>
      <w:r w:rsidRPr="00232FDB">
        <w:rPr>
          <w:i/>
        </w:rPr>
        <w:t>Table 1: Changes relating to the ERDF</w:t>
      </w:r>
      <w:r w:rsidR="009609A0" w:rsidRPr="00232FDB">
        <w:rPr>
          <w:i/>
        </w:rPr>
        <w:t>, ESF</w:t>
      </w:r>
      <w:r w:rsidR="00A95C9C" w:rsidRPr="00232FDB">
        <w:rPr>
          <w:i/>
        </w:rPr>
        <w:t xml:space="preserve"> and EAFRD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353"/>
        <w:gridCol w:w="2054"/>
        <w:gridCol w:w="2702"/>
      </w:tblGrid>
      <w:tr w:rsidR="00A95C9C" w:rsidRPr="00232FDB" w:rsidTr="00A95C9C">
        <w:trPr>
          <w:tblHeader/>
        </w:trPr>
        <w:tc>
          <w:tcPr>
            <w:tcW w:w="1724" w:type="dxa"/>
            <w:shd w:val="clear" w:color="auto" w:fill="auto"/>
          </w:tcPr>
          <w:p w:rsidR="00A95C9C" w:rsidRPr="00232FDB" w:rsidRDefault="00A95C9C" w:rsidP="00BC6FEC">
            <w:pPr>
              <w:spacing w:after="0"/>
              <w:jc w:val="center"/>
              <w:rPr>
                <w:b/>
                <w:sz w:val="22"/>
                <w:szCs w:val="22"/>
              </w:rPr>
            </w:pPr>
          </w:p>
        </w:tc>
        <w:tc>
          <w:tcPr>
            <w:tcW w:w="2353" w:type="dxa"/>
            <w:shd w:val="clear" w:color="auto" w:fill="auto"/>
          </w:tcPr>
          <w:p w:rsidR="00A95C9C" w:rsidRPr="00232FDB" w:rsidRDefault="00A95C9C" w:rsidP="00BC6FEC">
            <w:pPr>
              <w:spacing w:after="0"/>
              <w:jc w:val="center"/>
              <w:rPr>
                <w:b/>
                <w:sz w:val="22"/>
                <w:szCs w:val="22"/>
              </w:rPr>
            </w:pPr>
            <w:r w:rsidRPr="00232FDB">
              <w:rPr>
                <w:b/>
                <w:sz w:val="22"/>
                <w:szCs w:val="22"/>
              </w:rPr>
              <w:t>2007-2013 ERDF/ESF</w:t>
            </w:r>
          </w:p>
        </w:tc>
        <w:tc>
          <w:tcPr>
            <w:tcW w:w="2054" w:type="dxa"/>
          </w:tcPr>
          <w:p w:rsidR="00A95C9C" w:rsidRPr="00232FDB" w:rsidRDefault="00A95C9C" w:rsidP="00BC6FEC">
            <w:pPr>
              <w:spacing w:after="0"/>
              <w:jc w:val="center"/>
              <w:rPr>
                <w:b/>
                <w:sz w:val="22"/>
                <w:szCs w:val="22"/>
              </w:rPr>
            </w:pPr>
            <w:r w:rsidRPr="00232FDB">
              <w:rPr>
                <w:b/>
                <w:sz w:val="22"/>
                <w:szCs w:val="22"/>
              </w:rPr>
              <w:t>2007-2013 EAFRD</w:t>
            </w:r>
          </w:p>
        </w:tc>
        <w:tc>
          <w:tcPr>
            <w:tcW w:w="2702" w:type="dxa"/>
            <w:shd w:val="clear" w:color="auto" w:fill="auto"/>
          </w:tcPr>
          <w:p w:rsidR="00A95C9C" w:rsidRPr="00232FDB" w:rsidRDefault="00A95C9C" w:rsidP="00BC6FEC">
            <w:pPr>
              <w:spacing w:after="0"/>
              <w:jc w:val="center"/>
              <w:rPr>
                <w:b/>
                <w:sz w:val="22"/>
                <w:szCs w:val="22"/>
              </w:rPr>
            </w:pPr>
            <w:r w:rsidRPr="00232FDB">
              <w:rPr>
                <w:b/>
                <w:sz w:val="22"/>
                <w:szCs w:val="22"/>
              </w:rPr>
              <w:t>2014-2020</w:t>
            </w:r>
            <w:r w:rsidR="006443CE" w:rsidRPr="00232FDB">
              <w:rPr>
                <w:b/>
                <w:sz w:val="22"/>
                <w:szCs w:val="22"/>
              </w:rPr>
              <w:t xml:space="preserve"> ESI</w:t>
            </w:r>
            <w:r w:rsidR="00226CB1">
              <w:rPr>
                <w:b/>
                <w:sz w:val="22"/>
                <w:szCs w:val="22"/>
              </w:rPr>
              <w:t xml:space="preserve"> </w:t>
            </w:r>
            <w:r w:rsidR="006443CE" w:rsidRPr="00232FDB">
              <w:rPr>
                <w:b/>
                <w:sz w:val="22"/>
                <w:szCs w:val="22"/>
              </w:rPr>
              <w:t>F</w:t>
            </w:r>
            <w:r w:rsidR="00226CB1">
              <w:rPr>
                <w:b/>
                <w:sz w:val="22"/>
                <w:szCs w:val="22"/>
              </w:rPr>
              <w:t>unds</w:t>
            </w:r>
          </w:p>
        </w:tc>
      </w:tr>
      <w:tr w:rsidR="00A95C9C" w:rsidRPr="00232FDB" w:rsidTr="00A95C9C">
        <w:tc>
          <w:tcPr>
            <w:tcW w:w="1724" w:type="dxa"/>
            <w:shd w:val="clear" w:color="auto" w:fill="auto"/>
          </w:tcPr>
          <w:p w:rsidR="00A95C9C" w:rsidRPr="00232FDB" w:rsidRDefault="00A95C9C" w:rsidP="00BC6FEC">
            <w:pPr>
              <w:spacing w:after="0"/>
              <w:jc w:val="left"/>
              <w:rPr>
                <w:rFonts w:eastAsia="Calibri"/>
                <w:b/>
                <w:sz w:val="22"/>
                <w:szCs w:val="22"/>
              </w:rPr>
            </w:pPr>
            <w:r w:rsidRPr="00232FDB">
              <w:rPr>
                <w:rFonts w:eastAsia="Calibri"/>
                <w:b/>
                <w:sz w:val="22"/>
                <w:szCs w:val="22"/>
              </w:rPr>
              <w:t>Source of financing</w:t>
            </w:r>
          </w:p>
        </w:tc>
        <w:tc>
          <w:tcPr>
            <w:tcW w:w="2353" w:type="dxa"/>
            <w:shd w:val="clear" w:color="auto" w:fill="auto"/>
          </w:tcPr>
          <w:p w:rsidR="00A95C9C" w:rsidRPr="00232FDB" w:rsidRDefault="00A95C9C" w:rsidP="006B098C">
            <w:pPr>
              <w:spacing w:after="0"/>
              <w:jc w:val="left"/>
              <w:rPr>
                <w:rFonts w:eastAsia="Calibri"/>
                <w:sz w:val="22"/>
                <w:szCs w:val="22"/>
              </w:rPr>
            </w:pPr>
            <w:r w:rsidRPr="00232FDB">
              <w:rPr>
                <w:rFonts w:eastAsia="Calibri"/>
                <w:sz w:val="22"/>
                <w:szCs w:val="22"/>
              </w:rPr>
              <w:t>Financial instruments can provide support from Structural Funds only</w:t>
            </w:r>
            <w:r w:rsidR="00401BE6" w:rsidRPr="00232FDB">
              <w:rPr>
                <w:rFonts w:eastAsia="Calibri"/>
                <w:sz w:val="22"/>
                <w:szCs w:val="22"/>
              </w:rPr>
              <w:t xml:space="preserve"> (</w:t>
            </w:r>
            <w:r w:rsidRPr="00232FDB">
              <w:rPr>
                <w:rFonts w:eastAsia="Calibri"/>
                <w:sz w:val="22"/>
                <w:szCs w:val="22"/>
              </w:rPr>
              <w:t>ERDF and ESF</w:t>
            </w:r>
            <w:r w:rsidR="00401BE6" w:rsidRPr="00232FDB">
              <w:rPr>
                <w:rFonts w:eastAsia="Calibri"/>
                <w:sz w:val="22"/>
                <w:szCs w:val="22"/>
              </w:rPr>
              <w:t xml:space="preserve">) under a </w:t>
            </w:r>
            <w:r w:rsidR="006B098C">
              <w:t xml:space="preserve">common </w:t>
            </w:r>
            <w:r w:rsidR="0004722D" w:rsidRPr="00232FDB">
              <w:t>legal framework</w:t>
            </w:r>
            <w:r w:rsidR="006B098C">
              <w:t xml:space="preserve"> for ERDF and ESF only</w:t>
            </w:r>
            <w:r w:rsidRPr="00232FDB">
              <w:rPr>
                <w:rFonts w:eastAsia="Calibri"/>
                <w:sz w:val="22"/>
                <w:szCs w:val="22"/>
              </w:rPr>
              <w:t>.</w:t>
            </w:r>
          </w:p>
        </w:tc>
        <w:tc>
          <w:tcPr>
            <w:tcW w:w="2054" w:type="dxa"/>
          </w:tcPr>
          <w:p w:rsidR="00A95C9C" w:rsidRPr="00232FDB" w:rsidRDefault="00A95C9C" w:rsidP="0004722D">
            <w:pPr>
              <w:spacing w:after="0"/>
              <w:rPr>
                <w:rFonts w:eastAsia="Calibri"/>
                <w:sz w:val="22"/>
                <w:szCs w:val="22"/>
              </w:rPr>
            </w:pPr>
            <w:r w:rsidRPr="00232FDB">
              <w:rPr>
                <w:rFonts w:eastAsia="Calibri"/>
                <w:sz w:val="22"/>
                <w:szCs w:val="22"/>
              </w:rPr>
              <w:t>Financial instruments can provide support from EAFRD only</w:t>
            </w:r>
            <w:r w:rsidR="0004722D" w:rsidRPr="00232FDB">
              <w:rPr>
                <w:rFonts w:eastAsia="Calibri"/>
                <w:sz w:val="22"/>
                <w:szCs w:val="22"/>
              </w:rPr>
              <w:t xml:space="preserve"> </w:t>
            </w:r>
            <w:r w:rsidR="00401BE6" w:rsidRPr="00232FDB">
              <w:rPr>
                <w:rFonts w:eastAsia="Calibri"/>
                <w:sz w:val="22"/>
                <w:szCs w:val="22"/>
              </w:rPr>
              <w:t xml:space="preserve">under </w:t>
            </w:r>
            <w:r w:rsidR="0004722D" w:rsidRPr="00232FDB">
              <w:t>separate legal framework)</w:t>
            </w:r>
            <w:r w:rsidR="0004722D" w:rsidRPr="00232FDB">
              <w:rPr>
                <w:rFonts w:eastAsia="Calibri"/>
                <w:sz w:val="22"/>
                <w:szCs w:val="22"/>
              </w:rPr>
              <w:t>.</w:t>
            </w:r>
            <w:r w:rsidRPr="00232FDB">
              <w:rPr>
                <w:sz w:val="22"/>
                <w:szCs w:val="22"/>
              </w:rPr>
              <w:t xml:space="preserve"> </w:t>
            </w:r>
          </w:p>
        </w:tc>
        <w:tc>
          <w:tcPr>
            <w:tcW w:w="2702" w:type="dxa"/>
            <w:shd w:val="clear" w:color="auto" w:fill="auto"/>
          </w:tcPr>
          <w:p w:rsidR="00A95C9C" w:rsidRPr="00232FDB" w:rsidRDefault="00A95C9C" w:rsidP="00C432B5">
            <w:pPr>
              <w:spacing w:after="0"/>
              <w:rPr>
                <w:rFonts w:eastAsia="Calibri"/>
                <w:sz w:val="22"/>
                <w:szCs w:val="22"/>
              </w:rPr>
            </w:pPr>
            <w:r w:rsidRPr="00232FDB">
              <w:rPr>
                <w:rFonts w:eastAsia="Calibri"/>
                <w:sz w:val="22"/>
                <w:szCs w:val="22"/>
              </w:rPr>
              <w:t>Financial instruments may provide support from all ESI Funds through</w:t>
            </w:r>
            <w:r w:rsidR="00FF02E2" w:rsidRPr="00232FDB">
              <w:rPr>
                <w:rFonts w:eastAsia="Calibri"/>
                <w:sz w:val="22"/>
                <w:szCs w:val="22"/>
              </w:rPr>
              <w:t xml:space="preserve"> financial instruments</w:t>
            </w:r>
            <w:r w:rsidR="00FF02E2" w:rsidRPr="00232FDB">
              <w:rPr>
                <w:sz w:val="22"/>
                <w:szCs w:val="22"/>
              </w:rPr>
              <w:t xml:space="preserve"> </w:t>
            </w:r>
            <w:r w:rsidR="0004722D" w:rsidRPr="00232FDB">
              <w:rPr>
                <w:sz w:val="22"/>
                <w:szCs w:val="22"/>
              </w:rPr>
              <w:t xml:space="preserve">under a common legal framework </w:t>
            </w:r>
            <w:r w:rsidRPr="00232FDB">
              <w:rPr>
                <w:sz w:val="22"/>
                <w:szCs w:val="22"/>
              </w:rPr>
              <w:t xml:space="preserve">– </w:t>
            </w:r>
            <w:r w:rsidRPr="00232FDB">
              <w:rPr>
                <w:i/>
                <w:sz w:val="22"/>
                <w:szCs w:val="22"/>
              </w:rPr>
              <w:t>Art 37(1)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Scope of support</w:t>
            </w:r>
          </w:p>
        </w:tc>
        <w:tc>
          <w:tcPr>
            <w:tcW w:w="2353" w:type="dxa"/>
            <w:shd w:val="clear" w:color="auto" w:fill="auto"/>
          </w:tcPr>
          <w:p w:rsidR="00A95C9C" w:rsidRPr="00232FDB" w:rsidRDefault="00A95C9C" w:rsidP="00BC6FEC">
            <w:pPr>
              <w:spacing w:after="0"/>
              <w:rPr>
                <w:sz w:val="22"/>
                <w:szCs w:val="22"/>
              </w:rPr>
            </w:pPr>
            <w:r w:rsidRPr="00232FDB">
              <w:rPr>
                <w:sz w:val="22"/>
                <w:szCs w:val="22"/>
              </w:rPr>
              <w:t>Support for enterprises, urban development, energy efficiency and renewable energies in the building sector.</w:t>
            </w:r>
          </w:p>
        </w:tc>
        <w:tc>
          <w:tcPr>
            <w:tcW w:w="2054" w:type="dxa"/>
          </w:tcPr>
          <w:p w:rsidR="00A95C9C" w:rsidRPr="00232FDB" w:rsidRDefault="00A95C9C" w:rsidP="00A95C9C">
            <w:pPr>
              <w:spacing w:after="0"/>
              <w:rPr>
                <w:sz w:val="22"/>
                <w:szCs w:val="22"/>
              </w:rPr>
            </w:pPr>
            <w:r w:rsidRPr="00232FDB">
              <w:rPr>
                <w:sz w:val="22"/>
                <w:szCs w:val="22"/>
              </w:rPr>
              <w:t xml:space="preserve">Support only for enterprises as defined by Article 51(3) of Regulation </w:t>
            </w:r>
            <w:r w:rsidR="006716E5" w:rsidRPr="00232FDB">
              <w:rPr>
                <w:sz w:val="22"/>
                <w:szCs w:val="22"/>
              </w:rPr>
              <w:t xml:space="preserve">No </w:t>
            </w:r>
            <w:r w:rsidRPr="00232FDB">
              <w:rPr>
                <w:sz w:val="22"/>
                <w:szCs w:val="22"/>
              </w:rPr>
              <w:t>1974/2006.</w:t>
            </w:r>
          </w:p>
        </w:tc>
        <w:tc>
          <w:tcPr>
            <w:tcW w:w="2702" w:type="dxa"/>
            <w:shd w:val="clear" w:color="auto" w:fill="auto"/>
          </w:tcPr>
          <w:p w:rsidR="00A95C9C" w:rsidRPr="00232FDB" w:rsidRDefault="00A95C9C" w:rsidP="00E926DD">
            <w:pPr>
              <w:spacing w:after="0"/>
              <w:rPr>
                <w:sz w:val="22"/>
                <w:szCs w:val="22"/>
              </w:rPr>
            </w:pPr>
            <w:r w:rsidRPr="00232FDB">
              <w:rPr>
                <w:sz w:val="22"/>
                <w:szCs w:val="22"/>
              </w:rPr>
              <w:t xml:space="preserve">Support for all thematic objectives. </w:t>
            </w:r>
            <w:r w:rsidRPr="00232FDB">
              <w:rPr>
                <w:rFonts w:eastAsia="Calibri"/>
                <w:sz w:val="22"/>
                <w:szCs w:val="22"/>
              </w:rPr>
              <w:t xml:space="preserve">Any investment which is financially viable and does not give rise to sufficient funding from market sources can be supported through financial instruments </w:t>
            </w:r>
            <w:r w:rsidRPr="00232FDB">
              <w:rPr>
                <w:sz w:val="22"/>
                <w:szCs w:val="22"/>
              </w:rPr>
              <w:t xml:space="preserve">– </w:t>
            </w:r>
            <w:r w:rsidRPr="00232FDB">
              <w:rPr>
                <w:i/>
                <w:sz w:val="22"/>
                <w:szCs w:val="22"/>
              </w:rPr>
              <w:t>Art 37(1)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Set-up</w:t>
            </w:r>
          </w:p>
        </w:tc>
        <w:tc>
          <w:tcPr>
            <w:tcW w:w="2353" w:type="dxa"/>
            <w:shd w:val="clear" w:color="auto" w:fill="auto"/>
          </w:tcPr>
          <w:p w:rsidR="00A95C9C" w:rsidRPr="00232FDB" w:rsidRDefault="00A95C9C" w:rsidP="00C432B5">
            <w:pPr>
              <w:spacing w:after="0"/>
              <w:rPr>
                <w:sz w:val="22"/>
                <w:szCs w:val="22"/>
              </w:rPr>
            </w:pPr>
            <w:r w:rsidRPr="00232FDB">
              <w:rPr>
                <w:sz w:val="22"/>
                <w:szCs w:val="22"/>
              </w:rPr>
              <w:t xml:space="preserve">Indirect requirement for an evaluation of gaps between supply and demand for </w:t>
            </w:r>
            <w:r w:rsidRPr="00232FDB">
              <w:rPr>
                <w:rFonts w:eastAsia="Calibri"/>
                <w:sz w:val="22"/>
                <w:szCs w:val="22"/>
              </w:rPr>
              <w:t>financial instruments</w:t>
            </w:r>
            <w:r w:rsidRPr="00232FDB">
              <w:rPr>
                <w:sz w:val="22"/>
                <w:szCs w:val="22"/>
              </w:rPr>
              <w:t xml:space="preserve"> for enterprises and at the level of Holding fund.</w:t>
            </w:r>
          </w:p>
        </w:tc>
        <w:tc>
          <w:tcPr>
            <w:tcW w:w="2054" w:type="dxa"/>
          </w:tcPr>
          <w:p w:rsidR="00A95C9C" w:rsidRPr="00232FDB" w:rsidRDefault="00A95C9C" w:rsidP="00A95C9C">
            <w:pPr>
              <w:spacing w:after="0"/>
              <w:rPr>
                <w:sz w:val="22"/>
                <w:szCs w:val="22"/>
              </w:rPr>
            </w:pPr>
            <w:r w:rsidRPr="00232FDB">
              <w:rPr>
                <w:sz w:val="22"/>
                <w:szCs w:val="22"/>
              </w:rPr>
              <w:t>Requirement for ex-ante risk assessment of expected losses only for guarantee funds, introduced within the programming period. (i.e. no requirement in the beginning of the programming period).</w:t>
            </w:r>
          </w:p>
        </w:tc>
        <w:tc>
          <w:tcPr>
            <w:tcW w:w="2702" w:type="dxa"/>
            <w:shd w:val="clear" w:color="auto" w:fill="auto"/>
          </w:tcPr>
          <w:p w:rsidR="00A95C9C" w:rsidRPr="00232FDB" w:rsidRDefault="00A95C9C" w:rsidP="00BC6FEC">
            <w:pPr>
              <w:spacing w:after="0"/>
              <w:rPr>
                <w:sz w:val="22"/>
                <w:szCs w:val="22"/>
              </w:rPr>
            </w:pPr>
            <w:r w:rsidRPr="00232FDB">
              <w:rPr>
                <w:sz w:val="22"/>
                <w:szCs w:val="22"/>
              </w:rPr>
              <w:t xml:space="preserve">Compulsory ex-ante assessment for any FI – </w:t>
            </w:r>
            <w:r w:rsidRPr="00232FDB">
              <w:rPr>
                <w:i/>
                <w:sz w:val="22"/>
                <w:szCs w:val="22"/>
              </w:rPr>
              <w:t>Art 37(2)(3)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Implementation options</w:t>
            </w:r>
          </w:p>
        </w:tc>
        <w:tc>
          <w:tcPr>
            <w:tcW w:w="2353" w:type="dxa"/>
            <w:shd w:val="clear" w:color="auto" w:fill="auto"/>
          </w:tcPr>
          <w:p w:rsidR="00A95C9C" w:rsidRPr="00232FDB" w:rsidRDefault="00A95C9C" w:rsidP="00BC6FEC">
            <w:pPr>
              <w:spacing w:after="0"/>
              <w:rPr>
                <w:sz w:val="22"/>
                <w:szCs w:val="22"/>
              </w:rPr>
            </w:pPr>
            <w:r w:rsidRPr="00232FDB">
              <w:rPr>
                <w:sz w:val="22"/>
                <w:szCs w:val="22"/>
              </w:rPr>
              <w:t xml:space="preserve">Financial instruments at national or regional level </w:t>
            </w:r>
            <w:r w:rsidR="00E70516" w:rsidRPr="00232FDB">
              <w:rPr>
                <w:rFonts w:eastAsia="Calibri"/>
                <w:sz w:val="22"/>
                <w:szCs w:val="22"/>
              </w:rPr>
              <w:t>with or without holding fund</w:t>
            </w:r>
            <w:r w:rsidR="00E70516" w:rsidRPr="00232FDB">
              <w:rPr>
                <w:sz w:val="22"/>
                <w:szCs w:val="22"/>
              </w:rPr>
              <w:t xml:space="preserve"> </w:t>
            </w:r>
            <w:r w:rsidRPr="00232FDB">
              <w:rPr>
                <w:sz w:val="22"/>
                <w:szCs w:val="22"/>
              </w:rPr>
              <w:t>– tailor made only</w:t>
            </w:r>
          </w:p>
          <w:p w:rsidR="00A95C9C" w:rsidRPr="00232FDB" w:rsidRDefault="00A95C9C" w:rsidP="00BC6FEC">
            <w:pPr>
              <w:spacing w:after="0"/>
              <w:rPr>
                <w:sz w:val="22"/>
                <w:szCs w:val="22"/>
              </w:rPr>
            </w:pPr>
          </w:p>
          <w:p w:rsidR="00A95C9C" w:rsidRPr="00232FDB" w:rsidRDefault="00A95C9C" w:rsidP="00E70516">
            <w:pPr>
              <w:spacing w:after="0"/>
              <w:rPr>
                <w:sz w:val="22"/>
                <w:szCs w:val="22"/>
              </w:rPr>
            </w:pPr>
            <w:r w:rsidRPr="00232FDB">
              <w:rPr>
                <w:rFonts w:eastAsia="Calibri"/>
                <w:sz w:val="22"/>
                <w:szCs w:val="22"/>
              </w:rPr>
              <w:t>The investment in credit lines directly by MA [covered by Article 43a(1)(b) of the General Regulation] was not possible under financial instruments rules</w:t>
            </w:r>
            <w:r w:rsidR="00D46851">
              <w:rPr>
                <w:rFonts w:eastAsia="Calibri"/>
                <w:sz w:val="22"/>
                <w:szCs w:val="22"/>
              </w:rPr>
              <w:t xml:space="preserve"> </w:t>
            </w:r>
            <w:r w:rsidR="00E539D3">
              <w:rPr>
                <w:rFonts w:eastAsia="Calibri"/>
                <w:sz w:val="22"/>
                <w:szCs w:val="22"/>
              </w:rPr>
              <w:t>(only under repayable assistance)</w:t>
            </w:r>
            <w:r w:rsidRPr="00232FDB">
              <w:rPr>
                <w:rFonts w:eastAsia="Calibri"/>
                <w:sz w:val="22"/>
                <w:szCs w:val="22"/>
              </w:rPr>
              <w:t>.</w:t>
            </w:r>
          </w:p>
        </w:tc>
        <w:tc>
          <w:tcPr>
            <w:tcW w:w="2054" w:type="dxa"/>
          </w:tcPr>
          <w:p w:rsidR="00A95C9C" w:rsidRPr="00232FDB" w:rsidRDefault="00A95C9C" w:rsidP="00A95C9C">
            <w:pPr>
              <w:spacing w:after="0"/>
              <w:rPr>
                <w:sz w:val="22"/>
                <w:szCs w:val="22"/>
              </w:rPr>
            </w:pPr>
            <w:r w:rsidRPr="00232FDB">
              <w:rPr>
                <w:sz w:val="22"/>
                <w:szCs w:val="22"/>
              </w:rPr>
              <w:t>Financial instruments at national or regional level – tailor made only</w:t>
            </w:r>
          </w:p>
          <w:p w:rsidR="00A95C9C" w:rsidRPr="00232FDB" w:rsidRDefault="00A95C9C" w:rsidP="00472E31">
            <w:pPr>
              <w:spacing w:after="0"/>
              <w:jc w:val="left"/>
              <w:rPr>
                <w:sz w:val="22"/>
                <w:szCs w:val="22"/>
              </w:rPr>
            </w:pPr>
          </w:p>
        </w:tc>
        <w:tc>
          <w:tcPr>
            <w:tcW w:w="2702" w:type="dxa"/>
            <w:shd w:val="clear" w:color="auto" w:fill="auto"/>
          </w:tcPr>
          <w:p w:rsidR="00A95C9C" w:rsidRPr="00232FDB" w:rsidRDefault="00A95C9C" w:rsidP="00472E31">
            <w:pPr>
              <w:spacing w:after="0"/>
              <w:jc w:val="left"/>
              <w:rPr>
                <w:sz w:val="22"/>
                <w:szCs w:val="22"/>
              </w:rPr>
            </w:pPr>
            <w:r w:rsidRPr="00232FDB">
              <w:rPr>
                <w:sz w:val="22"/>
                <w:szCs w:val="22"/>
              </w:rPr>
              <w:t xml:space="preserve">Contribution to EU level financial instruments. </w:t>
            </w:r>
          </w:p>
          <w:p w:rsidR="00A95C9C" w:rsidRPr="00232FDB" w:rsidRDefault="00A95C9C" w:rsidP="00472E31">
            <w:pPr>
              <w:spacing w:after="0"/>
              <w:jc w:val="left"/>
              <w:rPr>
                <w:sz w:val="22"/>
                <w:szCs w:val="22"/>
              </w:rPr>
            </w:pPr>
          </w:p>
          <w:p w:rsidR="00A95C9C" w:rsidRPr="00232FDB" w:rsidRDefault="00A95C9C" w:rsidP="00472E31">
            <w:pPr>
              <w:spacing w:after="0"/>
              <w:jc w:val="left"/>
              <w:rPr>
                <w:sz w:val="22"/>
                <w:szCs w:val="22"/>
              </w:rPr>
            </w:pPr>
            <w:r w:rsidRPr="00232FDB">
              <w:rPr>
                <w:sz w:val="22"/>
                <w:szCs w:val="22"/>
              </w:rPr>
              <w:t xml:space="preserve">Financial instruments at national, regional level, transnational or cross-border level: </w:t>
            </w:r>
          </w:p>
          <w:p w:rsidR="00CC634F" w:rsidRPr="00232FDB" w:rsidRDefault="00A95C9C" w:rsidP="00CC634F">
            <w:pPr>
              <w:spacing w:after="0"/>
              <w:jc w:val="left"/>
              <w:rPr>
                <w:sz w:val="22"/>
                <w:szCs w:val="22"/>
              </w:rPr>
            </w:pPr>
            <w:r w:rsidRPr="00232FDB">
              <w:rPr>
                <w:sz w:val="22"/>
                <w:szCs w:val="22"/>
              </w:rPr>
              <w:t xml:space="preserve">- </w:t>
            </w:r>
            <w:r w:rsidR="00CC634F" w:rsidRPr="00232FDB">
              <w:rPr>
                <w:sz w:val="22"/>
                <w:szCs w:val="22"/>
              </w:rPr>
              <w:t>Off-the-shelf;</w:t>
            </w:r>
          </w:p>
          <w:p w:rsidR="00A95C9C" w:rsidRPr="00232FDB" w:rsidRDefault="00CC634F" w:rsidP="00472E31">
            <w:pPr>
              <w:spacing w:after="0"/>
              <w:jc w:val="left"/>
              <w:rPr>
                <w:sz w:val="22"/>
                <w:szCs w:val="22"/>
              </w:rPr>
            </w:pPr>
            <w:r>
              <w:rPr>
                <w:sz w:val="22"/>
                <w:szCs w:val="22"/>
              </w:rPr>
              <w:t xml:space="preserve">- </w:t>
            </w:r>
            <w:r w:rsidR="0091717E">
              <w:rPr>
                <w:sz w:val="22"/>
                <w:szCs w:val="22"/>
              </w:rPr>
              <w:t>Tailor-made.</w:t>
            </w:r>
          </w:p>
          <w:p w:rsidR="00097299" w:rsidRPr="00232FDB" w:rsidRDefault="00097299" w:rsidP="00472E31">
            <w:pPr>
              <w:spacing w:after="0"/>
              <w:jc w:val="left"/>
              <w:rPr>
                <w:sz w:val="22"/>
                <w:szCs w:val="22"/>
              </w:rPr>
            </w:pPr>
            <w:r w:rsidRPr="0091717E">
              <w:rPr>
                <w:sz w:val="22"/>
                <w:szCs w:val="22"/>
              </w:rPr>
              <w:t>In addition to</w:t>
            </w:r>
            <w:r w:rsidRPr="00097299">
              <w:rPr>
                <w:sz w:val="22"/>
                <w:szCs w:val="22"/>
              </w:rPr>
              <w:t xml:space="preserve"> implementation through </w:t>
            </w:r>
            <w:r w:rsidR="0072094B">
              <w:rPr>
                <w:sz w:val="22"/>
                <w:szCs w:val="22"/>
              </w:rPr>
              <w:t xml:space="preserve">Funds of </w:t>
            </w:r>
            <w:r w:rsidRPr="00097299">
              <w:rPr>
                <w:sz w:val="22"/>
                <w:szCs w:val="22"/>
              </w:rPr>
              <w:t>funds or entrusted entities:</w:t>
            </w:r>
          </w:p>
          <w:p w:rsidR="00A95C9C" w:rsidRPr="0091717E" w:rsidRDefault="00A95C9C" w:rsidP="00472E31">
            <w:pPr>
              <w:spacing w:after="0"/>
              <w:jc w:val="left"/>
              <w:rPr>
                <w:sz w:val="22"/>
                <w:szCs w:val="22"/>
              </w:rPr>
            </w:pPr>
            <w:r w:rsidRPr="00232FDB">
              <w:rPr>
                <w:sz w:val="22"/>
                <w:szCs w:val="22"/>
              </w:rPr>
              <w:t>- Direct implement</w:t>
            </w:r>
            <w:r w:rsidR="00CC634F">
              <w:rPr>
                <w:sz w:val="22"/>
                <w:szCs w:val="22"/>
              </w:rPr>
              <w:t>ation</w:t>
            </w:r>
            <w:r w:rsidRPr="00232FDB">
              <w:rPr>
                <w:sz w:val="22"/>
                <w:szCs w:val="22"/>
              </w:rPr>
              <w:t xml:space="preserve"> by managing authority (loans/guarantees only)</w:t>
            </w:r>
            <w:r w:rsidR="0091717E">
              <w:rPr>
                <w:sz w:val="22"/>
                <w:szCs w:val="22"/>
              </w:rPr>
              <w:t xml:space="preserve"> - </w:t>
            </w:r>
            <w:r w:rsidRPr="00232FDB">
              <w:rPr>
                <w:i/>
                <w:sz w:val="22"/>
                <w:szCs w:val="22"/>
              </w:rPr>
              <w:t>Article 38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Payments</w:t>
            </w:r>
          </w:p>
        </w:tc>
        <w:tc>
          <w:tcPr>
            <w:tcW w:w="4407" w:type="dxa"/>
            <w:gridSpan w:val="2"/>
            <w:shd w:val="clear" w:color="auto" w:fill="auto"/>
          </w:tcPr>
          <w:p w:rsidR="00A95C9C" w:rsidRPr="00232FDB" w:rsidRDefault="00A95C9C" w:rsidP="00BC6FEC">
            <w:pPr>
              <w:spacing w:after="0"/>
              <w:rPr>
                <w:sz w:val="22"/>
                <w:szCs w:val="22"/>
              </w:rPr>
            </w:pPr>
            <w:r w:rsidRPr="00232FDB">
              <w:rPr>
                <w:sz w:val="22"/>
                <w:szCs w:val="22"/>
              </w:rPr>
              <w:t>Possibility to pay to the financial instruments and declare to the Commission 100% of the amount committed to the financial instrument – not linked to disbursements to final recipients.</w:t>
            </w:r>
          </w:p>
        </w:tc>
        <w:tc>
          <w:tcPr>
            <w:tcW w:w="2702" w:type="dxa"/>
            <w:shd w:val="clear" w:color="auto" w:fill="auto"/>
          </w:tcPr>
          <w:p w:rsidR="00A95C9C" w:rsidRPr="00232FDB" w:rsidRDefault="00A95C9C" w:rsidP="00BC6FEC">
            <w:pPr>
              <w:spacing w:after="0"/>
              <w:rPr>
                <w:sz w:val="22"/>
                <w:szCs w:val="22"/>
              </w:rPr>
            </w:pPr>
            <w:r w:rsidRPr="00232FDB">
              <w:rPr>
                <w:sz w:val="22"/>
                <w:szCs w:val="22"/>
              </w:rPr>
              <w:t>Phased payments declared to the Commission linked to disbursements to final recipients.</w:t>
            </w:r>
          </w:p>
          <w:p w:rsidR="00A95C9C" w:rsidRPr="00232FDB" w:rsidRDefault="00A95C9C" w:rsidP="00BC6FEC">
            <w:pPr>
              <w:spacing w:after="0"/>
              <w:rPr>
                <w:sz w:val="22"/>
                <w:szCs w:val="22"/>
              </w:rPr>
            </w:pPr>
          </w:p>
          <w:p w:rsidR="00A95C9C" w:rsidRPr="00232FDB" w:rsidRDefault="00A95C9C" w:rsidP="00BC6FEC">
            <w:pPr>
              <w:spacing w:after="0"/>
              <w:rPr>
                <w:sz w:val="22"/>
                <w:szCs w:val="22"/>
              </w:rPr>
            </w:pPr>
            <w:r w:rsidRPr="00232FDB">
              <w:rPr>
                <w:sz w:val="22"/>
                <w:szCs w:val="22"/>
              </w:rPr>
              <w:t xml:space="preserve">National co-financing which is expected to be paid can be included in the </w:t>
            </w:r>
            <w:r w:rsidRPr="00232FDB">
              <w:rPr>
                <w:sz w:val="22"/>
                <w:szCs w:val="22"/>
              </w:rPr>
              <w:lastRenderedPageBreak/>
              <w:t xml:space="preserve">request for the interim payment  –  </w:t>
            </w:r>
            <w:r w:rsidRPr="00232FDB">
              <w:rPr>
                <w:i/>
                <w:sz w:val="22"/>
                <w:szCs w:val="22"/>
              </w:rPr>
              <w:t>Article 41 CPR</w:t>
            </w:r>
          </w:p>
        </w:tc>
      </w:tr>
      <w:tr w:rsidR="00A95C9C" w:rsidRPr="00232FDB" w:rsidTr="00A95C9C">
        <w:tc>
          <w:tcPr>
            <w:tcW w:w="1724" w:type="dxa"/>
            <w:shd w:val="clear" w:color="auto" w:fill="auto"/>
          </w:tcPr>
          <w:p w:rsidR="00A95C9C" w:rsidRPr="00232FDB" w:rsidRDefault="00A95C9C" w:rsidP="00BC06ED">
            <w:pPr>
              <w:spacing w:after="0"/>
              <w:rPr>
                <w:b/>
                <w:sz w:val="22"/>
                <w:szCs w:val="22"/>
              </w:rPr>
            </w:pPr>
            <w:r w:rsidRPr="00232FDB">
              <w:rPr>
                <w:b/>
                <w:sz w:val="22"/>
                <w:szCs w:val="22"/>
              </w:rPr>
              <w:lastRenderedPageBreak/>
              <w:t>Co-financing rates</w:t>
            </w:r>
          </w:p>
        </w:tc>
        <w:tc>
          <w:tcPr>
            <w:tcW w:w="4407" w:type="dxa"/>
            <w:gridSpan w:val="2"/>
            <w:shd w:val="clear" w:color="auto" w:fill="auto"/>
          </w:tcPr>
          <w:p w:rsidR="00A95C9C" w:rsidRPr="00232FDB" w:rsidRDefault="00A95C9C" w:rsidP="00472E31">
            <w:pPr>
              <w:autoSpaceDE w:val="0"/>
              <w:autoSpaceDN w:val="0"/>
              <w:adjustRightInd w:val="0"/>
              <w:spacing w:after="0"/>
              <w:jc w:val="left"/>
              <w:rPr>
                <w:sz w:val="22"/>
                <w:szCs w:val="22"/>
              </w:rPr>
            </w:pPr>
            <w:r w:rsidRPr="00232FDB">
              <w:rPr>
                <w:sz w:val="22"/>
                <w:szCs w:val="22"/>
              </w:rPr>
              <w:t>No distinction between grants and financial instruments.</w:t>
            </w:r>
          </w:p>
        </w:tc>
        <w:tc>
          <w:tcPr>
            <w:tcW w:w="2702" w:type="dxa"/>
            <w:shd w:val="clear" w:color="auto" w:fill="auto"/>
          </w:tcPr>
          <w:p w:rsidR="00A95C9C" w:rsidRPr="00232FDB" w:rsidRDefault="00A95C9C" w:rsidP="00472E31">
            <w:pPr>
              <w:autoSpaceDE w:val="0"/>
              <w:autoSpaceDN w:val="0"/>
              <w:adjustRightInd w:val="0"/>
              <w:spacing w:after="0"/>
              <w:jc w:val="left"/>
              <w:rPr>
                <w:sz w:val="22"/>
                <w:szCs w:val="22"/>
              </w:rPr>
            </w:pPr>
            <w:r w:rsidRPr="00232FDB">
              <w:rPr>
                <w:sz w:val="22"/>
                <w:szCs w:val="22"/>
              </w:rPr>
              <w:t xml:space="preserve">Where the whole priority axis is delivered through financial instruments the co-financing rate is increased by 10 percentage points and in case of contributions to an EU level financial instrument the co-financing rate can go up to 100%  – </w:t>
            </w:r>
            <w:r w:rsidRPr="00232FDB">
              <w:rPr>
                <w:i/>
                <w:sz w:val="22"/>
                <w:szCs w:val="22"/>
              </w:rPr>
              <w:t>Art 120(5)and (7)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Management costs and fees</w:t>
            </w:r>
          </w:p>
        </w:tc>
        <w:tc>
          <w:tcPr>
            <w:tcW w:w="2353" w:type="dxa"/>
            <w:shd w:val="clear" w:color="auto" w:fill="auto"/>
          </w:tcPr>
          <w:p w:rsidR="00A95C9C" w:rsidRPr="00232FDB" w:rsidRDefault="00A95C9C" w:rsidP="00BC5E3D">
            <w:pPr>
              <w:spacing w:after="0"/>
              <w:rPr>
                <w:sz w:val="22"/>
                <w:szCs w:val="22"/>
              </w:rPr>
            </w:pPr>
            <w:r w:rsidRPr="00232FDB">
              <w:rPr>
                <w:rFonts w:eastAsia="Calibri"/>
                <w:sz w:val="22"/>
                <w:szCs w:val="22"/>
              </w:rPr>
              <w:t>Management cost and fees  eligible under Article 43(4) of Implementing Regulation</w:t>
            </w:r>
            <w:r w:rsidR="006716E5" w:rsidRPr="00232FDB">
              <w:rPr>
                <w:rFonts w:eastAsia="Calibri"/>
                <w:sz w:val="22"/>
                <w:szCs w:val="22"/>
              </w:rPr>
              <w:t xml:space="preserve"> No 1828/2006</w:t>
            </w:r>
            <w:r w:rsidRPr="00232FDB">
              <w:rPr>
                <w:rFonts w:eastAsia="Calibri"/>
                <w:sz w:val="22"/>
                <w:szCs w:val="22"/>
              </w:rPr>
              <w:t xml:space="preserve"> (link to performance recommended by EC </w:t>
            </w:r>
            <w:r w:rsidRPr="00232FDB">
              <w:rPr>
                <w:sz w:val="22"/>
                <w:szCs w:val="22"/>
              </w:rPr>
              <w:t>in COCOF note</w:t>
            </w:r>
            <w:r w:rsidRPr="00232FDB">
              <w:rPr>
                <w:rFonts w:eastAsia="Calibri"/>
                <w:sz w:val="22"/>
                <w:szCs w:val="22"/>
              </w:rPr>
              <w:t>)</w:t>
            </w:r>
          </w:p>
        </w:tc>
        <w:tc>
          <w:tcPr>
            <w:tcW w:w="2054" w:type="dxa"/>
          </w:tcPr>
          <w:p w:rsidR="00A95C9C" w:rsidRPr="00232FDB" w:rsidRDefault="00A95C9C" w:rsidP="00A95C9C">
            <w:pPr>
              <w:spacing w:after="0"/>
              <w:rPr>
                <w:rFonts w:eastAsia="Calibri"/>
                <w:sz w:val="22"/>
                <w:szCs w:val="22"/>
              </w:rPr>
            </w:pPr>
            <w:r w:rsidRPr="00232FDB">
              <w:rPr>
                <w:rFonts w:eastAsia="Calibri"/>
                <w:sz w:val="22"/>
                <w:szCs w:val="22"/>
              </w:rPr>
              <w:t>Management costs and fees eligible under Article 52(1)(b) and limited by Article 51(5) of R</w:t>
            </w:r>
            <w:r w:rsidR="006716E5" w:rsidRPr="00232FDB">
              <w:rPr>
                <w:rFonts w:eastAsia="Calibri"/>
                <w:sz w:val="22"/>
                <w:szCs w:val="22"/>
              </w:rPr>
              <w:t>egulation</w:t>
            </w:r>
            <w:r w:rsidRPr="00232FDB">
              <w:rPr>
                <w:rFonts w:eastAsia="Calibri"/>
                <w:sz w:val="22"/>
                <w:szCs w:val="22"/>
              </w:rPr>
              <w:t xml:space="preserve"> </w:t>
            </w:r>
            <w:r w:rsidR="006716E5" w:rsidRPr="00232FDB">
              <w:rPr>
                <w:rFonts w:eastAsia="Calibri"/>
                <w:sz w:val="22"/>
                <w:szCs w:val="22"/>
              </w:rPr>
              <w:t xml:space="preserve">No </w:t>
            </w:r>
            <w:r w:rsidRPr="00232FDB">
              <w:rPr>
                <w:rFonts w:eastAsia="Calibri"/>
                <w:sz w:val="22"/>
                <w:szCs w:val="22"/>
              </w:rPr>
              <w:t>1974/2006 (link to performance recommended)</w:t>
            </w:r>
          </w:p>
        </w:tc>
        <w:tc>
          <w:tcPr>
            <w:tcW w:w="2702" w:type="dxa"/>
            <w:shd w:val="clear" w:color="auto" w:fill="auto"/>
          </w:tcPr>
          <w:p w:rsidR="00A95C9C" w:rsidRPr="00232FDB" w:rsidRDefault="00A95C9C" w:rsidP="00BC5E3D">
            <w:pPr>
              <w:spacing w:after="0"/>
              <w:rPr>
                <w:sz w:val="22"/>
                <w:szCs w:val="22"/>
              </w:rPr>
            </w:pPr>
            <w:r w:rsidRPr="00232FDB">
              <w:rPr>
                <w:rFonts w:eastAsia="Calibri"/>
                <w:sz w:val="22"/>
                <w:szCs w:val="22"/>
              </w:rPr>
              <w:t xml:space="preserve">Performance-oriented methodology of calculating management cost and fees as well as their thresholds </w:t>
            </w:r>
            <w:r w:rsidRPr="00232FDB">
              <w:rPr>
                <w:sz w:val="22"/>
                <w:szCs w:val="22"/>
              </w:rPr>
              <w:t xml:space="preserve">–  </w:t>
            </w:r>
            <w:r w:rsidRPr="00232FDB">
              <w:rPr>
                <w:rFonts w:eastAsia="Calibri"/>
                <w:i/>
                <w:sz w:val="22"/>
                <w:szCs w:val="22"/>
              </w:rPr>
              <w:t>Articles 42(1)(d) CPR and Articles 12, 13 and 14 CDR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rFonts w:eastAsia="Calibri"/>
                <w:b/>
                <w:sz w:val="22"/>
                <w:szCs w:val="22"/>
              </w:rPr>
              <w:t>Capitalised management costs and fees for equity-based instruments and micro-credit</w:t>
            </w:r>
          </w:p>
        </w:tc>
        <w:tc>
          <w:tcPr>
            <w:tcW w:w="4407" w:type="dxa"/>
            <w:gridSpan w:val="2"/>
            <w:shd w:val="clear" w:color="auto" w:fill="auto"/>
          </w:tcPr>
          <w:p w:rsidR="00A95C9C" w:rsidRPr="00232FDB" w:rsidRDefault="00A95C9C" w:rsidP="00A95C9C">
            <w:pPr>
              <w:spacing w:after="0"/>
              <w:rPr>
                <w:rFonts w:eastAsia="Calibri"/>
                <w:sz w:val="22"/>
                <w:szCs w:val="22"/>
              </w:rPr>
            </w:pPr>
            <w:r w:rsidRPr="00232FDB">
              <w:rPr>
                <w:rFonts w:eastAsia="Calibri"/>
                <w:sz w:val="22"/>
                <w:szCs w:val="22"/>
              </w:rPr>
              <w:t>Not eligible.</w:t>
            </w:r>
          </w:p>
        </w:tc>
        <w:tc>
          <w:tcPr>
            <w:tcW w:w="2702" w:type="dxa"/>
            <w:shd w:val="clear" w:color="auto" w:fill="auto"/>
          </w:tcPr>
          <w:p w:rsidR="00A95C9C" w:rsidRPr="00232FDB" w:rsidRDefault="00A95C9C" w:rsidP="00BC5E3D">
            <w:pPr>
              <w:spacing w:after="0"/>
              <w:rPr>
                <w:rFonts w:eastAsia="Calibri"/>
                <w:sz w:val="22"/>
                <w:szCs w:val="22"/>
              </w:rPr>
            </w:pPr>
            <w:r w:rsidRPr="00232FDB">
              <w:rPr>
                <w:rFonts w:eastAsia="Calibri"/>
                <w:sz w:val="22"/>
                <w:szCs w:val="22"/>
              </w:rPr>
              <w:t xml:space="preserve">The period for eligibility of capitalised management costs and fees in case of equity-based instruments and micro-credit is set at 6 years after the end of the eligibility period if investments in final recipients occurred within the regular eligibility period and an escrow account has been set up for that purpose </w:t>
            </w:r>
            <w:r w:rsidRPr="00232FDB">
              <w:rPr>
                <w:sz w:val="22"/>
                <w:szCs w:val="22"/>
              </w:rPr>
              <w:t xml:space="preserve">– </w:t>
            </w:r>
            <w:r w:rsidRPr="00232FDB">
              <w:rPr>
                <w:rFonts w:eastAsia="Calibri"/>
                <w:i/>
                <w:sz w:val="22"/>
                <w:szCs w:val="22"/>
              </w:rPr>
              <w:t>Art 42(2) CPR and Article 14 CDR</w:t>
            </w:r>
          </w:p>
        </w:tc>
      </w:tr>
      <w:tr w:rsidR="00A95C9C" w:rsidRPr="00232FDB" w:rsidTr="00A95C9C">
        <w:tc>
          <w:tcPr>
            <w:tcW w:w="1724" w:type="dxa"/>
            <w:shd w:val="clear" w:color="auto" w:fill="auto"/>
          </w:tcPr>
          <w:p w:rsidR="00A95C9C" w:rsidRPr="00232FDB" w:rsidRDefault="00A95C9C" w:rsidP="00FE41EC">
            <w:pPr>
              <w:spacing w:after="0"/>
              <w:rPr>
                <w:b/>
                <w:sz w:val="22"/>
                <w:szCs w:val="22"/>
              </w:rPr>
            </w:pPr>
            <w:r w:rsidRPr="00232FDB">
              <w:rPr>
                <w:b/>
                <w:sz w:val="22"/>
                <w:szCs w:val="22"/>
              </w:rPr>
              <w:t>Interest (treasury management), resources returned, legacy resources</w:t>
            </w:r>
          </w:p>
        </w:tc>
        <w:tc>
          <w:tcPr>
            <w:tcW w:w="2353" w:type="dxa"/>
            <w:shd w:val="clear" w:color="auto" w:fill="auto"/>
          </w:tcPr>
          <w:p w:rsidR="00A95C9C" w:rsidRPr="00232FDB" w:rsidRDefault="00A95C9C" w:rsidP="00642AC6">
            <w:pPr>
              <w:spacing w:after="0"/>
              <w:rPr>
                <w:sz w:val="22"/>
                <w:szCs w:val="22"/>
              </w:rPr>
            </w:pPr>
            <w:r w:rsidRPr="00232FDB">
              <w:rPr>
                <w:sz w:val="22"/>
                <w:szCs w:val="22"/>
              </w:rPr>
              <w:t>Legal basis set out in successive amendments of the Regulations and recommendations set out in COCOF note</w:t>
            </w:r>
          </w:p>
        </w:tc>
        <w:tc>
          <w:tcPr>
            <w:tcW w:w="2054" w:type="dxa"/>
          </w:tcPr>
          <w:p w:rsidR="00A95C9C" w:rsidRPr="00232FDB" w:rsidRDefault="00A95C9C" w:rsidP="00A95C9C">
            <w:pPr>
              <w:spacing w:after="0"/>
              <w:rPr>
                <w:sz w:val="22"/>
                <w:szCs w:val="22"/>
              </w:rPr>
            </w:pPr>
            <w:r w:rsidRPr="00232FDB">
              <w:rPr>
                <w:sz w:val="22"/>
                <w:szCs w:val="22"/>
              </w:rPr>
              <w:t>Interest generated from payments from RDPs to financial instruments to be used for the purpose of the fund.</w:t>
            </w:r>
          </w:p>
        </w:tc>
        <w:tc>
          <w:tcPr>
            <w:tcW w:w="2702" w:type="dxa"/>
            <w:shd w:val="clear" w:color="auto" w:fill="auto"/>
          </w:tcPr>
          <w:p w:rsidR="00A95C9C" w:rsidRPr="00232FDB" w:rsidRDefault="00A95C9C" w:rsidP="00B21D98">
            <w:pPr>
              <w:spacing w:after="0"/>
              <w:rPr>
                <w:rFonts w:eastAsia="Calibri"/>
                <w:i/>
                <w:sz w:val="22"/>
                <w:szCs w:val="22"/>
              </w:rPr>
            </w:pPr>
            <w:r w:rsidRPr="00232FDB">
              <w:rPr>
                <w:sz w:val="22"/>
                <w:szCs w:val="22"/>
              </w:rPr>
              <w:t xml:space="preserve">Full provisions set out from outset – </w:t>
            </w:r>
          </w:p>
          <w:p w:rsidR="00A95C9C" w:rsidRPr="00232FDB" w:rsidRDefault="00A95C9C" w:rsidP="00B21D98">
            <w:pPr>
              <w:spacing w:after="0"/>
              <w:rPr>
                <w:sz w:val="22"/>
                <w:szCs w:val="22"/>
              </w:rPr>
            </w:pPr>
            <w:r w:rsidRPr="00232FDB">
              <w:rPr>
                <w:rFonts w:eastAsia="Calibri"/>
                <w:i/>
                <w:sz w:val="22"/>
                <w:szCs w:val="22"/>
              </w:rPr>
              <w:t>Articles  43, 44 and 45 CPR</w:t>
            </w:r>
          </w:p>
        </w:tc>
      </w:tr>
      <w:tr w:rsidR="00A95C9C" w:rsidRPr="00232FDB" w:rsidTr="00A95C9C">
        <w:tc>
          <w:tcPr>
            <w:tcW w:w="1724" w:type="dxa"/>
            <w:shd w:val="clear" w:color="auto" w:fill="auto"/>
          </w:tcPr>
          <w:p w:rsidR="00A95C9C" w:rsidRPr="00232FDB" w:rsidRDefault="00A95C9C" w:rsidP="00BC6FEC">
            <w:pPr>
              <w:spacing w:after="0"/>
              <w:rPr>
                <w:b/>
                <w:sz w:val="22"/>
                <w:szCs w:val="22"/>
              </w:rPr>
            </w:pPr>
            <w:r w:rsidRPr="00232FDB">
              <w:rPr>
                <w:b/>
                <w:sz w:val="22"/>
                <w:szCs w:val="22"/>
              </w:rPr>
              <w:t>Reporting</w:t>
            </w:r>
          </w:p>
        </w:tc>
        <w:tc>
          <w:tcPr>
            <w:tcW w:w="2353" w:type="dxa"/>
            <w:shd w:val="clear" w:color="auto" w:fill="auto"/>
          </w:tcPr>
          <w:p w:rsidR="00A95C9C" w:rsidRPr="00232FDB" w:rsidRDefault="00A95C9C" w:rsidP="00642AC6">
            <w:pPr>
              <w:spacing w:after="0"/>
              <w:rPr>
                <w:sz w:val="22"/>
                <w:szCs w:val="22"/>
              </w:rPr>
            </w:pPr>
            <w:r w:rsidRPr="00232FDB">
              <w:rPr>
                <w:sz w:val="22"/>
                <w:szCs w:val="22"/>
              </w:rPr>
              <w:t>Compulsory reporting only from 2011 onwards and on a limited range of indicators.</w:t>
            </w:r>
          </w:p>
        </w:tc>
        <w:tc>
          <w:tcPr>
            <w:tcW w:w="2054" w:type="dxa"/>
          </w:tcPr>
          <w:p w:rsidR="00A95C9C" w:rsidRPr="00232FDB" w:rsidRDefault="00A95C9C" w:rsidP="00E926DD">
            <w:pPr>
              <w:spacing w:after="0"/>
              <w:rPr>
                <w:sz w:val="22"/>
                <w:szCs w:val="22"/>
              </w:rPr>
            </w:pPr>
            <w:r w:rsidRPr="00232FDB">
              <w:rPr>
                <w:sz w:val="22"/>
                <w:szCs w:val="22"/>
              </w:rPr>
              <w:t>No compulsory reporting – part of the general annual reporting on the programme's implementation.</w:t>
            </w:r>
          </w:p>
        </w:tc>
        <w:tc>
          <w:tcPr>
            <w:tcW w:w="2702" w:type="dxa"/>
            <w:shd w:val="clear" w:color="auto" w:fill="auto"/>
          </w:tcPr>
          <w:p w:rsidR="00A95C9C" w:rsidRPr="00232FDB" w:rsidRDefault="00A95C9C" w:rsidP="00E926DD">
            <w:pPr>
              <w:spacing w:after="0"/>
              <w:rPr>
                <w:sz w:val="22"/>
                <w:szCs w:val="22"/>
              </w:rPr>
            </w:pPr>
            <w:r w:rsidRPr="00232FDB">
              <w:rPr>
                <w:sz w:val="22"/>
                <w:szCs w:val="22"/>
              </w:rPr>
              <w:t xml:space="preserve">Compulsory reporting from the outset, on a range of indicators linked to the Financial Regulation – </w:t>
            </w:r>
            <w:r w:rsidRPr="00232FDB">
              <w:rPr>
                <w:rFonts w:eastAsia="Calibri"/>
                <w:i/>
                <w:sz w:val="22"/>
                <w:szCs w:val="22"/>
              </w:rPr>
              <w:t>Article 46 CPR</w:t>
            </w:r>
          </w:p>
        </w:tc>
      </w:tr>
      <w:tr w:rsidR="00A95C9C" w:rsidRPr="00232FDB" w:rsidTr="00A95C9C">
        <w:tc>
          <w:tcPr>
            <w:tcW w:w="1724" w:type="dxa"/>
            <w:shd w:val="clear" w:color="auto" w:fill="auto"/>
          </w:tcPr>
          <w:p w:rsidR="00A95C9C" w:rsidRPr="00232FDB" w:rsidRDefault="00A95C9C" w:rsidP="00BC6FEC">
            <w:pPr>
              <w:spacing w:after="0"/>
              <w:ind w:left="34"/>
              <w:jc w:val="left"/>
              <w:rPr>
                <w:rFonts w:eastAsia="Calibri"/>
                <w:b/>
                <w:sz w:val="22"/>
                <w:szCs w:val="22"/>
              </w:rPr>
            </w:pPr>
            <w:r w:rsidRPr="00232FDB">
              <w:rPr>
                <w:rFonts w:eastAsia="Calibri"/>
                <w:b/>
                <w:sz w:val="22"/>
                <w:szCs w:val="22"/>
              </w:rPr>
              <w:t>Combination of grant and financial instrument</w:t>
            </w:r>
          </w:p>
        </w:tc>
        <w:tc>
          <w:tcPr>
            <w:tcW w:w="2353" w:type="dxa"/>
            <w:shd w:val="clear" w:color="auto" w:fill="auto"/>
          </w:tcPr>
          <w:p w:rsidR="00A95C9C" w:rsidRPr="00232FDB" w:rsidRDefault="00A95C9C" w:rsidP="00283CE2">
            <w:pPr>
              <w:spacing w:after="0"/>
              <w:jc w:val="left"/>
              <w:rPr>
                <w:rFonts w:eastAsia="Calibri"/>
                <w:sz w:val="22"/>
                <w:szCs w:val="22"/>
              </w:rPr>
            </w:pPr>
            <w:r w:rsidRPr="00232FDB">
              <w:rPr>
                <w:rFonts w:eastAsia="Calibri"/>
                <w:sz w:val="22"/>
                <w:szCs w:val="22"/>
              </w:rPr>
              <w:t xml:space="preserve">Article 43(6) of the Implementing Regulation provided for combination of grant and financial instrument, for a specific area, at the level of final recipients as two separate operations. Combination of grant </w:t>
            </w:r>
            <w:r w:rsidRPr="00232FDB">
              <w:rPr>
                <w:rFonts w:eastAsia="Calibri"/>
                <w:sz w:val="22"/>
                <w:szCs w:val="22"/>
              </w:rPr>
              <w:lastRenderedPageBreak/>
              <w:t xml:space="preserve">and financial instruments in one operation </w:t>
            </w:r>
            <w:r w:rsidR="00283CE2">
              <w:rPr>
                <w:rFonts w:eastAsia="Calibri"/>
                <w:sz w:val="22"/>
                <w:szCs w:val="22"/>
              </w:rPr>
              <w:t xml:space="preserve">clarified </w:t>
            </w:r>
            <w:r w:rsidRPr="00232FDB">
              <w:rPr>
                <w:rFonts w:eastAsia="Calibri"/>
                <w:sz w:val="22"/>
                <w:szCs w:val="22"/>
              </w:rPr>
              <w:t>in COCOF note (paragraph 4.3.1)</w:t>
            </w:r>
          </w:p>
        </w:tc>
        <w:tc>
          <w:tcPr>
            <w:tcW w:w="2054" w:type="dxa"/>
          </w:tcPr>
          <w:p w:rsidR="00A95C9C" w:rsidRPr="00232FDB" w:rsidRDefault="00A95C9C" w:rsidP="00A95C9C">
            <w:pPr>
              <w:spacing w:after="0"/>
              <w:ind w:left="34"/>
              <w:rPr>
                <w:rFonts w:eastAsia="Calibri"/>
                <w:sz w:val="22"/>
                <w:szCs w:val="22"/>
              </w:rPr>
            </w:pPr>
            <w:r w:rsidRPr="00232FDB">
              <w:rPr>
                <w:rFonts w:eastAsia="Calibri"/>
                <w:sz w:val="22"/>
                <w:szCs w:val="22"/>
              </w:rPr>
              <w:lastRenderedPageBreak/>
              <w:t>No specific rules. General principles apply.</w:t>
            </w:r>
          </w:p>
          <w:p w:rsidR="00A95C9C" w:rsidRPr="00232FDB" w:rsidRDefault="00A95C9C" w:rsidP="00A95C9C">
            <w:pPr>
              <w:spacing w:after="0"/>
              <w:ind w:left="34"/>
              <w:rPr>
                <w:rFonts w:eastAsia="Calibri"/>
                <w:sz w:val="22"/>
                <w:szCs w:val="22"/>
              </w:rPr>
            </w:pPr>
          </w:p>
          <w:p w:rsidR="00A95C9C" w:rsidRPr="00232FDB" w:rsidRDefault="00A95C9C" w:rsidP="00A95C9C">
            <w:pPr>
              <w:spacing w:after="0"/>
              <w:ind w:left="34"/>
              <w:rPr>
                <w:rFonts w:eastAsia="Calibri"/>
                <w:sz w:val="22"/>
                <w:szCs w:val="22"/>
              </w:rPr>
            </w:pPr>
            <w:r w:rsidRPr="00232FDB">
              <w:rPr>
                <w:rFonts w:eastAsia="Calibri"/>
                <w:sz w:val="22"/>
                <w:szCs w:val="22"/>
              </w:rPr>
              <w:t>Interest rate subsidies seen as a separate form of support from FEI under Article 49 of R 1974/2006.</w:t>
            </w:r>
          </w:p>
        </w:tc>
        <w:tc>
          <w:tcPr>
            <w:tcW w:w="2702" w:type="dxa"/>
            <w:shd w:val="clear" w:color="auto" w:fill="auto"/>
          </w:tcPr>
          <w:p w:rsidR="00A95C9C" w:rsidRPr="00232FDB" w:rsidRDefault="00A95C9C" w:rsidP="00E926DD">
            <w:pPr>
              <w:spacing w:after="0"/>
              <w:ind w:left="34"/>
              <w:rPr>
                <w:rFonts w:eastAsia="Calibri"/>
                <w:sz w:val="22"/>
                <w:szCs w:val="22"/>
              </w:rPr>
            </w:pPr>
            <w:r w:rsidRPr="00232FDB">
              <w:rPr>
                <w:rFonts w:eastAsia="Calibri"/>
                <w:sz w:val="22"/>
                <w:szCs w:val="22"/>
              </w:rPr>
              <w:t xml:space="preserve">The CPR contains provisions on combination of financial instruments and grants within FI operation (e.g. interest rate subsidy or guarantee fee subsidy) and as two distinct operations </w:t>
            </w:r>
            <w:r w:rsidRPr="00232FDB">
              <w:rPr>
                <w:sz w:val="22"/>
                <w:szCs w:val="22"/>
              </w:rPr>
              <w:t xml:space="preserve">– </w:t>
            </w:r>
            <w:r w:rsidRPr="00232FDB">
              <w:rPr>
                <w:rFonts w:eastAsia="Calibri"/>
                <w:i/>
                <w:sz w:val="22"/>
                <w:szCs w:val="22"/>
              </w:rPr>
              <w:t>Article 37(7)(8)(9) CPR</w:t>
            </w:r>
          </w:p>
        </w:tc>
      </w:tr>
      <w:tr w:rsidR="00A95C9C" w:rsidRPr="00232FDB" w:rsidTr="00A95C9C">
        <w:tc>
          <w:tcPr>
            <w:tcW w:w="1724" w:type="dxa"/>
            <w:shd w:val="clear" w:color="auto" w:fill="auto"/>
          </w:tcPr>
          <w:p w:rsidR="00A95C9C" w:rsidRPr="00232FDB" w:rsidRDefault="00A95C9C" w:rsidP="00BC6FEC">
            <w:pPr>
              <w:spacing w:after="0"/>
              <w:ind w:left="34"/>
              <w:jc w:val="left"/>
              <w:rPr>
                <w:rFonts w:eastAsia="Calibri"/>
                <w:b/>
                <w:sz w:val="22"/>
                <w:szCs w:val="22"/>
              </w:rPr>
            </w:pPr>
            <w:r w:rsidRPr="00232FDB">
              <w:rPr>
                <w:rFonts w:eastAsia="Calibri"/>
                <w:b/>
                <w:sz w:val="22"/>
                <w:szCs w:val="22"/>
              </w:rPr>
              <w:lastRenderedPageBreak/>
              <w:t>Capitalised interest rates subsidies and guarantee fee subsidies</w:t>
            </w:r>
          </w:p>
        </w:tc>
        <w:tc>
          <w:tcPr>
            <w:tcW w:w="2353" w:type="dxa"/>
            <w:shd w:val="clear" w:color="auto" w:fill="auto"/>
          </w:tcPr>
          <w:p w:rsidR="00A95C9C" w:rsidRPr="00232FDB" w:rsidRDefault="00417618" w:rsidP="00417618">
            <w:pPr>
              <w:autoSpaceDE w:val="0"/>
              <w:autoSpaceDN w:val="0"/>
              <w:adjustRightInd w:val="0"/>
              <w:spacing w:after="0"/>
              <w:jc w:val="left"/>
              <w:rPr>
                <w:rFonts w:eastAsia="Calibri"/>
                <w:sz w:val="22"/>
                <w:szCs w:val="22"/>
              </w:rPr>
            </w:pPr>
            <w:r>
              <w:rPr>
                <w:rFonts w:eastAsia="Calibri"/>
                <w:sz w:val="22"/>
                <w:szCs w:val="22"/>
              </w:rPr>
              <w:t xml:space="preserve">The </w:t>
            </w:r>
            <w:r w:rsidR="001D6203">
              <w:rPr>
                <w:rFonts w:eastAsia="Calibri"/>
                <w:sz w:val="22"/>
                <w:szCs w:val="22"/>
              </w:rPr>
              <w:t>e</w:t>
            </w:r>
            <w:r w:rsidR="00A95C9C" w:rsidRPr="00232FDB">
              <w:rPr>
                <w:rFonts w:eastAsia="Calibri"/>
                <w:sz w:val="22"/>
                <w:szCs w:val="22"/>
              </w:rPr>
              <w:t xml:space="preserve">ligibility of this type of expenditure </w:t>
            </w:r>
            <w:r>
              <w:rPr>
                <w:rFonts w:eastAsia="Calibri"/>
                <w:sz w:val="22"/>
                <w:szCs w:val="22"/>
              </w:rPr>
              <w:t xml:space="preserve">was clarified in </w:t>
            </w:r>
            <w:r w:rsidR="0091717E">
              <w:rPr>
                <w:rFonts w:eastAsia="Calibri"/>
                <w:sz w:val="22"/>
                <w:szCs w:val="22"/>
              </w:rPr>
              <w:t xml:space="preserve">the </w:t>
            </w:r>
            <w:r w:rsidR="0091717E" w:rsidRPr="00232FDB">
              <w:rPr>
                <w:rFonts w:eastAsia="Calibri"/>
                <w:sz w:val="22"/>
                <w:szCs w:val="22"/>
              </w:rPr>
              <w:t>guidelines</w:t>
            </w:r>
            <w:r w:rsidR="00A95C9C" w:rsidRPr="00232FDB">
              <w:rPr>
                <w:rFonts w:eastAsia="Calibri"/>
                <w:sz w:val="22"/>
                <w:szCs w:val="22"/>
              </w:rPr>
              <w:t xml:space="preserve"> on the closure of programmes 2007-2013 (ERDF, CF and ESF).</w:t>
            </w:r>
          </w:p>
        </w:tc>
        <w:tc>
          <w:tcPr>
            <w:tcW w:w="2054" w:type="dxa"/>
          </w:tcPr>
          <w:p w:rsidR="00A95C9C" w:rsidRPr="00232FDB" w:rsidRDefault="00A95C9C" w:rsidP="00E926DD">
            <w:pPr>
              <w:spacing w:after="0"/>
              <w:ind w:left="34"/>
              <w:rPr>
                <w:rFonts w:eastAsia="Calibri"/>
                <w:sz w:val="22"/>
                <w:szCs w:val="22"/>
              </w:rPr>
            </w:pPr>
            <w:r w:rsidRPr="00232FDB">
              <w:rPr>
                <w:rFonts w:eastAsia="Calibri"/>
                <w:sz w:val="22"/>
                <w:szCs w:val="22"/>
              </w:rPr>
              <w:t>Not eligible.</w:t>
            </w:r>
          </w:p>
        </w:tc>
        <w:tc>
          <w:tcPr>
            <w:tcW w:w="2702" w:type="dxa"/>
            <w:shd w:val="clear" w:color="auto" w:fill="auto"/>
          </w:tcPr>
          <w:p w:rsidR="00A95C9C" w:rsidRPr="00232FDB" w:rsidRDefault="00A95C9C" w:rsidP="00E926DD">
            <w:pPr>
              <w:spacing w:after="0"/>
              <w:ind w:left="34"/>
              <w:rPr>
                <w:rFonts w:eastAsia="Calibri"/>
                <w:sz w:val="22"/>
                <w:szCs w:val="22"/>
              </w:rPr>
            </w:pPr>
            <w:r w:rsidRPr="00232FDB">
              <w:rPr>
                <w:rFonts w:eastAsia="Calibri"/>
                <w:sz w:val="22"/>
                <w:szCs w:val="22"/>
              </w:rPr>
              <w:t xml:space="preserve">Capitalised interest rates subsidies and guarantee fee subsidies, due to be paid for a period not exceeding 10 years after the end of the eligibility period are considered eligible expenditure under certain conditions </w:t>
            </w:r>
            <w:r w:rsidRPr="00232FDB">
              <w:rPr>
                <w:sz w:val="22"/>
                <w:szCs w:val="22"/>
              </w:rPr>
              <w:t xml:space="preserve">– </w:t>
            </w:r>
            <w:r w:rsidRPr="00232FDB">
              <w:rPr>
                <w:rFonts w:eastAsia="Calibri"/>
                <w:i/>
                <w:sz w:val="22"/>
                <w:szCs w:val="22"/>
              </w:rPr>
              <w:t>Article 42(1)(c) CPR</w:t>
            </w:r>
          </w:p>
        </w:tc>
      </w:tr>
      <w:tr w:rsidR="00A95C9C" w:rsidRPr="00232FDB" w:rsidTr="00A95C9C">
        <w:tc>
          <w:tcPr>
            <w:tcW w:w="1724" w:type="dxa"/>
            <w:shd w:val="clear" w:color="auto" w:fill="auto"/>
          </w:tcPr>
          <w:p w:rsidR="00A95C9C" w:rsidRPr="00232FDB" w:rsidRDefault="00A95C9C" w:rsidP="000C6C61">
            <w:pPr>
              <w:spacing w:after="0"/>
              <w:ind w:left="34"/>
              <w:rPr>
                <w:rFonts w:eastAsia="Calibri"/>
                <w:b/>
                <w:sz w:val="22"/>
                <w:szCs w:val="22"/>
              </w:rPr>
            </w:pPr>
            <w:r w:rsidRPr="00232FDB">
              <w:rPr>
                <w:rFonts w:eastAsia="Calibri"/>
                <w:b/>
                <w:sz w:val="22"/>
                <w:szCs w:val="22"/>
              </w:rPr>
              <w:t>Follow-on investments, after the end of the eligibility period, in case of equity and equity-based instruments</w:t>
            </w:r>
          </w:p>
        </w:tc>
        <w:tc>
          <w:tcPr>
            <w:tcW w:w="4407" w:type="dxa"/>
            <w:gridSpan w:val="2"/>
            <w:shd w:val="clear" w:color="auto" w:fill="auto"/>
          </w:tcPr>
          <w:p w:rsidR="00A95C9C" w:rsidRPr="00232FDB" w:rsidRDefault="00A95C9C" w:rsidP="00B21D98">
            <w:pPr>
              <w:spacing w:after="0"/>
              <w:ind w:left="34"/>
              <w:rPr>
                <w:rFonts w:eastAsia="Calibri"/>
                <w:sz w:val="22"/>
                <w:szCs w:val="22"/>
              </w:rPr>
            </w:pPr>
            <w:r w:rsidRPr="00232FDB">
              <w:rPr>
                <w:rFonts w:eastAsia="Calibri"/>
                <w:sz w:val="22"/>
                <w:szCs w:val="22"/>
              </w:rPr>
              <w:t>Not eligible.</w:t>
            </w:r>
          </w:p>
        </w:tc>
        <w:tc>
          <w:tcPr>
            <w:tcW w:w="2702" w:type="dxa"/>
            <w:shd w:val="clear" w:color="auto" w:fill="auto"/>
          </w:tcPr>
          <w:p w:rsidR="00A95C9C" w:rsidRPr="00232FDB" w:rsidRDefault="00A95C9C" w:rsidP="00B21D98">
            <w:pPr>
              <w:spacing w:after="0"/>
              <w:ind w:left="34"/>
              <w:rPr>
                <w:rFonts w:eastAsia="Calibri"/>
                <w:sz w:val="22"/>
                <w:szCs w:val="22"/>
              </w:rPr>
            </w:pPr>
            <w:r w:rsidRPr="00232FDB">
              <w:rPr>
                <w:rFonts w:eastAsia="Calibri"/>
                <w:sz w:val="22"/>
                <w:szCs w:val="22"/>
              </w:rPr>
              <w:t xml:space="preserve">Follow-on investments into final recipients within 4 years  after the end of the eligibility period are eligible, under certain conditions </w:t>
            </w:r>
            <w:r w:rsidRPr="00232FDB">
              <w:rPr>
                <w:sz w:val="22"/>
                <w:szCs w:val="22"/>
              </w:rPr>
              <w:t xml:space="preserve">– </w:t>
            </w:r>
            <w:r w:rsidRPr="00232FDB">
              <w:rPr>
                <w:rFonts w:eastAsia="Calibri"/>
                <w:sz w:val="22"/>
                <w:szCs w:val="22"/>
              </w:rPr>
              <w:t xml:space="preserve"> </w:t>
            </w:r>
            <w:r w:rsidRPr="00232FDB">
              <w:rPr>
                <w:rFonts w:eastAsia="Calibri"/>
                <w:i/>
                <w:sz w:val="22"/>
                <w:szCs w:val="22"/>
              </w:rPr>
              <w:t>Article 42(3) CPR</w:t>
            </w:r>
          </w:p>
        </w:tc>
      </w:tr>
    </w:tbl>
    <w:p w:rsidR="00476B1B" w:rsidRPr="00232FDB" w:rsidRDefault="00476B1B" w:rsidP="00476B1B">
      <w:pPr>
        <w:spacing w:after="120"/>
        <w:rPr>
          <w:rFonts w:eastAsia="Calibri"/>
          <w:szCs w:val="24"/>
        </w:rPr>
      </w:pPr>
    </w:p>
    <w:p w:rsidR="00EF7D13" w:rsidRDefault="00EF7D13" w:rsidP="00476B1B">
      <w:pPr>
        <w:rPr>
          <w:rFonts w:eastAsia="Calibri"/>
          <w:szCs w:val="24"/>
        </w:rPr>
      </w:pPr>
      <w:r>
        <w:rPr>
          <w:rFonts w:eastAsia="Calibri"/>
          <w:szCs w:val="24"/>
        </w:rPr>
        <w:t>Additional EAFRD</w:t>
      </w:r>
      <w:r w:rsidR="002A6A17">
        <w:rPr>
          <w:rFonts w:eastAsia="Calibri"/>
          <w:szCs w:val="24"/>
        </w:rPr>
        <w:t xml:space="preserve"> </w:t>
      </w:r>
      <w:r>
        <w:rPr>
          <w:rFonts w:eastAsia="Calibri"/>
          <w:szCs w:val="24"/>
        </w:rPr>
        <w:t xml:space="preserve">specific eligibility requirements are also set out in the EAFRD Regulation and in its Delegated Regulation No 807/2014 as general investment related or </w:t>
      </w:r>
      <w:r w:rsidR="00D3239D">
        <w:rPr>
          <w:rFonts w:eastAsia="Calibri"/>
          <w:szCs w:val="24"/>
        </w:rPr>
        <w:t xml:space="preserve">final </w:t>
      </w:r>
      <w:r>
        <w:rPr>
          <w:rFonts w:eastAsia="Calibri"/>
          <w:szCs w:val="24"/>
        </w:rPr>
        <w:t>recipient related eligibility requirements (e.g. no purchase of animals and annual plants, working capital thresholds for agriculture and forestry, thresholds for maximum proportions of certain inputs for bioenergy production, specific targeted groups as final recipients, etc.)</w:t>
      </w:r>
    </w:p>
    <w:p w:rsidR="00610CBE" w:rsidRDefault="002C64B0" w:rsidP="00476B1B">
      <w:pPr>
        <w:rPr>
          <w:rFonts w:eastAsia="Calibri"/>
          <w:szCs w:val="24"/>
        </w:rPr>
      </w:pPr>
      <w:r w:rsidRPr="00232FDB">
        <w:rPr>
          <w:rFonts w:eastAsia="Calibri"/>
          <w:szCs w:val="24"/>
        </w:rPr>
        <w:t xml:space="preserve">On what concerns </w:t>
      </w:r>
      <w:r w:rsidR="00610CBE" w:rsidRPr="00232FDB">
        <w:rPr>
          <w:rFonts w:eastAsia="Calibri"/>
          <w:szCs w:val="24"/>
        </w:rPr>
        <w:t xml:space="preserve">the EMFF, in addition to the applicability of the CPR provisions concerning financial instruments, and </w:t>
      </w:r>
      <w:r w:rsidR="00863243" w:rsidRPr="00232FDB">
        <w:rPr>
          <w:rFonts w:eastAsia="Calibri"/>
          <w:szCs w:val="24"/>
        </w:rPr>
        <w:t xml:space="preserve">in contrast </w:t>
      </w:r>
      <w:r w:rsidR="00610CBE" w:rsidRPr="00232FDB">
        <w:rPr>
          <w:rFonts w:eastAsia="Calibri"/>
          <w:szCs w:val="24"/>
        </w:rPr>
        <w:t>to the situation under the European Fisheries Fund</w:t>
      </w:r>
      <w:r w:rsidR="00AD736E" w:rsidRPr="00232FDB">
        <w:rPr>
          <w:rFonts w:eastAsia="Calibri"/>
          <w:szCs w:val="24"/>
        </w:rPr>
        <w:t xml:space="preserve"> for 2007-2013</w:t>
      </w:r>
      <w:r w:rsidR="00610CBE" w:rsidRPr="00232FDB">
        <w:rPr>
          <w:rFonts w:eastAsia="Calibri"/>
          <w:szCs w:val="24"/>
        </w:rPr>
        <w:t>, the EMFF includes an obligation that support provided to enterprises in the processing sector other than SMEs must be through fi</w:t>
      </w:r>
      <w:r w:rsidR="0068287D" w:rsidRPr="00232FDB">
        <w:rPr>
          <w:rFonts w:eastAsia="Calibri"/>
          <w:szCs w:val="24"/>
        </w:rPr>
        <w:t>nancial instruments (Article 69(</w:t>
      </w:r>
      <w:r w:rsidR="00610CBE" w:rsidRPr="00232FDB">
        <w:rPr>
          <w:rFonts w:eastAsia="Calibri"/>
          <w:szCs w:val="24"/>
        </w:rPr>
        <w:t>2</w:t>
      </w:r>
      <w:r w:rsidR="0068287D" w:rsidRPr="00232FDB">
        <w:rPr>
          <w:rFonts w:eastAsia="Calibri"/>
          <w:szCs w:val="24"/>
        </w:rPr>
        <w:t>)</w:t>
      </w:r>
      <w:r w:rsidR="00610CBE" w:rsidRPr="00232FDB">
        <w:rPr>
          <w:rFonts w:eastAsia="Calibri"/>
          <w:szCs w:val="24"/>
        </w:rPr>
        <w:t xml:space="preserve"> EMFF).</w:t>
      </w:r>
    </w:p>
    <w:p w:rsidR="00877139" w:rsidRPr="00232FDB" w:rsidRDefault="0088459E" w:rsidP="00476B1B">
      <w:pPr>
        <w:pStyle w:val="Heading1"/>
        <w:numPr>
          <w:ilvl w:val="0"/>
          <w:numId w:val="19"/>
        </w:numPr>
        <w:spacing w:before="0"/>
      </w:pPr>
      <w:bookmarkStart w:id="9" w:name="_Toc422385423"/>
      <w:bookmarkStart w:id="10" w:name="_Toc422385787"/>
      <w:bookmarkStart w:id="11" w:name="_Toc422900413"/>
      <w:bookmarkStart w:id="12" w:name="_Toc445141402"/>
      <w:r w:rsidRPr="00232FDB">
        <w:t>E</w:t>
      </w:r>
      <w:r w:rsidR="006B4E54" w:rsidRPr="00232FDB">
        <w:t xml:space="preserve">ligible expenditure </w:t>
      </w:r>
      <w:bookmarkEnd w:id="9"/>
      <w:bookmarkEnd w:id="10"/>
      <w:bookmarkEnd w:id="11"/>
      <w:r w:rsidR="006B4E54" w:rsidRPr="00232FDB">
        <w:t>for financial instruments</w:t>
      </w:r>
      <w:bookmarkEnd w:id="12"/>
    </w:p>
    <w:p w:rsidR="0095116F" w:rsidRPr="00232FDB" w:rsidRDefault="0095116F" w:rsidP="00476B1B">
      <w:pPr>
        <w:rPr>
          <w:rFonts w:eastAsia="Calibri"/>
          <w:szCs w:val="24"/>
          <w:lang w:eastAsia="en-GB"/>
        </w:rPr>
      </w:pPr>
      <w:r w:rsidRPr="00232FDB">
        <w:t>The general rule for the eligibility of expenditure for a contribution from ESI</w:t>
      </w:r>
      <w:r w:rsidR="00226CB1">
        <w:t xml:space="preserve"> </w:t>
      </w:r>
      <w:r w:rsidRPr="00232FDB">
        <w:t>F</w:t>
      </w:r>
      <w:r w:rsidR="00226CB1">
        <w:t>unds</w:t>
      </w:r>
      <w:r w:rsidRPr="00232FDB">
        <w:t xml:space="preserve"> is provided for in Article 65(2) CPR. Under this provision  expenditure </w:t>
      </w:r>
      <w:r w:rsidR="006B098C">
        <w:t>is</w:t>
      </w:r>
      <w:r w:rsidR="006B098C" w:rsidRPr="00232FDB">
        <w:t xml:space="preserve"> </w:t>
      </w:r>
      <w:r w:rsidRPr="00232FDB">
        <w:t>be eligible for a contribution from the ESI</w:t>
      </w:r>
      <w:r w:rsidR="00226CB1">
        <w:t xml:space="preserve"> </w:t>
      </w:r>
      <w:r w:rsidRPr="00232FDB">
        <w:t>F</w:t>
      </w:r>
      <w:r w:rsidR="00226CB1">
        <w:t>unds</w:t>
      </w:r>
      <w:r w:rsidRPr="00232FDB">
        <w:t xml:space="preserve"> if it has been incurred by a beneficiary and paid between the date of submission of the programme to the Commission or from 1 January 2014, whichever is earlier, and 31 December 2023. </w:t>
      </w:r>
      <w:r w:rsidRPr="00232FDB">
        <w:rPr>
          <w:rFonts w:eastAsia="Calibri"/>
          <w:szCs w:val="24"/>
          <w:lang w:eastAsia="en-GB"/>
        </w:rPr>
        <w:t xml:space="preserve">In addition, the eligibility of expenditure has to comply with the CPR rules, Fund specific rules and with the national rules as provided for in Article 65(1) CPR and be in line with requirements set out under the relevant programme and priority (in this regard please refer to </w:t>
      </w:r>
      <w:r w:rsidRPr="00232FDB">
        <w:rPr>
          <w:rFonts w:eastAsia="Calibri"/>
          <w:szCs w:val="24"/>
        </w:rPr>
        <w:t>the additional explanations under point 5.5)</w:t>
      </w:r>
      <w:r w:rsidRPr="00232FDB">
        <w:rPr>
          <w:rFonts w:eastAsia="Calibri"/>
          <w:szCs w:val="24"/>
          <w:lang w:eastAsia="en-GB"/>
        </w:rPr>
        <w:t>.</w:t>
      </w:r>
    </w:p>
    <w:p w:rsidR="00DA1FBF" w:rsidRPr="00232FDB" w:rsidRDefault="0088459E" w:rsidP="006F41DB">
      <w:pPr>
        <w:rPr>
          <w:rFonts w:eastAsia="Calibri"/>
          <w:szCs w:val="24"/>
        </w:rPr>
      </w:pPr>
      <w:r w:rsidRPr="00232FDB">
        <w:rPr>
          <w:rFonts w:eastAsia="Calibri"/>
          <w:szCs w:val="24"/>
        </w:rPr>
        <w:t>P</w:t>
      </w:r>
      <w:r w:rsidR="00877139" w:rsidRPr="00232FDB">
        <w:rPr>
          <w:rFonts w:eastAsia="Calibri"/>
          <w:szCs w:val="24"/>
        </w:rPr>
        <w:t xml:space="preserve">rogramme contributions </w:t>
      </w:r>
      <w:r w:rsidR="00F72102" w:rsidRPr="00232FDB">
        <w:rPr>
          <w:rFonts w:eastAsia="Calibri"/>
          <w:szCs w:val="24"/>
        </w:rPr>
        <w:t xml:space="preserve">are </w:t>
      </w:r>
      <w:r w:rsidR="00877139" w:rsidRPr="00232FDB">
        <w:rPr>
          <w:rFonts w:eastAsia="Calibri"/>
          <w:szCs w:val="24"/>
        </w:rPr>
        <w:t>paid to financial instrument</w:t>
      </w:r>
      <w:r w:rsidR="00933DF7" w:rsidRPr="00232FDB">
        <w:rPr>
          <w:rFonts w:eastAsia="Calibri"/>
          <w:szCs w:val="24"/>
        </w:rPr>
        <w:t>s</w:t>
      </w:r>
      <w:r w:rsidR="00877139" w:rsidRPr="00232FDB">
        <w:rPr>
          <w:rFonts w:eastAsia="Calibri"/>
          <w:szCs w:val="24"/>
        </w:rPr>
        <w:t xml:space="preserve"> </w:t>
      </w:r>
      <w:r w:rsidR="00933DF7" w:rsidRPr="00232FDB">
        <w:rPr>
          <w:rFonts w:eastAsia="Calibri"/>
          <w:szCs w:val="24"/>
        </w:rPr>
        <w:t xml:space="preserve">during the eligibility period </w:t>
      </w:r>
      <w:r w:rsidR="00877139" w:rsidRPr="00232FDB">
        <w:rPr>
          <w:rFonts w:eastAsia="Calibri"/>
          <w:szCs w:val="24"/>
        </w:rPr>
        <w:t>and reimbursed by the Commission</w:t>
      </w:r>
      <w:r w:rsidR="00DA1FBF" w:rsidRPr="00232FDB">
        <w:rPr>
          <w:rFonts w:eastAsia="Calibri"/>
          <w:szCs w:val="24"/>
        </w:rPr>
        <w:t xml:space="preserve"> </w:t>
      </w:r>
      <w:r w:rsidR="00877139" w:rsidRPr="00232FDB">
        <w:rPr>
          <w:rFonts w:eastAsia="Calibri"/>
          <w:szCs w:val="24"/>
        </w:rPr>
        <w:t>(through interim payments) in line with the provisions of Article 41 CPR</w:t>
      </w:r>
      <w:r w:rsidR="00DA1FBF" w:rsidRPr="00232FDB">
        <w:rPr>
          <w:rStyle w:val="FootnoteReference"/>
          <w:rFonts w:eastAsia="Calibri"/>
          <w:szCs w:val="24"/>
        </w:rPr>
        <w:footnoteReference w:id="2"/>
      </w:r>
      <w:r w:rsidR="00877139" w:rsidRPr="00232FDB">
        <w:rPr>
          <w:rFonts w:eastAsia="Calibri"/>
          <w:szCs w:val="24"/>
        </w:rPr>
        <w:t xml:space="preserve">. </w:t>
      </w:r>
    </w:p>
    <w:p w:rsidR="00877139" w:rsidRPr="00232FDB" w:rsidRDefault="00877139" w:rsidP="006F41DB">
      <w:pPr>
        <w:rPr>
          <w:rFonts w:eastAsia="Calibri"/>
          <w:szCs w:val="24"/>
        </w:rPr>
      </w:pPr>
      <w:r w:rsidRPr="00232FDB">
        <w:rPr>
          <w:rFonts w:eastAsia="Calibri"/>
          <w:szCs w:val="24"/>
        </w:rPr>
        <w:lastRenderedPageBreak/>
        <w:t>According to Article 42(1)(2)</w:t>
      </w:r>
      <w:r w:rsidR="00933DF7" w:rsidRPr="00232FDB">
        <w:rPr>
          <w:rFonts w:eastAsia="Calibri"/>
          <w:szCs w:val="24"/>
        </w:rPr>
        <w:t xml:space="preserve"> and </w:t>
      </w:r>
      <w:r w:rsidRPr="00232FDB">
        <w:rPr>
          <w:rFonts w:eastAsia="Calibri"/>
          <w:szCs w:val="24"/>
        </w:rPr>
        <w:t>(3) CPR, the eligible expenditure of the financial instrument at closure is the total amount of programme contribution</w:t>
      </w:r>
      <w:r w:rsidR="00933DF7" w:rsidRPr="00232FDB">
        <w:rPr>
          <w:rFonts w:eastAsia="Calibri"/>
          <w:szCs w:val="24"/>
        </w:rPr>
        <w:t>s</w:t>
      </w:r>
      <w:r w:rsidRPr="00232FDB">
        <w:rPr>
          <w:rFonts w:eastAsia="Calibri"/>
          <w:szCs w:val="24"/>
        </w:rPr>
        <w:t xml:space="preserve"> effectively paid or </w:t>
      </w:r>
      <w:r w:rsidR="0088459E" w:rsidRPr="00232FDB">
        <w:rPr>
          <w:rFonts w:eastAsia="Calibri"/>
          <w:szCs w:val="24"/>
        </w:rPr>
        <w:t xml:space="preserve">committed </w:t>
      </w:r>
      <w:r w:rsidRPr="00232FDB">
        <w:rPr>
          <w:rFonts w:eastAsia="Calibri"/>
          <w:szCs w:val="24"/>
        </w:rPr>
        <w:t>in the case of guarantees, by the financial instrument by the end of eligibility period corresponding to:</w:t>
      </w:r>
    </w:p>
    <w:p w:rsidR="00877139" w:rsidRPr="00232FDB" w:rsidRDefault="00510284" w:rsidP="006F41DB">
      <w:pPr>
        <w:rPr>
          <w:rFonts w:eastAsia="Calibri"/>
          <w:szCs w:val="24"/>
        </w:rPr>
      </w:pPr>
      <w:r w:rsidRPr="00232FDB">
        <w:rPr>
          <w:rFonts w:eastAsia="Calibri"/>
          <w:szCs w:val="24"/>
        </w:rPr>
        <w:t>1</w:t>
      </w:r>
      <w:r w:rsidR="00C73FD0" w:rsidRPr="00232FDB">
        <w:rPr>
          <w:rFonts w:eastAsia="Calibri"/>
          <w:szCs w:val="24"/>
        </w:rPr>
        <w:t>) P</w:t>
      </w:r>
      <w:r w:rsidR="00877139" w:rsidRPr="00232FDB">
        <w:rPr>
          <w:rFonts w:eastAsia="Calibri"/>
          <w:szCs w:val="24"/>
        </w:rPr>
        <w:t>ayments to final recipients</w:t>
      </w:r>
      <w:r w:rsidR="00D20510">
        <w:rPr>
          <w:rFonts w:eastAsia="Calibri"/>
          <w:szCs w:val="24"/>
        </w:rPr>
        <w:t xml:space="preserve"> (</w:t>
      </w:r>
      <w:r w:rsidR="008F484C">
        <w:rPr>
          <w:rFonts w:eastAsia="Calibri"/>
          <w:szCs w:val="24"/>
        </w:rPr>
        <w:t xml:space="preserve">in the form of </w:t>
      </w:r>
      <w:r w:rsidR="00D20510">
        <w:rPr>
          <w:rFonts w:eastAsia="Calibri"/>
          <w:szCs w:val="24"/>
        </w:rPr>
        <w:t>loans</w:t>
      </w:r>
      <w:r w:rsidR="0091717E">
        <w:rPr>
          <w:rFonts w:eastAsia="Calibri"/>
          <w:szCs w:val="24"/>
        </w:rPr>
        <w:t>, equity and quasi-equity</w:t>
      </w:r>
      <w:r w:rsidR="00D20510">
        <w:rPr>
          <w:rFonts w:eastAsia="Calibri"/>
          <w:szCs w:val="24"/>
        </w:rPr>
        <w:t>)</w:t>
      </w:r>
      <w:r w:rsidR="000667A3" w:rsidRPr="00232FDB">
        <w:rPr>
          <w:color w:val="FF0000"/>
          <w:lang w:eastAsia="pl-PL"/>
        </w:rPr>
        <w:t xml:space="preserve"> </w:t>
      </w:r>
      <w:r w:rsidR="00877139" w:rsidRPr="00232FDB">
        <w:rPr>
          <w:rFonts w:eastAsia="Calibri"/>
          <w:szCs w:val="24"/>
        </w:rPr>
        <w:t>and in the cases referred to under Article 37(7) CPR</w:t>
      </w:r>
      <w:r w:rsidR="00D20510">
        <w:rPr>
          <w:rFonts w:eastAsia="Calibri"/>
          <w:szCs w:val="24"/>
        </w:rPr>
        <w:t>, i.e. the types of grants there mentioned</w:t>
      </w:r>
      <w:r w:rsidR="00877139" w:rsidRPr="00232FDB">
        <w:rPr>
          <w:rFonts w:eastAsia="Calibri"/>
          <w:szCs w:val="24"/>
        </w:rPr>
        <w:t>, payments to the benefit of final recipients (</w:t>
      </w:r>
      <w:r w:rsidR="00877139" w:rsidRPr="001876D9">
        <w:rPr>
          <w:rFonts w:eastAsia="Calibri"/>
          <w:szCs w:val="24"/>
          <w:u w:val="single"/>
        </w:rPr>
        <w:t xml:space="preserve">for </w:t>
      </w:r>
      <w:r w:rsidR="00933DF7" w:rsidRPr="001876D9">
        <w:rPr>
          <w:rFonts w:eastAsia="Calibri"/>
          <w:szCs w:val="24"/>
          <w:u w:val="single"/>
        </w:rPr>
        <w:t xml:space="preserve">the </w:t>
      </w:r>
      <w:r w:rsidR="00A06FD5" w:rsidRPr="001876D9">
        <w:rPr>
          <w:rFonts w:eastAsia="Calibri"/>
          <w:szCs w:val="24"/>
          <w:u w:val="single"/>
        </w:rPr>
        <w:t xml:space="preserve">eligibility of </w:t>
      </w:r>
      <w:r w:rsidR="00933DF7" w:rsidRPr="001876D9">
        <w:rPr>
          <w:rFonts w:eastAsia="Calibri"/>
          <w:szCs w:val="24"/>
          <w:u w:val="single"/>
        </w:rPr>
        <w:t>contribution</w:t>
      </w:r>
      <w:r w:rsidR="00A06FD5" w:rsidRPr="001876D9">
        <w:rPr>
          <w:rFonts w:eastAsia="Calibri"/>
          <w:szCs w:val="24"/>
          <w:u w:val="single"/>
        </w:rPr>
        <w:t xml:space="preserve">s </w:t>
      </w:r>
      <w:r w:rsidR="00933DF7" w:rsidRPr="001876D9">
        <w:rPr>
          <w:rFonts w:eastAsia="Calibri"/>
          <w:szCs w:val="24"/>
          <w:u w:val="single"/>
        </w:rPr>
        <w:t xml:space="preserve">in kind and </w:t>
      </w:r>
      <w:r w:rsidR="00877139" w:rsidRPr="001876D9">
        <w:rPr>
          <w:rFonts w:eastAsia="Calibri"/>
          <w:szCs w:val="24"/>
          <w:u w:val="single"/>
        </w:rPr>
        <w:t xml:space="preserve">support paid to the benefit of </w:t>
      </w:r>
      <w:r w:rsidR="00933DF7" w:rsidRPr="001876D9">
        <w:rPr>
          <w:rFonts w:eastAsia="Calibri"/>
          <w:szCs w:val="24"/>
          <w:u w:val="single"/>
        </w:rPr>
        <w:t xml:space="preserve">the </w:t>
      </w:r>
      <w:r w:rsidR="00877139" w:rsidRPr="001876D9">
        <w:rPr>
          <w:rFonts w:eastAsia="Calibri"/>
          <w:szCs w:val="24"/>
          <w:u w:val="single"/>
        </w:rPr>
        <w:t xml:space="preserve">final recipient </w:t>
      </w:r>
      <w:r w:rsidR="00933DF7" w:rsidRPr="001876D9">
        <w:rPr>
          <w:rFonts w:eastAsia="Calibri"/>
          <w:szCs w:val="24"/>
          <w:u w:val="single"/>
        </w:rPr>
        <w:t>please refer to the explanations</w:t>
      </w:r>
      <w:r w:rsidR="00877139" w:rsidRPr="001876D9">
        <w:rPr>
          <w:rFonts w:eastAsia="Calibri"/>
          <w:szCs w:val="24"/>
          <w:u w:val="single"/>
        </w:rPr>
        <w:t xml:space="preserve"> under point</w:t>
      </w:r>
      <w:r w:rsidR="0088459E" w:rsidRPr="001876D9">
        <w:rPr>
          <w:rFonts w:eastAsia="Calibri"/>
          <w:szCs w:val="24"/>
          <w:u w:val="single"/>
        </w:rPr>
        <w:t>s</w:t>
      </w:r>
      <w:r w:rsidR="00877139" w:rsidRPr="001876D9">
        <w:rPr>
          <w:rFonts w:eastAsia="Calibri"/>
          <w:szCs w:val="24"/>
          <w:u w:val="single"/>
        </w:rPr>
        <w:t xml:space="preserve"> 5.</w:t>
      </w:r>
      <w:r w:rsidR="00511789" w:rsidRPr="001876D9">
        <w:rPr>
          <w:rFonts w:eastAsia="Calibri"/>
          <w:szCs w:val="24"/>
          <w:u w:val="single"/>
        </w:rPr>
        <w:t>2</w:t>
      </w:r>
      <w:r w:rsidR="00E13B9A" w:rsidRPr="001876D9">
        <w:rPr>
          <w:rFonts w:eastAsia="Calibri"/>
          <w:szCs w:val="24"/>
          <w:u w:val="single"/>
        </w:rPr>
        <w:t xml:space="preserve"> and 5.</w:t>
      </w:r>
      <w:r w:rsidR="00511789" w:rsidRPr="001876D9">
        <w:rPr>
          <w:rFonts w:eastAsia="Calibri"/>
          <w:szCs w:val="24"/>
          <w:u w:val="single"/>
        </w:rPr>
        <w:t>12</w:t>
      </w:r>
      <w:r w:rsidR="00877139" w:rsidRPr="00232FDB">
        <w:rPr>
          <w:rFonts w:eastAsia="Calibri"/>
          <w:szCs w:val="24"/>
        </w:rPr>
        <w:t>)</w:t>
      </w:r>
      <w:r w:rsidR="002B6BC7" w:rsidRPr="00232FDB">
        <w:rPr>
          <w:rFonts w:eastAsia="Calibri"/>
          <w:szCs w:val="24"/>
        </w:rPr>
        <w:t>;</w:t>
      </w:r>
    </w:p>
    <w:p w:rsidR="00877139" w:rsidRPr="00232FDB" w:rsidRDefault="00510284" w:rsidP="006F41DB">
      <w:pPr>
        <w:rPr>
          <w:rFonts w:eastAsia="Calibri"/>
          <w:szCs w:val="24"/>
        </w:rPr>
      </w:pPr>
      <w:r w:rsidRPr="00232FDB">
        <w:rPr>
          <w:rFonts w:eastAsia="Calibri"/>
          <w:szCs w:val="24"/>
        </w:rPr>
        <w:t>2</w:t>
      </w:r>
      <w:r w:rsidR="00C73FD0" w:rsidRPr="00232FDB">
        <w:rPr>
          <w:rFonts w:eastAsia="Calibri"/>
          <w:szCs w:val="24"/>
        </w:rPr>
        <w:t>) R</w:t>
      </w:r>
      <w:r w:rsidR="00877139" w:rsidRPr="00232FDB">
        <w:rPr>
          <w:rFonts w:eastAsia="Calibri"/>
          <w:szCs w:val="24"/>
        </w:rPr>
        <w:t>esources committed for guarantee contracts, whether outstanding or already come to maturity, in order to honour possible guarantee calls for losses, calculated according to a prudent ex ante risk assessment, covering a multiple amount of underlying new loans or other risk-bearing instruments for new investments in final recipients</w:t>
      </w:r>
      <w:r w:rsidR="00933DF7" w:rsidRPr="00232FDB">
        <w:rPr>
          <w:rFonts w:eastAsia="Calibri"/>
          <w:szCs w:val="24"/>
        </w:rPr>
        <w:t xml:space="preserve"> (</w:t>
      </w:r>
      <w:r w:rsidR="00933DF7" w:rsidRPr="001876D9">
        <w:rPr>
          <w:rFonts w:eastAsia="Calibri"/>
          <w:szCs w:val="24"/>
          <w:u w:val="single"/>
        </w:rPr>
        <w:t xml:space="preserve">for the </w:t>
      </w:r>
      <w:r w:rsidR="00A06FD5" w:rsidRPr="001876D9">
        <w:rPr>
          <w:rFonts w:eastAsia="Calibri"/>
          <w:szCs w:val="24"/>
          <w:u w:val="single"/>
        </w:rPr>
        <w:t xml:space="preserve">establishment of the eligible expenditure for guarantees and the </w:t>
      </w:r>
      <w:r w:rsidR="00933DF7" w:rsidRPr="001876D9">
        <w:rPr>
          <w:rFonts w:eastAsia="Calibri"/>
          <w:szCs w:val="24"/>
          <w:u w:val="single"/>
        </w:rPr>
        <w:t xml:space="preserve">notion of multiplier please refer to the explanations under point </w:t>
      </w:r>
      <w:r w:rsidR="00930422" w:rsidRPr="001876D9">
        <w:rPr>
          <w:rFonts w:eastAsia="Calibri"/>
          <w:szCs w:val="24"/>
          <w:u w:val="single"/>
        </w:rPr>
        <w:t>5.</w:t>
      </w:r>
      <w:r w:rsidR="00511789" w:rsidRPr="001876D9">
        <w:rPr>
          <w:rFonts w:eastAsia="Calibri"/>
          <w:szCs w:val="24"/>
          <w:u w:val="single"/>
        </w:rPr>
        <w:t>7</w:t>
      </w:r>
      <w:r w:rsidR="00933DF7" w:rsidRPr="00232FDB">
        <w:rPr>
          <w:rFonts w:eastAsia="Calibri"/>
          <w:szCs w:val="24"/>
        </w:rPr>
        <w:t>)</w:t>
      </w:r>
      <w:r w:rsidR="002B6BC7" w:rsidRPr="00232FDB">
        <w:rPr>
          <w:rFonts w:eastAsia="Calibri"/>
          <w:szCs w:val="24"/>
        </w:rPr>
        <w:t>;</w:t>
      </w:r>
    </w:p>
    <w:p w:rsidR="00877139" w:rsidRPr="00232FDB" w:rsidRDefault="00510284" w:rsidP="006F41DB">
      <w:pPr>
        <w:rPr>
          <w:rFonts w:eastAsia="Calibri"/>
          <w:szCs w:val="24"/>
        </w:rPr>
      </w:pPr>
      <w:r w:rsidRPr="00232FDB">
        <w:rPr>
          <w:rFonts w:eastAsia="Calibri"/>
          <w:szCs w:val="24"/>
        </w:rPr>
        <w:t>3</w:t>
      </w:r>
      <w:r w:rsidR="00C73FD0" w:rsidRPr="00232FDB">
        <w:rPr>
          <w:rFonts w:eastAsia="Calibri"/>
          <w:szCs w:val="24"/>
        </w:rPr>
        <w:t>) C</w:t>
      </w:r>
      <w:r w:rsidR="00877139" w:rsidRPr="00232FDB">
        <w:rPr>
          <w:rFonts w:eastAsia="Calibri"/>
          <w:szCs w:val="24"/>
        </w:rPr>
        <w:t>apitalised interest rate subsidies or guarantee fee subsidies, due to be paid for a period not exceeding 10 years after the eligibility period, used in combination with financial instruments, paid into an escrow account specifically set up for that purpose, for effective disbursement after the eligibility period laid, but in respect of loans or other risk-bearing instruments disbursed for investments in final recipients within the eligibility period laid down in Article 65(2) CPR</w:t>
      </w:r>
      <w:r w:rsidR="00933DF7" w:rsidRPr="00232FDB">
        <w:rPr>
          <w:rFonts w:eastAsia="Calibri"/>
          <w:szCs w:val="24"/>
        </w:rPr>
        <w:t xml:space="preserve"> (</w:t>
      </w:r>
      <w:r w:rsidR="00933DF7" w:rsidRPr="001876D9">
        <w:rPr>
          <w:rFonts w:eastAsia="Calibri"/>
          <w:szCs w:val="24"/>
          <w:u w:val="single"/>
        </w:rPr>
        <w:t>please refer to the explanations under point 5.</w:t>
      </w:r>
      <w:r w:rsidR="00511789" w:rsidRPr="001876D9">
        <w:rPr>
          <w:rFonts w:eastAsia="Calibri"/>
          <w:szCs w:val="24"/>
          <w:u w:val="single"/>
        </w:rPr>
        <w:t>13</w:t>
      </w:r>
      <w:r w:rsidR="00933DF7" w:rsidRPr="00232FDB">
        <w:rPr>
          <w:rFonts w:eastAsia="Calibri"/>
          <w:szCs w:val="24"/>
        </w:rPr>
        <w:t>)</w:t>
      </w:r>
      <w:r w:rsidR="002B6BC7" w:rsidRPr="00232FDB">
        <w:rPr>
          <w:rFonts w:eastAsia="Calibri"/>
          <w:szCs w:val="24"/>
        </w:rPr>
        <w:t>;</w:t>
      </w:r>
    </w:p>
    <w:p w:rsidR="00877139" w:rsidRPr="00232FDB" w:rsidRDefault="00510284" w:rsidP="006F41DB">
      <w:pPr>
        <w:rPr>
          <w:rFonts w:eastAsia="Calibri"/>
          <w:szCs w:val="24"/>
        </w:rPr>
      </w:pPr>
      <w:r w:rsidRPr="00232FDB">
        <w:rPr>
          <w:rFonts w:eastAsia="Calibri"/>
          <w:szCs w:val="24"/>
        </w:rPr>
        <w:t>4</w:t>
      </w:r>
      <w:r w:rsidR="00C73FD0" w:rsidRPr="00232FDB">
        <w:rPr>
          <w:rFonts w:eastAsia="Calibri"/>
          <w:szCs w:val="24"/>
        </w:rPr>
        <w:t xml:space="preserve">) </w:t>
      </w:r>
      <w:r w:rsidR="00877139" w:rsidRPr="00232FDB">
        <w:rPr>
          <w:rFonts w:eastAsia="Calibri"/>
          <w:szCs w:val="24"/>
        </w:rPr>
        <w:t>Reimbursement of management costs incurred or payment of management fees of the financial instrument</w:t>
      </w:r>
      <w:r w:rsidR="002B6BC7" w:rsidRPr="00232FDB">
        <w:rPr>
          <w:rFonts w:eastAsia="Calibri"/>
          <w:szCs w:val="24"/>
        </w:rPr>
        <w:t>;</w:t>
      </w:r>
    </w:p>
    <w:p w:rsidR="00A06FD5" w:rsidRPr="00232FDB" w:rsidRDefault="00510284" w:rsidP="006F41DB">
      <w:pPr>
        <w:rPr>
          <w:rFonts w:eastAsia="Calibri"/>
          <w:szCs w:val="24"/>
        </w:rPr>
      </w:pPr>
      <w:r w:rsidRPr="00232FDB">
        <w:rPr>
          <w:rFonts w:eastAsia="Calibri"/>
          <w:szCs w:val="24"/>
        </w:rPr>
        <w:t>5</w:t>
      </w:r>
      <w:r w:rsidR="00FE09AA" w:rsidRPr="00232FDB">
        <w:rPr>
          <w:rFonts w:eastAsia="Calibri"/>
          <w:szCs w:val="24"/>
        </w:rPr>
        <w:t xml:space="preserve">) </w:t>
      </w:r>
      <w:r w:rsidR="0088459E" w:rsidRPr="00232FDB">
        <w:rPr>
          <w:rFonts w:eastAsia="Calibri"/>
          <w:szCs w:val="24"/>
        </w:rPr>
        <w:t xml:space="preserve">For </w:t>
      </w:r>
      <w:r w:rsidR="00877139" w:rsidRPr="00232FDB">
        <w:rPr>
          <w:rFonts w:eastAsia="Calibri"/>
          <w:szCs w:val="24"/>
        </w:rPr>
        <w:t>equity-based instruments and micro-credit, capitalised management costs or fees</w:t>
      </w:r>
      <w:r w:rsidR="0088459E" w:rsidRPr="00232FDB">
        <w:rPr>
          <w:rFonts w:eastAsia="Calibri"/>
          <w:szCs w:val="24"/>
        </w:rPr>
        <w:t xml:space="preserve"> </w:t>
      </w:r>
      <w:r w:rsidR="00877139" w:rsidRPr="00232FDB">
        <w:rPr>
          <w:rFonts w:eastAsia="Calibri"/>
          <w:szCs w:val="24"/>
        </w:rPr>
        <w:t>due to be paid for a period not exceeding 6 years after the eligibility period in respect of investments in final recipients which occurred within that eligibility period and which cannot be covered by Articles 44 and 45 CPR, paid into an escrow account specifically set up for that purpose</w:t>
      </w:r>
      <w:r w:rsidR="00441A89" w:rsidRPr="00232FDB">
        <w:rPr>
          <w:rStyle w:val="FootnoteReference"/>
          <w:rFonts w:eastAsia="Calibri"/>
          <w:szCs w:val="24"/>
        </w:rPr>
        <w:t xml:space="preserve"> </w:t>
      </w:r>
      <w:r w:rsidR="00441A89" w:rsidRPr="00232FDB">
        <w:rPr>
          <w:rStyle w:val="FootnoteReference"/>
          <w:rFonts w:eastAsia="Calibri"/>
          <w:szCs w:val="24"/>
        </w:rPr>
        <w:footnoteReference w:id="3"/>
      </w:r>
      <w:r w:rsidR="002B6BC7" w:rsidRPr="00232FDB">
        <w:rPr>
          <w:rFonts w:eastAsia="Calibri"/>
          <w:szCs w:val="24"/>
        </w:rPr>
        <w:t>;</w:t>
      </w:r>
    </w:p>
    <w:p w:rsidR="00877139" w:rsidRPr="00232FDB" w:rsidRDefault="00510284" w:rsidP="006F41DB">
      <w:pPr>
        <w:rPr>
          <w:rFonts w:eastAsia="Calibri"/>
          <w:szCs w:val="24"/>
        </w:rPr>
      </w:pPr>
      <w:r w:rsidRPr="00232FDB">
        <w:rPr>
          <w:rFonts w:eastAsia="Calibri"/>
          <w:szCs w:val="24"/>
        </w:rPr>
        <w:t>6</w:t>
      </w:r>
      <w:r w:rsidR="00FE09AA" w:rsidRPr="00232FDB">
        <w:rPr>
          <w:rFonts w:eastAsia="Calibri"/>
          <w:szCs w:val="24"/>
        </w:rPr>
        <w:t xml:space="preserve">) </w:t>
      </w:r>
      <w:r w:rsidR="0088459E" w:rsidRPr="00232FDB">
        <w:rPr>
          <w:rFonts w:eastAsia="Calibri"/>
          <w:szCs w:val="24"/>
        </w:rPr>
        <w:t xml:space="preserve">For </w:t>
      </w:r>
      <w:r w:rsidR="00877139" w:rsidRPr="00232FDB">
        <w:rPr>
          <w:rFonts w:eastAsia="Calibri"/>
          <w:szCs w:val="24"/>
        </w:rPr>
        <w:t>equity-based instruments for enterprises</w:t>
      </w:r>
      <w:r w:rsidR="00A06FD5" w:rsidRPr="00232FDB">
        <w:rPr>
          <w:rFonts w:eastAsia="Calibri"/>
          <w:szCs w:val="24"/>
        </w:rPr>
        <w:t xml:space="preserve">, a </w:t>
      </w:r>
      <w:r w:rsidR="00877139" w:rsidRPr="00232FDB">
        <w:rPr>
          <w:rFonts w:eastAsia="Calibri"/>
          <w:szCs w:val="24"/>
        </w:rPr>
        <w:t xml:space="preserve">limited amount of payments for follow-on investments in final recipients having received initial equity investments from the financial instrument within the eligibility period can be eligible if the conditions under Article 42(3) </w:t>
      </w:r>
      <w:r w:rsidR="00A06FD5" w:rsidRPr="00232FDB">
        <w:rPr>
          <w:rFonts w:eastAsia="Calibri"/>
          <w:szCs w:val="24"/>
        </w:rPr>
        <w:t xml:space="preserve">CPR </w:t>
      </w:r>
      <w:r w:rsidR="00877139" w:rsidRPr="00232FDB">
        <w:rPr>
          <w:rFonts w:eastAsia="Calibri"/>
          <w:szCs w:val="24"/>
        </w:rPr>
        <w:t>are met</w:t>
      </w:r>
      <w:r w:rsidR="00933DF7" w:rsidRPr="00232FDB">
        <w:rPr>
          <w:rFonts w:eastAsia="Calibri"/>
          <w:szCs w:val="24"/>
        </w:rPr>
        <w:t xml:space="preserve"> (</w:t>
      </w:r>
      <w:r w:rsidR="00933DF7" w:rsidRPr="001876D9">
        <w:rPr>
          <w:rFonts w:eastAsia="Calibri"/>
          <w:szCs w:val="24"/>
          <w:u w:val="single"/>
        </w:rPr>
        <w:t>please refer to the explanations under point 5.</w:t>
      </w:r>
      <w:r w:rsidR="00511789" w:rsidRPr="001876D9">
        <w:rPr>
          <w:rFonts w:eastAsia="Calibri"/>
          <w:szCs w:val="24"/>
          <w:u w:val="single"/>
        </w:rPr>
        <w:t>14</w:t>
      </w:r>
      <w:r w:rsidR="00933DF7" w:rsidRPr="00232FDB">
        <w:rPr>
          <w:rFonts w:eastAsia="Calibri"/>
          <w:szCs w:val="24"/>
        </w:rPr>
        <w:t>)</w:t>
      </w:r>
      <w:r w:rsidR="008F7FED" w:rsidRPr="00232FDB">
        <w:rPr>
          <w:rFonts w:eastAsia="Calibri"/>
          <w:szCs w:val="24"/>
        </w:rPr>
        <w:t>.</w:t>
      </w:r>
    </w:p>
    <w:p w:rsidR="006607B8" w:rsidRPr="00232FDB" w:rsidRDefault="0088459E" w:rsidP="006F41DB">
      <w:pPr>
        <w:rPr>
          <w:rFonts w:eastAsia="Calibri"/>
          <w:szCs w:val="24"/>
        </w:rPr>
      </w:pPr>
      <w:r w:rsidRPr="00232FDB">
        <w:rPr>
          <w:rFonts w:eastAsia="Calibri"/>
          <w:szCs w:val="24"/>
        </w:rPr>
        <w:t>A</w:t>
      </w:r>
      <w:r w:rsidR="006607B8" w:rsidRPr="00232FDB">
        <w:rPr>
          <w:rFonts w:eastAsia="Calibri"/>
          <w:szCs w:val="24"/>
        </w:rPr>
        <w:t xml:space="preserve">s </w:t>
      </w:r>
      <w:r w:rsidRPr="00232FDB">
        <w:rPr>
          <w:rFonts w:eastAsia="Calibri"/>
          <w:szCs w:val="24"/>
        </w:rPr>
        <w:t>set out</w:t>
      </w:r>
      <w:r w:rsidR="006607B8" w:rsidRPr="00232FDB">
        <w:rPr>
          <w:rFonts w:eastAsia="Calibri"/>
          <w:szCs w:val="24"/>
        </w:rPr>
        <w:t xml:space="preserve"> in Article 42(4) CPR, the eligible expenditure cannot exceed the sum </w:t>
      </w:r>
      <w:r w:rsidR="00094A91" w:rsidRPr="00232FDB">
        <w:rPr>
          <w:rFonts w:eastAsia="Calibri"/>
          <w:szCs w:val="24"/>
        </w:rPr>
        <w:t xml:space="preserve">of </w:t>
      </w:r>
      <w:r w:rsidR="006607B8" w:rsidRPr="00232FDB">
        <w:rPr>
          <w:rFonts w:eastAsia="Calibri"/>
          <w:szCs w:val="24"/>
        </w:rPr>
        <w:t xml:space="preserve">the total amount of support from </w:t>
      </w:r>
      <w:r w:rsidR="00094A91" w:rsidRPr="00232FDB">
        <w:rPr>
          <w:rFonts w:eastAsia="Calibri"/>
          <w:szCs w:val="24"/>
        </w:rPr>
        <w:t>ESI</w:t>
      </w:r>
      <w:r w:rsidR="002E7214" w:rsidRPr="00232FDB">
        <w:rPr>
          <w:rFonts w:eastAsia="Calibri"/>
          <w:szCs w:val="24"/>
        </w:rPr>
        <w:t xml:space="preserve"> </w:t>
      </w:r>
      <w:r w:rsidR="00094A91" w:rsidRPr="00232FDB">
        <w:rPr>
          <w:rFonts w:eastAsia="Calibri"/>
          <w:szCs w:val="24"/>
        </w:rPr>
        <w:t>F</w:t>
      </w:r>
      <w:r w:rsidR="002E7214" w:rsidRPr="00232FDB">
        <w:rPr>
          <w:rFonts w:eastAsia="Calibri"/>
          <w:szCs w:val="24"/>
        </w:rPr>
        <w:t>unds</w:t>
      </w:r>
      <w:r w:rsidR="00094A91" w:rsidRPr="00232FDB">
        <w:rPr>
          <w:rFonts w:eastAsia="Calibri"/>
          <w:szCs w:val="24"/>
        </w:rPr>
        <w:t xml:space="preserve"> paid for the purposes</w:t>
      </w:r>
      <w:r w:rsidR="00510284" w:rsidRPr="00232FDB">
        <w:rPr>
          <w:rFonts w:eastAsia="Calibri"/>
          <w:szCs w:val="24"/>
        </w:rPr>
        <w:t xml:space="preserve"> </w:t>
      </w:r>
      <w:r w:rsidR="006607B8" w:rsidRPr="00232FDB">
        <w:rPr>
          <w:rFonts w:eastAsia="Calibri"/>
          <w:szCs w:val="24"/>
        </w:rPr>
        <w:t>above</w:t>
      </w:r>
      <w:r w:rsidR="00094A91" w:rsidRPr="00232FDB">
        <w:rPr>
          <w:rFonts w:eastAsia="Calibri"/>
          <w:szCs w:val="24"/>
        </w:rPr>
        <w:t xml:space="preserve"> </w:t>
      </w:r>
      <w:r w:rsidR="00510284" w:rsidRPr="00232FDB">
        <w:rPr>
          <w:rFonts w:eastAsia="Calibri"/>
          <w:szCs w:val="24"/>
        </w:rPr>
        <w:t xml:space="preserve">mentioned from 1) to 6) </w:t>
      </w:r>
      <w:r w:rsidR="006607B8" w:rsidRPr="00232FDB">
        <w:rPr>
          <w:rFonts w:eastAsia="Calibri"/>
          <w:szCs w:val="24"/>
        </w:rPr>
        <w:t>plus the corresponding national co-financing.</w:t>
      </w:r>
    </w:p>
    <w:p w:rsidR="00877139" w:rsidRPr="00232FDB" w:rsidRDefault="00877139" w:rsidP="006F41DB">
      <w:pPr>
        <w:pStyle w:val="Heading1"/>
        <w:numPr>
          <w:ilvl w:val="0"/>
          <w:numId w:val="19"/>
        </w:numPr>
        <w:spacing w:before="0"/>
      </w:pPr>
      <w:bookmarkStart w:id="13" w:name="_Toc422385425"/>
      <w:bookmarkStart w:id="14" w:name="_Toc422385789"/>
      <w:bookmarkStart w:id="15" w:name="_Toc422900415"/>
      <w:bookmarkStart w:id="16" w:name="_Toc445141403"/>
      <w:r w:rsidRPr="00232FDB">
        <w:t xml:space="preserve">Specific eligibility </w:t>
      </w:r>
      <w:r w:rsidR="004C4A78" w:rsidRPr="00232FDB">
        <w:t xml:space="preserve">rules </w:t>
      </w:r>
      <w:r w:rsidRPr="00232FDB">
        <w:t>for Financial Instruments</w:t>
      </w:r>
      <w:bookmarkEnd w:id="13"/>
      <w:bookmarkEnd w:id="14"/>
      <w:bookmarkEnd w:id="15"/>
      <w:bookmarkEnd w:id="16"/>
    </w:p>
    <w:p w:rsidR="00DE3114" w:rsidRPr="00232FDB" w:rsidRDefault="00834F25" w:rsidP="006F41DB">
      <w:pPr>
        <w:pStyle w:val="Heading1"/>
        <w:spacing w:before="0"/>
      </w:pPr>
      <w:bookmarkStart w:id="17" w:name="_Toc445141404"/>
      <w:r w:rsidRPr="00232FDB">
        <w:t xml:space="preserve">National Public/Private contributions </w:t>
      </w:r>
      <w:r w:rsidRPr="00232FDB">
        <w:rPr>
          <w:rFonts w:eastAsia="Calibri"/>
        </w:rPr>
        <w:t xml:space="preserve">constituting national co-financing </w:t>
      </w:r>
      <w:r w:rsidR="009A2D39" w:rsidRPr="00232FDB">
        <w:rPr>
          <w:rFonts w:eastAsia="Calibri"/>
        </w:rPr>
        <w:t xml:space="preserve">at the level of final recipient </w:t>
      </w:r>
      <w:r w:rsidR="00470E52" w:rsidRPr="00232FDB">
        <w:t xml:space="preserve">VS </w:t>
      </w:r>
      <w:r w:rsidR="008E4C1B" w:rsidRPr="00232FDB">
        <w:t>o</w:t>
      </w:r>
      <w:r w:rsidR="00DE3114" w:rsidRPr="00232FDB">
        <w:t>wn contribution of final recipient</w:t>
      </w:r>
      <w:bookmarkEnd w:id="17"/>
    </w:p>
    <w:p w:rsidR="00834F25" w:rsidRPr="00232FDB" w:rsidRDefault="006B2AE5" w:rsidP="006F41DB">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t xml:space="preserve">With the objective of increasing the flexibility in mobilising support </w:t>
      </w:r>
      <w:r w:rsidR="009E4092" w:rsidRPr="00232FDB">
        <w:rPr>
          <w:rFonts w:ascii="Times New Roman" w:eastAsia="Calibri" w:hAnsi="Times New Roman"/>
          <w:sz w:val="24"/>
          <w:szCs w:val="24"/>
        </w:rPr>
        <w:t xml:space="preserve">from different sources to </w:t>
      </w:r>
      <w:r w:rsidRPr="00232FDB">
        <w:rPr>
          <w:rFonts w:ascii="Times New Roman" w:eastAsia="Calibri" w:hAnsi="Times New Roman"/>
          <w:sz w:val="24"/>
          <w:szCs w:val="24"/>
        </w:rPr>
        <w:t>financial instruments</w:t>
      </w:r>
      <w:r w:rsidR="009E4092" w:rsidRPr="00232FDB">
        <w:rPr>
          <w:rFonts w:ascii="Times New Roman" w:eastAsia="Calibri" w:hAnsi="Times New Roman"/>
          <w:sz w:val="24"/>
          <w:szCs w:val="24"/>
        </w:rPr>
        <w:t xml:space="preserve">, </w:t>
      </w:r>
      <w:r w:rsidR="00DE3114" w:rsidRPr="00232FDB">
        <w:rPr>
          <w:rFonts w:ascii="Times New Roman" w:eastAsia="Calibri" w:hAnsi="Times New Roman"/>
          <w:sz w:val="24"/>
          <w:szCs w:val="24"/>
        </w:rPr>
        <w:t>Article 38(9) CPR</w:t>
      </w:r>
      <w:r w:rsidR="00A1519A" w:rsidRPr="00232FDB">
        <w:rPr>
          <w:rFonts w:ascii="Times New Roman" w:eastAsia="Calibri" w:hAnsi="Times New Roman"/>
          <w:sz w:val="24"/>
          <w:szCs w:val="24"/>
        </w:rPr>
        <w:t xml:space="preserve"> provide</w:t>
      </w:r>
      <w:r w:rsidR="00534750" w:rsidRPr="00232FDB">
        <w:rPr>
          <w:rFonts w:ascii="Times New Roman" w:eastAsia="Calibri" w:hAnsi="Times New Roman"/>
          <w:sz w:val="24"/>
          <w:szCs w:val="24"/>
        </w:rPr>
        <w:t>s</w:t>
      </w:r>
      <w:r w:rsidR="00A1519A" w:rsidRPr="00232FDB">
        <w:rPr>
          <w:rFonts w:ascii="Times New Roman" w:eastAsia="Calibri" w:hAnsi="Times New Roman"/>
          <w:sz w:val="24"/>
          <w:szCs w:val="24"/>
        </w:rPr>
        <w:t xml:space="preserve"> that </w:t>
      </w:r>
      <w:r w:rsidR="00DE3114" w:rsidRPr="00232FDB">
        <w:rPr>
          <w:rFonts w:ascii="Times New Roman" w:eastAsia="Calibri" w:hAnsi="Times New Roman"/>
          <w:sz w:val="24"/>
          <w:szCs w:val="24"/>
        </w:rPr>
        <w:t xml:space="preserve">the national public and </w:t>
      </w:r>
      <w:r w:rsidR="00DE3114" w:rsidRPr="00232FDB">
        <w:rPr>
          <w:rFonts w:ascii="Times New Roman" w:eastAsia="Calibri" w:hAnsi="Times New Roman"/>
          <w:sz w:val="24"/>
          <w:szCs w:val="24"/>
        </w:rPr>
        <w:lastRenderedPageBreak/>
        <w:t xml:space="preserve">private contributions from programmes to financial instruments may be provided at the level of the fund of funds, at the level of the financial instrument or at the level of final recipients. </w:t>
      </w:r>
    </w:p>
    <w:p w:rsidR="00BB7B77" w:rsidRPr="00232FDB" w:rsidRDefault="00BB7B77" w:rsidP="00BB7B77">
      <w:pPr>
        <w:pStyle w:val="CM1"/>
        <w:spacing w:after="240"/>
        <w:jc w:val="both"/>
        <w:rPr>
          <w:rFonts w:ascii="Times New Roman" w:eastAsia="Calibri" w:hAnsi="Times New Roman"/>
        </w:rPr>
      </w:pPr>
      <w:r w:rsidRPr="00232FDB">
        <w:rPr>
          <w:rFonts w:ascii="Times New Roman" w:eastAsia="Calibri" w:hAnsi="Times New Roman"/>
        </w:rPr>
        <w:t>The following schematic representation illustrates the different levels at which national co-financing can be provided.</w:t>
      </w:r>
    </w:p>
    <w:p w:rsidR="00BB7B77" w:rsidRPr="00232FDB" w:rsidRDefault="00BB7B77" w:rsidP="00BB7B77">
      <w:pPr>
        <w:ind w:left="720"/>
        <w:rPr>
          <w:rFonts w:eastAsia="Calibri"/>
          <w:lang w:eastAsia="en-GB"/>
        </w:rPr>
      </w:pPr>
      <w:r w:rsidRPr="00232FDB">
        <w:rPr>
          <w:rFonts w:eastAsiaTheme="minorHAnsi" w:cstheme="minorBidi"/>
          <w:noProof/>
          <w:sz w:val="16"/>
          <w:szCs w:val="16"/>
          <w:lang w:eastAsia="en-GB"/>
        </w:rPr>
        <mc:AlternateContent>
          <mc:Choice Requires="wpg">
            <w:drawing>
              <wp:inline distT="0" distB="0" distL="0" distR="0" wp14:anchorId="3CA4EC04" wp14:editId="1DFF3CC8">
                <wp:extent cx="5039995" cy="2581274"/>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9995" cy="2581274"/>
                          <a:chOff x="0" y="-4"/>
                          <a:chExt cx="6291662" cy="5707178"/>
                        </a:xfrm>
                      </wpg:grpSpPr>
                      <wpg:grpSp>
                        <wpg:cNvPr id="8" name="Group 8"/>
                        <wpg:cNvGrpSpPr/>
                        <wpg:grpSpPr>
                          <a:xfrm>
                            <a:off x="0" y="-4"/>
                            <a:ext cx="2904690" cy="4179970"/>
                            <a:chOff x="0" y="-4"/>
                            <a:chExt cx="2904690" cy="4179970"/>
                          </a:xfrm>
                        </wpg:grpSpPr>
                        <wpg:grpSp>
                          <wpg:cNvPr id="12" name="Group 12"/>
                          <wpg:cNvGrpSpPr/>
                          <wpg:grpSpPr>
                            <a:xfrm>
                              <a:off x="0" y="-4"/>
                              <a:ext cx="2904690" cy="4179970"/>
                              <a:chOff x="0" y="-4"/>
                              <a:chExt cx="2904690" cy="4179970"/>
                            </a:xfrm>
                          </wpg:grpSpPr>
                          <wps:wsp>
                            <wps:cNvPr id="21" name="Rounded Rectangle 21"/>
                            <wps:cNvSpPr/>
                            <wps:spPr>
                              <a:xfrm>
                                <a:off x="0" y="-4"/>
                                <a:ext cx="1306654" cy="1221463"/>
                              </a:xfrm>
                              <a:prstGeom prst="roundRect">
                                <a:avLst/>
                              </a:prstGeom>
                              <a:solidFill>
                                <a:srgbClr val="4F81BD"/>
                              </a:solidFill>
                              <a:ln w="25400" cap="flat" cmpd="sng" algn="ctr">
                                <a:solidFill>
                                  <a:srgbClr val="4F81BD">
                                    <a:shade val="50000"/>
                                  </a:srgbClr>
                                </a:solidFill>
                                <a:prstDash val="solid"/>
                              </a:ln>
                              <a:effectLst/>
                            </wps:spPr>
                            <wps:txbx>
                              <w:txbxContent>
                                <w:p w:rsidR="00390337" w:rsidRPr="00C6533F" w:rsidRDefault="00390337" w:rsidP="00BB7B77">
                                  <w:pPr>
                                    <w:pStyle w:val="NormalWeb"/>
                                    <w:spacing w:before="0" w:beforeAutospacing="0" w:after="0" w:afterAutospacing="0"/>
                                    <w:jc w:val="center"/>
                                    <w:rPr>
                                      <w:sz w:val="16"/>
                                      <w:szCs w:val="16"/>
                                    </w:rPr>
                                  </w:pPr>
                                  <w:r w:rsidRPr="00C6533F">
                                    <w:rPr>
                                      <w:color w:val="FFFFFF" w:themeColor="light1"/>
                                      <w:kern w:val="24"/>
                                      <w:sz w:val="16"/>
                                      <w:szCs w:val="16"/>
                                    </w:rPr>
                                    <w:t>Managing Authority</w:t>
                                  </w:r>
                                  <w:r>
                                    <w:rPr>
                                      <w:color w:val="FFFFFF" w:themeColor="light1"/>
                                      <w:kern w:val="24"/>
                                      <w:sz w:val="16"/>
                                      <w:szCs w:val="16"/>
                                    </w:rPr>
                                    <w:t>: ESI Funds contribution</w:t>
                                  </w:r>
                                </w:p>
                              </w:txbxContent>
                            </wps:txbx>
                            <wps:bodyPr rtlCol="0" anchor="ctr" anchorCtr="0"/>
                          </wps:wsp>
                          <wps:wsp>
                            <wps:cNvPr id="23" name="Elbow Connector 23"/>
                            <wps:cNvCnPr>
                              <a:stCxn id="21" idx="3"/>
                              <a:endCxn id="24" idx="0"/>
                            </wps:cNvCnPr>
                            <wps:spPr>
                              <a:xfrm>
                                <a:off x="1306654" y="610727"/>
                                <a:ext cx="853521" cy="266002"/>
                              </a:xfrm>
                              <a:prstGeom prst="bentConnector2">
                                <a:avLst/>
                              </a:prstGeom>
                              <a:solidFill>
                                <a:srgbClr val="4F81BD"/>
                              </a:solidFill>
                              <a:ln w="25400" cap="flat" cmpd="sng" algn="ctr">
                                <a:solidFill>
                                  <a:srgbClr val="4F81BD">
                                    <a:shade val="50000"/>
                                  </a:srgbClr>
                                </a:solidFill>
                                <a:prstDash val="sysDot"/>
                                <a:tailEnd type="arrow"/>
                              </a:ln>
                              <a:effectLst/>
                            </wps:spPr>
                            <wps:bodyPr/>
                          </wps:wsp>
                          <wps:wsp>
                            <wps:cNvPr id="24" name="Rounded Rectangle 24"/>
                            <wps:cNvSpPr/>
                            <wps:spPr>
                              <a:xfrm>
                                <a:off x="1415659" y="876730"/>
                                <a:ext cx="1489031" cy="853226"/>
                              </a:xfrm>
                              <a:prstGeom prst="roundRect">
                                <a:avLst/>
                              </a:prstGeom>
                              <a:solidFill>
                                <a:srgbClr val="4F81BD"/>
                              </a:solidFill>
                              <a:ln w="25400" cap="flat" cmpd="sng" algn="ctr">
                                <a:solidFill>
                                  <a:srgbClr val="4F81BD">
                                    <a:shade val="50000"/>
                                  </a:srgbClr>
                                </a:solidFill>
                                <a:prstDash val="sysDot"/>
                              </a:ln>
                              <a:effectLst/>
                            </wps:spPr>
                            <wps:txbx>
                              <w:txbxContent>
                                <w:p w:rsidR="00390337" w:rsidRPr="004253B1" w:rsidRDefault="00390337" w:rsidP="00BB7B77">
                                  <w:pPr>
                                    <w:pStyle w:val="NormalWeb"/>
                                    <w:spacing w:before="0" w:beforeAutospacing="0" w:after="0" w:afterAutospacing="0"/>
                                    <w:jc w:val="center"/>
                                    <w:rPr>
                                      <w:sz w:val="16"/>
                                      <w:szCs w:val="16"/>
                                    </w:rPr>
                                  </w:pPr>
                                  <w:r w:rsidRPr="004253B1">
                                    <w:rPr>
                                      <w:color w:val="FFFFFF" w:themeColor="light1"/>
                                      <w:kern w:val="24"/>
                                      <w:sz w:val="16"/>
                                      <w:szCs w:val="16"/>
                                    </w:rPr>
                                    <w:t>Fund of  funds (optional)</w:t>
                                  </w:r>
                                </w:p>
                              </w:txbxContent>
                            </wps:txbx>
                            <wps:bodyPr rtlCol="0" anchor="ctr" anchorCtr="0"/>
                          </wps:wsp>
                          <wps:wsp>
                            <wps:cNvPr id="25" name="Rounded Rectangle 25"/>
                            <wps:cNvSpPr/>
                            <wps:spPr>
                              <a:xfrm>
                                <a:off x="0" y="2090576"/>
                                <a:ext cx="1368052" cy="847152"/>
                              </a:xfrm>
                              <a:prstGeom prst="roundRect">
                                <a:avLst/>
                              </a:prstGeom>
                              <a:solidFill>
                                <a:srgbClr val="4F81BD"/>
                              </a:solidFill>
                              <a:ln w="25400" cap="flat" cmpd="sng" algn="ctr">
                                <a:solidFill>
                                  <a:srgbClr val="4F81BD">
                                    <a:shade val="50000"/>
                                  </a:srgbClr>
                                </a:solidFill>
                                <a:prstDash val="solid"/>
                              </a:ln>
                              <a:effectLst/>
                            </wps:spPr>
                            <wps:txbx>
                              <w:txbxContent>
                                <w:p w:rsidR="00390337" w:rsidRPr="004253B1" w:rsidRDefault="00390337" w:rsidP="00BB7B77">
                                  <w:pPr>
                                    <w:pStyle w:val="NormalWeb"/>
                                    <w:spacing w:before="0" w:beforeAutospacing="0" w:after="0" w:afterAutospacing="0"/>
                                    <w:jc w:val="center"/>
                                    <w:rPr>
                                      <w:color w:val="FFFFFF" w:themeColor="light1"/>
                                      <w:kern w:val="24"/>
                                      <w:sz w:val="16"/>
                                      <w:szCs w:val="16"/>
                                    </w:rPr>
                                  </w:pPr>
                                  <w:r w:rsidRPr="004253B1">
                                    <w:rPr>
                                      <w:color w:val="FFFFFF" w:themeColor="light1"/>
                                      <w:kern w:val="24"/>
                                      <w:sz w:val="16"/>
                                      <w:szCs w:val="16"/>
                                    </w:rPr>
                                    <w:t>F</w:t>
                                  </w:r>
                                  <w:r>
                                    <w:rPr>
                                      <w:color w:val="FFFFFF" w:themeColor="light1"/>
                                      <w:kern w:val="24"/>
                                      <w:sz w:val="16"/>
                                      <w:szCs w:val="16"/>
                                    </w:rPr>
                                    <w:t>inancial intermediary</w:t>
                                  </w:r>
                                </w:p>
                              </w:txbxContent>
                            </wps:txbx>
                            <wps:bodyPr rtlCol="0" anchor="ctr" anchorCtr="0"/>
                          </wps:wsp>
                          <wps:wsp>
                            <wps:cNvPr id="26" name="Rounded Rectangle 26"/>
                            <wps:cNvSpPr/>
                            <wps:spPr>
                              <a:xfrm>
                                <a:off x="1" y="3582997"/>
                                <a:ext cx="1368151" cy="596969"/>
                              </a:xfrm>
                              <a:prstGeom prst="roundRect">
                                <a:avLst/>
                              </a:prstGeom>
                              <a:solidFill>
                                <a:srgbClr val="4F81BD"/>
                              </a:solidFill>
                              <a:ln w="25400" cap="flat" cmpd="sng" algn="ctr">
                                <a:solidFill>
                                  <a:srgbClr val="4F81BD">
                                    <a:shade val="50000"/>
                                  </a:srgbClr>
                                </a:solidFill>
                                <a:prstDash val="solid"/>
                              </a:ln>
                              <a:effectLst/>
                            </wps:spPr>
                            <wps:txbx>
                              <w:txbxContent>
                                <w:p w:rsidR="00390337" w:rsidRPr="004253B1" w:rsidRDefault="00390337" w:rsidP="00BB7B77">
                                  <w:pPr>
                                    <w:pStyle w:val="NormalWeb"/>
                                    <w:spacing w:before="0" w:beforeAutospacing="0" w:after="0" w:afterAutospacing="0"/>
                                    <w:jc w:val="center"/>
                                    <w:rPr>
                                      <w:sz w:val="16"/>
                                      <w:szCs w:val="16"/>
                                    </w:rPr>
                                  </w:pPr>
                                  <w:r w:rsidRPr="004253B1">
                                    <w:rPr>
                                      <w:color w:val="FFFFFF" w:themeColor="light1"/>
                                      <w:kern w:val="24"/>
                                      <w:sz w:val="16"/>
                                      <w:szCs w:val="16"/>
                                    </w:rPr>
                                    <w:t>Final recipients</w:t>
                                  </w:r>
                                </w:p>
                              </w:txbxContent>
                            </wps:txbx>
                            <wps:bodyPr rtlCol="0" anchor="ctr" anchorCtr="0"/>
                          </wps:wsp>
                        </wpg:grpSp>
                        <wps:wsp>
                          <wps:cNvPr id="27" name="Straight Arrow Connector 27"/>
                          <wps:cNvCnPr>
                            <a:stCxn id="21" idx="2"/>
                            <a:endCxn id="25" idx="0"/>
                          </wps:cNvCnPr>
                          <wps:spPr>
                            <a:xfrm>
                              <a:off x="653327" y="1221459"/>
                              <a:ext cx="30699" cy="869117"/>
                            </a:xfrm>
                            <a:prstGeom prst="straightConnector1">
                              <a:avLst/>
                            </a:prstGeom>
                            <a:solidFill>
                              <a:srgbClr val="4F81BD"/>
                            </a:solidFill>
                            <a:ln w="25400" cap="flat" cmpd="sng" algn="ctr">
                              <a:solidFill>
                                <a:srgbClr val="4F81BD">
                                  <a:shade val="50000"/>
                                </a:srgbClr>
                              </a:solidFill>
                              <a:prstDash val="solid"/>
                              <a:tailEnd type="arrow"/>
                            </a:ln>
                            <a:effectLst/>
                          </wps:spPr>
                          <wps:bodyPr/>
                        </wps:wsp>
                        <wps:wsp>
                          <wps:cNvPr id="28" name="Straight Arrow Connector 28"/>
                          <wps:cNvCnPr>
                            <a:stCxn id="25" idx="2"/>
                            <a:endCxn id="26" idx="0"/>
                          </wps:cNvCnPr>
                          <wps:spPr>
                            <a:xfrm>
                              <a:off x="683940" y="2937729"/>
                              <a:ext cx="137" cy="645268"/>
                            </a:xfrm>
                            <a:prstGeom prst="straightConnector1">
                              <a:avLst/>
                            </a:prstGeom>
                            <a:solidFill>
                              <a:srgbClr val="4F81BD"/>
                            </a:solidFill>
                            <a:ln w="25400" cap="flat" cmpd="sng" algn="ctr">
                              <a:solidFill>
                                <a:srgbClr val="4F81BD">
                                  <a:shade val="50000"/>
                                </a:srgbClr>
                              </a:solidFill>
                              <a:prstDash val="solid"/>
                              <a:tailEnd type="arrow"/>
                            </a:ln>
                            <a:effectLst/>
                          </wps:spPr>
                          <wps:bodyPr/>
                        </wps:wsp>
                        <wps:wsp>
                          <wps:cNvPr id="29" name="Elbow Connector 29"/>
                          <wps:cNvCnPr/>
                          <wps:spPr>
                            <a:xfrm rot="5400000">
                              <a:off x="1485783" y="1616078"/>
                              <a:ext cx="651875" cy="792123"/>
                            </a:xfrm>
                            <a:prstGeom prst="bentConnector2">
                              <a:avLst/>
                            </a:prstGeom>
                            <a:solidFill>
                              <a:srgbClr val="4F81BD"/>
                            </a:solidFill>
                            <a:ln w="25400" cap="flat" cmpd="sng" algn="ctr">
                              <a:solidFill>
                                <a:srgbClr val="4F81BD">
                                  <a:shade val="50000"/>
                                </a:srgbClr>
                              </a:solidFill>
                              <a:prstDash val="sysDot"/>
                              <a:tailEnd type="arrow"/>
                            </a:ln>
                            <a:effectLst/>
                          </wps:spPr>
                          <wps:bodyPr/>
                        </wps:wsp>
                      </wpg:grpSp>
                      <wps:wsp>
                        <wps:cNvPr id="30" name="Striped Right Arrow 30"/>
                        <wps:cNvSpPr/>
                        <wps:spPr>
                          <a:xfrm rot="10800000">
                            <a:off x="3075763" y="1039874"/>
                            <a:ext cx="1080120" cy="359767"/>
                          </a:xfrm>
                          <a:prstGeom prst="stripedRightArrow">
                            <a:avLst/>
                          </a:prstGeom>
                          <a:solidFill>
                            <a:srgbClr val="4F81BD"/>
                          </a:solidFill>
                          <a:ln w="25400" cap="flat" cmpd="sng" algn="ctr">
                            <a:solidFill>
                              <a:srgbClr val="4F81BD">
                                <a:shade val="50000"/>
                              </a:srgbClr>
                            </a:solidFill>
                            <a:prstDash val="solid"/>
                          </a:ln>
                          <a:effectLst/>
                        </wps:spPr>
                        <wps:bodyPr rtlCol="0" anchor="ctr" anchorCtr="0"/>
                      </wps:wsp>
                      <wps:wsp>
                        <wps:cNvPr id="31" name="TextBox 219"/>
                        <wps:cNvSpPr txBox="1"/>
                        <wps:spPr>
                          <a:xfrm>
                            <a:off x="4215633" y="818017"/>
                            <a:ext cx="2076029" cy="2018967"/>
                          </a:xfrm>
                          <a:prstGeom prst="rect">
                            <a:avLst/>
                          </a:prstGeom>
                          <a:noFill/>
                          <a:ln w="25400" cap="flat" cmpd="sng" algn="ctr">
                            <a:noFill/>
                            <a:prstDash val="solid"/>
                          </a:ln>
                          <a:effectLst/>
                        </wps:spPr>
                        <wps:txbx>
                          <w:txbxContent>
                            <w:p w:rsidR="00390337" w:rsidRPr="004253B1" w:rsidRDefault="00390337" w:rsidP="00BB7B77">
                              <w:pPr>
                                <w:pStyle w:val="NormalWeb"/>
                                <w:spacing w:before="0" w:beforeAutospacing="0" w:after="0" w:afterAutospacing="0"/>
                                <w:jc w:val="center"/>
                                <w:rPr>
                                  <w:sz w:val="16"/>
                                  <w:szCs w:val="16"/>
                                </w:rPr>
                              </w:pPr>
                              <w:r>
                                <w:rPr>
                                  <w:color w:val="000000" w:themeColor="text1"/>
                                  <w:kern w:val="24"/>
                                  <w:sz w:val="16"/>
                                  <w:szCs w:val="16"/>
                                </w:rPr>
                                <w:t>National public and/</w:t>
                              </w:r>
                              <w:r w:rsidRPr="004253B1">
                                <w:rPr>
                                  <w:color w:val="000000" w:themeColor="text1"/>
                                  <w:kern w:val="24"/>
                                  <w:sz w:val="16"/>
                                  <w:szCs w:val="16"/>
                                </w:rPr>
                                <w:t xml:space="preserve">or private </w:t>
                              </w:r>
                              <w:r>
                                <w:rPr>
                                  <w:color w:val="000000" w:themeColor="text1"/>
                                  <w:kern w:val="24"/>
                                  <w:sz w:val="16"/>
                                  <w:szCs w:val="16"/>
                                </w:rPr>
                                <w:t>co-financing</w:t>
                              </w: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Pr="004253B1" w:rsidRDefault="00390337" w:rsidP="002A6A17">
                              <w:pPr>
                                <w:pStyle w:val="NormalWeb"/>
                                <w:spacing w:before="0" w:beforeAutospacing="0" w:after="0" w:afterAutospacing="0"/>
                                <w:jc w:val="center"/>
                                <w:rPr>
                                  <w:sz w:val="16"/>
                                  <w:szCs w:val="16"/>
                                </w:rPr>
                              </w:pPr>
                              <w:r>
                                <w:rPr>
                                  <w:color w:val="000000" w:themeColor="text1"/>
                                  <w:kern w:val="24"/>
                                  <w:sz w:val="16"/>
                                  <w:szCs w:val="16"/>
                                </w:rPr>
                                <w:t>National public and/</w:t>
                              </w:r>
                              <w:r w:rsidRPr="004253B1">
                                <w:rPr>
                                  <w:color w:val="000000" w:themeColor="text1"/>
                                  <w:kern w:val="24"/>
                                  <w:sz w:val="16"/>
                                  <w:szCs w:val="16"/>
                                </w:rPr>
                                <w:t xml:space="preserve">or private </w:t>
                              </w:r>
                              <w:r>
                                <w:rPr>
                                  <w:color w:val="000000" w:themeColor="text1"/>
                                  <w:kern w:val="24"/>
                                  <w:sz w:val="16"/>
                                  <w:szCs w:val="16"/>
                                </w:rPr>
                                <w:t>co-financing</w:t>
                              </w:r>
                            </w:p>
                            <w:p w:rsidR="00390337" w:rsidRPr="004253B1" w:rsidRDefault="00390337" w:rsidP="002A6A17">
                              <w:pPr>
                                <w:pStyle w:val="NormalWeb"/>
                                <w:spacing w:before="0" w:beforeAutospacing="0" w:after="0" w:afterAutospacing="0"/>
                                <w:jc w:val="center"/>
                                <w:rPr>
                                  <w:sz w:val="16"/>
                                  <w:szCs w:val="16"/>
                                </w:rPr>
                              </w:pPr>
                            </w:p>
                          </w:txbxContent>
                        </wps:txbx>
                        <wps:bodyPr wrap="square" rtlCol="0" anchor="ctr" anchorCtr="0">
                          <a:noAutofit/>
                        </wps:bodyPr>
                      </wps:wsp>
                      <wps:wsp>
                        <wps:cNvPr id="32" name="Striped Right Arrow 32"/>
                        <wps:cNvSpPr/>
                        <wps:spPr>
                          <a:xfrm rot="10800000">
                            <a:off x="3075763" y="2313053"/>
                            <a:ext cx="1080120" cy="359767"/>
                          </a:xfrm>
                          <a:prstGeom prst="stripedRightArrow">
                            <a:avLst/>
                          </a:prstGeom>
                          <a:solidFill>
                            <a:srgbClr val="4F81BD"/>
                          </a:solidFill>
                          <a:ln w="25400" cap="flat" cmpd="sng" algn="ctr">
                            <a:solidFill>
                              <a:srgbClr val="4F81BD">
                                <a:shade val="50000"/>
                              </a:srgbClr>
                            </a:solidFill>
                            <a:prstDash val="solid"/>
                          </a:ln>
                          <a:effectLst/>
                        </wps:spPr>
                        <wps:bodyPr rtlCol="0" anchor="ctr" anchorCtr="0"/>
                      </wps:wsp>
                      <wps:wsp>
                        <wps:cNvPr id="33" name="Striped Right Arrow 33"/>
                        <wps:cNvSpPr/>
                        <wps:spPr>
                          <a:xfrm rot="10800000">
                            <a:off x="1604717" y="3593913"/>
                            <a:ext cx="2611630" cy="585968"/>
                          </a:xfrm>
                          <a:prstGeom prst="stripedRightArrow">
                            <a:avLst/>
                          </a:prstGeom>
                          <a:solidFill>
                            <a:srgbClr val="FF0000"/>
                          </a:solidFill>
                          <a:ln w="25400" cap="flat" cmpd="sng" algn="ctr">
                            <a:solidFill>
                              <a:srgbClr val="4F81BD">
                                <a:shade val="50000"/>
                              </a:srgbClr>
                            </a:solidFill>
                            <a:prstDash val="solid"/>
                          </a:ln>
                          <a:effectLst/>
                        </wps:spPr>
                        <wps:bodyPr rtlCol="0" anchor="ctr" anchorCtr="0"/>
                      </wps:wsp>
                      <wps:wsp>
                        <wps:cNvPr id="34" name="TextBox 225"/>
                        <wps:cNvSpPr txBox="1"/>
                        <wps:spPr>
                          <a:xfrm>
                            <a:off x="4295550" y="3078908"/>
                            <a:ext cx="1919158" cy="2628266"/>
                          </a:xfrm>
                          <a:prstGeom prst="rect">
                            <a:avLst/>
                          </a:prstGeom>
                          <a:noFill/>
                          <a:ln w="25400" cap="flat" cmpd="sng" algn="ctr">
                            <a:noFill/>
                            <a:prstDash val="solid"/>
                          </a:ln>
                          <a:effectLst/>
                        </wps:spPr>
                        <wps:txbx>
                          <w:txbxContent>
                            <w:p w:rsidR="00390337" w:rsidRPr="002A6A17" w:rsidRDefault="00390337" w:rsidP="002A6A17">
                              <w:pPr>
                                <w:pStyle w:val="NormalWeb"/>
                                <w:spacing w:before="0" w:beforeAutospacing="0" w:after="0" w:afterAutospacing="0"/>
                                <w:jc w:val="center"/>
                                <w:rPr>
                                  <w:b/>
                                  <w:sz w:val="16"/>
                                  <w:szCs w:val="16"/>
                                </w:rPr>
                              </w:pPr>
                              <w:r w:rsidRPr="002A6A17">
                                <w:rPr>
                                  <w:b/>
                                  <w:color w:val="000000" w:themeColor="text1"/>
                                  <w:kern w:val="24"/>
                                  <w:sz w:val="16"/>
                                  <w:szCs w:val="16"/>
                                </w:rPr>
                                <w:t>National public and/or private co-financing</w:t>
                              </w:r>
                              <w:r>
                                <w:rPr>
                                  <w:b/>
                                  <w:sz w:val="16"/>
                                  <w:szCs w:val="16"/>
                                </w:rPr>
                                <w:t xml:space="preserve"> </w:t>
                              </w:r>
                              <w:r>
                                <w:rPr>
                                  <w:b/>
                                  <w:color w:val="000000" w:themeColor="text1"/>
                                  <w:kern w:val="24"/>
                                  <w:sz w:val="16"/>
                                  <w:szCs w:val="16"/>
                                </w:rPr>
                                <w:t>inv</w:t>
                              </w:r>
                              <w:r w:rsidRPr="003A5103">
                                <w:rPr>
                                  <w:b/>
                                  <w:color w:val="000000" w:themeColor="text1"/>
                                  <w:kern w:val="24"/>
                                  <w:sz w:val="16"/>
                                  <w:szCs w:val="16"/>
                                </w:rPr>
                                <w:t>ested into final recipients on a deal by deal basis</w:t>
                              </w:r>
                              <w:r>
                                <w:rPr>
                                  <w:b/>
                                  <w:color w:val="000000" w:themeColor="text1"/>
                                  <w:kern w:val="24"/>
                                  <w:sz w:val="16"/>
                                  <w:szCs w:val="16"/>
                                </w:rPr>
                                <w:t xml:space="preserve"> </w:t>
                              </w:r>
                              <w:r w:rsidRPr="003A5103">
                                <w:rPr>
                                  <w:b/>
                                  <w:color w:val="000000" w:themeColor="text1"/>
                                  <w:kern w:val="24"/>
                                  <w:sz w:val="16"/>
                                  <w:szCs w:val="16"/>
                                </w:rPr>
                                <w:t>(excluding own contri</w:t>
                              </w:r>
                              <w:r>
                                <w:rPr>
                                  <w:b/>
                                  <w:color w:val="000000" w:themeColor="text1"/>
                                  <w:kern w:val="24"/>
                                  <w:sz w:val="16"/>
                                  <w:szCs w:val="16"/>
                                </w:rPr>
                                <w:t>bution from the final recipient</w:t>
                              </w:r>
                              <w:r w:rsidRPr="003A5103">
                                <w:rPr>
                                  <w:b/>
                                  <w:color w:val="000000" w:themeColor="text1"/>
                                  <w:kern w:val="24"/>
                                  <w:sz w:val="16"/>
                                  <w:szCs w:val="16"/>
                                </w:rPr>
                                <w:t>)</w:t>
                              </w:r>
                            </w:p>
                          </w:txbxContent>
                        </wps:txbx>
                        <wps:bodyPr wrap="square" rtlCol="0" anchor="ctr" anchorCtr="0">
                          <a:noAutofit/>
                        </wps:bodyPr>
                      </wps:wsp>
                    </wpg:wgp>
                  </a:graphicData>
                </a:graphic>
              </wp:inline>
            </w:drawing>
          </mc:Choice>
          <mc:Fallback>
            <w:pict>
              <v:group id="Group 3" o:spid="_x0000_s1026" style="width:396.85pt;height:203.25pt;mso-position-horizontal-relative:char;mso-position-vertical-relative:line" coordorigin="" coordsize="62916,5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">
                <v:group id="Group 8" o:spid="_x0000_s1027" style="position:absolute;width:29046;height:41799" coordorigin="" coordsize="29046,4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2" o:spid="_x0000_s1028" style="position:absolute;width:29046;height:41799" coordorigin="" coordsize="29046,4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Rounded Rectangle 21" o:spid="_x0000_s1029" style="position:absolute;width:13066;height:12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5i8MA&#10;AADbAAAADwAAAGRycy9kb3ducmV2LnhtbESPzarCMBSE9xd8h3AENxdN9YJoNUoRBBdexJ+Nu2Nz&#10;bKvNSWmi1rc3guBymJlvmOm8MaW4U+0Kywr6vQgEcWp1wZmCw37ZHYFwHlljaZkUPMnBfNb6mWKs&#10;7YO3dN/5TAQIuxgV5N5XsZQuzcmg69mKOHhnWxv0QdaZ1DU+AtyUchBFQ2mw4LCQY0WLnNLr7mYU&#10;/COPC58cV2v5m+wvyz+5SU9npTrtJpmA8NT4b/jTXmkFgz6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C5i8MAAADbAAAADwAAAAAAAAAAAAAAAACYAgAAZHJzL2Rv&#10;d25yZXYueG1sUEsFBgAAAAAEAAQA9QAAAIgDAAAAAA==&#10;" fillcolor="#4f81bd" strokecolor="#385d8a" strokeweight="2pt">
                      <v:textbox>
                        <w:txbxContent>
                          <w:p w:rsidR="00390337" w:rsidRPr="00C6533F" w:rsidRDefault="00390337" w:rsidP="00BB7B77">
                            <w:pPr>
                              <w:pStyle w:val="NormalWeb"/>
                              <w:spacing w:before="0" w:beforeAutospacing="0" w:after="0" w:afterAutospacing="0"/>
                              <w:jc w:val="center"/>
                              <w:rPr>
                                <w:sz w:val="16"/>
                                <w:szCs w:val="16"/>
                              </w:rPr>
                            </w:pPr>
                            <w:r w:rsidRPr="00C6533F">
                              <w:rPr>
                                <w:color w:val="FFFFFF" w:themeColor="light1"/>
                                <w:kern w:val="24"/>
                                <w:sz w:val="16"/>
                                <w:szCs w:val="16"/>
                              </w:rPr>
                              <w:t>Managing Authority</w:t>
                            </w:r>
                            <w:r>
                              <w:rPr>
                                <w:color w:val="FFFFFF" w:themeColor="light1"/>
                                <w:kern w:val="24"/>
                                <w:sz w:val="16"/>
                                <w:szCs w:val="16"/>
                              </w:rPr>
                              <w:t>: ESI Funds contribution</w:t>
                            </w:r>
                          </w:p>
                        </w:txbxContent>
                      </v:textbox>
                    </v:roundrect>
                    <v:shapetype id="_x0000_t33" coordsize="21600,21600" o:spt="33" o:oned="t" path="m,l21600,r,21600e" filled="f">
                      <v:stroke joinstyle="miter"/>
                      <v:path arrowok="t" fillok="f" o:connecttype="none"/>
                      <o:lock v:ext="edit" shapetype="t"/>
                    </v:shapetype>
                    <v:shape id="Elbow Connector 23" o:spid="_x0000_s1030" type="#_x0000_t33" style="position:absolute;left:13066;top:6107;width:8535;height:266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F8YAAADbAAAADwAAAGRycy9kb3ducmV2LnhtbESPzWrDMBCE74W8g9hAb40chxbjRDYh&#10;UCghUJofQm6LtbGNrZVrqY7bp68KhRyHmfmGWeWjacVAvastK5jPIhDEhdU1lwqOh9enBITzyBpb&#10;y6Tgmxzk2eRhham2N/6gYe9LESDsUlRQed+lUrqiIoNuZjvi4F1tb9AH2ZdS93gLcNPKOIpepMGa&#10;w0KFHW0qKpr9l1GQnOh8Sob3H8Z4+3nZPTdNsjsq9Tgd10sQnkZ/D/+337SCeAF/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IAxfGAAAA2wAAAA8AAAAAAAAA&#10;AAAAAAAAoQIAAGRycy9kb3ducmV2LnhtbFBLBQYAAAAABAAEAPkAAACUAwAAAAA=&#10;" filled="t" fillcolor="#4f81bd" strokecolor="#385d8a" strokeweight="2pt">
                      <v:stroke dashstyle="1 1" endarrow="open"/>
                    </v:shape>
                    <v:roundrect id="Rounded Rectangle 24" o:spid="_x0000_s1031" style="position:absolute;left:14156;top:8767;width:14890;height:8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Xm8IA&#10;AADbAAAADwAAAGRycy9kb3ducmV2LnhtbESPX2vCMBTF3wW/Q7iCL2JT3XDSGUU2hPlYlT1fmru2&#10;W3MTm1jrtzfCwMfD+fPjrDa9aURHra8tK5glKQjiwuqaSwWn4266BOEDssbGMim4kYfNejhYYabt&#10;lXPqDqEUcYR9hgqqEFwmpS8qMugT64ij92NbgyHKtpS6xWscN42cp+lCGqw5Eip09FFR8Xe4mAjJ&#10;P7/1/i24l8ktP19+9f7cd06p8ajfvoMI1Idn+L/9pRXMX+HxJf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FebwgAAANsAAAAPAAAAAAAAAAAAAAAAAJgCAABkcnMvZG93&#10;bnJldi54bWxQSwUGAAAAAAQABAD1AAAAhwMAAAAA&#10;" fillcolor="#4f81bd" strokecolor="#385d8a" strokeweight="2pt">
                      <v:stroke dashstyle="1 1"/>
                      <v:textbox>
                        <w:txbxContent>
                          <w:p w:rsidR="00390337" w:rsidRPr="004253B1" w:rsidRDefault="00390337" w:rsidP="00BB7B77">
                            <w:pPr>
                              <w:pStyle w:val="NormalWeb"/>
                              <w:spacing w:before="0" w:beforeAutospacing="0" w:after="0" w:afterAutospacing="0"/>
                              <w:jc w:val="center"/>
                              <w:rPr>
                                <w:sz w:val="16"/>
                                <w:szCs w:val="16"/>
                              </w:rPr>
                            </w:pPr>
                            <w:r w:rsidRPr="004253B1">
                              <w:rPr>
                                <w:color w:val="FFFFFF" w:themeColor="light1"/>
                                <w:kern w:val="24"/>
                                <w:sz w:val="16"/>
                                <w:szCs w:val="16"/>
                              </w:rPr>
                              <w:t>Fund of  funds (optional)</w:t>
                            </w:r>
                          </w:p>
                        </w:txbxContent>
                      </v:textbox>
                    </v:roundrect>
                    <v:roundrect id="Rounded Rectangle 25" o:spid="_x0000_s1032" style="position:absolute;top:20905;width:13680;height:84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iMUA&#10;AADbAAAADwAAAGRycy9kb3ducmV2LnhtbESPQWvCQBSE7wX/w/IEL6KbprRodJVQCHhoKWov3p7Z&#10;ZxLNvg27q6b/vlsQehxm5htmue5NK27kfGNZwfM0AUFcWt1wpeB7X0xmIHxA1thaJgU/5GG9Gjwt&#10;MdP2zlu67UIlIoR9hgrqELpMSl/WZNBPbUccvZN1BkOUrpLa4T3CTSvTJHmTBhuOCzV29F5Tedld&#10;jYJP5HkT8sPmQ47z/bl4kV/l8aTUaNjnCxCB+vAffrQ3WkH6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C7+IxQAAANsAAAAPAAAAAAAAAAAAAAAAAJgCAABkcnMv&#10;ZG93bnJldi54bWxQSwUGAAAAAAQABAD1AAAAigMAAAAA&#10;" fillcolor="#4f81bd" strokecolor="#385d8a" strokeweight="2pt">
                      <v:textbox>
                        <w:txbxContent>
                          <w:p w:rsidR="00390337" w:rsidRPr="004253B1" w:rsidRDefault="00390337" w:rsidP="00BB7B77">
                            <w:pPr>
                              <w:pStyle w:val="NormalWeb"/>
                              <w:spacing w:before="0" w:beforeAutospacing="0" w:after="0" w:afterAutospacing="0"/>
                              <w:jc w:val="center"/>
                              <w:rPr>
                                <w:color w:val="FFFFFF" w:themeColor="light1"/>
                                <w:kern w:val="24"/>
                                <w:sz w:val="16"/>
                                <w:szCs w:val="16"/>
                              </w:rPr>
                            </w:pPr>
                            <w:r w:rsidRPr="004253B1">
                              <w:rPr>
                                <w:color w:val="FFFFFF" w:themeColor="light1"/>
                                <w:kern w:val="24"/>
                                <w:sz w:val="16"/>
                                <w:szCs w:val="16"/>
                              </w:rPr>
                              <w:t>F</w:t>
                            </w:r>
                            <w:r>
                              <w:rPr>
                                <w:color w:val="FFFFFF" w:themeColor="light1"/>
                                <w:kern w:val="24"/>
                                <w:sz w:val="16"/>
                                <w:szCs w:val="16"/>
                              </w:rPr>
                              <w:t>inancial intermediary</w:t>
                            </w:r>
                          </w:p>
                        </w:txbxContent>
                      </v:textbox>
                    </v:roundrect>
                    <v:roundrect id="Rounded Rectangle 26" o:spid="_x0000_s1033" style="position:absolute;top:35829;width:13681;height:59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h/8UA&#10;AADbAAAADwAAAGRycy9kb3ducmV2LnhtbESPzWrDMBCE74W8g9hCLyWR44JJ3cjGBAI5tJT8XHrb&#10;WBvbrbUylmK7b18VAjkOM/MNs84n04qBetdYVrBcRCCIS6sbrhScjtv5CoTzyBpby6Tglxzk2exh&#10;jam2I+9pOPhKBAi7FBXU3neplK6syaBb2I44eBfbG/RB9pXUPY4BbloZR1EiDTYcFmrsaFNT+XO4&#10;GgUfyK+NL7527/K5OH5vX+Rneb4o9fQ4FW8gPE3+Hr61d1pBnMD/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SH/xQAAANsAAAAPAAAAAAAAAAAAAAAAAJgCAABkcnMv&#10;ZG93bnJldi54bWxQSwUGAAAAAAQABAD1AAAAigMAAAAA&#10;" fillcolor="#4f81bd" strokecolor="#385d8a" strokeweight="2pt">
                      <v:textbox>
                        <w:txbxContent>
                          <w:p w:rsidR="00390337" w:rsidRPr="004253B1" w:rsidRDefault="00390337" w:rsidP="00BB7B77">
                            <w:pPr>
                              <w:pStyle w:val="NormalWeb"/>
                              <w:spacing w:before="0" w:beforeAutospacing="0" w:after="0" w:afterAutospacing="0"/>
                              <w:jc w:val="center"/>
                              <w:rPr>
                                <w:sz w:val="16"/>
                                <w:szCs w:val="16"/>
                              </w:rPr>
                            </w:pPr>
                            <w:r w:rsidRPr="004253B1">
                              <w:rPr>
                                <w:color w:val="FFFFFF" w:themeColor="light1"/>
                                <w:kern w:val="24"/>
                                <w:sz w:val="16"/>
                                <w:szCs w:val="16"/>
                              </w:rPr>
                              <w:t>Final recipients</w:t>
                            </w:r>
                          </w:p>
                        </w:txbxContent>
                      </v:textbox>
                    </v:roundrect>
                  </v:group>
                  <v:shapetype id="_x0000_t32" coordsize="21600,21600" o:spt="32" o:oned="t" path="m,l21600,21600e" filled="f">
                    <v:path arrowok="t" fillok="f" o:connecttype="none"/>
                    <o:lock v:ext="edit" shapetype="t"/>
                  </v:shapetype>
                  <v:shape id="Straight Arrow Connector 27" o:spid="_x0000_s1034" type="#_x0000_t32" style="position:absolute;left:6533;top:12214;width:307;height:8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V4sIAAADbAAAADwAAAGRycy9kb3ducmV2LnhtbESPT4vCMBTE74LfITxhb5oqi3+qUXZd&#10;FsSbdcE9PppnU9q8lCZq/fZGEDwOM/MbZrXpbC2u1PrSsYLxKAFBnDtdcqHg7/g7nIPwAVlj7ZgU&#10;3MnDZt3vrTDV7sYHumahEBHCPkUFJoQmldLnhiz6kWuIo3d2rcUQZVtI3eItwm0tJ0kylRZLjgsG&#10;G9oayqvsYhUsfvafC2eq/Ly33/9Hf6pOOKuU+hh0X0sQgbrwDr/aO61gMoPnl/g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wV4sIAAADbAAAADwAAAAAAAAAAAAAA&#10;AAChAgAAZHJzL2Rvd25yZXYueG1sUEsFBgAAAAAEAAQA+QAAAJADAAAAAA==&#10;" filled="t" fillcolor="#4f81bd" strokecolor="#385d8a" strokeweight="2pt">
                    <v:stroke endarrow="open"/>
                  </v:shape>
                  <v:shape id="Straight Arrow Connector 28" o:spid="_x0000_s1035" type="#_x0000_t32" style="position:absolute;left:6839;top:29377;width:1;height:6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BkMAAAADbAAAADwAAAGRycy9kb3ducmV2LnhtbERPy4rCMBTdC/MP4Q64s+mIjNoxig+E&#10;wZ0P0OWluW1Km5vSRK1/bxYDszyc92LV20Y8qPOVYwVfSQqCOHe64lLB5bwfzUD4gKyxcUwKXuRh&#10;tfwYLDDT7slHepxCKWII+wwVmBDaTEqfG7LoE9cSR65wncUQYVdK3eEzhttGjtP0W1qsODYYbGlr&#10;KK9Pd6tgvjtM5s7UeXGwm9vZX+srTmulhp/9+gdEoD78i//cv1rBOI6NX+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DgZDAAAAA2wAAAA8AAAAAAAAAAAAAAAAA&#10;oQIAAGRycy9kb3ducmV2LnhtbFBLBQYAAAAABAAEAPkAAACOAwAAAAA=&#10;" filled="t" fillcolor="#4f81bd" strokecolor="#385d8a" strokeweight="2pt">
                    <v:stroke endarrow="open"/>
                  </v:shape>
                  <v:shape id="Elbow Connector 29" o:spid="_x0000_s1036" type="#_x0000_t33" style="position:absolute;left:14858;top:16160;width:6518;height:79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1thMMAAADbAAAADwAAAGRycy9kb3ducmV2LnhtbESPQWsCMRSE70L/Q3iF3jRbUamrUbQg&#10;rCepFlpvj81zd+nmJWzSNf33Rih4HGbmG2a5jqYVPXW+sazgdZSBIC6tbrhS8HnaDd9A+ICssbVM&#10;Cv7Iw3r1NFhiru2VP6g/hkokCPscFdQhuFxKX9Zk0I+sI07exXYGQ5JdJXWH1wQ3rRxn2UwabDgt&#10;1Ojovaby5/hrFBy2MU7ddF4U/WXCM/e9N190VurlOW4WIALF8Aj/twutYDyH+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dbYTDAAAA2wAAAA8AAAAAAAAAAAAA&#10;AAAAoQIAAGRycy9kb3ducmV2LnhtbFBLBQYAAAAABAAEAPkAAACRAwAAAAA=&#10;" filled="t" fillcolor="#4f81bd" strokecolor="#385d8a" strokeweight="2pt">
                    <v:stroke dashstyle="1 1" endarrow="open"/>
                  </v:shape>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0" o:spid="_x0000_s1037" type="#_x0000_t93" style="position:absolute;left:30757;top:10398;width:10801;height:359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AjsEA&#10;AADbAAAADwAAAGRycy9kb3ducmV2LnhtbERPy4rCMBTdC/5DuII7TdVh0GoUEUVnMeJrobtLc/vA&#10;5qY0UTt/P1kILg/nPVs0phRPql1hWcGgH4EgTqwuOFNwOW96YxDOI2ssLZOCP3KwmLdbM4y1ffGR&#10;niefiRDCLkYFufdVLKVLcjLo+rYiDlxqa4M+wDqTusZXCDelHEbRtzRYcGjIsaJVTsn99DAKtj/3&#10;wVf1SH+vu9tyf/Dp9ThZW6W6nWY5BeGp8R/x273TCkZhffg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jwI7BAAAA2wAAAA8AAAAAAAAAAAAAAAAAmAIAAGRycy9kb3du&#10;cmV2LnhtbFBLBQYAAAAABAAEAPUAAACGAwAAAAA=&#10;" adj="18003" fillcolor="#4f81bd" strokecolor="#385d8a" strokeweight="2pt"/>
                <v:shapetype id="_x0000_t202" coordsize="21600,21600" o:spt="202" path="m,l,21600r21600,l21600,xe">
                  <v:stroke joinstyle="miter"/>
                  <v:path gradientshapeok="t" o:connecttype="rect"/>
                </v:shapetype>
                <v:shape id="TextBox 219" o:spid="_x0000_s1038" type="#_x0000_t202" style="position:absolute;left:42156;top:8180;width:20760;height:201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LtcIA&#10;AADbAAAADwAAAGRycy9kb3ducmV2LnhtbESP3YrCMBSE74V9h3AWvNNUXUS6RlkUURcU/HmAY3Ns&#10;is1JaaKtb79ZELwcZuYbZjpvbSkeVPvCsYJBPwFBnDldcK7gfFr1JiB8QNZYOiYFT/Iwn310pphq&#10;1/CBHseQiwhhn6ICE0KVSukzQxZ931XE0bu62mKIss6lrrGJcFvKYZKMpcWC44LBihaGstvxbhX4&#10;wGtzuY72l0Z/lb9+e9stT4lS3c/25xtEoDa8w6/2RisYDeD/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Au1wgAAANsAAAAPAAAAAAAAAAAAAAAAAJgCAABkcnMvZG93&#10;bnJldi54bWxQSwUGAAAAAAQABAD1AAAAhwMAAAAA&#10;" filled="f" stroked="f" strokeweight="2pt">
                  <v:textbox>
                    <w:txbxContent>
                      <w:p w:rsidR="00390337" w:rsidRPr="004253B1" w:rsidRDefault="00390337" w:rsidP="00BB7B77">
                        <w:pPr>
                          <w:pStyle w:val="NormalWeb"/>
                          <w:spacing w:before="0" w:beforeAutospacing="0" w:after="0" w:afterAutospacing="0"/>
                          <w:jc w:val="center"/>
                          <w:rPr>
                            <w:sz w:val="16"/>
                            <w:szCs w:val="16"/>
                          </w:rPr>
                        </w:pPr>
                        <w:r>
                          <w:rPr>
                            <w:color w:val="000000" w:themeColor="text1"/>
                            <w:kern w:val="24"/>
                            <w:sz w:val="16"/>
                            <w:szCs w:val="16"/>
                          </w:rPr>
                          <w:t>National public and/</w:t>
                        </w:r>
                        <w:r w:rsidRPr="004253B1">
                          <w:rPr>
                            <w:color w:val="000000" w:themeColor="text1"/>
                            <w:kern w:val="24"/>
                            <w:sz w:val="16"/>
                            <w:szCs w:val="16"/>
                          </w:rPr>
                          <w:t xml:space="preserve">or private </w:t>
                        </w:r>
                        <w:r>
                          <w:rPr>
                            <w:color w:val="000000" w:themeColor="text1"/>
                            <w:kern w:val="24"/>
                            <w:sz w:val="16"/>
                            <w:szCs w:val="16"/>
                          </w:rPr>
                          <w:t>co-financing</w:t>
                        </w: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Default="00390337" w:rsidP="00BB7B77">
                        <w:pPr>
                          <w:pStyle w:val="NormalWeb"/>
                          <w:spacing w:before="0" w:beforeAutospacing="0" w:after="0" w:afterAutospacing="0"/>
                          <w:jc w:val="center"/>
                          <w:rPr>
                            <w:color w:val="000000" w:themeColor="text1"/>
                            <w:kern w:val="24"/>
                            <w:sz w:val="16"/>
                            <w:szCs w:val="16"/>
                          </w:rPr>
                        </w:pPr>
                      </w:p>
                      <w:p w:rsidR="00390337" w:rsidRPr="004253B1" w:rsidRDefault="00390337" w:rsidP="002A6A17">
                        <w:pPr>
                          <w:pStyle w:val="NormalWeb"/>
                          <w:spacing w:before="0" w:beforeAutospacing="0" w:after="0" w:afterAutospacing="0"/>
                          <w:jc w:val="center"/>
                          <w:rPr>
                            <w:sz w:val="16"/>
                            <w:szCs w:val="16"/>
                          </w:rPr>
                        </w:pPr>
                        <w:r>
                          <w:rPr>
                            <w:color w:val="000000" w:themeColor="text1"/>
                            <w:kern w:val="24"/>
                            <w:sz w:val="16"/>
                            <w:szCs w:val="16"/>
                          </w:rPr>
                          <w:t>National public and/</w:t>
                        </w:r>
                        <w:r w:rsidRPr="004253B1">
                          <w:rPr>
                            <w:color w:val="000000" w:themeColor="text1"/>
                            <w:kern w:val="24"/>
                            <w:sz w:val="16"/>
                            <w:szCs w:val="16"/>
                          </w:rPr>
                          <w:t xml:space="preserve">or private </w:t>
                        </w:r>
                        <w:r>
                          <w:rPr>
                            <w:color w:val="000000" w:themeColor="text1"/>
                            <w:kern w:val="24"/>
                            <w:sz w:val="16"/>
                            <w:szCs w:val="16"/>
                          </w:rPr>
                          <w:t>co-financing</w:t>
                        </w:r>
                      </w:p>
                      <w:p w:rsidR="00390337" w:rsidRPr="004253B1" w:rsidRDefault="00390337" w:rsidP="002A6A17">
                        <w:pPr>
                          <w:pStyle w:val="NormalWeb"/>
                          <w:spacing w:before="0" w:beforeAutospacing="0" w:after="0" w:afterAutospacing="0"/>
                          <w:jc w:val="center"/>
                          <w:rPr>
                            <w:sz w:val="16"/>
                            <w:szCs w:val="16"/>
                          </w:rPr>
                        </w:pPr>
                      </w:p>
                    </w:txbxContent>
                  </v:textbox>
                </v:shape>
                <v:shape id="Striped Right Arrow 32" o:spid="_x0000_s1039" type="#_x0000_t93" style="position:absolute;left:30757;top:23130;width:10801;height:359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7YsUA&#10;AADbAAAADwAAAGRycy9kb3ducmV2LnhtbESPS4sCMRCE7wv+h9AL3jTjg0VnjSKiqIcVXwe9NZOe&#10;B046wyTq+O83C8Iei6r6iprMGlOKB9WusKyg141AECdWF5wpOJ9WnREI55E1lpZJwYsczKatjwnG&#10;2j75QI+jz0SAsItRQe59FUvpkpwMuq6tiIOX2tqgD7LOpK7xGeCmlP0o+pIGCw4LOVa0yCm5He9G&#10;wXp76w2re/pz2Vznu71PL4fx0irV/mzm3yA8Nf4//G5vtIJBH/6+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ftixQAAANsAAAAPAAAAAAAAAAAAAAAAAJgCAABkcnMv&#10;ZG93bnJldi54bWxQSwUGAAAAAAQABAD1AAAAigMAAAAA&#10;" adj="18003" fillcolor="#4f81bd" strokecolor="#385d8a" strokeweight="2pt"/>
                <v:shape id="Striped Right Arrow 33" o:spid="_x0000_s1040" type="#_x0000_t93" style="position:absolute;left:16047;top:35939;width:26116;height:585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lAcQA&#10;AADbAAAADwAAAGRycy9kb3ducmV2LnhtbESPT4vCMBTE74LfITzBm6ZWENs1isgKIrsH/93fNs+m&#10;2LzUJqvdb79ZWPA4zMxvmMWqs7V4UOsrxwom4wQEceF0xaWC82k7moPwAVlj7ZgU/JCH1bLfW2Cu&#10;3ZMP9DiGUkQI+xwVmBCaXEpfGLLox64hjt7VtRZDlG0pdYvPCLe1TJNkJi1WHBcMNrQxVNyO31ZB&#10;+jXbflxkWmaXz3dznx+y/S7LlBoOuvUbiEBdeIX/2zutYDq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5QHEAAAA2wAAAA8AAAAAAAAAAAAAAAAAmAIAAGRycy9k&#10;b3ducmV2LnhtbFBLBQYAAAAABAAEAPUAAACJAwAAAAA=&#10;" adj="19177" fillcolor="red" strokecolor="#385d8a" strokeweight="2pt"/>
                <v:shape id="TextBox 225" o:spid="_x0000_s1041" type="#_x0000_t202" style="position:absolute;left:42955;top:30789;width:19192;height:26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oLcQA&#10;AADbAAAADwAAAGRycy9kb3ducmV2LnhtbESP0WrCQBRE34X+w3ILvummjUhJXaW0iG1BQdMPuMle&#10;syHZuyG7mvTvuwXBx2FmzjCrzWhbcaXe144VPM0TEMSl0zVXCn7y7ewFhA/IGlvHpOCXPGzWD5MV&#10;ZtoNfKTrKVQiQthnqMCE0GVS+tKQRT93HXH0zq63GKLsK6l7HCLctvI5SZbSYs1xwWBH74bK5nSx&#10;CnzgnSnO6aEY9KL99l/N/iNPlJo+jm+vIAKN4R6+tT+1gnQB/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qC3EAAAA2wAAAA8AAAAAAAAAAAAAAAAAmAIAAGRycy9k&#10;b3ducmV2LnhtbFBLBQYAAAAABAAEAPUAAACJAwAAAAA=&#10;" filled="f" stroked="f" strokeweight="2pt">
                  <v:textbox>
                    <w:txbxContent>
                      <w:p w:rsidR="00390337" w:rsidRPr="002A6A17" w:rsidRDefault="00390337" w:rsidP="002A6A17">
                        <w:pPr>
                          <w:pStyle w:val="NormalWeb"/>
                          <w:spacing w:before="0" w:beforeAutospacing="0" w:after="0" w:afterAutospacing="0"/>
                          <w:jc w:val="center"/>
                          <w:rPr>
                            <w:b/>
                            <w:sz w:val="16"/>
                            <w:szCs w:val="16"/>
                          </w:rPr>
                        </w:pPr>
                        <w:r w:rsidRPr="002A6A17">
                          <w:rPr>
                            <w:b/>
                            <w:color w:val="000000" w:themeColor="text1"/>
                            <w:kern w:val="24"/>
                            <w:sz w:val="16"/>
                            <w:szCs w:val="16"/>
                          </w:rPr>
                          <w:t>National public and/or private co-financing</w:t>
                        </w:r>
                        <w:r>
                          <w:rPr>
                            <w:b/>
                            <w:sz w:val="16"/>
                            <w:szCs w:val="16"/>
                          </w:rPr>
                          <w:t xml:space="preserve"> </w:t>
                        </w:r>
                        <w:r>
                          <w:rPr>
                            <w:b/>
                            <w:color w:val="000000" w:themeColor="text1"/>
                            <w:kern w:val="24"/>
                            <w:sz w:val="16"/>
                            <w:szCs w:val="16"/>
                          </w:rPr>
                          <w:t>inv</w:t>
                        </w:r>
                        <w:r w:rsidRPr="003A5103">
                          <w:rPr>
                            <w:b/>
                            <w:color w:val="000000" w:themeColor="text1"/>
                            <w:kern w:val="24"/>
                            <w:sz w:val="16"/>
                            <w:szCs w:val="16"/>
                          </w:rPr>
                          <w:t>ested into final recipients on a deal by deal basis</w:t>
                        </w:r>
                        <w:r>
                          <w:rPr>
                            <w:b/>
                            <w:color w:val="000000" w:themeColor="text1"/>
                            <w:kern w:val="24"/>
                            <w:sz w:val="16"/>
                            <w:szCs w:val="16"/>
                          </w:rPr>
                          <w:t xml:space="preserve"> </w:t>
                        </w:r>
                        <w:r w:rsidRPr="003A5103">
                          <w:rPr>
                            <w:b/>
                            <w:color w:val="000000" w:themeColor="text1"/>
                            <w:kern w:val="24"/>
                            <w:sz w:val="16"/>
                            <w:szCs w:val="16"/>
                          </w:rPr>
                          <w:t>(excluding own contri</w:t>
                        </w:r>
                        <w:r>
                          <w:rPr>
                            <w:b/>
                            <w:color w:val="000000" w:themeColor="text1"/>
                            <w:kern w:val="24"/>
                            <w:sz w:val="16"/>
                            <w:szCs w:val="16"/>
                          </w:rPr>
                          <w:t>bution from the final recipient</w:t>
                        </w:r>
                        <w:r w:rsidRPr="003A5103">
                          <w:rPr>
                            <w:b/>
                            <w:color w:val="000000" w:themeColor="text1"/>
                            <w:kern w:val="24"/>
                            <w:sz w:val="16"/>
                            <w:szCs w:val="16"/>
                          </w:rPr>
                          <w:t>)</w:t>
                        </w:r>
                      </w:p>
                    </w:txbxContent>
                  </v:textbox>
                </v:shape>
                <w10:anchorlock/>
              </v:group>
            </w:pict>
          </mc:Fallback>
        </mc:AlternateContent>
      </w:r>
    </w:p>
    <w:p w:rsidR="00731DA3" w:rsidRDefault="00731DA3" w:rsidP="006F41DB">
      <w:pPr>
        <w:rPr>
          <w:rFonts w:eastAsia="Calibri"/>
          <w:szCs w:val="24"/>
        </w:rPr>
      </w:pPr>
      <w:r w:rsidRPr="00232FDB">
        <w:rPr>
          <w:rFonts w:eastAsia="Calibri"/>
          <w:szCs w:val="24"/>
        </w:rPr>
        <w:t>Contrary to what happens in grant</w:t>
      </w:r>
      <w:r w:rsidR="0091717E">
        <w:rPr>
          <w:rFonts w:eastAsia="Calibri"/>
          <w:szCs w:val="24"/>
        </w:rPr>
        <w:t xml:space="preserve"> </w:t>
      </w:r>
      <w:r w:rsidRPr="00232FDB">
        <w:rPr>
          <w:rFonts w:eastAsia="Calibri"/>
          <w:szCs w:val="24"/>
        </w:rPr>
        <w:t>operations w</w:t>
      </w:r>
      <w:r w:rsidR="008F484C">
        <w:rPr>
          <w:rFonts w:eastAsia="Calibri"/>
          <w:szCs w:val="24"/>
        </w:rPr>
        <w:t>h</w:t>
      </w:r>
      <w:r w:rsidRPr="00232FDB">
        <w:rPr>
          <w:rFonts w:eastAsia="Calibri"/>
          <w:szCs w:val="24"/>
        </w:rPr>
        <w:t>ere programme support is provided in the form of reimbursement of expenditure already incurred and paid (by a beneficiary), in the case of financial instruments the programme support precedes the investment (by the final recipient) by providing the means of financing for the investment.</w:t>
      </w:r>
    </w:p>
    <w:p w:rsidR="001C4B98" w:rsidRPr="00232FDB" w:rsidRDefault="002A4D38" w:rsidP="006F41DB">
      <w:pPr>
        <w:rPr>
          <w:rFonts w:eastAsia="Calibri"/>
          <w:szCs w:val="24"/>
        </w:rPr>
      </w:pPr>
      <w:r w:rsidRPr="00232FDB">
        <w:rPr>
          <w:rFonts w:eastAsia="Calibri"/>
          <w:szCs w:val="24"/>
        </w:rPr>
        <w:t>I</w:t>
      </w:r>
      <w:r w:rsidR="003A2CD9" w:rsidRPr="00232FDB">
        <w:rPr>
          <w:rFonts w:eastAsia="Calibri"/>
          <w:szCs w:val="24"/>
        </w:rPr>
        <w:t xml:space="preserve">n line with Article 42 CPR eligible expenditure for financial instruments </w:t>
      </w:r>
      <w:r w:rsidR="009B546D" w:rsidRPr="00232FDB">
        <w:rPr>
          <w:rFonts w:eastAsia="Calibri"/>
          <w:szCs w:val="24"/>
        </w:rPr>
        <w:t xml:space="preserve">is </w:t>
      </w:r>
      <w:r w:rsidR="003A2CD9" w:rsidRPr="00232FDB">
        <w:rPr>
          <w:rFonts w:eastAsia="Calibri"/>
          <w:szCs w:val="24"/>
        </w:rPr>
        <w:t xml:space="preserve">the total amount of programme contributions </w:t>
      </w:r>
      <w:r w:rsidR="003A2CD9" w:rsidRPr="00232FDB">
        <w:rPr>
          <w:rFonts w:eastAsia="Calibri"/>
          <w:szCs w:val="24"/>
          <w:u w:val="single"/>
        </w:rPr>
        <w:t>paid to final recipients</w:t>
      </w:r>
      <w:r w:rsidR="000667A3" w:rsidRPr="00232FDB">
        <w:rPr>
          <w:rFonts w:eastAsia="Calibri"/>
          <w:szCs w:val="24"/>
        </w:rPr>
        <w:t xml:space="preserve"> </w:t>
      </w:r>
      <w:r w:rsidR="00847209" w:rsidRPr="00232FDB">
        <w:rPr>
          <w:rFonts w:eastAsia="Calibri"/>
          <w:szCs w:val="24"/>
        </w:rPr>
        <w:t>(or committed in the case of guarantees)</w:t>
      </w:r>
      <w:r w:rsidR="003A2CD9" w:rsidRPr="00232FDB">
        <w:rPr>
          <w:rFonts w:eastAsia="Calibri"/>
          <w:szCs w:val="24"/>
        </w:rPr>
        <w:t>, meaning third party financing and not own resources already available at the level of the final recipient. This</w:t>
      </w:r>
      <w:r w:rsidR="00417618">
        <w:rPr>
          <w:rFonts w:eastAsia="Calibri"/>
          <w:szCs w:val="24"/>
        </w:rPr>
        <w:t xml:space="preserve"> conclusion </w:t>
      </w:r>
      <w:r w:rsidR="003A2CD9" w:rsidRPr="00232FDB">
        <w:rPr>
          <w:rFonts w:eastAsia="Calibri"/>
          <w:szCs w:val="24"/>
        </w:rPr>
        <w:t xml:space="preserve">is reinforced by the fact that under </w:t>
      </w:r>
      <w:r w:rsidR="009A2D39" w:rsidRPr="00232FDB">
        <w:rPr>
          <w:rFonts w:eastAsia="Calibri"/>
          <w:szCs w:val="24"/>
        </w:rPr>
        <w:t xml:space="preserve">Article 37(2)(b) and (c) CPR national public and private contributions from programmes to financial instruments should represent additional financing, i.e. should be </w:t>
      </w:r>
      <w:r w:rsidR="003A2CD9" w:rsidRPr="00232FDB">
        <w:rPr>
          <w:rFonts w:eastAsia="Calibri"/>
          <w:szCs w:val="24"/>
          <w:u w:val="single"/>
        </w:rPr>
        <w:t xml:space="preserve">triggered </w:t>
      </w:r>
      <w:r w:rsidR="009A2D39" w:rsidRPr="00232FDB">
        <w:rPr>
          <w:rFonts w:eastAsia="Calibri"/>
          <w:szCs w:val="24"/>
          <w:u w:val="single"/>
        </w:rPr>
        <w:t>by the presence of the ESI</w:t>
      </w:r>
      <w:r w:rsidR="001C4B98" w:rsidRPr="00232FDB">
        <w:rPr>
          <w:rFonts w:eastAsia="Calibri"/>
          <w:szCs w:val="24"/>
          <w:u w:val="single"/>
        </w:rPr>
        <w:t xml:space="preserve"> Funds</w:t>
      </w:r>
      <w:r w:rsidR="009A2D39" w:rsidRPr="00232FDB">
        <w:rPr>
          <w:rFonts w:eastAsia="Calibri"/>
          <w:szCs w:val="24"/>
          <w:u w:val="single"/>
        </w:rPr>
        <w:t xml:space="preserve"> contribution</w:t>
      </w:r>
      <w:r w:rsidR="009A2D39" w:rsidRPr="00232FDB">
        <w:rPr>
          <w:rFonts w:eastAsia="Calibri"/>
          <w:szCs w:val="24"/>
        </w:rPr>
        <w:t xml:space="preserve">, as compared to the resources already or otherwise available to the final recipient. </w:t>
      </w:r>
    </w:p>
    <w:p w:rsidR="00731DA3" w:rsidRDefault="00731DA3" w:rsidP="006F41DB">
      <w:pPr>
        <w:rPr>
          <w:rFonts w:eastAsia="Calibri"/>
          <w:szCs w:val="24"/>
        </w:rPr>
      </w:pPr>
    </w:p>
    <w:p w:rsidR="009A2D39" w:rsidRDefault="002A4D38" w:rsidP="006F41DB">
      <w:pPr>
        <w:rPr>
          <w:rFonts w:eastAsia="Calibri"/>
          <w:szCs w:val="24"/>
        </w:rPr>
      </w:pPr>
      <w:r w:rsidRPr="00232FDB">
        <w:rPr>
          <w:rFonts w:eastAsia="Calibri"/>
          <w:szCs w:val="24"/>
          <w:u w:val="single"/>
        </w:rPr>
        <w:t>Therefore</w:t>
      </w:r>
      <w:r w:rsidR="009A2D39" w:rsidRPr="00232FDB">
        <w:rPr>
          <w:rFonts w:eastAsia="Calibri"/>
          <w:szCs w:val="24"/>
          <w:u w:val="single"/>
        </w:rPr>
        <w:t>, own resources</w:t>
      </w:r>
      <w:r w:rsidR="00AC66B3" w:rsidRPr="00232FDB">
        <w:rPr>
          <w:rFonts w:eastAsia="Calibri"/>
          <w:szCs w:val="24"/>
          <w:u w:val="single"/>
        </w:rPr>
        <w:t xml:space="preserve">/contribution </w:t>
      </w:r>
      <w:r w:rsidR="009A2D39" w:rsidRPr="00232FDB">
        <w:rPr>
          <w:rFonts w:eastAsia="Calibri"/>
          <w:szCs w:val="24"/>
          <w:u w:val="single"/>
        </w:rPr>
        <w:t xml:space="preserve">of the final recipient allocated to </w:t>
      </w:r>
      <w:r w:rsidR="003A2CD9" w:rsidRPr="00232FDB">
        <w:rPr>
          <w:rFonts w:eastAsia="Calibri"/>
          <w:szCs w:val="24"/>
          <w:u w:val="single"/>
        </w:rPr>
        <w:t xml:space="preserve">its planned </w:t>
      </w:r>
      <w:r w:rsidR="009A2D39" w:rsidRPr="00232FDB">
        <w:rPr>
          <w:rFonts w:eastAsia="Calibri"/>
          <w:szCs w:val="24"/>
          <w:u w:val="single"/>
        </w:rPr>
        <w:t xml:space="preserve">investment, cannot be considered as national co-financing of the </w:t>
      </w:r>
      <w:r w:rsidR="008F484C">
        <w:rPr>
          <w:rFonts w:eastAsia="Calibri"/>
          <w:szCs w:val="24"/>
          <w:u w:val="single"/>
        </w:rPr>
        <w:t>operation/</w:t>
      </w:r>
      <w:r w:rsidR="003E14BD" w:rsidRPr="00232FDB">
        <w:rPr>
          <w:rFonts w:eastAsia="Calibri"/>
          <w:szCs w:val="24"/>
          <w:u w:val="single"/>
        </w:rPr>
        <w:t>programme</w:t>
      </w:r>
      <w:r w:rsidR="00AC66B3" w:rsidRPr="00232FDB">
        <w:rPr>
          <w:rStyle w:val="FootnoteReference"/>
          <w:rFonts w:eastAsia="Calibri"/>
          <w:szCs w:val="24"/>
          <w:u w:val="single"/>
        </w:rPr>
        <w:footnoteReference w:id="4"/>
      </w:r>
      <w:r w:rsidRPr="00232FDB">
        <w:rPr>
          <w:rFonts w:eastAsia="Calibri"/>
          <w:szCs w:val="24"/>
          <w:u w:val="single"/>
        </w:rPr>
        <w:t xml:space="preserve"> and therefore are not part of the eligible expenditure</w:t>
      </w:r>
      <w:r w:rsidR="008F484C">
        <w:rPr>
          <w:rFonts w:eastAsia="Calibri"/>
          <w:szCs w:val="24"/>
          <w:u w:val="single"/>
        </w:rPr>
        <w:t>, as the purpose of financial instruments is to provide means of financing.</w:t>
      </w:r>
      <w:r w:rsidR="00CF0B6B" w:rsidRPr="00232FDB">
        <w:rPr>
          <w:rFonts w:eastAsia="Calibri"/>
          <w:szCs w:val="24"/>
        </w:rPr>
        <w:t xml:space="preserve"> </w:t>
      </w:r>
    </w:p>
    <w:p w:rsidR="002A6A17" w:rsidRPr="00232FDB" w:rsidRDefault="008F484C" w:rsidP="002A6A17">
      <w:pPr>
        <w:rPr>
          <w:rFonts w:eastAsia="Calibri"/>
          <w:szCs w:val="24"/>
        </w:rPr>
      </w:pPr>
      <w:r>
        <w:rPr>
          <w:rFonts w:eastAsia="Calibri"/>
          <w:szCs w:val="24"/>
        </w:rPr>
        <w:t>However, i</w:t>
      </w:r>
      <w:r w:rsidR="002A6A17">
        <w:rPr>
          <w:rFonts w:eastAsia="Calibri"/>
          <w:szCs w:val="24"/>
        </w:rPr>
        <w:t xml:space="preserve">n the case of legal entities (in particular SMEs), a distinction should be made however between resources already forming part of the legal entity's assets, and new assets transferred to the legal entity by its shareholders – e.g. a capital increase through the incorporation of reserves should not be eligible national co-financing, but a capital increase through the issue of new shares with corresponding paid-in capital should be considered as additional private funding counting as </w:t>
      </w:r>
      <w:r w:rsidR="009455DA">
        <w:rPr>
          <w:rFonts w:eastAsia="Calibri"/>
          <w:szCs w:val="24"/>
        </w:rPr>
        <w:t xml:space="preserve">national </w:t>
      </w:r>
      <w:r w:rsidR="002A6A17">
        <w:rPr>
          <w:rFonts w:eastAsia="Calibri"/>
          <w:szCs w:val="24"/>
        </w:rPr>
        <w:t>co-financing</w:t>
      </w:r>
      <w:r w:rsidR="009455DA">
        <w:rPr>
          <w:rFonts w:eastAsia="Calibri"/>
          <w:szCs w:val="24"/>
        </w:rPr>
        <w:t>, provided that this capital increase is direly related to the investment being supported also by the financial instrument</w:t>
      </w:r>
      <w:r w:rsidR="002A6A17">
        <w:rPr>
          <w:rFonts w:eastAsia="Calibri"/>
          <w:szCs w:val="24"/>
        </w:rPr>
        <w:t>.</w:t>
      </w:r>
    </w:p>
    <w:p w:rsidR="004E0A46" w:rsidRPr="00232FDB" w:rsidRDefault="00A1519A" w:rsidP="006F41DB">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lastRenderedPageBreak/>
        <w:t>Whe</w:t>
      </w:r>
      <w:r w:rsidR="00534750" w:rsidRPr="00232FDB">
        <w:rPr>
          <w:rFonts w:ascii="Times New Roman" w:eastAsia="Calibri" w:hAnsi="Times New Roman"/>
          <w:sz w:val="24"/>
          <w:szCs w:val="24"/>
        </w:rPr>
        <w:t xml:space="preserve">re </w:t>
      </w:r>
      <w:r w:rsidRPr="00232FDB">
        <w:rPr>
          <w:rFonts w:ascii="Times New Roman" w:eastAsia="Calibri" w:hAnsi="Times New Roman"/>
          <w:sz w:val="24"/>
          <w:szCs w:val="24"/>
        </w:rPr>
        <w:t xml:space="preserve">the </w:t>
      </w:r>
      <w:r w:rsidR="004E0A46" w:rsidRPr="00232FDB">
        <w:rPr>
          <w:rFonts w:ascii="Times New Roman" w:eastAsia="Calibri" w:hAnsi="Times New Roman"/>
          <w:sz w:val="24"/>
          <w:szCs w:val="24"/>
        </w:rPr>
        <w:t xml:space="preserve">national public and private contributions to financial instruments are made at the level of final recipients, the body implementing the financial instrument </w:t>
      </w:r>
      <w:r w:rsidR="009B546D" w:rsidRPr="00232FDB">
        <w:rPr>
          <w:rFonts w:ascii="Times New Roman" w:eastAsia="Calibri" w:hAnsi="Times New Roman"/>
          <w:sz w:val="24"/>
          <w:szCs w:val="24"/>
        </w:rPr>
        <w:t xml:space="preserve">should </w:t>
      </w:r>
      <w:r w:rsidR="0055378F">
        <w:rPr>
          <w:rFonts w:ascii="Times New Roman" w:eastAsia="Calibri" w:hAnsi="Times New Roman"/>
          <w:sz w:val="24"/>
          <w:szCs w:val="24"/>
        </w:rPr>
        <w:t xml:space="preserve">monitor the effective payment of </w:t>
      </w:r>
      <w:r w:rsidR="00534750" w:rsidRPr="00232FDB">
        <w:rPr>
          <w:rFonts w:ascii="Times New Roman" w:eastAsia="Calibri" w:hAnsi="Times New Roman"/>
          <w:sz w:val="24"/>
          <w:szCs w:val="24"/>
        </w:rPr>
        <w:t>the national public or private contributions constituting national co-financing of the programme while ensuring that the requirements</w:t>
      </w:r>
      <w:r w:rsidR="001C3A91" w:rsidRPr="00232FDB">
        <w:rPr>
          <w:rFonts w:ascii="Times New Roman" w:eastAsia="Calibri" w:hAnsi="Times New Roman"/>
          <w:sz w:val="24"/>
          <w:szCs w:val="24"/>
        </w:rPr>
        <w:t xml:space="preserve"> </w:t>
      </w:r>
      <w:r w:rsidR="00534750" w:rsidRPr="00232FDB">
        <w:rPr>
          <w:rFonts w:ascii="Times New Roman" w:eastAsia="Calibri" w:hAnsi="Times New Roman"/>
          <w:sz w:val="24"/>
          <w:szCs w:val="24"/>
        </w:rPr>
        <w:t xml:space="preserve">of Article 1(2) to (6) CIR </w:t>
      </w:r>
      <w:r w:rsidR="001C3A91" w:rsidRPr="00232FDB">
        <w:rPr>
          <w:rFonts w:ascii="Times New Roman" w:eastAsia="Calibri" w:hAnsi="Times New Roman"/>
          <w:sz w:val="24"/>
          <w:szCs w:val="24"/>
        </w:rPr>
        <w:t xml:space="preserve">on the definition of the rules for transfer and management of programme contributions </w:t>
      </w:r>
      <w:r w:rsidR="00534750" w:rsidRPr="00232FDB">
        <w:rPr>
          <w:rFonts w:ascii="Times New Roman" w:eastAsia="Calibri" w:hAnsi="Times New Roman"/>
          <w:sz w:val="24"/>
          <w:szCs w:val="24"/>
        </w:rPr>
        <w:t xml:space="preserve">are complied with, as follows: </w:t>
      </w:r>
    </w:p>
    <w:p w:rsidR="00BB7B77" w:rsidRPr="00232FDB" w:rsidRDefault="00BB7B77" w:rsidP="00BB7B77">
      <w:pPr>
        <w:pStyle w:val="ListParagraph"/>
        <w:numPr>
          <w:ilvl w:val="0"/>
          <w:numId w:val="23"/>
        </w:numPr>
        <w:spacing w:after="240"/>
        <w:ind w:left="360"/>
        <w:jc w:val="both"/>
        <w:rPr>
          <w:rFonts w:ascii="Times New Roman" w:eastAsia="Calibri" w:hAnsi="Times New Roman"/>
          <w:sz w:val="24"/>
          <w:szCs w:val="24"/>
        </w:rPr>
      </w:pPr>
      <w:r w:rsidRPr="00232FDB">
        <w:rPr>
          <w:rFonts w:ascii="Times New Roman" w:eastAsia="Calibri" w:hAnsi="Times New Roman"/>
          <w:sz w:val="24"/>
          <w:szCs w:val="24"/>
        </w:rPr>
        <w:t xml:space="preserve">The bodies implementing financial instruments have to retain overall responsibility for the investments in final recipients including subsequent monitoring of the contributions from programmes in accordance with funding agreements. </w:t>
      </w:r>
    </w:p>
    <w:p w:rsidR="00BB7B77" w:rsidRPr="00232FDB" w:rsidRDefault="00BB7B77" w:rsidP="00BB7B77">
      <w:pPr>
        <w:pStyle w:val="ListParagraph"/>
        <w:numPr>
          <w:ilvl w:val="0"/>
          <w:numId w:val="23"/>
        </w:numPr>
        <w:autoSpaceDE w:val="0"/>
        <w:autoSpaceDN w:val="0"/>
        <w:adjustRightInd w:val="0"/>
        <w:spacing w:after="240"/>
        <w:ind w:left="360"/>
        <w:jc w:val="both"/>
        <w:rPr>
          <w:rFonts w:ascii="Times New Roman" w:eastAsia="Calibri" w:hAnsi="Times New Roman"/>
          <w:sz w:val="24"/>
          <w:szCs w:val="24"/>
        </w:rPr>
      </w:pPr>
      <w:r w:rsidRPr="00232FDB">
        <w:rPr>
          <w:rFonts w:ascii="Times New Roman" w:eastAsia="Calibri" w:hAnsi="Times New Roman"/>
          <w:sz w:val="24"/>
          <w:szCs w:val="24"/>
        </w:rPr>
        <w:t>The bodies implementing financial instruments have to ensure that expenditure covered by the national public or private contributions constituting national co-financing is eligible before declaring it to the managing authority. In other words, the bodies implementing financial instruments are responsible for verifying the reality and the eligibility of the expenditure claimed before declaring it to the managing authority.</w:t>
      </w:r>
    </w:p>
    <w:p w:rsidR="00834F25" w:rsidRPr="00232FDB" w:rsidRDefault="00834F25" w:rsidP="006F41DB">
      <w:pPr>
        <w:pStyle w:val="ListParagraph"/>
        <w:numPr>
          <w:ilvl w:val="0"/>
          <w:numId w:val="23"/>
        </w:numPr>
        <w:spacing w:after="240"/>
        <w:ind w:left="360"/>
        <w:jc w:val="both"/>
        <w:rPr>
          <w:rFonts w:ascii="Times New Roman" w:eastAsia="Calibri" w:hAnsi="Times New Roman"/>
          <w:sz w:val="24"/>
          <w:szCs w:val="24"/>
        </w:rPr>
      </w:pPr>
      <w:r w:rsidRPr="00232FDB">
        <w:rPr>
          <w:rFonts w:ascii="Times New Roman" w:eastAsia="Calibri" w:hAnsi="Times New Roman"/>
          <w:sz w:val="24"/>
          <w:szCs w:val="24"/>
        </w:rPr>
        <w:t xml:space="preserve">The bodies implementing financial instruments </w:t>
      </w:r>
      <w:r w:rsidR="001C3A91" w:rsidRPr="00232FDB">
        <w:rPr>
          <w:rFonts w:ascii="Times New Roman" w:eastAsia="Calibri" w:hAnsi="Times New Roman"/>
          <w:sz w:val="24"/>
          <w:szCs w:val="24"/>
        </w:rPr>
        <w:t xml:space="preserve">have to </w:t>
      </w:r>
      <w:r w:rsidRPr="00232FDB">
        <w:rPr>
          <w:rFonts w:ascii="Times New Roman" w:eastAsia="Calibri" w:hAnsi="Times New Roman"/>
          <w:sz w:val="24"/>
          <w:szCs w:val="24"/>
        </w:rPr>
        <w:t>ke</w:t>
      </w:r>
      <w:r w:rsidR="007E249C" w:rsidRPr="00232FDB">
        <w:rPr>
          <w:rFonts w:ascii="Times New Roman" w:eastAsia="Calibri" w:hAnsi="Times New Roman"/>
          <w:sz w:val="24"/>
          <w:szCs w:val="24"/>
        </w:rPr>
        <w:t>ep documentary evidence of</w:t>
      </w:r>
      <w:r w:rsidRPr="00232FDB">
        <w:rPr>
          <w:rFonts w:ascii="Times New Roman" w:eastAsia="Calibri" w:hAnsi="Times New Roman"/>
          <w:sz w:val="24"/>
          <w:szCs w:val="24"/>
        </w:rPr>
        <w:t xml:space="preserve">: </w:t>
      </w:r>
    </w:p>
    <w:p w:rsidR="00930422" w:rsidRPr="00232FDB" w:rsidRDefault="007E249C" w:rsidP="006F41DB">
      <w:pPr>
        <w:pStyle w:val="ListParagraph"/>
        <w:numPr>
          <w:ilvl w:val="1"/>
          <w:numId w:val="23"/>
        </w:numPr>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The l</w:t>
      </w:r>
      <w:r w:rsidR="00477BD6" w:rsidRPr="00232FDB">
        <w:rPr>
          <w:rFonts w:ascii="Times New Roman" w:eastAsia="Calibri" w:hAnsi="Times New Roman"/>
          <w:sz w:val="24"/>
          <w:szCs w:val="24"/>
        </w:rPr>
        <w:t>egal</w:t>
      </w:r>
      <w:r w:rsidR="00834F25" w:rsidRPr="00232FDB">
        <w:rPr>
          <w:rFonts w:ascii="Times New Roman" w:eastAsia="Calibri" w:hAnsi="Times New Roman"/>
          <w:sz w:val="24"/>
          <w:szCs w:val="24"/>
        </w:rPr>
        <w:t xml:space="preserve"> agreements concluded </w:t>
      </w:r>
      <w:r w:rsidR="004B7509" w:rsidRPr="00232FDB">
        <w:rPr>
          <w:rFonts w:ascii="Times New Roman" w:eastAsia="Calibri" w:hAnsi="Times New Roman"/>
          <w:sz w:val="24"/>
          <w:szCs w:val="24"/>
        </w:rPr>
        <w:t xml:space="preserve">with </w:t>
      </w:r>
      <w:r w:rsidR="00834F25" w:rsidRPr="00232FDB">
        <w:rPr>
          <w:rFonts w:ascii="Times New Roman" w:eastAsia="Calibri" w:hAnsi="Times New Roman"/>
          <w:sz w:val="24"/>
          <w:szCs w:val="24"/>
        </w:rPr>
        <w:t xml:space="preserve">the </w:t>
      </w:r>
      <w:r w:rsidR="009E4092" w:rsidRPr="00232FDB">
        <w:rPr>
          <w:rFonts w:ascii="Times New Roman" w:eastAsia="Calibri" w:hAnsi="Times New Roman"/>
          <w:sz w:val="24"/>
          <w:szCs w:val="24"/>
        </w:rPr>
        <w:t xml:space="preserve">public </w:t>
      </w:r>
      <w:r w:rsidR="004B7509" w:rsidRPr="00232FDB">
        <w:rPr>
          <w:rFonts w:ascii="Times New Roman" w:eastAsia="Calibri" w:hAnsi="Times New Roman"/>
          <w:sz w:val="24"/>
          <w:szCs w:val="24"/>
        </w:rPr>
        <w:t>and/</w:t>
      </w:r>
      <w:r w:rsidR="00834F25" w:rsidRPr="00232FDB">
        <w:rPr>
          <w:rFonts w:ascii="Times New Roman" w:eastAsia="Calibri" w:hAnsi="Times New Roman"/>
          <w:sz w:val="24"/>
          <w:szCs w:val="24"/>
        </w:rPr>
        <w:t xml:space="preserve">or </w:t>
      </w:r>
      <w:r w:rsidR="009E4092" w:rsidRPr="00232FDB">
        <w:rPr>
          <w:rFonts w:ascii="Times New Roman" w:eastAsia="Calibri" w:hAnsi="Times New Roman"/>
          <w:sz w:val="24"/>
          <w:szCs w:val="24"/>
        </w:rPr>
        <w:t>private e</w:t>
      </w:r>
      <w:r w:rsidR="00834F25" w:rsidRPr="00232FDB">
        <w:rPr>
          <w:rFonts w:ascii="Times New Roman" w:eastAsia="Calibri" w:hAnsi="Times New Roman"/>
          <w:sz w:val="24"/>
          <w:szCs w:val="24"/>
        </w:rPr>
        <w:t xml:space="preserve">ntities </w:t>
      </w:r>
      <w:r w:rsidR="009A6121" w:rsidRPr="00232FDB">
        <w:rPr>
          <w:rFonts w:ascii="Times New Roman" w:eastAsia="Calibri" w:hAnsi="Times New Roman"/>
          <w:sz w:val="24"/>
          <w:szCs w:val="24"/>
        </w:rPr>
        <w:t xml:space="preserve">that provide </w:t>
      </w:r>
      <w:r w:rsidR="009E4092" w:rsidRPr="00232FDB">
        <w:rPr>
          <w:rFonts w:ascii="Times New Roman" w:eastAsia="Calibri" w:hAnsi="Times New Roman"/>
          <w:sz w:val="24"/>
          <w:szCs w:val="24"/>
        </w:rPr>
        <w:t xml:space="preserve">the </w:t>
      </w:r>
      <w:r w:rsidR="00834F25" w:rsidRPr="00232FDB">
        <w:rPr>
          <w:rFonts w:ascii="Times New Roman" w:eastAsia="Calibri" w:hAnsi="Times New Roman"/>
          <w:sz w:val="24"/>
          <w:szCs w:val="24"/>
        </w:rPr>
        <w:t>national public or private contributions constituting national co-financing at the level of final recipients</w:t>
      </w:r>
      <w:r w:rsidR="004253B1" w:rsidRPr="00232FDB">
        <w:rPr>
          <w:rFonts w:ascii="Times New Roman" w:eastAsia="Calibri" w:hAnsi="Times New Roman"/>
          <w:sz w:val="24"/>
          <w:szCs w:val="24"/>
        </w:rPr>
        <w:t xml:space="preserve"> and which were triggered by the presence of the ESI</w:t>
      </w:r>
      <w:r w:rsidR="002E7214" w:rsidRPr="00232FDB">
        <w:rPr>
          <w:rFonts w:ascii="Times New Roman" w:eastAsia="Calibri" w:hAnsi="Times New Roman"/>
          <w:sz w:val="24"/>
          <w:szCs w:val="24"/>
        </w:rPr>
        <w:t xml:space="preserve"> </w:t>
      </w:r>
      <w:r w:rsidR="004253B1" w:rsidRPr="00232FDB">
        <w:rPr>
          <w:rFonts w:ascii="Times New Roman" w:eastAsia="Calibri" w:hAnsi="Times New Roman"/>
          <w:sz w:val="24"/>
          <w:szCs w:val="24"/>
        </w:rPr>
        <w:t>F</w:t>
      </w:r>
      <w:r w:rsidR="002E7214" w:rsidRPr="00232FDB">
        <w:rPr>
          <w:rFonts w:ascii="Times New Roman" w:eastAsia="Calibri" w:hAnsi="Times New Roman"/>
          <w:sz w:val="24"/>
          <w:szCs w:val="24"/>
        </w:rPr>
        <w:t xml:space="preserve">und </w:t>
      </w:r>
      <w:r w:rsidR="004253B1" w:rsidRPr="00232FDB">
        <w:rPr>
          <w:rFonts w:ascii="Times New Roman" w:eastAsia="Calibri" w:hAnsi="Times New Roman"/>
          <w:sz w:val="24"/>
          <w:szCs w:val="24"/>
        </w:rPr>
        <w:t>contribution</w:t>
      </w:r>
      <w:r w:rsidR="00477BD6" w:rsidRPr="00232FDB">
        <w:rPr>
          <w:rFonts w:ascii="Times New Roman" w:eastAsia="Calibri" w:hAnsi="Times New Roman"/>
          <w:sz w:val="24"/>
          <w:szCs w:val="24"/>
        </w:rPr>
        <w:t xml:space="preserve">. </w:t>
      </w:r>
    </w:p>
    <w:p w:rsidR="00930422" w:rsidRPr="00232FDB" w:rsidRDefault="00930422" w:rsidP="006F41DB">
      <w:pPr>
        <w:pStyle w:val="ListParagraph"/>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 xml:space="preserve">The contributions provided by the private entities may also include contributions provided by natural persons, such as business angels (when investing directly and not through their personal holding company). </w:t>
      </w:r>
    </w:p>
    <w:p w:rsidR="001C3A91" w:rsidRPr="00232FDB" w:rsidRDefault="00930422" w:rsidP="006F41DB">
      <w:pPr>
        <w:pStyle w:val="ListParagraph"/>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 xml:space="preserve">In addition, the </w:t>
      </w:r>
      <w:r w:rsidR="00094A91" w:rsidRPr="00232FDB">
        <w:rPr>
          <w:rFonts w:ascii="Times New Roman" w:eastAsia="Calibri" w:hAnsi="Times New Roman"/>
          <w:sz w:val="24"/>
          <w:szCs w:val="24"/>
        </w:rPr>
        <w:t xml:space="preserve">legal agreements </w:t>
      </w:r>
      <w:r w:rsidR="00441A89" w:rsidRPr="00232FDB">
        <w:rPr>
          <w:rFonts w:ascii="Times New Roman" w:eastAsia="Calibri" w:hAnsi="Times New Roman"/>
          <w:sz w:val="24"/>
          <w:szCs w:val="24"/>
        </w:rPr>
        <w:t xml:space="preserve">may </w:t>
      </w:r>
      <w:r w:rsidR="00094A91" w:rsidRPr="00232FDB">
        <w:rPr>
          <w:rFonts w:ascii="Times New Roman" w:eastAsia="Calibri" w:hAnsi="Times New Roman"/>
          <w:sz w:val="24"/>
          <w:szCs w:val="24"/>
        </w:rPr>
        <w:t xml:space="preserve">be signed between </w:t>
      </w:r>
      <w:r w:rsidR="004355E4" w:rsidRPr="00232FDB">
        <w:rPr>
          <w:rFonts w:ascii="Times New Roman" w:eastAsia="Calibri" w:hAnsi="Times New Roman"/>
          <w:sz w:val="24"/>
          <w:szCs w:val="24"/>
        </w:rPr>
        <w:t xml:space="preserve">the </w:t>
      </w:r>
      <w:r w:rsidRPr="00232FDB">
        <w:rPr>
          <w:rFonts w:ascii="Times New Roman" w:eastAsia="Calibri" w:hAnsi="Times New Roman"/>
          <w:sz w:val="24"/>
          <w:szCs w:val="24"/>
        </w:rPr>
        <w:t xml:space="preserve">public and/or private entities </w:t>
      </w:r>
      <w:r w:rsidR="004355E4" w:rsidRPr="00232FDB">
        <w:rPr>
          <w:rFonts w:ascii="Times New Roman" w:eastAsia="Calibri" w:hAnsi="Times New Roman"/>
          <w:sz w:val="24"/>
          <w:szCs w:val="24"/>
        </w:rPr>
        <w:t xml:space="preserve">referred to above and the final recipients </w:t>
      </w:r>
      <w:r w:rsidR="00441A89" w:rsidRPr="00232FDB">
        <w:rPr>
          <w:rFonts w:ascii="Times New Roman" w:eastAsia="Calibri" w:hAnsi="Times New Roman"/>
          <w:sz w:val="24"/>
          <w:szCs w:val="24"/>
        </w:rPr>
        <w:t xml:space="preserve">and/or such entities and </w:t>
      </w:r>
      <w:r w:rsidR="00094A91" w:rsidRPr="00232FDB">
        <w:rPr>
          <w:rFonts w:ascii="Times New Roman" w:eastAsia="Calibri" w:hAnsi="Times New Roman"/>
          <w:sz w:val="24"/>
          <w:szCs w:val="24"/>
        </w:rPr>
        <w:t xml:space="preserve">the body implementing the financial </w:t>
      </w:r>
      <w:r w:rsidR="004355E4" w:rsidRPr="00232FDB">
        <w:rPr>
          <w:rFonts w:ascii="Times New Roman" w:eastAsia="Calibri" w:hAnsi="Times New Roman"/>
          <w:sz w:val="24"/>
          <w:szCs w:val="24"/>
        </w:rPr>
        <w:t>instrument</w:t>
      </w:r>
      <w:r w:rsidR="00094A91" w:rsidRPr="00232FDB">
        <w:rPr>
          <w:rFonts w:ascii="Times New Roman" w:eastAsia="Calibri" w:hAnsi="Times New Roman"/>
          <w:sz w:val="24"/>
          <w:szCs w:val="24"/>
        </w:rPr>
        <w:t xml:space="preserve">. </w:t>
      </w:r>
    </w:p>
    <w:p w:rsidR="004253B1" w:rsidRPr="00232FDB" w:rsidRDefault="004253B1" w:rsidP="006F41DB">
      <w:pPr>
        <w:pStyle w:val="ListParagraph"/>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However, t</w:t>
      </w:r>
      <w:r w:rsidR="004355E4" w:rsidRPr="00232FDB">
        <w:rPr>
          <w:rFonts w:ascii="Times New Roman" w:eastAsia="Calibri" w:hAnsi="Times New Roman"/>
          <w:sz w:val="24"/>
          <w:szCs w:val="24"/>
        </w:rPr>
        <w:t xml:space="preserve">o </w:t>
      </w:r>
      <w:r w:rsidRPr="00232FDB">
        <w:rPr>
          <w:rFonts w:ascii="Times New Roman" w:eastAsia="Calibri" w:hAnsi="Times New Roman"/>
          <w:sz w:val="24"/>
          <w:szCs w:val="24"/>
        </w:rPr>
        <w:t xml:space="preserve">reach </w:t>
      </w:r>
      <w:r w:rsidR="004355E4" w:rsidRPr="00232FDB">
        <w:rPr>
          <w:rFonts w:ascii="Times New Roman" w:eastAsia="Calibri" w:hAnsi="Times New Roman"/>
          <w:sz w:val="24"/>
          <w:szCs w:val="24"/>
        </w:rPr>
        <w:t>this end</w:t>
      </w:r>
      <w:r w:rsidRPr="00232FDB">
        <w:rPr>
          <w:rFonts w:ascii="Times New Roman" w:eastAsia="Calibri" w:hAnsi="Times New Roman"/>
          <w:sz w:val="24"/>
          <w:szCs w:val="24"/>
        </w:rPr>
        <w:t xml:space="preserve"> and to allow the body implementing the financial instrument to keep record of the public and private contributions</w:t>
      </w:r>
      <w:r w:rsidR="004355E4" w:rsidRPr="00232FDB">
        <w:rPr>
          <w:rFonts w:ascii="Times New Roman" w:eastAsia="Calibri" w:hAnsi="Times New Roman"/>
          <w:sz w:val="24"/>
          <w:szCs w:val="24"/>
        </w:rPr>
        <w:t xml:space="preserve">, it must be ensured that the legal agreements clearly state its purpose and objective, which amount is </w:t>
      </w:r>
      <w:r w:rsidR="00494DA8" w:rsidRPr="00232FDB">
        <w:rPr>
          <w:rFonts w:ascii="Times New Roman" w:eastAsia="Calibri" w:hAnsi="Times New Roman"/>
          <w:sz w:val="24"/>
          <w:szCs w:val="24"/>
        </w:rPr>
        <w:t xml:space="preserve">concerned and demonstrate </w:t>
      </w:r>
      <w:r w:rsidR="004355E4" w:rsidRPr="00232FDB">
        <w:rPr>
          <w:rFonts w:ascii="Times New Roman" w:eastAsia="Calibri" w:hAnsi="Times New Roman"/>
          <w:sz w:val="24"/>
          <w:szCs w:val="24"/>
        </w:rPr>
        <w:t xml:space="preserve">that the amount made available to the final recipient </w:t>
      </w:r>
      <w:r w:rsidRPr="00232FDB">
        <w:rPr>
          <w:rFonts w:ascii="Times New Roman" w:eastAsia="Calibri" w:hAnsi="Times New Roman"/>
          <w:sz w:val="24"/>
          <w:szCs w:val="24"/>
        </w:rPr>
        <w:t>was triggered by the presence of the ESI</w:t>
      </w:r>
      <w:r w:rsidR="002E7214" w:rsidRPr="00232FDB">
        <w:rPr>
          <w:rFonts w:ascii="Times New Roman" w:eastAsia="Calibri" w:hAnsi="Times New Roman"/>
          <w:sz w:val="24"/>
          <w:szCs w:val="24"/>
        </w:rPr>
        <w:t xml:space="preserve"> </w:t>
      </w:r>
      <w:r w:rsidRPr="00232FDB">
        <w:rPr>
          <w:rFonts w:ascii="Times New Roman" w:eastAsia="Calibri" w:hAnsi="Times New Roman"/>
          <w:sz w:val="24"/>
          <w:szCs w:val="24"/>
        </w:rPr>
        <w:t>F</w:t>
      </w:r>
      <w:r w:rsidR="002E7214" w:rsidRPr="00232FDB">
        <w:rPr>
          <w:rFonts w:ascii="Times New Roman" w:eastAsia="Calibri" w:hAnsi="Times New Roman"/>
          <w:sz w:val="24"/>
          <w:szCs w:val="24"/>
        </w:rPr>
        <w:t xml:space="preserve">und </w:t>
      </w:r>
      <w:r w:rsidRPr="00232FDB">
        <w:rPr>
          <w:rFonts w:ascii="Times New Roman" w:eastAsia="Calibri" w:hAnsi="Times New Roman"/>
          <w:sz w:val="24"/>
          <w:szCs w:val="24"/>
        </w:rPr>
        <w:t xml:space="preserve">contribution, i.e. </w:t>
      </w:r>
      <w:r w:rsidR="00441A89" w:rsidRPr="00232FDB">
        <w:rPr>
          <w:rFonts w:ascii="Times New Roman" w:eastAsia="Calibri" w:hAnsi="Times New Roman"/>
          <w:sz w:val="24"/>
          <w:szCs w:val="24"/>
        </w:rPr>
        <w:t xml:space="preserve">was </w:t>
      </w:r>
      <w:r w:rsidR="004355E4" w:rsidRPr="00232FDB">
        <w:rPr>
          <w:rFonts w:ascii="Times New Roman" w:eastAsia="Calibri" w:hAnsi="Times New Roman"/>
          <w:sz w:val="24"/>
          <w:szCs w:val="24"/>
        </w:rPr>
        <w:t xml:space="preserve">conditional on the presence of the </w:t>
      </w:r>
      <w:r w:rsidR="004E2485" w:rsidRPr="00232FDB">
        <w:rPr>
          <w:rFonts w:ascii="Times New Roman" w:eastAsia="Calibri" w:hAnsi="Times New Roman"/>
          <w:sz w:val="24"/>
          <w:szCs w:val="24"/>
        </w:rPr>
        <w:t>ESI</w:t>
      </w:r>
      <w:r w:rsidR="002E7214" w:rsidRPr="00232FDB">
        <w:rPr>
          <w:rFonts w:ascii="Times New Roman" w:eastAsia="Calibri" w:hAnsi="Times New Roman"/>
          <w:sz w:val="24"/>
          <w:szCs w:val="24"/>
        </w:rPr>
        <w:t xml:space="preserve"> </w:t>
      </w:r>
      <w:r w:rsidR="004E2485" w:rsidRPr="00232FDB">
        <w:rPr>
          <w:rFonts w:ascii="Times New Roman" w:eastAsia="Calibri" w:hAnsi="Times New Roman"/>
          <w:sz w:val="24"/>
          <w:szCs w:val="24"/>
        </w:rPr>
        <w:t>F</w:t>
      </w:r>
      <w:r w:rsidR="002E7214" w:rsidRPr="00232FDB">
        <w:rPr>
          <w:rFonts w:ascii="Times New Roman" w:eastAsia="Calibri" w:hAnsi="Times New Roman"/>
          <w:sz w:val="24"/>
          <w:szCs w:val="24"/>
        </w:rPr>
        <w:t xml:space="preserve">und </w:t>
      </w:r>
      <w:r w:rsidR="004355E4" w:rsidRPr="00232FDB">
        <w:rPr>
          <w:rFonts w:ascii="Times New Roman" w:eastAsia="Calibri" w:hAnsi="Times New Roman"/>
          <w:sz w:val="24"/>
          <w:szCs w:val="24"/>
        </w:rPr>
        <w:t>support received</w:t>
      </w:r>
      <w:r w:rsidR="00094A91" w:rsidRPr="00232FDB">
        <w:rPr>
          <w:rFonts w:ascii="Times New Roman" w:eastAsia="Calibri" w:hAnsi="Times New Roman"/>
          <w:sz w:val="24"/>
          <w:szCs w:val="24"/>
        </w:rPr>
        <w:t xml:space="preserve">. </w:t>
      </w:r>
    </w:p>
    <w:p w:rsidR="00EB1F68" w:rsidRPr="00232FDB" w:rsidRDefault="007E249C" w:rsidP="006F41DB">
      <w:pPr>
        <w:pStyle w:val="ListParagraph"/>
        <w:numPr>
          <w:ilvl w:val="1"/>
          <w:numId w:val="23"/>
        </w:numPr>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The e</w:t>
      </w:r>
      <w:r w:rsidR="00834F25" w:rsidRPr="00232FDB">
        <w:rPr>
          <w:rFonts w:ascii="Times New Roman" w:eastAsia="Calibri" w:hAnsi="Times New Roman"/>
          <w:sz w:val="24"/>
          <w:szCs w:val="24"/>
        </w:rPr>
        <w:t>ffective transfer</w:t>
      </w:r>
      <w:r w:rsidR="004253B1" w:rsidRPr="00232FDB">
        <w:rPr>
          <w:rFonts w:ascii="Times New Roman" w:eastAsia="Calibri" w:hAnsi="Times New Roman"/>
          <w:sz w:val="24"/>
          <w:szCs w:val="24"/>
        </w:rPr>
        <w:t xml:space="preserve">/payment </w:t>
      </w:r>
      <w:r w:rsidR="00834F25" w:rsidRPr="00232FDB">
        <w:rPr>
          <w:rFonts w:ascii="Times New Roman" w:eastAsia="Calibri" w:hAnsi="Times New Roman"/>
          <w:sz w:val="24"/>
          <w:szCs w:val="24"/>
        </w:rPr>
        <w:t xml:space="preserve">of resources constituting national co-financing by private </w:t>
      </w:r>
      <w:r w:rsidR="00094A91" w:rsidRPr="00232FDB">
        <w:rPr>
          <w:rFonts w:ascii="Times New Roman" w:eastAsia="Calibri" w:hAnsi="Times New Roman"/>
          <w:sz w:val="24"/>
          <w:szCs w:val="24"/>
        </w:rPr>
        <w:t>and/</w:t>
      </w:r>
      <w:r w:rsidR="00834F25" w:rsidRPr="00232FDB">
        <w:rPr>
          <w:rFonts w:ascii="Times New Roman" w:eastAsia="Calibri" w:hAnsi="Times New Roman"/>
          <w:sz w:val="24"/>
          <w:szCs w:val="24"/>
        </w:rPr>
        <w:t xml:space="preserve">or public entities to </w:t>
      </w:r>
      <w:r w:rsidR="004355E4" w:rsidRPr="00232FDB">
        <w:rPr>
          <w:rFonts w:ascii="Times New Roman" w:eastAsia="Calibri" w:hAnsi="Times New Roman"/>
          <w:sz w:val="24"/>
          <w:szCs w:val="24"/>
        </w:rPr>
        <w:t xml:space="preserve">the </w:t>
      </w:r>
      <w:r w:rsidR="00834F25" w:rsidRPr="00232FDB">
        <w:rPr>
          <w:rFonts w:ascii="Times New Roman" w:eastAsia="Calibri" w:hAnsi="Times New Roman"/>
          <w:sz w:val="24"/>
          <w:szCs w:val="24"/>
        </w:rPr>
        <w:t>final recipients</w:t>
      </w:r>
      <w:r w:rsidR="001C3A91" w:rsidRPr="00232FDB">
        <w:rPr>
          <w:rFonts w:ascii="Times New Roman" w:eastAsia="Calibri" w:hAnsi="Times New Roman"/>
          <w:sz w:val="24"/>
          <w:szCs w:val="24"/>
        </w:rPr>
        <w:t>.</w:t>
      </w:r>
      <w:r w:rsidR="00834F25" w:rsidRPr="00232FDB">
        <w:rPr>
          <w:rFonts w:ascii="Times New Roman" w:eastAsia="Calibri" w:hAnsi="Times New Roman"/>
          <w:sz w:val="24"/>
          <w:szCs w:val="24"/>
        </w:rPr>
        <w:t xml:space="preserve"> </w:t>
      </w:r>
    </w:p>
    <w:p w:rsidR="00EB1F68" w:rsidRPr="00232FDB" w:rsidRDefault="007E249C" w:rsidP="006F41DB">
      <w:pPr>
        <w:pStyle w:val="ListParagraph"/>
        <w:numPr>
          <w:ilvl w:val="1"/>
          <w:numId w:val="23"/>
        </w:numPr>
        <w:spacing w:after="240"/>
        <w:ind w:left="1080"/>
        <w:jc w:val="both"/>
        <w:rPr>
          <w:rFonts w:ascii="Times New Roman" w:eastAsia="Calibri" w:hAnsi="Times New Roman"/>
          <w:sz w:val="24"/>
          <w:szCs w:val="24"/>
        </w:rPr>
      </w:pPr>
      <w:r w:rsidRPr="00232FDB">
        <w:rPr>
          <w:rFonts w:ascii="Times New Roman" w:eastAsia="Calibri" w:hAnsi="Times New Roman"/>
          <w:sz w:val="24"/>
          <w:szCs w:val="24"/>
        </w:rPr>
        <w:t>The n</w:t>
      </w:r>
      <w:r w:rsidR="00477BD6" w:rsidRPr="00232FDB">
        <w:rPr>
          <w:rFonts w:ascii="Times New Roman" w:eastAsia="Calibri" w:hAnsi="Times New Roman"/>
          <w:sz w:val="24"/>
          <w:szCs w:val="24"/>
        </w:rPr>
        <w:t>ational</w:t>
      </w:r>
      <w:r w:rsidR="00834F25" w:rsidRPr="00232FDB">
        <w:rPr>
          <w:rFonts w:ascii="Times New Roman" w:eastAsia="Calibri" w:hAnsi="Times New Roman"/>
          <w:sz w:val="24"/>
          <w:szCs w:val="24"/>
        </w:rPr>
        <w:t xml:space="preserve"> public or private contributions constituting national co-financing and made by private </w:t>
      </w:r>
      <w:r w:rsidR="00094A91" w:rsidRPr="00232FDB">
        <w:rPr>
          <w:rFonts w:ascii="Times New Roman" w:eastAsia="Calibri" w:hAnsi="Times New Roman"/>
          <w:sz w:val="24"/>
          <w:szCs w:val="24"/>
        </w:rPr>
        <w:t>and/</w:t>
      </w:r>
      <w:r w:rsidR="00834F25" w:rsidRPr="00232FDB">
        <w:rPr>
          <w:rFonts w:ascii="Times New Roman" w:eastAsia="Calibri" w:hAnsi="Times New Roman"/>
          <w:sz w:val="24"/>
          <w:szCs w:val="24"/>
        </w:rPr>
        <w:t>or public entities</w:t>
      </w:r>
      <w:r w:rsidR="00857EF6" w:rsidRPr="00232FDB">
        <w:rPr>
          <w:rFonts w:ascii="Times New Roman" w:eastAsia="Calibri" w:hAnsi="Times New Roman"/>
          <w:sz w:val="24"/>
          <w:szCs w:val="24"/>
        </w:rPr>
        <w:t xml:space="preserve"> </w:t>
      </w:r>
      <w:r w:rsidR="00834F25" w:rsidRPr="00232FDB">
        <w:rPr>
          <w:rFonts w:ascii="Times New Roman" w:eastAsia="Calibri" w:hAnsi="Times New Roman"/>
          <w:sz w:val="24"/>
          <w:szCs w:val="24"/>
        </w:rPr>
        <w:t xml:space="preserve">reported to the body implementing </w:t>
      </w:r>
      <w:r w:rsidR="00094A91" w:rsidRPr="00232FDB">
        <w:rPr>
          <w:rFonts w:ascii="Times New Roman" w:eastAsia="Calibri" w:hAnsi="Times New Roman"/>
          <w:sz w:val="24"/>
          <w:szCs w:val="24"/>
        </w:rPr>
        <w:t xml:space="preserve">the </w:t>
      </w:r>
      <w:r w:rsidR="00834F25" w:rsidRPr="00232FDB">
        <w:rPr>
          <w:rFonts w:ascii="Times New Roman" w:eastAsia="Calibri" w:hAnsi="Times New Roman"/>
          <w:sz w:val="24"/>
          <w:szCs w:val="24"/>
        </w:rPr>
        <w:t xml:space="preserve">financial instrument. </w:t>
      </w:r>
    </w:p>
    <w:p w:rsidR="00834F25" w:rsidRPr="00232FDB" w:rsidRDefault="00834F25" w:rsidP="006F41DB">
      <w:pPr>
        <w:pStyle w:val="ListParagraph"/>
        <w:numPr>
          <w:ilvl w:val="0"/>
          <w:numId w:val="23"/>
        </w:numPr>
        <w:spacing w:after="240"/>
        <w:ind w:left="360"/>
        <w:jc w:val="both"/>
        <w:rPr>
          <w:rFonts w:ascii="Times New Roman" w:eastAsia="Calibri" w:hAnsi="Times New Roman"/>
          <w:sz w:val="24"/>
          <w:szCs w:val="24"/>
        </w:rPr>
      </w:pPr>
      <w:r w:rsidRPr="00232FDB">
        <w:rPr>
          <w:rFonts w:ascii="Times New Roman" w:eastAsia="Calibri" w:hAnsi="Times New Roman"/>
          <w:sz w:val="24"/>
          <w:szCs w:val="24"/>
        </w:rPr>
        <w:t xml:space="preserve">The bodies implementing financial instruments </w:t>
      </w:r>
      <w:r w:rsidR="001C3A91" w:rsidRPr="00232FDB">
        <w:rPr>
          <w:rFonts w:ascii="Times New Roman" w:eastAsia="Calibri" w:hAnsi="Times New Roman"/>
          <w:sz w:val="24"/>
          <w:szCs w:val="24"/>
        </w:rPr>
        <w:t xml:space="preserve">have to </w:t>
      </w:r>
      <w:r w:rsidRPr="00232FDB">
        <w:rPr>
          <w:rFonts w:ascii="Times New Roman" w:eastAsia="Calibri" w:hAnsi="Times New Roman"/>
          <w:sz w:val="24"/>
          <w:szCs w:val="24"/>
        </w:rPr>
        <w:t>maintain the audit trail for the national public or private contributions constituting national co-financing down to the level of the final recipient.</w:t>
      </w:r>
      <w:r w:rsidR="009A2D39" w:rsidRPr="00232FDB">
        <w:rPr>
          <w:rFonts w:ascii="Times New Roman" w:eastAsia="Calibri" w:hAnsi="Times New Roman"/>
          <w:sz w:val="24"/>
          <w:szCs w:val="24"/>
        </w:rPr>
        <w:t xml:space="preserve"> Articles 9 and 25 CDR </w:t>
      </w:r>
      <w:r w:rsidR="009609A0" w:rsidRPr="00232FDB">
        <w:rPr>
          <w:rFonts w:ascii="Times New Roman" w:eastAsia="Calibri" w:hAnsi="Times New Roman"/>
          <w:sz w:val="24"/>
          <w:szCs w:val="24"/>
        </w:rPr>
        <w:t xml:space="preserve">set out </w:t>
      </w:r>
      <w:r w:rsidR="009A2D39" w:rsidRPr="00232FDB">
        <w:rPr>
          <w:rFonts w:ascii="Times New Roman" w:eastAsia="Calibri" w:hAnsi="Times New Roman"/>
          <w:sz w:val="24"/>
          <w:szCs w:val="24"/>
        </w:rPr>
        <w:t>the elements which should be part of the audit trail for financial instruments.</w:t>
      </w:r>
    </w:p>
    <w:p w:rsidR="00A5606F" w:rsidRPr="00232FDB" w:rsidRDefault="003A5103" w:rsidP="006F41DB">
      <w:pPr>
        <w:pStyle w:val="CM1"/>
        <w:spacing w:after="240"/>
        <w:jc w:val="both"/>
        <w:rPr>
          <w:rFonts w:ascii="Times New Roman" w:eastAsia="Calibri" w:hAnsi="Times New Roman"/>
        </w:rPr>
      </w:pPr>
      <w:r w:rsidRPr="00232FDB">
        <w:rPr>
          <w:rFonts w:ascii="Times New Roman" w:eastAsia="Calibri" w:hAnsi="Times New Roman"/>
        </w:rPr>
        <w:t xml:space="preserve">The </w:t>
      </w:r>
      <w:r w:rsidR="008C69C4" w:rsidRPr="00232FDB">
        <w:rPr>
          <w:rFonts w:ascii="Times New Roman" w:eastAsia="Calibri" w:hAnsi="Times New Roman"/>
        </w:rPr>
        <w:t xml:space="preserve">flexibility provided for </w:t>
      </w:r>
      <w:r w:rsidRPr="00232FDB">
        <w:rPr>
          <w:rFonts w:ascii="Times New Roman" w:eastAsia="Calibri" w:hAnsi="Times New Roman"/>
        </w:rPr>
        <w:t xml:space="preserve">in Article 38(9) CPR of providing the national public and private contributions from programmes to financial instruments at the level of final </w:t>
      </w:r>
      <w:r w:rsidR="005C5A5A" w:rsidRPr="00232FDB">
        <w:rPr>
          <w:rFonts w:ascii="Times New Roman" w:eastAsia="Calibri" w:hAnsi="Times New Roman"/>
        </w:rPr>
        <w:t>recipients</w:t>
      </w:r>
      <w:r w:rsidRPr="00232FDB">
        <w:rPr>
          <w:rFonts w:ascii="Times New Roman" w:eastAsia="Calibri" w:hAnsi="Times New Roman"/>
        </w:rPr>
        <w:t xml:space="preserve"> </w:t>
      </w:r>
      <w:r w:rsidR="003226A0" w:rsidRPr="00232FDB">
        <w:rPr>
          <w:rFonts w:ascii="Times New Roman" w:eastAsia="Calibri" w:hAnsi="Times New Roman"/>
        </w:rPr>
        <w:t xml:space="preserve">implies </w:t>
      </w:r>
      <w:r w:rsidRPr="00232FDB">
        <w:rPr>
          <w:rFonts w:ascii="Times New Roman" w:eastAsia="Calibri" w:hAnsi="Times New Roman"/>
        </w:rPr>
        <w:t xml:space="preserve">that these contributions are done on a deal by deal basis. </w:t>
      </w:r>
    </w:p>
    <w:p w:rsidR="003A5103" w:rsidRPr="00232FDB" w:rsidRDefault="003A5103" w:rsidP="006F41DB">
      <w:pPr>
        <w:pStyle w:val="CM1"/>
        <w:spacing w:after="240"/>
        <w:jc w:val="both"/>
        <w:rPr>
          <w:rFonts w:ascii="Times New Roman" w:eastAsia="Calibri" w:hAnsi="Times New Roman"/>
        </w:rPr>
      </w:pPr>
      <w:r w:rsidRPr="00232FDB">
        <w:rPr>
          <w:rFonts w:ascii="Times New Roman" w:eastAsia="Calibri" w:hAnsi="Times New Roman"/>
        </w:rPr>
        <w:lastRenderedPageBreak/>
        <w:t>To that end, it is expected that the same type of product (e.g. equity) is provided by both the body implementing the financial instrument and the public and/or private entities that provide the national public or private contributions constituting national co-financing at the level of final recipients</w:t>
      </w:r>
      <w:r w:rsidR="009D27F3" w:rsidRPr="00232FDB">
        <w:rPr>
          <w:rFonts w:ascii="Times New Roman" w:eastAsia="Calibri" w:hAnsi="Times New Roman"/>
        </w:rPr>
        <w:t>. This allows</w:t>
      </w:r>
      <w:r w:rsidR="00340BB7" w:rsidRPr="00232FDB">
        <w:rPr>
          <w:rFonts w:ascii="Times New Roman" w:eastAsia="Calibri" w:hAnsi="Times New Roman"/>
        </w:rPr>
        <w:t xml:space="preserve"> the financial instrument to provide a consistent support </w:t>
      </w:r>
      <w:r w:rsidR="005C5A5A" w:rsidRPr="00232FDB">
        <w:rPr>
          <w:rFonts w:ascii="Times New Roman" w:eastAsia="Calibri" w:hAnsi="Times New Roman"/>
        </w:rPr>
        <w:t xml:space="preserve">with a view to </w:t>
      </w:r>
      <w:r w:rsidRPr="00232FDB">
        <w:rPr>
          <w:rFonts w:ascii="Times New Roman" w:eastAsia="Calibri" w:hAnsi="Times New Roman"/>
        </w:rPr>
        <w:t>follow</w:t>
      </w:r>
      <w:r w:rsidR="005C5A5A" w:rsidRPr="00232FDB">
        <w:rPr>
          <w:rFonts w:ascii="Times New Roman" w:eastAsia="Calibri" w:hAnsi="Times New Roman"/>
        </w:rPr>
        <w:t xml:space="preserve"> t</w:t>
      </w:r>
      <w:r w:rsidRPr="00232FDB">
        <w:rPr>
          <w:rFonts w:ascii="Times New Roman" w:eastAsia="Calibri" w:hAnsi="Times New Roman"/>
        </w:rPr>
        <w:t xml:space="preserve">he </w:t>
      </w:r>
      <w:r w:rsidR="00F74AAB" w:rsidRPr="00232FDB">
        <w:rPr>
          <w:rFonts w:ascii="Times New Roman" w:eastAsia="Calibri" w:hAnsi="Times New Roman"/>
        </w:rPr>
        <w:t>State aid</w:t>
      </w:r>
      <w:r w:rsidRPr="00232FDB">
        <w:rPr>
          <w:rFonts w:ascii="Times New Roman" w:eastAsia="Calibri" w:hAnsi="Times New Roman"/>
        </w:rPr>
        <w:t xml:space="preserve"> legal framework and facilitate its assessment</w:t>
      </w:r>
      <w:r w:rsidR="00A95958">
        <w:rPr>
          <w:rStyle w:val="FootnoteReference"/>
          <w:rFonts w:ascii="Times New Roman" w:eastAsia="Calibri" w:hAnsi="Times New Roman"/>
        </w:rPr>
        <w:footnoteReference w:id="5"/>
      </w:r>
      <w:r w:rsidR="008736F4">
        <w:rPr>
          <w:rFonts w:ascii="Times New Roman" w:eastAsia="Calibri" w:hAnsi="Times New Roman"/>
        </w:rPr>
        <w:t xml:space="preserve"> and facilitates the calculation of the eligible management costs and fees and the reporting to the Commission as provided for in Article 46 CPR</w:t>
      </w:r>
      <w:r w:rsidRPr="00232FDB">
        <w:rPr>
          <w:rFonts w:ascii="Times New Roman" w:eastAsia="Calibri" w:hAnsi="Times New Roman"/>
        </w:rPr>
        <w:t>.</w:t>
      </w:r>
    </w:p>
    <w:p w:rsidR="00B10CBE" w:rsidRPr="00232FDB" w:rsidRDefault="007D072E" w:rsidP="006F41DB">
      <w:pPr>
        <w:pStyle w:val="CM1"/>
        <w:spacing w:after="240"/>
        <w:jc w:val="both"/>
        <w:rPr>
          <w:rFonts w:ascii="Times New Roman" w:eastAsia="Calibri" w:hAnsi="Times New Roman"/>
        </w:rPr>
      </w:pPr>
      <w:r w:rsidRPr="00232FDB">
        <w:rPr>
          <w:rFonts w:ascii="Times New Roman" w:eastAsia="Calibri" w:hAnsi="Times New Roman"/>
        </w:rPr>
        <w:t>T</w:t>
      </w:r>
      <w:r w:rsidR="00CF0B6B" w:rsidRPr="00232FDB">
        <w:rPr>
          <w:rFonts w:ascii="Times New Roman" w:eastAsia="Calibri" w:hAnsi="Times New Roman"/>
        </w:rPr>
        <w:t>he recognition of private contributions as national co-financing is only possible for priority ax</w:t>
      </w:r>
      <w:r w:rsidR="008C69C4" w:rsidRPr="00232FDB">
        <w:rPr>
          <w:rFonts w:ascii="Times New Roman" w:eastAsia="Calibri" w:hAnsi="Times New Roman"/>
        </w:rPr>
        <w:t>e</w:t>
      </w:r>
      <w:r w:rsidR="00CF0B6B" w:rsidRPr="00232FDB">
        <w:rPr>
          <w:rFonts w:ascii="Times New Roman" w:eastAsia="Calibri" w:hAnsi="Times New Roman"/>
        </w:rPr>
        <w:t>s which are based on total expenditure, as follows from Article 120(2) CPR.</w:t>
      </w:r>
      <w:r w:rsidR="00B65E0C" w:rsidRPr="00232FDB">
        <w:rPr>
          <w:rFonts w:ascii="Times New Roman" w:eastAsia="Calibri" w:hAnsi="Times New Roman"/>
        </w:rPr>
        <w:t xml:space="preserve"> However, the EAFRD and EMFF contribution </w:t>
      </w:r>
      <w:r w:rsidRPr="00232FDB">
        <w:rPr>
          <w:rFonts w:ascii="Times New Roman" w:eastAsia="Calibri" w:hAnsi="Times New Roman"/>
        </w:rPr>
        <w:t xml:space="preserve">has to be </w:t>
      </w:r>
      <w:r w:rsidR="00B65E0C" w:rsidRPr="00232FDB">
        <w:rPr>
          <w:rFonts w:ascii="Times New Roman" w:eastAsia="Calibri" w:hAnsi="Times New Roman"/>
        </w:rPr>
        <w:t>calculated on the basis of the amount of eligible public expenditure only, as follows from Article 59(2) EAFRD and Article 94(2) EMFF.</w:t>
      </w:r>
      <w:r w:rsidR="00857EF6" w:rsidRPr="00232FDB">
        <w:rPr>
          <w:rFonts w:ascii="Times New Roman" w:eastAsia="Calibri" w:hAnsi="Times New Roman"/>
        </w:rPr>
        <w:t xml:space="preserve"> </w:t>
      </w:r>
      <w:r w:rsidR="00B10CBE" w:rsidRPr="00232FDB">
        <w:rPr>
          <w:rFonts w:ascii="Times New Roman" w:eastAsia="Calibri" w:hAnsi="Times New Roman"/>
        </w:rPr>
        <w:t>To be noted that this does not prevent EAFRD and EMFF financial instruments to receive private contributions on top of the programme contribution leveraging more resources to the financial instrument.</w:t>
      </w:r>
    </w:p>
    <w:p w:rsidR="003E3026" w:rsidRPr="00232FDB" w:rsidRDefault="003E3026" w:rsidP="006F41DB">
      <w:pPr>
        <w:rPr>
          <w:rFonts w:eastAsia="Calibri"/>
          <w:szCs w:val="24"/>
        </w:rPr>
      </w:pPr>
      <w:r w:rsidRPr="00232FDB">
        <w:rPr>
          <w:rFonts w:eastAsia="Calibri"/>
          <w:szCs w:val="24"/>
        </w:rPr>
        <w:t xml:space="preserve">Further details are also available in the Guidance for Member States on Article 41 CPR - </w:t>
      </w:r>
      <w:r w:rsidR="00F5077E" w:rsidRPr="00232FDB">
        <w:rPr>
          <w:rFonts w:eastAsia="Calibri"/>
          <w:szCs w:val="24"/>
        </w:rPr>
        <w:t>R</w:t>
      </w:r>
      <w:r w:rsidRPr="00232FDB">
        <w:rPr>
          <w:rFonts w:eastAsia="Calibri"/>
          <w:szCs w:val="24"/>
        </w:rPr>
        <w:t>equests for payment</w:t>
      </w:r>
      <w:r w:rsidRPr="00232FDB">
        <w:rPr>
          <w:rStyle w:val="FootnoteReference"/>
          <w:rFonts w:eastAsia="Calibri"/>
          <w:szCs w:val="24"/>
        </w:rPr>
        <w:footnoteReference w:id="6"/>
      </w:r>
      <w:r w:rsidRPr="00232FDB">
        <w:rPr>
          <w:rFonts w:eastAsia="Calibri"/>
          <w:szCs w:val="24"/>
        </w:rPr>
        <w:t>.</w:t>
      </w:r>
    </w:p>
    <w:p w:rsidR="00877139" w:rsidRPr="00232FDB" w:rsidRDefault="00877139" w:rsidP="006F41DB">
      <w:pPr>
        <w:pStyle w:val="Heading1"/>
        <w:spacing w:before="0"/>
      </w:pPr>
      <w:bookmarkStart w:id="18" w:name="_Toc445141405"/>
      <w:r w:rsidRPr="00232FDB">
        <w:t>Contributions in kind</w:t>
      </w:r>
      <w:bookmarkEnd w:id="18"/>
    </w:p>
    <w:p w:rsidR="00877139" w:rsidRPr="00232FDB" w:rsidRDefault="00B7306D" w:rsidP="006F41DB">
      <w:pPr>
        <w:rPr>
          <w:rFonts w:eastAsia="Calibri"/>
          <w:szCs w:val="24"/>
        </w:rPr>
      </w:pPr>
      <w:r w:rsidRPr="00232FDB">
        <w:rPr>
          <w:rFonts w:eastAsia="Calibri"/>
          <w:szCs w:val="24"/>
        </w:rPr>
        <w:t>As provided for in Article 37(10)</w:t>
      </w:r>
      <w:r w:rsidR="00B82C17" w:rsidRPr="00232FDB">
        <w:rPr>
          <w:rFonts w:eastAsia="Calibri"/>
          <w:szCs w:val="24"/>
        </w:rPr>
        <w:t xml:space="preserve"> CPR</w:t>
      </w:r>
      <w:r w:rsidR="00A446A7" w:rsidRPr="00232FDB">
        <w:rPr>
          <w:rFonts w:eastAsia="Calibri"/>
          <w:szCs w:val="24"/>
        </w:rPr>
        <w:t xml:space="preserve">, </w:t>
      </w:r>
      <w:r w:rsidR="00A446A7" w:rsidRPr="00AB753F">
        <w:rPr>
          <w:rFonts w:eastAsia="Calibri"/>
          <w:b/>
          <w:szCs w:val="24"/>
        </w:rPr>
        <w:t>c</w:t>
      </w:r>
      <w:r w:rsidR="00877139" w:rsidRPr="00AB753F">
        <w:rPr>
          <w:rFonts w:eastAsia="Calibri"/>
          <w:b/>
          <w:szCs w:val="24"/>
        </w:rPr>
        <w:t xml:space="preserve">ontributions in kind are not eligible in respect of financial instruments, </w:t>
      </w:r>
      <w:r w:rsidR="00877139" w:rsidRPr="00AB753F">
        <w:rPr>
          <w:rFonts w:eastAsia="Calibri"/>
          <w:b/>
          <w:szCs w:val="24"/>
          <w:u w:val="single"/>
        </w:rPr>
        <w:t>except for contributions of land or real estate</w:t>
      </w:r>
      <w:r w:rsidR="00877139" w:rsidRPr="00AB753F">
        <w:rPr>
          <w:rFonts w:eastAsia="Calibri"/>
          <w:szCs w:val="24"/>
        </w:rPr>
        <w:t xml:space="preserve"> in </w:t>
      </w:r>
      <w:r w:rsidR="00877139" w:rsidRPr="00232FDB">
        <w:rPr>
          <w:rFonts w:eastAsia="Calibri"/>
          <w:szCs w:val="24"/>
          <w:u w:val="single"/>
        </w:rPr>
        <w:t>respect of investments with the objective of supporting rural development, urban development or urban regeneration</w:t>
      </w:r>
      <w:r w:rsidR="00877139" w:rsidRPr="00232FDB">
        <w:rPr>
          <w:rFonts w:eastAsia="Calibri"/>
          <w:szCs w:val="24"/>
        </w:rPr>
        <w:t>, where the land or real estate forms part of the investment. Such contributions of land or real estate</w:t>
      </w:r>
      <w:r w:rsidR="007D1314" w:rsidRPr="00232FDB">
        <w:rPr>
          <w:rFonts w:eastAsia="Calibri"/>
          <w:szCs w:val="24"/>
        </w:rPr>
        <w:t>,</w:t>
      </w:r>
      <w:r w:rsidR="00877139" w:rsidRPr="00232FDB">
        <w:rPr>
          <w:rFonts w:eastAsia="Calibri"/>
          <w:szCs w:val="24"/>
        </w:rPr>
        <w:t xml:space="preserve"> </w:t>
      </w:r>
      <w:r w:rsidR="007D1314" w:rsidRPr="00232FDB">
        <w:rPr>
          <w:rFonts w:eastAsia="Calibri"/>
          <w:szCs w:val="24"/>
        </w:rPr>
        <w:t xml:space="preserve">if eligible under national </w:t>
      </w:r>
      <w:r w:rsidR="007D1314" w:rsidRPr="00232FDB">
        <w:rPr>
          <w:szCs w:val="24"/>
          <w:lang w:eastAsia="en-GB"/>
        </w:rPr>
        <w:t xml:space="preserve">eligibility rules and under the programme, </w:t>
      </w:r>
      <w:r w:rsidR="009B546D" w:rsidRPr="00232FDB">
        <w:rPr>
          <w:rFonts w:eastAsia="Calibri"/>
          <w:szCs w:val="24"/>
        </w:rPr>
        <w:t xml:space="preserve">must </w:t>
      </w:r>
      <w:r w:rsidR="00877139" w:rsidRPr="00232FDB">
        <w:rPr>
          <w:rFonts w:eastAsia="Calibri"/>
          <w:szCs w:val="24"/>
        </w:rPr>
        <w:t xml:space="preserve">comply with </w:t>
      </w:r>
      <w:r w:rsidR="0065090B" w:rsidRPr="00232FDB">
        <w:rPr>
          <w:rFonts w:eastAsia="Calibri"/>
          <w:szCs w:val="24"/>
        </w:rPr>
        <w:t xml:space="preserve">the </w:t>
      </w:r>
      <w:r w:rsidR="00877139" w:rsidRPr="00232FDB">
        <w:rPr>
          <w:rFonts w:eastAsia="Calibri"/>
          <w:szCs w:val="24"/>
        </w:rPr>
        <w:t>conditions under Article 69(1)</w:t>
      </w:r>
      <w:r w:rsidR="00923205" w:rsidRPr="00232FDB">
        <w:rPr>
          <w:rFonts w:eastAsia="Calibri"/>
          <w:szCs w:val="24"/>
        </w:rPr>
        <w:t xml:space="preserve"> </w:t>
      </w:r>
      <w:r w:rsidR="00877139" w:rsidRPr="00232FDB">
        <w:rPr>
          <w:rFonts w:eastAsia="Calibri"/>
          <w:szCs w:val="24"/>
        </w:rPr>
        <w:t xml:space="preserve">and </w:t>
      </w:r>
      <w:r w:rsidR="007D1314" w:rsidRPr="00232FDB">
        <w:rPr>
          <w:rFonts w:eastAsia="Calibri"/>
          <w:szCs w:val="24"/>
        </w:rPr>
        <w:t xml:space="preserve">the </w:t>
      </w:r>
      <w:r w:rsidR="00877139" w:rsidRPr="00232FDB">
        <w:rPr>
          <w:rFonts w:eastAsia="Calibri"/>
          <w:szCs w:val="24"/>
        </w:rPr>
        <w:t>thresholds under 69(3)(b)</w:t>
      </w:r>
      <w:r w:rsidR="0065090B" w:rsidRPr="00232FDB">
        <w:rPr>
          <w:rFonts w:eastAsia="Calibri"/>
          <w:szCs w:val="24"/>
        </w:rPr>
        <w:t xml:space="preserve"> </w:t>
      </w:r>
      <w:r w:rsidR="00877139" w:rsidRPr="00232FDB">
        <w:rPr>
          <w:rFonts w:eastAsia="Calibri"/>
          <w:szCs w:val="24"/>
        </w:rPr>
        <w:t>CPR</w:t>
      </w:r>
      <w:r w:rsidR="0065090B" w:rsidRPr="00232FDB">
        <w:rPr>
          <w:rFonts w:eastAsia="Calibri"/>
          <w:szCs w:val="24"/>
        </w:rPr>
        <w:t>.</w:t>
      </w:r>
    </w:p>
    <w:p w:rsidR="00707BFF" w:rsidRPr="00232FDB" w:rsidRDefault="00707BFF" w:rsidP="006F41DB">
      <w:pPr>
        <w:rPr>
          <w:szCs w:val="24"/>
          <w:lang w:eastAsia="en-GB"/>
        </w:rPr>
      </w:pPr>
      <w:r w:rsidRPr="00232FDB">
        <w:rPr>
          <w:szCs w:val="24"/>
          <w:lang w:eastAsia="en-GB"/>
        </w:rPr>
        <w:t>Contributions in kind in the form of land and real estate</w:t>
      </w:r>
      <w:r w:rsidR="00183979" w:rsidRPr="00232FDB">
        <w:rPr>
          <w:szCs w:val="24"/>
          <w:lang w:eastAsia="en-GB"/>
        </w:rPr>
        <w:t>, for which no cash payment has been made</w:t>
      </w:r>
      <w:r w:rsidR="00265C46" w:rsidRPr="00232FDB">
        <w:rPr>
          <w:rStyle w:val="FootnoteReference"/>
          <w:szCs w:val="24"/>
          <w:lang w:eastAsia="en-GB"/>
        </w:rPr>
        <w:footnoteReference w:id="7"/>
      </w:r>
      <w:r w:rsidR="00183979" w:rsidRPr="00232FDB">
        <w:rPr>
          <w:szCs w:val="24"/>
          <w:lang w:eastAsia="en-GB"/>
        </w:rPr>
        <w:t xml:space="preserve">, </w:t>
      </w:r>
      <w:r w:rsidRPr="00232FDB">
        <w:rPr>
          <w:szCs w:val="24"/>
          <w:lang w:eastAsia="en-GB"/>
        </w:rPr>
        <w:t xml:space="preserve">may be eligible </w:t>
      </w:r>
      <w:r w:rsidR="00A72FF6" w:rsidRPr="00232FDB">
        <w:rPr>
          <w:szCs w:val="24"/>
          <w:lang w:eastAsia="en-GB"/>
        </w:rPr>
        <w:t xml:space="preserve">in respect of financial instruments </w:t>
      </w:r>
      <w:r w:rsidR="0055378F" w:rsidRPr="0055378F">
        <w:rPr>
          <w:szCs w:val="24"/>
          <w:u w:val="single"/>
          <w:lang w:eastAsia="en-GB"/>
        </w:rPr>
        <w:t xml:space="preserve">making </w:t>
      </w:r>
      <w:r w:rsidR="0055378F" w:rsidRPr="0055378F">
        <w:rPr>
          <w:rFonts w:eastAsia="Calibri"/>
          <w:szCs w:val="24"/>
          <w:u w:val="single"/>
        </w:rPr>
        <w:t>investments in rural development, urban development or urban regeneration</w:t>
      </w:r>
      <w:r w:rsidR="0055378F" w:rsidRPr="00232FDB">
        <w:rPr>
          <w:szCs w:val="24"/>
          <w:lang w:eastAsia="en-GB"/>
        </w:rPr>
        <w:t xml:space="preserve"> </w:t>
      </w:r>
      <w:r w:rsidRPr="00232FDB">
        <w:rPr>
          <w:szCs w:val="24"/>
          <w:lang w:eastAsia="en-GB"/>
        </w:rPr>
        <w:t xml:space="preserve">on condition that the eligibility rules of the ESI Funds and </w:t>
      </w:r>
      <w:r w:rsidR="00340BB7" w:rsidRPr="00232FDB">
        <w:rPr>
          <w:szCs w:val="24"/>
          <w:lang w:eastAsia="en-GB"/>
        </w:rPr>
        <w:t xml:space="preserve">of </w:t>
      </w:r>
      <w:r w:rsidRPr="00232FDB">
        <w:rPr>
          <w:szCs w:val="24"/>
          <w:lang w:eastAsia="en-GB"/>
        </w:rPr>
        <w:t xml:space="preserve">the programme so </w:t>
      </w:r>
      <w:r w:rsidR="00BB567A" w:rsidRPr="00232FDB">
        <w:rPr>
          <w:szCs w:val="24"/>
          <w:lang w:eastAsia="en-GB"/>
        </w:rPr>
        <w:t xml:space="preserve">allow for it </w:t>
      </w:r>
      <w:r w:rsidRPr="00232FDB">
        <w:rPr>
          <w:szCs w:val="24"/>
          <w:lang w:eastAsia="en-GB"/>
        </w:rPr>
        <w:t>and that all the following criteria are fulfilled:</w:t>
      </w:r>
    </w:p>
    <w:p w:rsidR="009E7070" w:rsidRPr="00232FDB" w:rsidRDefault="00401BE6" w:rsidP="006F41DB">
      <w:pPr>
        <w:numPr>
          <w:ilvl w:val="1"/>
          <w:numId w:val="25"/>
        </w:numPr>
        <w:rPr>
          <w:szCs w:val="24"/>
          <w:lang w:eastAsia="en-GB"/>
        </w:rPr>
      </w:pPr>
      <w:r w:rsidRPr="00232FDB">
        <w:rPr>
          <w:szCs w:val="24"/>
          <w:lang w:eastAsia="en-GB"/>
        </w:rPr>
        <w:t xml:space="preserve">the </w:t>
      </w:r>
      <w:r w:rsidR="006C1E03">
        <w:rPr>
          <w:szCs w:val="24"/>
          <w:lang w:eastAsia="en-GB"/>
        </w:rPr>
        <w:t xml:space="preserve">share of ESI Funds support </w:t>
      </w:r>
      <w:r w:rsidR="00F54A15">
        <w:rPr>
          <w:szCs w:val="24"/>
          <w:lang w:eastAsia="en-GB"/>
        </w:rPr>
        <w:t xml:space="preserve">(via the financial instrument) </w:t>
      </w:r>
      <w:r w:rsidR="006C1E03">
        <w:rPr>
          <w:szCs w:val="24"/>
          <w:lang w:eastAsia="en-GB"/>
        </w:rPr>
        <w:t>to</w:t>
      </w:r>
      <w:r w:rsidR="00F54A15">
        <w:rPr>
          <w:szCs w:val="24"/>
          <w:lang w:eastAsia="en-GB"/>
        </w:rPr>
        <w:t xml:space="preserve"> </w:t>
      </w:r>
      <w:r w:rsidR="005727A7" w:rsidRPr="00232FDB">
        <w:rPr>
          <w:szCs w:val="24"/>
          <w:lang w:eastAsia="en-GB"/>
        </w:rPr>
        <w:t>an investment</w:t>
      </w:r>
      <w:r w:rsidRPr="00232FDB">
        <w:rPr>
          <w:szCs w:val="24"/>
          <w:lang w:eastAsia="en-GB"/>
        </w:rPr>
        <w:t xml:space="preserve"> (that includes the contribution in kind) by a final recipient</w:t>
      </w:r>
      <w:r w:rsidR="004C78F7" w:rsidRPr="00232FDB">
        <w:rPr>
          <w:szCs w:val="24"/>
          <w:lang w:eastAsia="en-GB"/>
        </w:rPr>
        <w:t xml:space="preserve"> </w:t>
      </w:r>
      <w:r w:rsidR="005727A7" w:rsidRPr="00232FDB">
        <w:rPr>
          <w:szCs w:val="24"/>
          <w:lang w:eastAsia="en-GB"/>
        </w:rPr>
        <w:t xml:space="preserve">should </w:t>
      </w:r>
      <w:r w:rsidR="00EE0988">
        <w:rPr>
          <w:szCs w:val="24"/>
          <w:lang w:eastAsia="en-GB"/>
        </w:rPr>
        <w:t xml:space="preserve">be less or equal to </w:t>
      </w:r>
      <w:r w:rsidR="005727A7" w:rsidRPr="00232FDB">
        <w:rPr>
          <w:szCs w:val="24"/>
          <w:lang w:eastAsia="en-GB"/>
        </w:rPr>
        <w:t xml:space="preserve">the total eligible </w:t>
      </w:r>
      <w:r w:rsidR="006C1E03" w:rsidRPr="00232FDB">
        <w:rPr>
          <w:szCs w:val="24"/>
          <w:lang w:eastAsia="en-GB"/>
        </w:rPr>
        <w:t>expenditure excluding</w:t>
      </w:r>
      <w:r w:rsidR="005727A7" w:rsidRPr="00232FDB">
        <w:rPr>
          <w:szCs w:val="24"/>
          <w:lang w:eastAsia="en-GB"/>
        </w:rPr>
        <w:t xml:space="preserve"> </w:t>
      </w:r>
      <w:r w:rsidR="004F4855">
        <w:rPr>
          <w:szCs w:val="24"/>
          <w:lang w:eastAsia="en-GB"/>
        </w:rPr>
        <w:t xml:space="preserve">the </w:t>
      </w:r>
      <w:r w:rsidR="005727A7" w:rsidRPr="00232FDB">
        <w:rPr>
          <w:szCs w:val="24"/>
          <w:lang w:eastAsia="en-GB"/>
        </w:rPr>
        <w:t>contribution</w:t>
      </w:r>
      <w:r w:rsidR="004F4855">
        <w:rPr>
          <w:szCs w:val="24"/>
          <w:lang w:eastAsia="en-GB"/>
        </w:rPr>
        <w:t xml:space="preserve"> </w:t>
      </w:r>
      <w:r w:rsidR="005727A7" w:rsidRPr="00232FDB">
        <w:rPr>
          <w:szCs w:val="24"/>
          <w:lang w:eastAsia="en-GB"/>
        </w:rPr>
        <w:t>in kind;</w:t>
      </w:r>
    </w:p>
    <w:p w:rsidR="00707BFF" w:rsidRDefault="004C78F7" w:rsidP="006F41DB">
      <w:pPr>
        <w:numPr>
          <w:ilvl w:val="1"/>
          <w:numId w:val="25"/>
        </w:numPr>
        <w:rPr>
          <w:szCs w:val="24"/>
          <w:lang w:eastAsia="en-GB"/>
        </w:rPr>
      </w:pPr>
      <w:r w:rsidRPr="00232FDB">
        <w:rPr>
          <w:szCs w:val="24"/>
          <w:lang w:eastAsia="en-GB"/>
        </w:rPr>
        <w:t xml:space="preserve">the value of the land or real estate must be certified by an independent qualified expert or duly authorised official body and must </w:t>
      </w:r>
      <w:r w:rsidR="00707BFF" w:rsidRPr="00232FDB">
        <w:rPr>
          <w:szCs w:val="24"/>
          <w:lang w:eastAsia="en-GB"/>
        </w:rPr>
        <w:t>not exceed the costs generally accepted on the market in question;</w:t>
      </w:r>
    </w:p>
    <w:p w:rsidR="00707BFF" w:rsidRPr="00F54A15" w:rsidRDefault="00F54A15" w:rsidP="00F54A15">
      <w:pPr>
        <w:numPr>
          <w:ilvl w:val="1"/>
          <w:numId w:val="25"/>
        </w:numPr>
        <w:rPr>
          <w:szCs w:val="24"/>
          <w:lang w:eastAsia="en-GB"/>
        </w:rPr>
      </w:pPr>
      <w:r>
        <w:rPr>
          <w:szCs w:val="24"/>
          <w:lang w:eastAsia="en-GB"/>
        </w:rPr>
        <w:t>t</w:t>
      </w:r>
      <w:r w:rsidR="001252B3" w:rsidRPr="00F54A15">
        <w:rPr>
          <w:szCs w:val="24"/>
          <w:lang w:eastAsia="en-GB"/>
        </w:rPr>
        <w:t>h</w:t>
      </w:r>
      <w:r w:rsidR="00E8544C" w:rsidRPr="00F54A15">
        <w:rPr>
          <w:szCs w:val="24"/>
          <w:lang w:eastAsia="en-GB"/>
        </w:rPr>
        <w:t xml:space="preserve">e value of the land or real </w:t>
      </w:r>
      <w:r w:rsidR="00B7306D" w:rsidRPr="00F54A15">
        <w:rPr>
          <w:szCs w:val="24"/>
          <w:lang w:eastAsia="en-GB"/>
        </w:rPr>
        <w:t>estate should</w:t>
      </w:r>
      <w:r w:rsidR="001252B3" w:rsidRPr="00F54A15">
        <w:rPr>
          <w:szCs w:val="24"/>
          <w:lang w:eastAsia="en-GB"/>
        </w:rPr>
        <w:t xml:space="preserve"> </w:t>
      </w:r>
      <w:r w:rsidR="00EE0988" w:rsidRPr="00F54A15">
        <w:rPr>
          <w:szCs w:val="24"/>
          <w:lang w:eastAsia="en-GB"/>
        </w:rPr>
        <w:t xml:space="preserve">be less or equal to </w:t>
      </w:r>
      <w:r w:rsidR="00E8544C" w:rsidRPr="00F54A15">
        <w:rPr>
          <w:szCs w:val="24"/>
          <w:lang w:eastAsia="en-GB"/>
        </w:rPr>
        <w:t>10</w:t>
      </w:r>
      <w:r w:rsidR="00707BFF" w:rsidRPr="00F54A15">
        <w:rPr>
          <w:szCs w:val="24"/>
          <w:lang w:eastAsia="en-GB"/>
        </w:rPr>
        <w:t> % of</w:t>
      </w:r>
      <w:r w:rsidR="00E8544C" w:rsidRPr="00F54A15">
        <w:rPr>
          <w:szCs w:val="24"/>
          <w:lang w:eastAsia="en-GB"/>
        </w:rPr>
        <w:t xml:space="preserve"> the total eligible </w:t>
      </w:r>
      <w:r w:rsidR="00B33D39" w:rsidRPr="00F54A15">
        <w:rPr>
          <w:szCs w:val="24"/>
          <w:lang w:eastAsia="en-GB"/>
        </w:rPr>
        <w:t xml:space="preserve">expenditure </w:t>
      </w:r>
      <w:r w:rsidR="000674C9">
        <w:rPr>
          <w:szCs w:val="24"/>
          <w:lang w:eastAsia="en-GB"/>
        </w:rPr>
        <w:t xml:space="preserve">of </w:t>
      </w:r>
      <w:r w:rsidR="00F2426A" w:rsidRPr="00F54A15">
        <w:rPr>
          <w:szCs w:val="24"/>
          <w:lang w:eastAsia="en-GB"/>
        </w:rPr>
        <w:t>the investment</w:t>
      </w:r>
      <w:r w:rsidR="00B7306D" w:rsidRPr="00F54A15">
        <w:rPr>
          <w:szCs w:val="24"/>
          <w:lang w:eastAsia="en-GB"/>
        </w:rPr>
        <w:t xml:space="preserve"> by the </w:t>
      </w:r>
      <w:r w:rsidR="0075741C" w:rsidRPr="00F54A15">
        <w:rPr>
          <w:szCs w:val="24"/>
          <w:lang w:eastAsia="en-GB"/>
        </w:rPr>
        <w:t>final recipient</w:t>
      </w:r>
      <w:r w:rsidR="00C36140" w:rsidRPr="00F54A15">
        <w:rPr>
          <w:szCs w:val="24"/>
          <w:lang w:eastAsia="en-GB"/>
        </w:rPr>
        <w:t xml:space="preserve">, </w:t>
      </w:r>
      <w:r w:rsidR="00C36140" w:rsidRPr="00F54A15">
        <w:rPr>
          <w:rFonts w:eastAsia="Calibri"/>
          <w:szCs w:val="24"/>
        </w:rPr>
        <w:t>where the land or real estate forms part of the</w:t>
      </w:r>
      <w:r w:rsidR="00F2426A" w:rsidRPr="00F54A15">
        <w:rPr>
          <w:rFonts w:eastAsia="Calibri"/>
          <w:szCs w:val="24"/>
        </w:rPr>
        <w:t xml:space="preserve"> </w:t>
      </w:r>
      <w:r w:rsidR="00265C46" w:rsidRPr="00F54A15">
        <w:rPr>
          <w:rFonts w:eastAsia="Calibri"/>
          <w:szCs w:val="24"/>
        </w:rPr>
        <w:t>same investment</w:t>
      </w:r>
      <w:r w:rsidR="00707BFF" w:rsidRPr="00F54A15">
        <w:rPr>
          <w:szCs w:val="24"/>
          <w:lang w:eastAsia="en-GB"/>
        </w:rPr>
        <w:t xml:space="preserve">. For derelict sites and for those </w:t>
      </w:r>
      <w:r w:rsidR="00707BFF" w:rsidRPr="00F54A15">
        <w:rPr>
          <w:szCs w:val="24"/>
          <w:lang w:eastAsia="en-GB"/>
        </w:rPr>
        <w:lastRenderedPageBreak/>
        <w:t xml:space="preserve">formerly in industrial use which comprise buildings, that limit </w:t>
      </w:r>
      <w:r w:rsidR="007D072E" w:rsidRPr="00F54A15">
        <w:rPr>
          <w:szCs w:val="24"/>
          <w:lang w:eastAsia="en-GB"/>
        </w:rPr>
        <w:t xml:space="preserve">can be </w:t>
      </w:r>
      <w:r w:rsidR="00707BFF" w:rsidRPr="00F54A15">
        <w:rPr>
          <w:szCs w:val="24"/>
          <w:lang w:eastAsia="en-GB"/>
        </w:rPr>
        <w:t>increased to 15 %. In exceptional and duly justified cases, the limit may be raised above the respective aforementioned percentages for operations concerning environmental conservation</w:t>
      </w:r>
      <w:r w:rsidR="00874B16" w:rsidRPr="00F54A15">
        <w:rPr>
          <w:szCs w:val="24"/>
          <w:lang w:eastAsia="en-GB"/>
        </w:rPr>
        <w:t>.</w:t>
      </w:r>
    </w:p>
    <w:p w:rsidR="00E13B9A" w:rsidRPr="00232FDB" w:rsidRDefault="00A446A7" w:rsidP="006F41DB">
      <w:pPr>
        <w:rPr>
          <w:rFonts w:eastAsia="Calibri"/>
          <w:szCs w:val="24"/>
        </w:rPr>
      </w:pPr>
      <w:r w:rsidRPr="00232FDB">
        <w:rPr>
          <w:rFonts w:eastAsia="Calibri"/>
          <w:szCs w:val="24"/>
        </w:rPr>
        <w:t>A</w:t>
      </w:r>
      <w:r w:rsidR="00E13B9A" w:rsidRPr="00232FDB">
        <w:rPr>
          <w:rFonts w:eastAsia="Calibri"/>
          <w:szCs w:val="24"/>
        </w:rPr>
        <w:t xml:space="preserve">s explained in point </w:t>
      </w:r>
      <w:r w:rsidRPr="00232FDB">
        <w:rPr>
          <w:rFonts w:eastAsia="Calibri"/>
          <w:szCs w:val="24"/>
        </w:rPr>
        <w:t xml:space="preserve">5.1 </w:t>
      </w:r>
      <w:r w:rsidR="00E13B9A" w:rsidRPr="00232FDB">
        <w:rPr>
          <w:rFonts w:eastAsia="Calibri"/>
          <w:szCs w:val="24"/>
        </w:rPr>
        <w:t xml:space="preserve">above, own </w:t>
      </w:r>
      <w:r w:rsidR="005A38C3" w:rsidRPr="00232FDB">
        <w:rPr>
          <w:rFonts w:eastAsia="Calibri"/>
          <w:szCs w:val="24"/>
        </w:rPr>
        <w:t>resources</w:t>
      </w:r>
      <w:r w:rsidR="00833668" w:rsidRPr="00232FDB">
        <w:rPr>
          <w:rFonts w:eastAsia="Calibri"/>
          <w:szCs w:val="24"/>
        </w:rPr>
        <w:t>/</w:t>
      </w:r>
      <w:r w:rsidR="0065090B" w:rsidRPr="00232FDB">
        <w:rPr>
          <w:rFonts w:eastAsia="Calibri"/>
          <w:szCs w:val="24"/>
        </w:rPr>
        <w:t xml:space="preserve">contribution </w:t>
      </w:r>
      <w:r w:rsidR="00E13B9A" w:rsidRPr="00232FDB">
        <w:rPr>
          <w:rFonts w:eastAsia="Calibri"/>
          <w:szCs w:val="24"/>
        </w:rPr>
        <w:t xml:space="preserve">(including </w:t>
      </w:r>
      <w:r w:rsidR="00833668" w:rsidRPr="00232FDB">
        <w:rPr>
          <w:rFonts w:eastAsia="Calibri"/>
          <w:szCs w:val="24"/>
        </w:rPr>
        <w:t xml:space="preserve">any </w:t>
      </w:r>
      <w:r w:rsidR="00E13B9A" w:rsidRPr="00232FDB">
        <w:rPr>
          <w:rFonts w:eastAsia="Calibri"/>
          <w:szCs w:val="24"/>
        </w:rPr>
        <w:t xml:space="preserve">in-kind </w:t>
      </w:r>
      <w:r w:rsidR="0065090B" w:rsidRPr="00232FDB">
        <w:rPr>
          <w:rFonts w:eastAsia="Calibri"/>
          <w:szCs w:val="24"/>
        </w:rPr>
        <w:t>contributions</w:t>
      </w:r>
      <w:r w:rsidR="00E13B9A" w:rsidRPr="00232FDB">
        <w:rPr>
          <w:rFonts w:eastAsia="Calibri"/>
          <w:szCs w:val="24"/>
        </w:rPr>
        <w:t>)</w:t>
      </w:r>
      <w:r w:rsidRPr="00232FDB">
        <w:rPr>
          <w:rFonts w:eastAsia="Calibri"/>
          <w:szCs w:val="24"/>
        </w:rPr>
        <w:t xml:space="preserve"> </w:t>
      </w:r>
      <w:r w:rsidR="005A38C3" w:rsidRPr="00232FDB">
        <w:rPr>
          <w:rFonts w:eastAsia="Calibri"/>
          <w:szCs w:val="24"/>
        </w:rPr>
        <w:t xml:space="preserve">of </w:t>
      </w:r>
      <w:r w:rsidR="00E13B9A" w:rsidRPr="00232FDB">
        <w:rPr>
          <w:rFonts w:eastAsia="Calibri"/>
          <w:szCs w:val="24"/>
        </w:rPr>
        <w:t xml:space="preserve">the final recipient, cannot be considered as national co-financing of the </w:t>
      </w:r>
      <w:r w:rsidR="00F2426A" w:rsidRPr="00232FDB">
        <w:rPr>
          <w:rFonts w:eastAsia="Calibri"/>
          <w:szCs w:val="24"/>
        </w:rPr>
        <w:t xml:space="preserve">programme </w:t>
      </w:r>
      <w:r w:rsidR="00E13B9A" w:rsidRPr="00232FDB">
        <w:rPr>
          <w:rFonts w:eastAsia="Calibri"/>
          <w:szCs w:val="24"/>
        </w:rPr>
        <w:t xml:space="preserve">and consequently </w:t>
      </w:r>
      <w:r w:rsidR="000D25CD" w:rsidRPr="00232FDB">
        <w:rPr>
          <w:rFonts w:eastAsia="Calibri"/>
          <w:szCs w:val="24"/>
        </w:rPr>
        <w:t xml:space="preserve">is </w:t>
      </w:r>
      <w:r w:rsidR="00E13B9A" w:rsidRPr="00232FDB">
        <w:rPr>
          <w:rFonts w:eastAsia="Calibri"/>
          <w:szCs w:val="24"/>
        </w:rPr>
        <w:t>not part of the eligible expenditure.</w:t>
      </w:r>
      <w:r w:rsidRPr="00232FDB">
        <w:rPr>
          <w:rFonts w:eastAsia="Calibri"/>
          <w:szCs w:val="24"/>
        </w:rPr>
        <w:t xml:space="preserve"> However, if the in-kind contribution is provided by a third party (public or private), </w:t>
      </w:r>
      <w:r w:rsidR="0055378F">
        <w:rPr>
          <w:rFonts w:eastAsia="Calibri"/>
          <w:szCs w:val="24"/>
        </w:rPr>
        <w:t xml:space="preserve">including independent shareholders of final recipients as legal entities, </w:t>
      </w:r>
      <w:r w:rsidRPr="00232FDB">
        <w:rPr>
          <w:rFonts w:eastAsia="Calibri"/>
          <w:szCs w:val="24"/>
        </w:rPr>
        <w:t>then this contribution can also count as national co-financing of the programme at any of the levels referred to in Article 38(9) CPR</w:t>
      </w:r>
      <w:r w:rsidR="00F2426A" w:rsidRPr="00232FDB">
        <w:rPr>
          <w:rFonts w:eastAsia="Calibri"/>
          <w:szCs w:val="24"/>
        </w:rPr>
        <w:t xml:space="preserve"> and provided that the conditions above mentioned are </w:t>
      </w:r>
      <w:r w:rsidR="000674C9">
        <w:rPr>
          <w:rFonts w:eastAsia="Calibri"/>
          <w:szCs w:val="24"/>
        </w:rPr>
        <w:t>complied with</w:t>
      </w:r>
      <w:r w:rsidR="00F2426A" w:rsidRPr="00232FDB">
        <w:rPr>
          <w:rFonts w:eastAsia="Calibri"/>
          <w:szCs w:val="24"/>
        </w:rPr>
        <w:t>.</w:t>
      </w:r>
      <w:r w:rsidR="00AB753F">
        <w:rPr>
          <w:rFonts w:eastAsia="Calibri"/>
          <w:szCs w:val="24"/>
        </w:rPr>
        <w:t xml:space="preserve"> </w:t>
      </w:r>
    </w:p>
    <w:p w:rsidR="00A446A7" w:rsidRPr="00232FDB" w:rsidRDefault="00A446A7" w:rsidP="006F41DB">
      <w:pPr>
        <w:rPr>
          <w:rFonts w:eastAsia="Calibri"/>
          <w:color w:val="FF0000"/>
          <w:highlight w:val="yellow"/>
        </w:rPr>
      </w:pPr>
      <w:r w:rsidRPr="00232FDB">
        <w:rPr>
          <w:rFonts w:eastAsia="Calibri"/>
        </w:rPr>
        <w:t xml:space="preserve">Finally, the contribution in kind </w:t>
      </w:r>
      <w:r w:rsidR="00AB753F" w:rsidRPr="00232FDB">
        <w:rPr>
          <w:rFonts w:eastAsia="Calibri"/>
        </w:rPr>
        <w:t>provided to the final reci</w:t>
      </w:r>
      <w:r w:rsidR="00AB753F">
        <w:rPr>
          <w:rFonts w:eastAsia="Calibri"/>
        </w:rPr>
        <w:t xml:space="preserve">pient and </w:t>
      </w:r>
      <w:r w:rsidRPr="00232FDB">
        <w:rPr>
          <w:rFonts w:eastAsia="Calibri"/>
        </w:rPr>
        <w:t xml:space="preserve">calculated following </w:t>
      </w:r>
      <w:r w:rsidR="007D072E" w:rsidRPr="00232FDB">
        <w:rPr>
          <w:rFonts w:eastAsia="Calibri"/>
        </w:rPr>
        <w:t>A</w:t>
      </w:r>
      <w:r w:rsidRPr="00232FDB">
        <w:rPr>
          <w:rFonts w:eastAsia="Calibri"/>
        </w:rPr>
        <w:t xml:space="preserve">rticle 69(1) CPR </w:t>
      </w:r>
      <w:r w:rsidR="00AB753F">
        <w:rPr>
          <w:rFonts w:eastAsia="Calibri"/>
        </w:rPr>
        <w:t xml:space="preserve">can be </w:t>
      </w:r>
      <w:r w:rsidR="00253B47">
        <w:rPr>
          <w:rFonts w:eastAsia="Calibri"/>
        </w:rPr>
        <w:t xml:space="preserve">eligible </w:t>
      </w:r>
      <w:r w:rsidRPr="00232FDB">
        <w:rPr>
          <w:rFonts w:eastAsia="Calibri"/>
        </w:rPr>
        <w:t>as follows from Article 42(1)(a)</w:t>
      </w:r>
      <w:r w:rsidR="000667A3" w:rsidRPr="00232FDB">
        <w:rPr>
          <w:rFonts w:eastAsia="Calibri"/>
        </w:rPr>
        <w:t xml:space="preserve"> </w:t>
      </w:r>
      <w:r w:rsidRPr="00232FDB">
        <w:rPr>
          <w:rFonts w:eastAsia="Calibri"/>
        </w:rPr>
        <w:t>CPR.</w:t>
      </w:r>
    </w:p>
    <w:p w:rsidR="001D25C7" w:rsidRPr="00232FDB" w:rsidRDefault="001D25C7" w:rsidP="006F41DB">
      <w:pPr>
        <w:pStyle w:val="CommentText"/>
        <w:pBdr>
          <w:top w:val="single" w:sz="4" w:space="1" w:color="auto"/>
          <w:left w:val="single" w:sz="4" w:space="4" w:color="auto"/>
          <w:bottom w:val="single" w:sz="4" w:space="1" w:color="auto"/>
          <w:right w:val="single" w:sz="4" w:space="4" w:color="auto"/>
        </w:pBdr>
        <w:rPr>
          <w:b/>
          <w:sz w:val="24"/>
          <w:szCs w:val="24"/>
          <w:lang w:eastAsia="en-GB"/>
        </w:rPr>
      </w:pPr>
      <w:r w:rsidRPr="00232FDB">
        <w:rPr>
          <w:rFonts w:eastAsia="Calibri"/>
          <w:b/>
          <w:sz w:val="24"/>
          <w:szCs w:val="24"/>
        </w:rPr>
        <w:t xml:space="preserve">Example on the requirements of Articles </w:t>
      </w:r>
      <w:r w:rsidR="00D65D17" w:rsidRPr="00232FDB">
        <w:rPr>
          <w:rFonts w:eastAsia="Calibri"/>
          <w:b/>
          <w:sz w:val="24"/>
          <w:szCs w:val="24"/>
        </w:rPr>
        <w:t xml:space="preserve">37(10), </w:t>
      </w:r>
      <w:r w:rsidRPr="00232FDB">
        <w:rPr>
          <w:b/>
          <w:sz w:val="24"/>
          <w:szCs w:val="24"/>
          <w:lang w:eastAsia="en-GB"/>
        </w:rPr>
        <w:t>69(1)(a) and 69(3)</w:t>
      </w:r>
      <w:r w:rsidR="0079414D">
        <w:rPr>
          <w:b/>
          <w:sz w:val="24"/>
          <w:szCs w:val="24"/>
          <w:lang w:eastAsia="en-GB"/>
        </w:rPr>
        <w:t>(b)</w:t>
      </w:r>
      <w:r w:rsidRPr="00232FDB">
        <w:rPr>
          <w:b/>
          <w:sz w:val="24"/>
          <w:szCs w:val="24"/>
          <w:lang w:eastAsia="en-GB"/>
        </w:rPr>
        <w:t xml:space="preserve"> CPR</w:t>
      </w:r>
    </w:p>
    <w:p w:rsidR="00833668" w:rsidRPr="00232FDB" w:rsidRDefault="00833668"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sidRPr="00232FDB">
        <w:rPr>
          <w:sz w:val="24"/>
          <w:szCs w:val="24"/>
          <w:lang w:eastAsia="en-GB"/>
        </w:rPr>
        <w:t xml:space="preserve">A final recipient </w:t>
      </w:r>
      <w:r w:rsidR="00D65D17" w:rsidRPr="00232FDB">
        <w:rPr>
          <w:sz w:val="24"/>
          <w:szCs w:val="24"/>
          <w:lang w:eastAsia="en-GB"/>
        </w:rPr>
        <w:t xml:space="preserve">plans </w:t>
      </w:r>
      <w:r w:rsidRPr="00232FDB">
        <w:rPr>
          <w:sz w:val="24"/>
          <w:szCs w:val="24"/>
          <w:lang w:eastAsia="en-GB"/>
        </w:rPr>
        <w:t>to carry out a</w:t>
      </w:r>
      <w:r w:rsidR="00B50A34" w:rsidRPr="00232FDB">
        <w:rPr>
          <w:sz w:val="24"/>
          <w:szCs w:val="24"/>
          <w:lang w:eastAsia="en-GB"/>
        </w:rPr>
        <w:t>n</w:t>
      </w:r>
      <w:r w:rsidR="00401BE6" w:rsidRPr="00232FDB">
        <w:rPr>
          <w:sz w:val="24"/>
          <w:szCs w:val="24"/>
          <w:lang w:eastAsia="en-GB"/>
        </w:rPr>
        <w:t xml:space="preserve"> urban development </w:t>
      </w:r>
      <w:r w:rsidRPr="00232FDB">
        <w:rPr>
          <w:sz w:val="24"/>
          <w:szCs w:val="24"/>
          <w:lang w:eastAsia="en-GB"/>
        </w:rPr>
        <w:t>investment</w:t>
      </w:r>
      <w:r w:rsidR="00F54A15">
        <w:rPr>
          <w:sz w:val="24"/>
          <w:szCs w:val="24"/>
          <w:lang w:eastAsia="en-GB"/>
        </w:rPr>
        <w:t xml:space="preserve"> and there is an </w:t>
      </w:r>
      <w:r w:rsidR="00401BE6" w:rsidRPr="00232FDB">
        <w:rPr>
          <w:sz w:val="24"/>
          <w:szCs w:val="24"/>
          <w:lang w:eastAsia="en-GB"/>
        </w:rPr>
        <w:t>investor willing to contribute with land so to make the investment possible</w:t>
      </w:r>
      <w:r w:rsidR="00B50A34" w:rsidRPr="00232FDB">
        <w:rPr>
          <w:sz w:val="24"/>
          <w:szCs w:val="24"/>
          <w:lang w:eastAsia="en-GB"/>
        </w:rPr>
        <w:t>.</w:t>
      </w:r>
    </w:p>
    <w:p w:rsidR="006C1E03" w:rsidRDefault="006C1E03"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The table below shows different possibilities</w:t>
      </w:r>
      <w:r w:rsidR="00F54A15">
        <w:rPr>
          <w:sz w:val="24"/>
          <w:szCs w:val="24"/>
          <w:lang w:eastAsia="en-GB"/>
        </w:rPr>
        <w:t xml:space="preserve"> and the corresponding conclusions</w:t>
      </w:r>
      <w:r w:rsidR="00E327D2">
        <w:rPr>
          <w:sz w:val="24"/>
          <w:szCs w:val="24"/>
          <w:lang w:eastAsia="en-GB"/>
        </w:rPr>
        <w:t xml:space="preserve"> (each column represents a different </w:t>
      </w:r>
      <w:r w:rsidR="003F176D">
        <w:rPr>
          <w:sz w:val="24"/>
          <w:szCs w:val="24"/>
          <w:lang w:eastAsia="en-GB"/>
        </w:rPr>
        <w:t>case/</w:t>
      </w:r>
      <w:r w:rsidR="00E327D2">
        <w:rPr>
          <w:sz w:val="24"/>
          <w:szCs w:val="24"/>
          <w:lang w:eastAsia="en-GB"/>
        </w:rPr>
        <w:t>scenario)</w:t>
      </w:r>
      <w:r>
        <w:rPr>
          <w:sz w:val="24"/>
          <w:szCs w:val="24"/>
          <w:lang w:eastAsia="en-GB"/>
        </w:rPr>
        <w:t>:</w:t>
      </w:r>
    </w:p>
    <w:p w:rsidR="00E327D2" w:rsidRDefault="00E327D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p>
    <w:p w:rsidR="003F176D" w:rsidRDefault="003F176D"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sidRPr="003F176D">
        <w:rPr>
          <w:noProof/>
          <w:lang w:eastAsia="en-GB"/>
        </w:rPr>
        <w:drawing>
          <wp:inline distT="0" distB="0" distL="0" distR="0" wp14:anchorId="47A03FE9" wp14:editId="69C0A7EE">
            <wp:extent cx="5471795" cy="291189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1795" cy="2911891"/>
                    </a:xfrm>
                    <a:prstGeom prst="rect">
                      <a:avLst/>
                    </a:prstGeom>
                    <a:noFill/>
                    <a:ln>
                      <a:noFill/>
                    </a:ln>
                  </pic:spPr>
                </pic:pic>
              </a:graphicData>
            </a:graphic>
          </wp:inline>
        </w:drawing>
      </w:r>
    </w:p>
    <w:p w:rsidR="00AD2072"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The results of the c</w:t>
      </w:r>
      <w:r w:rsidR="00E327D2">
        <w:rPr>
          <w:sz w:val="24"/>
          <w:szCs w:val="24"/>
          <w:lang w:eastAsia="en-GB"/>
        </w:rPr>
        <w:t xml:space="preserve">alculations above </w:t>
      </w:r>
      <w:r>
        <w:rPr>
          <w:sz w:val="24"/>
          <w:szCs w:val="24"/>
          <w:lang w:eastAsia="en-GB"/>
        </w:rPr>
        <w:t xml:space="preserve">show that: </w:t>
      </w:r>
    </w:p>
    <w:p w:rsidR="00AD2072" w:rsidRDefault="0011146A"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 Cases 1, 3 and 5 are, from the onset, compliant with</w:t>
      </w:r>
      <w:r w:rsidRPr="0011146A">
        <w:rPr>
          <w:sz w:val="24"/>
          <w:szCs w:val="24"/>
          <w:lang w:eastAsia="en-GB"/>
        </w:rPr>
        <w:t xml:space="preserve"> </w:t>
      </w:r>
      <w:r w:rsidRPr="00AD2072">
        <w:rPr>
          <w:sz w:val="24"/>
          <w:szCs w:val="24"/>
          <w:lang w:eastAsia="en-GB"/>
        </w:rPr>
        <w:t>Article 69(1)(a)</w:t>
      </w:r>
      <w:r>
        <w:rPr>
          <w:sz w:val="24"/>
          <w:szCs w:val="24"/>
          <w:lang w:eastAsia="en-GB"/>
        </w:rPr>
        <w:t xml:space="preserve"> </w:t>
      </w:r>
      <w:r w:rsidRPr="00AD2072">
        <w:rPr>
          <w:sz w:val="24"/>
          <w:szCs w:val="24"/>
          <w:lang w:eastAsia="en-GB"/>
        </w:rPr>
        <w:t>and 69(3) CPR</w:t>
      </w:r>
      <w:r w:rsidR="00AD2072">
        <w:rPr>
          <w:sz w:val="24"/>
          <w:szCs w:val="24"/>
          <w:lang w:eastAsia="en-GB"/>
        </w:rPr>
        <w:t>.</w:t>
      </w:r>
    </w:p>
    <w:p w:rsidR="00253B47"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 In c</w:t>
      </w:r>
      <w:r w:rsidR="00E327D2">
        <w:rPr>
          <w:sz w:val="24"/>
          <w:szCs w:val="24"/>
          <w:lang w:eastAsia="en-GB"/>
        </w:rPr>
        <w:t>ase 2</w:t>
      </w:r>
      <w:r>
        <w:rPr>
          <w:sz w:val="24"/>
          <w:szCs w:val="24"/>
          <w:lang w:eastAsia="en-GB"/>
        </w:rPr>
        <w:t xml:space="preserve">, </w:t>
      </w:r>
      <w:r w:rsidR="00E327D2">
        <w:rPr>
          <w:sz w:val="24"/>
          <w:szCs w:val="24"/>
          <w:lang w:eastAsia="en-GB"/>
        </w:rPr>
        <w:t xml:space="preserve"> the value of the </w:t>
      </w:r>
      <w:r>
        <w:rPr>
          <w:sz w:val="24"/>
          <w:szCs w:val="24"/>
          <w:lang w:eastAsia="en-GB"/>
        </w:rPr>
        <w:t xml:space="preserve">land is more than 10% of the total eligible expenditure, therefore not in line with </w:t>
      </w:r>
      <w:r w:rsidRPr="00AD2072">
        <w:rPr>
          <w:sz w:val="24"/>
          <w:szCs w:val="24"/>
          <w:lang w:eastAsia="en-GB"/>
        </w:rPr>
        <w:t>Article 69(3)</w:t>
      </w:r>
      <w:r w:rsidR="005E4C50">
        <w:rPr>
          <w:sz w:val="24"/>
          <w:szCs w:val="24"/>
          <w:lang w:eastAsia="en-GB"/>
        </w:rPr>
        <w:t>(b)</w:t>
      </w:r>
      <w:r w:rsidRPr="00AD2072">
        <w:rPr>
          <w:sz w:val="24"/>
          <w:szCs w:val="24"/>
          <w:lang w:eastAsia="en-GB"/>
        </w:rPr>
        <w:t xml:space="preserve"> CPR</w:t>
      </w:r>
      <w:r>
        <w:rPr>
          <w:sz w:val="24"/>
          <w:szCs w:val="24"/>
          <w:lang w:eastAsia="en-GB"/>
        </w:rPr>
        <w:t xml:space="preserve">. </w:t>
      </w:r>
      <w:r w:rsidR="00E327D2">
        <w:rPr>
          <w:sz w:val="24"/>
          <w:szCs w:val="24"/>
          <w:lang w:eastAsia="en-GB"/>
        </w:rPr>
        <w:t xml:space="preserve"> </w:t>
      </w:r>
    </w:p>
    <w:p w:rsidR="00AD2072" w:rsidRPr="00AD2072"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 In case 4, the ESI</w:t>
      </w:r>
      <w:r w:rsidR="00226CB1">
        <w:rPr>
          <w:sz w:val="24"/>
          <w:szCs w:val="24"/>
          <w:lang w:eastAsia="en-GB"/>
        </w:rPr>
        <w:t xml:space="preserve"> </w:t>
      </w:r>
      <w:r>
        <w:rPr>
          <w:sz w:val="24"/>
          <w:szCs w:val="24"/>
          <w:lang w:eastAsia="en-GB"/>
        </w:rPr>
        <w:t>F</w:t>
      </w:r>
      <w:r w:rsidR="00226CB1">
        <w:rPr>
          <w:sz w:val="24"/>
          <w:szCs w:val="24"/>
          <w:lang w:eastAsia="en-GB"/>
        </w:rPr>
        <w:t>unds</w:t>
      </w:r>
      <w:r>
        <w:rPr>
          <w:sz w:val="24"/>
          <w:szCs w:val="24"/>
          <w:lang w:eastAsia="en-GB"/>
        </w:rPr>
        <w:t xml:space="preserve"> support provided via the financial instrument is higher than the total eligible expenditure</w:t>
      </w:r>
      <w:r w:rsidR="0011146A">
        <w:rPr>
          <w:sz w:val="24"/>
          <w:szCs w:val="24"/>
          <w:lang w:eastAsia="en-GB"/>
        </w:rPr>
        <w:t xml:space="preserve"> minus the</w:t>
      </w:r>
      <w:r w:rsidR="00431885">
        <w:rPr>
          <w:sz w:val="24"/>
          <w:szCs w:val="24"/>
          <w:lang w:eastAsia="en-GB"/>
        </w:rPr>
        <w:t xml:space="preserve"> contribution in-kind</w:t>
      </w:r>
      <w:r>
        <w:rPr>
          <w:sz w:val="24"/>
          <w:szCs w:val="24"/>
          <w:lang w:eastAsia="en-GB"/>
        </w:rPr>
        <w:t xml:space="preserve">, therefore not in line with </w:t>
      </w:r>
      <w:r w:rsidRPr="00AD2072">
        <w:rPr>
          <w:sz w:val="24"/>
          <w:szCs w:val="24"/>
          <w:lang w:eastAsia="en-GB"/>
        </w:rPr>
        <w:t>Article 69(1)(a)</w:t>
      </w:r>
      <w:r>
        <w:rPr>
          <w:sz w:val="24"/>
          <w:szCs w:val="24"/>
          <w:lang w:eastAsia="en-GB"/>
        </w:rPr>
        <w:t xml:space="preserve"> CPR.</w:t>
      </w:r>
    </w:p>
    <w:p w:rsidR="00AD2072"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sidRPr="00AD2072">
        <w:rPr>
          <w:b/>
          <w:sz w:val="24"/>
          <w:szCs w:val="24"/>
          <w:lang w:eastAsia="en-GB"/>
        </w:rPr>
        <w:t>Conclusion</w:t>
      </w:r>
      <w:r>
        <w:rPr>
          <w:sz w:val="24"/>
          <w:szCs w:val="24"/>
          <w:lang w:eastAsia="en-GB"/>
        </w:rPr>
        <w:t>:</w:t>
      </w:r>
    </w:p>
    <w:p w:rsidR="00AD2072"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lastRenderedPageBreak/>
        <w:t xml:space="preserve">In order to ensure compliance with the provisions above mentioned, the eligible amount of the contribution </w:t>
      </w:r>
      <w:r w:rsidR="0011146A">
        <w:rPr>
          <w:sz w:val="24"/>
          <w:szCs w:val="24"/>
          <w:lang w:eastAsia="en-GB"/>
        </w:rPr>
        <w:t>in-kind</w:t>
      </w:r>
      <w:r w:rsidR="00431885">
        <w:rPr>
          <w:sz w:val="24"/>
          <w:szCs w:val="24"/>
          <w:lang w:eastAsia="en-GB"/>
        </w:rPr>
        <w:t xml:space="preserve">, for cases 2 and 4 (please see second step) </w:t>
      </w:r>
      <w:r>
        <w:rPr>
          <w:sz w:val="24"/>
          <w:szCs w:val="24"/>
          <w:lang w:eastAsia="en-GB"/>
        </w:rPr>
        <w:t>should be reduced proportionally up to the to the point of ensurin</w:t>
      </w:r>
      <w:r w:rsidRPr="00AD2072">
        <w:rPr>
          <w:sz w:val="24"/>
          <w:szCs w:val="24"/>
          <w:lang w:eastAsia="en-GB"/>
        </w:rPr>
        <w:t>g compliance with the Article 69(1)(a) and 69(3)</w:t>
      </w:r>
      <w:r w:rsidR="005E4C50">
        <w:rPr>
          <w:sz w:val="24"/>
          <w:szCs w:val="24"/>
          <w:lang w:eastAsia="en-GB"/>
        </w:rPr>
        <w:t xml:space="preserve">(b) </w:t>
      </w:r>
      <w:r w:rsidRPr="00AD2072">
        <w:rPr>
          <w:sz w:val="24"/>
          <w:szCs w:val="24"/>
          <w:lang w:eastAsia="en-GB"/>
        </w:rPr>
        <w:t>CPR</w:t>
      </w:r>
      <w:r>
        <w:rPr>
          <w:sz w:val="24"/>
          <w:szCs w:val="24"/>
          <w:lang w:eastAsia="en-GB"/>
        </w:rPr>
        <w:t xml:space="preserve"> (as shown is rows (f) and g)</w:t>
      </w:r>
      <w:r w:rsidRPr="00AD2072">
        <w:rPr>
          <w:sz w:val="24"/>
          <w:szCs w:val="24"/>
          <w:lang w:eastAsia="en-GB"/>
        </w:rPr>
        <w:t>.</w:t>
      </w:r>
      <w:r>
        <w:rPr>
          <w:sz w:val="24"/>
          <w:szCs w:val="24"/>
          <w:lang w:eastAsia="en-GB"/>
        </w:rPr>
        <w:t xml:space="preserve"> </w:t>
      </w:r>
    </w:p>
    <w:p w:rsidR="00253B47" w:rsidRDefault="00AD2072" w:rsidP="006F41DB">
      <w:pPr>
        <w:pStyle w:val="CommentText"/>
        <w:pBdr>
          <w:top w:val="single" w:sz="4" w:space="1" w:color="auto"/>
          <w:left w:val="single" w:sz="4" w:space="4" w:color="auto"/>
          <w:bottom w:val="single" w:sz="4" w:space="1" w:color="auto"/>
          <w:right w:val="single" w:sz="4" w:space="4" w:color="auto"/>
        </w:pBdr>
        <w:rPr>
          <w:sz w:val="24"/>
          <w:szCs w:val="24"/>
          <w:lang w:eastAsia="en-GB"/>
        </w:rPr>
      </w:pPr>
      <w:r>
        <w:rPr>
          <w:sz w:val="24"/>
          <w:szCs w:val="24"/>
          <w:lang w:eastAsia="en-GB"/>
        </w:rPr>
        <w:t>It also results from this table</w:t>
      </w:r>
      <w:r w:rsidR="00A4568C">
        <w:rPr>
          <w:sz w:val="24"/>
          <w:szCs w:val="24"/>
          <w:lang w:eastAsia="en-GB"/>
        </w:rPr>
        <w:t xml:space="preserve"> that </w:t>
      </w:r>
      <w:r>
        <w:rPr>
          <w:sz w:val="24"/>
          <w:szCs w:val="24"/>
          <w:lang w:eastAsia="en-GB"/>
        </w:rPr>
        <w:t xml:space="preserve">if the </w:t>
      </w:r>
      <w:r w:rsidR="00431885">
        <w:rPr>
          <w:sz w:val="24"/>
          <w:szCs w:val="24"/>
          <w:lang w:eastAsia="en-GB"/>
        </w:rPr>
        <w:t>contribution in kind is provided with an amount representing 1</w:t>
      </w:r>
      <w:r>
        <w:rPr>
          <w:sz w:val="24"/>
          <w:szCs w:val="24"/>
          <w:lang w:eastAsia="en-GB"/>
        </w:rPr>
        <w:t xml:space="preserve">0% </w:t>
      </w:r>
      <w:r w:rsidR="00431885">
        <w:rPr>
          <w:sz w:val="24"/>
          <w:szCs w:val="24"/>
          <w:lang w:eastAsia="en-GB"/>
        </w:rPr>
        <w:t xml:space="preserve">of the total eligible expenditure </w:t>
      </w:r>
      <w:r>
        <w:rPr>
          <w:sz w:val="24"/>
          <w:szCs w:val="24"/>
          <w:lang w:eastAsia="en-GB"/>
        </w:rPr>
        <w:t xml:space="preserve">than the only limitation stemming from Article 69(1) CPR </w:t>
      </w:r>
      <w:r w:rsidR="00431885">
        <w:rPr>
          <w:sz w:val="24"/>
          <w:szCs w:val="24"/>
          <w:lang w:eastAsia="en-GB"/>
        </w:rPr>
        <w:t xml:space="preserve">is only applicable in case </w:t>
      </w:r>
      <w:r w:rsidR="00A4568C">
        <w:rPr>
          <w:sz w:val="24"/>
          <w:szCs w:val="24"/>
          <w:lang w:eastAsia="en-GB"/>
        </w:rPr>
        <w:t>the co-financing rate exceeds 90%</w:t>
      </w:r>
      <w:r w:rsidR="00431885">
        <w:rPr>
          <w:sz w:val="24"/>
          <w:szCs w:val="24"/>
          <w:lang w:eastAsia="en-GB"/>
        </w:rPr>
        <w:t>.</w:t>
      </w:r>
    </w:p>
    <w:p w:rsidR="00183979" w:rsidRPr="00232FDB" w:rsidRDefault="00183979" w:rsidP="006F41DB">
      <w:pPr>
        <w:pStyle w:val="Heading1"/>
        <w:spacing w:before="0"/>
      </w:pPr>
      <w:bookmarkStart w:id="19" w:name="_Toc445141406"/>
      <w:r w:rsidRPr="00232FDB">
        <w:t>Purchase of land</w:t>
      </w:r>
      <w:bookmarkEnd w:id="19"/>
      <w:r w:rsidR="004F4855">
        <w:t xml:space="preserve"> </w:t>
      </w:r>
    </w:p>
    <w:p w:rsidR="00183979" w:rsidRPr="00232FDB" w:rsidRDefault="00ED0EDB" w:rsidP="006F41DB">
      <w:pPr>
        <w:rPr>
          <w:szCs w:val="24"/>
          <w:lang w:eastAsia="en-GB"/>
        </w:rPr>
      </w:pPr>
      <w:r w:rsidRPr="00232FDB">
        <w:rPr>
          <w:szCs w:val="24"/>
          <w:lang w:eastAsia="en-GB"/>
        </w:rPr>
        <w:t xml:space="preserve">Article 4 CDR </w:t>
      </w:r>
      <w:r w:rsidR="007D072E" w:rsidRPr="00232FDB">
        <w:rPr>
          <w:szCs w:val="24"/>
          <w:lang w:eastAsia="en-GB"/>
        </w:rPr>
        <w:t>allows</w:t>
      </w:r>
      <w:r w:rsidRPr="00232FDB">
        <w:rPr>
          <w:szCs w:val="24"/>
          <w:lang w:eastAsia="en-GB"/>
        </w:rPr>
        <w:t xml:space="preserve"> f</w:t>
      </w:r>
      <w:r w:rsidR="00183979" w:rsidRPr="00232FDB">
        <w:rPr>
          <w:szCs w:val="24"/>
          <w:lang w:eastAsia="en-GB"/>
        </w:rPr>
        <w:t xml:space="preserve">inancial instruments financed by the ERDF, the Cohesion Fund and the EAFRD </w:t>
      </w:r>
      <w:r w:rsidR="007D072E" w:rsidRPr="00232FDB">
        <w:rPr>
          <w:szCs w:val="24"/>
          <w:lang w:eastAsia="en-GB"/>
        </w:rPr>
        <w:t>to</w:t>
      </w:r>
      <w:r w:rsidR="00183979" w:rsidRPr="00232FDB">
        <w:rPr>
          <w:szCs w:val="24"/>
          <w:lang w:eastAsia="en-GB"/>
        </w:rPr>
        <w:t xml:space="preserve"> support investments that include the purchase of land not built on and land built on for an amount not exceeding 10</w:t>
      </w:r>
      <w:r w:rsidR="00183979" w:rsidRPr="00232FDB">
        <w:rPr>
          <w:w w:val="50"/>
          <w:szCs w:val="24"/>
          <w:lang w:eastAsia="en-GB"/>
        </w:rPr>
        <w:t> </w:t>
      </w:r>
      <w:r w:rsidR="00183979" w:rsidRPr="00232FDB">
        <w:rPr>
          <w:szCs w:val="24"/>
          <w:lang w:eastAsia="en-GB"/>
        </w:rPr>
        <w:t xml:space="preserve">% of the programme contribution paid to the final recipient. In the case of guarantees, this percentage </w:t>
      </w:r>
      <w:r w:rsidR="009B546D" w:rsidRPr="00232FDB">
        <w:rPr>
          <w:szCs w:val="24"/>
          <w:lang w:eastAsia="en-GB"/>
        </w:rPr>
        <w:t xml:space="preserve">applies </w:t>
      </w:r>
      <w:r w:rsidR="00183979" w:rsidRPr="00232FDB">
        <w:rPr>
          <w:szCs w:val="24"/>
          <w:lang w:eastAsia="en-GB"/>
        </w:rPr>
        <w:t>to th</w:t>
      </w:r>
      <w:r w:rsidRPr="00232FDB">
        <w:rPr>
          <w:szCs w:val="24"/>
          <w:lang w:eastAsia="en-GB"/>
        </w:rPr>
        <w:t>e amount of the underlying loan that the final recipients will obtain from a commercial bank.</w:t>
      </w:r>
    </w:p>
    <w:p w:rsidR="00183979" w:rsidRPr="00232FDB" w:rsidRDefault="00183979" w:rsidP="006F41DB">
      <w:pPr>
        <w:rPr>
          <w:szCs w:val="24"/>
          <w:lang w:eastAsia="en-GB"/>
        </w:rPr>
      </w:pPr>
      <w:r w:rsidRPr="00232FDB">
        <w:rPr>
          <w:szCs w:val="24"/>
          <w:lang w:eastAsia="en-GB"/>
        </w:rPr>
        <w:t>Where financial instruments provide support to final recipients in respect of infrastructure investments with the objective of supporting urban development or urban regeneration activities, this limit is 20</w:t>
      </w:r>
      <w:r w:rsidRPr="00232FDB">
        <w:rPr>
          <w:w w:val="50"/>
          <w:szCs w:val="24"/>
          <w:lang w:eastAsia="en-GB"/>
        </w:rPr>
        <w:t> </w:t>
      </w:r>
      <w:r w:rsidRPr="00232FDB">
        <w:rPr>
          <w:szCs w:val="24"/>
          <w:lang w:eastAsia="en-GB"/>
        </w:rPr>
        <w:t>%.</w:t>
      </w:r>
      <w:r w:rsidR="007D1314" w:rsidRPr="00232FDB">
        <w:rPr>
          <w:szCs w:val="24"/>
          <w:lang w:eastAsia="en-GB"/>
        </w:rPr>
        <w:t xml:space="preserve"> </w:t>
      </w:r>
      <w:r w:rsidRPr="00232FDB">
        <w:rPr>
          <w:szCs w:val="24"/>
          <w:lang w:eastAsia="en-GB"/>
        </w:rPr>
        <w:t>In exceptional and duly justified cases, the managing authority may derogate from th</w:t>
      </w:r>
      <w:r w:rsidR="009D27F3" w:rsidRPr="00232FDB">
        <w:rPr>
          <w:szCs w:val="24"/>
          <w:lang w:eastAsia="en-GB"/>
        </w:rPr>
        <w:t>e above limits</w:t>
      </w:r>
      <w:r w:rsidRPr="00232FDB">
        <w:rPr>
          <w:szCs w:val="24"/>
          <w:lang w:eastAsia="en-GB"/>
        </w:rPr>
        <w:t xml:space="preserve"> for operations concerning environmental conservation.</w:t>
      </w:r>
    </w:p>
    <w:p w:rsidR="004F4855" w:rsidRDefault="008B52C8" w:rsidP="004B190E">
      <w:pPr>
        <w:rPr>
          <w:szCs w:val="24"/>
          <w:lang w:eastAsia="en-GB"/>
        </w:rPr>
      </w:pPr>
      <w:r w:rsidRPr="00232FDB">
        <w:rPr>
          <w:szCs w:val="24"/>
          <w:lang w:eastAsia="en-GB"/>
        </w:rPr>
        <w:t xml:space="preserve">The limits above mentioned applies to land (built on or not), but </w:t>
      </w:r>
      <w:r w:rsidR="001C2EF0" w:rsidRPr="00232FDB">
        <w:rPr>
          <w:szCs w:val="24"/>
          <w:lang w:eastAsia="en-GB"/>
        </w:rPr>
        <w:t xml:space="preserve">not to real estate or buildings. </w:t>
      </w:r>
      <w:r w:rsidR="004B190E" w:rsidRPr="00232FDB">
        <w:rPr>
          <w:szCs w:val="24"/>
          <w:lang w:eastAsia="en-GB"/>
        </w:rPr>
        <w:t xml:space="preserve">If support via financial instruments is provided for </w:t>
      </w:r>
      <w:r w:rsidRPr="00232FDB">
        <w:rPr>
          <w:szCs w:val="24"/>
          <w:lang w:eastAsia="en-GB"/>
        </w:rPr>
        <w:t>the purchase of a building or real estate</w:t>
      </w:r>
      <w:r w:rsidR="004B190E" w:rsidRPr="00232FDB">
        <w:rPr>
          <w:szCs w:val="24"/>
          <w:lang w:eastAsia="en-GB"/>
        </w:rPr>
        <w:t xml:space="preserve">, this should be done only if these </w:t>
      </w:r>
      <w:r w:rsidRPr="00232FDB">
        <w:rPr>
          <w:szCs w:val="24"/>
          <w:lang w:eastAsia="en-GB"/>
        </w:rPr>
        <w:t xml:space="preserve">assets </w:t>
      </w:r>
      <w:r w:rsidR="004B190E" w:rsidRPr="00232FDB">
        <w:rPr>
          <w:szCs w:val="24"/>
          <w:lang w:eastAsia="en-GB"/>
        </w:rPr>
        <w:t xml:space="preserve">are </w:t>
      </w:r>
      <w:r w:rsidRPr="00232FDB">
        <w:rPr>
          <w:szCs w:val="24"/>
          <w:lang w:eastAsia="en-GB"/>
        </w:rPr>
        <w:t xml:space="preserve">directly linked to a productive activity of the </w:t>
      </w:r>
      <w:r w:rsidR="004B190E" w:rsidRPr="00232FDB">
        <w:rPr>
          <w:szCs w:val="24"/>
          <w:lang w:eastAsia="en-GB"/>
        </w:rPr>
        <w:t xml:space="preserve">final recipient </w:t>
      </w:r>
      <w:r w:rsidRPr="00232FDB">
        <w:rPr>
          <w:szCs w:val="24"/>
          <w:lang w:eastAsia="en-GB"/>
        </w:rPr>
        <w:t>concerned.</w:t>
      </w:r>
      <w:r w:rsidR="004B190E" w:rsidRPr="00232FDB">
        <w:rPr>
          <w:szCs w:val="24"/>
          <w:lang w:eastAsia="en-GB"/>
        </w:rPr>
        <w:t xml:space="preserve"> </w:t>
      </w:r>
    </w:p>
    <w:p w:rsidR="008B52C8" w:rsidRPr="00232FDB" w:rsidRDefault="004B190E" w:rsidP="004B190E">
      <w:pPr>
        <w:rPr>
          <w:szCs w:val="24"/>
          <w:lang w:eastAsia="en-GB"/>
        </w:rPr>
      </w:pPr>
      <w:r w:rsidRPr="00232FDB">
        <w:rPr>
          <w:szCs w:val="24"/>
          <w:lang w:eastAsia="en-GB"/>
        </w:rPr>
        <w:t>However, f</w:t>
      </w:r>
      <w:r w:rsidR="008B52C8" w:rsidRPr="00232FDB">
        <w:rPr>
          <w:szCs w:val="24"/>
          <w:lang w:eastAsia="en-GB"/>
        </w:rPr>
        <w:t xml:space="preserve">rom a policy point of view and as a matter of ensuring the best use of </w:t>
      </w:r>
      <w:r w:rsidRPr="00232FDB">
        <w:rPr>
          <w:szCs w:val="24"/>
          <w:lang w:eastAsia="en-GB"/>
        </w:rPr>
        <w:t>ESI F</w:t>
      </w:r>
      <w:r w:rsidR="008B52C8" w:rsidRPr="00232FDB">
        <w:rPr>
          <w:szCs w:val="24"/>
          <w:lang w:eastAsia="en-GB"/>
        </w:rPr>
        <w:t>unds, financing the purchase of real estate or buildings</w:t>
      </w:r>
      <w:r w:rsidRPr="00232FDB">
        <w:rPr>
          <w:szCs w:val="24"/>
          <w:lang w:eastAsia="en-GB"/>
        </w:rPr>
        <w:t xml:space="preserve"> (</w:t>
      </w:r>
      <w:r w:rsidR="008B52C8" w:rsidRPr="00232FDB">
        <w:rPr>
          <w:szCs w:val="24"/>
          <w:lang w:eastAsia="en-GB"/>
        </w:rPr>
        <w:t xml:space="preserve">including when such </w:t>
      </w:r>
      <w:r w:rsidRPr="00232FDB">
        <w:rPr>
          <w:szCs w:val="24"/>
          <w:lang w:eastAsia="en-GB"/>
        </w:rPr>
        <w:t xml:space="preserve">assets are directly linked </w:t>
      </w:r>
      <w:r w:rsidR="008B52C8" w:rsidRPr="00232FDB">
        <w:rPr>
          <w:szCs w:val="24"/>
          <w:lang w:eastAsia="en-GB"/>
        </w:rPr>
        <w:t>to the productive activity of the business concerned</w:t>
      </w:r>
      <w:r w:rsidRPr="00232FDB">
        <w:rPr>
          <w:szCs w:val="24"/>
          <w:lang w:eastAsia="en-GB"/>
        </w:rPr>
        <w:t>)</w:t>
      </w:r>
      <w:r w:rsidR="008B52C8" w:rsidRPr="00232FDB">
        <w:rPr>
          <w:szCs w:val="24"/>
          <w:lang w:eastAsia="en-GB"/>
        </w:rPr>
        <w:t>, should be treated as an exception rather than a</w:t>
      </w:r>
      <w:r w:rsidR="004C78F7" w:rsidRPr="00232FDB">
        <w:rPr>
          <w:szCs w:val="24"/>
          <w:lang w:eastAsia="en-GB"/>
        </w:rPr>
        <w:t xml:space="preserve">s a </w:t>
      </w:r>
      <w:r w:rsidR="008B52C8" w:rsidRPr="00232FDB">
        <w:rPr>
          <w:szCs w:val="24"/>
          <w:lang w:eastAsia="en-GB"/>
        </w:rPr>
        <w:t xml:space="preserve"> general</w:t>
      </w:r>
      <w:r w:rsidR="004C78F7" w:rsidRPr="00232FDB">
        <w:rPr>
          <w:szCs w:val="24"/>
          <w:lang w:eastAsia="en-GB"/>
        </w:rPr>
        <w:t xml:space="preserve"> rule</w:t>
      </w:r>
      <w:r w:rsidR="008B52C8" w:rsidRPr="00232FDB">
        <w:rPr>
          <w:szCs w:val="24"/>
          <w:lang w:eastAsia="en-GB"/>
        </w:rPr>
        <w:t xml:space="preserve">. Real estate and buildings are by definition widely acceptable </w:t>
      </w:r>
      <w:r w:rsidRPr="00232FDB">
        <w:rPr>
          <w:szCs w:val="24"/>
          <w:lang w:eastAsia="en-GB"/>
        </w:rPr>
        <w:t xml:space="preserve">collateral and consequently </w:t>
      </w:r>
      <w:r w:rsidR="008B52C8" w:rsidRPr="00232FDB">
        <w:rPr>
          <w:szCs w:val="24"/>
          <w:lang w:eastAsia="en-GB"/>
        </w:rPr>
        <w:t xml:space="preserve">the need </w:t>
      </w:r>
      <w:r w:rsidRPr="00232FDB">
        <w:rPr>
          <w:szCs w:val="24"/>
          <w:lang w:eastAsia="en-GB"/>
        </w:rPr>
        <w:t xml:space="preserve">to cover such investments should be careful assessed </w:t>
      </w:r>
      <w:r w:rsidR="004C78F7" w:rsidRPr="00232FDB">
        <w:rPr>
          <w:szCs w:val="24"/>
          <w:lang w:eastAsia="en-GB"/>
        </w:rPr>
        <w:t xml:space="preserve">and demonstrated </w:t>
      </w:r>
      <w:r w:rsidRPr="00232FDB">
        <w:rPr>
          <w:szCs w:val="24"/>
          <w:lang w:eastAsia="en-GB"/>
        </w:rPr>
        <w:t>in the co</w:t>
      </w:r>
      <w:r w:rsidR="004C78F7" w:rsidRPr="00232FDB">
        <w:rPr>
          <w:szCs w:val="24"/>
          <w:lang w:eastAsia="en-GB"/>
        </w:rPr>
        <w:t xml:space="preserve">ntext of the ex-ante assessment, in relation to the planned financial product and subsequently in the assessment of the application forms and business plan for the prospective investment of the final recipient. </w:t>
      </w:r>
    </w:p>
    <w:p w:rsidR="000A2EC2" w:rsidRPr="00232FDB" w:rsidRDefault="007D072E" w:rsidP="006F41DB">
      <w:pPr>
        <w:rPr>
          <w:rFonts w:eastAsia="Calibri"/>
          <w:szCs w:val="24"/>
        </w:rPr>
      </w:pPr>
      <w:r w:rsidRPr="00232FDB">
        <w:rPr>
          <w:szCs w:val="24"/>
          <w:lang w:eastAsia="en-GB"/>
        </w:rPr>
        <w:t>T</w:t>
      </w:r>
      <w:r w:rsidR="00123E6F" w:rsidRPr="00232FDB">
        <w:rPr>
          <w:szCs w:val="24"/>
          <w:lang w:eastAsia="en-GB"/>
        </w:rPr>
        <w:t xml:space="preserve">he rules for </w:t>
      </w:r>
      <w:r w:rsidRPr="00232FDB">
        <w:rPr>
          <w:szCs w:val="24"/>
          <w:lang w:eastAsia="en-GB"/>
        </w:rPr>
        <w:t xml:space="preserve">the </w:t>
      </w:r>
      <w:r w:rsidR="00123E6F" w:rsidRPr="00232FDB">
        <w:rPr>
          <w:szCs w:val="24"/>
          <w:lang w:eastAsia="en-GB"/>
        </w:rPr>
        <w:t xml:space="preserve">purchase of land, as </w:t>
      </w:r>
      <w:r w:rsidRPr="00232FDB">
        <w:rPr>
          <w:szCs w:val="24"/>
          <w:lang w:eastAsia="en-GB"/>
        </w:rPr>
        <w:t xml:space="preserve">set out </w:t>
      </w:r>
      <w:r w:rsidR="00123E6F" w:rsidRPr="00232FDB">
        <w:rPr>
          <w:szCs w:val="24"/>
          <w:lang w:eastAsia="en-GB"/>
        </w:rPr>
        <w:t xml:space="preserve">in Article 4 CDR, should not be confused with the possibility of providing contributions in kind in the form of </w:t>
      </w:r>
      <w:r w:rsidR="00123E6F" w:rsidRPr="00232FDB">
        <w:rPr>
          <w:rFonts w:eastAsia="Calibri"/>
          <w:szCs w:val="24"/>
        </w:rPr>
        <w:t>land or real estate in respect of investments with the objective of supporting rural development, urban development or urban regeneration, as follows from Article 37(10) CPR</w:t>
      </w:r>
      <w:r w:rsidR="00905BD5" w:rsidRPr="00232FDB">
        <w:rPr>
          <w:rFonts w:eastAsia="Calibri"/>
          <w:szCs w:val="24"/>
        </w:rPr>
        <w:t xml:space="preserve"> and explained in point 5.</w:t>
      </w:r>
      <w:r w:rsidR="008405D9" w:rsidRPr="00232FDB">
        <w:rPr>
          <w:rFonts w:eastAsia="Calibri"/>
          <w:szCs w:val="24"/>
        </w:rPr>
        <w:t>2</w:t>
      </w:r>
      <w:r w:rsidR="00905BD5" w:rsidRPr="00232FDB">
        <w:rPr>
          <w:rFonts w:eastAsia="Calibri"/>
          <w:szCs w:val="24"/>
        </w:rPr>
        <w:t xml:space="preserve"> above</w:t>
      </w:r>
      <w:r w:rsidR="00123E6F" w:rsidRPr="00232FDB">
        <w:rPr>
          <w:rFonts w:eastAsia="Calibri"/>
          <w:szCs w:val="24"/>
        </w:rPr>
        <w:t xml:space="preserve">. </w:t>
      </w:r>
    </w:p>
    <w:p w:rsidR="00123E6F" w:rsidRPr="00232FDB" w:rsidRDefault="00123E6F" w:rsidP="006F41DB">
      <w:pPr>
        <w:rPr>
          <w:szCs w:val="24"/>
          <w:lang w:eastAsia="en-GB"/>
        </w:rPr>
      </w:pPr>
      <w:r w:rsidRPr="00232FDB">
        <w:rPr>
          <w:rFonts w:eastAsia="Calibri"/>
          <w:szCs w:val="24"/>
        </w:rPr>
        <w:t xml:space="preserve">Whereas the first </w:t>
      </w:r>
      <w:r w:rsidR="006236CD" w:rsidRPr="00232FDB">
        <w:rPr>
          <w:rFonts w:eastAsia="Calibri"/>
          <w:szCs w:val="24"/>
        </w:rPr>
        <w:t xml:space="preserve">(subject to programme rules and national </w:t>
      </w:r>
      <w:r w:rsidR="006236CD" w:rsidRPr="00232FDB">
        <w:rPr>
          <w:szCs w:val="24"/>
          <w:lang w:eastAsia="en-GB"/>
        </w:rPr>
        <w:t>eligibility rules)</w:t>
      </w:r>
      <w:r w:rsidR="006236CD" w:rsidRPr="00232FDB">
        <w:rPr>
          <w:rFonts w:eastAsia="Calibri"/>
          <w:szCs w:val="24"/>
        </w:rPr>
        <w:t xml:space="preserve"> </w:t>
      </w:r>
      <w:r w:rsidRPr="00232FDB">
        <w:rPr>
          <w:rFonts w:eastAsia="Calibri"/>
          <w:szCs w:val="24"/>
        </w:rPr>
        <w:t>is applicable to any type of investment</w:t>
      </w:r>
      <w:r w:rsidR="006236CD" w:rsidRPr="00232FDB">
        <w:rPr>
          <w:rFonts w:eastAsia="Calibri"/>
          <w:szCs w:val="24"/>
        </w:rPr>
        <w:t xml:space="preserve"> and </w:t>
      </w:r>
      <w:r w:rsidR="006236CD" w:rsidRPr="00232FDB">
        <w:rPr>
          <w:rFonts w:eastAsia="Calibri"/>
          <w:szCs w:val="24"/>
          <w:u w:val="single"/>
        </w:rPr>
        <w:t xml:space="preserve">allows for the purchase of land </w:t>
      </w:r>
      <w:r w:rsidR="001C6589" w:rsidRPr="00232FDB">
        <w:rPr>
          <w:rFonts w:eastAsia="Calibri"/>
          <w:szCs w:val="24"/>
          <w:u w:val="single"/>
        </w:rPr>
        <w:t xml:space="preserve">by the final recipient </w:t>
      </w:r>
      <w:r w:rsidR="006236CD" w:rsidRPr="00232FDB">
        <w:rPr>
          <w:rFonts w:eastAsia="Calibri"/>
          <w:szCs w:val="24"/>
          <w:u w:val="single"/>
        </w:rPr>
        <w:t xml:space="preserve">with the </w:t>
      </w:r>
      <w:r w:rsidR="00974221" w:rsidRPr="00232FDB">
        <w:rPr>
          <w:rFonts w:eastAsia="Calibri"/>
          <w:szCs w:val="24"/>
          <w:u w:val="single"/>
        </w:rPr>
        <w:t xml:space="preserve">payments </w:t>
      </w:r>
      <w:r w:rsidR="00127B14" w:rsidRPr="00232FDB">
        <w:rPr>
          <w:rFonts w:eastAsia="Calibri"/>
          <w:szCs w:val="24"/>
          <w:u w:val="single"/>
        </w:rPr>
        <w:t xml:space="preserve">made </w:t>
      </w:r>
      <w:r w:rsidR="001C6589" w:rsidRPr="00232FDB">
        <w:rPr>
          <w:rFonts w:eastAsia="Calibri"/>
          <w:szCs w:val="24"/>
          <w:u w:val="single"/>
        </w:rPr>
        <w:t xml:space="preserve">by the financial instrument </w:t>
      </w:r>
      <w:r w:rsidR="00974221" w:rsidRPr="00232FDB">
        <w:rPr>
          <w:rFonts w:eastAsia="Calibri"/>
          <w:szCs w:val="24"/>
          <w:u w:val="single"/>
        </w:rPr>
        <w:t>to the final recipient</w:t>
      </w:r>
      <w:r w:rsidRPr="00232FDB">
        <w:rPr>
          <w:rFonts w:eastAsia="Calibri"/>
          <w:szCs w:val="24"/>
        </w:rPr>
        <w:t>, the second is limited to investments with the objective of supporting rural development, urban development or urban regeneration</w:t>
      </w:r>
      <w:r w:rsidR="006236CD" w:rsidRPr="00232FDB">
        <w:rPr>
          <w:rFonts w:eastAsia="Calibri"/>
          <w:szCs w:val="24"/>
        </w:rPr>
        <w:t xml:space="preserve"> and </w:t>
      </w:r>
      <w:r w:rsidR="006236CD" w:rsidRPr="00232FDB">
        <w:rPr>
          <w:rFonts w:eastAsia="Calibri"/>
          <w:szCs w:val="24"/>
          <w:u w:val="single"/>
        </w:rPr>
        <w:t>allows for the contribution in kind to be considered as a payment to the final recipients</w:t>
      </w:r>
      <w:r w:rsidR="001C6589" w:rsidRPr="00232FDB">
        <w:rPr>
          <w:rFonts w:eastAsia="Calibri"/>
          <w:szCs w:val="24"/>
          <w:u w:val="single"/>
        </w:rPr>
        <w:t xml:space="preserve"> by the financial instrument</w:t>
      </w:r>
      <w:r w:rsidR="007D1314" w:rsidRPr="00232FDB">
        <w:rPr>
          <w:rFonts w:eastAsia="Calibri"/>
          <w:szCs w:val="24"/>
          <w:u w:val="single"/>
        </w:rPr>
        <w:t>, as set out in Article 42(1)(a) CPR.</w:t>
      </w:r>
    </w:p>
    <w:p w:rsidR="00877139" w:rsidRPr="00232FDB" w:rsidRDefault="00877139" w:rsidP="006F41DB">
      <w:pPr>
        <w:pStyle w:val="Heading1"/>
        <w:spacing w:before="0"/>
      </w:pPr>
      <w:bookmarkStart w:id="20" w:name="_Toc445141407"/>
      <w:r w:rsidRPr="00232FDB">
        <w:t>VAT eligibility</w:t>
      </w:r>
      <w:bookmarkEnd w:id="20"/>
      <w:r w:rsidR="002E3BFF" w:rsidRPr="00232FDB">
        <w:t xml:space="preserve"> </w:t>
      </w:r>
    </w:p>
    <w:p w:rsidR="005A7B56" w:rsidRPr="00232FDB" w:rsidRDefault="00B74D54" w:rsidP="006F41DB">
      <w:pPr>
        <w:autoSpaceDE w:val="0"/>
        <w:autoSpaceDN w:val="0"/>
        <w:adjustRightInd w:val="0"/>
        <w:rPr>
          <w:lang w:eastAsia="zh-CN"/>
        </w:rPr>
      </w:pPr>
      <w:r w:rsidRPr="00232FDB">
        <w:t>T</w:t>
      </w:r>
      <w:r w:rsidR="00645779" w:rsidRPr="00232FDB">
        <w:t>he</w:t>
      </w:r>
      <w:r w:rsidR="006B5DBF" w:rsidRPr="00232FDB">
        <w:t xml:space="preserve"> </w:t>
      </w:r>
      <w:r w:rsidR="00974221" w:rsidRPr="00232FDB">
        <w:t xml:space="preserve">general rule </w:t>
      </w:r>
      <w:r w:rsidR="001C6589" w:rsidRPr="00232FDB">
        <w:t xml:space="preserve">for VAT eligibility </w:t>
      </w:r>
      <w:r w:rsidR="00974221" w:rsidRPr="00232FDB">
        <w:t xml:space="preserve">provided for in </w:t>
      </w:r>
      <w:r w:rsidRPr="00232FDB">
        <w:t xml:space="preserve">Article 69(3)(c) </w:t>
      </w:r>
      <w:r w:rsidR="001C6589" w:rsidRPr="00232FDB">
        <w:t xml:space="preserve">CPR </w:t>
      </w:r>
      <w:r w:rsidRPr="00232FDB">
        <w:t xml:space="preserve">and recalled in </w:t>
      </w:r>
      <w:r w:rsidR="00974221" w:rsidRPr="00232FDB">
        <w:t xml:space="preserve">Article 37(11) </w:t>
      </w:r>
      <w:r w:rsidR="006B5DBF" w:rsidRPr="00232FDB">
        <w:t xml:space="preserve">CPR is that </w:t>
      </w:r>
      <w:r w:rsidR="005A7B56" w:rsidRPr="00232FDB">
        <w:t>the VAT amount is eligible only if it is not recoverable under national VAT legislation</w:t>
      </w:r>
      <w:r w:rsidR="005A7B56" w:rsidRPr="00232FDB">
        <w:rPr>
          <w:lang w:eastAsia="zh-CN"/>
        </w:rPr>
        <w:t>.</w:t>
      </w:r>
    </w:p>
    <w:p w:rsidR="002E3BFF" w:rsidRPr="00232FDB" w:rsidRDefault="005A7B56" w:rsidP="006F41DB">
      <w:pPr>
        <w:rPr>
          <w:rFonts w:eastAsia="Calibri"/>
          <w:szCs w:val="24"/>
        </w:rPr>
      </w:pPr>
      <w:r w:rsidRPr="00232FDB">
        <w:rPr>
          <w:rFonts w:eastAsia="Calibri"/>
          <w:szCs w:val="24"/>
        </w:rPr>
        <w:lastRenderedPageBreak/>
        <w:t>However, i</w:t>
      </w:r>
      <w:r w:rsidR="002E3BFF" w:rsidRPr="00232FDB">
        <w:rPr>
          <w:rFonts w:eastAsia="Calibri"/>
          <w:szCs w:val="24"/>
        </w:rPr>
        <w:t xml:space="preserve">n order to take account of the repayable character of </w:t>
      </w:r>
      <w:r w:rsidR="001C6589" w:rsidRPr="00232FDB">
        <w:rPr>
          <w:rFonts w:eastAsia="Calibri"/>
          <w:szCs w:val="24"/>
        </w:rPr>
        <w:t xml:space="preserve">the </w:t>
      </w:r>
      <w:r w:rsidR="002E3BFF" w:rsidRPr="00232FDB">
        <w:rPr>
          <w:rFonts w:eastAsia="Calibri"/>
          <w:szCs w:val="24"/>
        </w:rPr>
        <w:t xml:space="preserve">support provided through </w:t>
      </w:r>
      <w:r w:rsidR="00974221" w:rsidRPr="00232FDB">
        <w:rPr>
          <w:rFonts w:eastAsia="Calibri"/>
          <w:szCs w:val="24"/>
        </w:rPr>
        <w:t>financial instruments and</w:t>
      </w:r>
      <w:r w:rsidR="002E3BFF" w:rsidRPr="00232FDB">
        <w:rPr>
          <w:rFonts w:eastAsia="Calibri"/>
          <w:szCs w:val="24"/>
        </w:rPr>
        <w:t xml:space="preserve"> to align it with market practices</w:t>
      </w:r>
      <w:r w:rsidR="00A95958">
        <w:rPr>
          <w:rFonts w:eastAsia="Calibri"/>
          <w:szCs w:val="24"/>
        </w:rPr>
        <w:t xml:space="preserve"> with a view </w:t>
      </w:r>
      <w:r w:rsidR="00C63D61">
        <w:rPr>
          <w:rFonts w:eastAsia="Calibri"/>
          <w:szCs w:val="24"/>
        </w:rPr>
        <w:t xml:space="preserve">to facilitate </w:t>
      </w:r>
      <w:r w:rsidR="00A95958">
        <w:rPr>
          <w:rFonts w:eastAsia="Calibri"/>
          <w:szCs w:val="24"/>
        </w:rPr>
        <w:t>the investments by final recipients</w:t>
      </w:r>
      <w:r w:rsidR="002E3BFF" w:rsidRPr="00232FDB">
        <w:rPr>
          <w:rFonts w:eastAsia="Calibri"/>
          <w:szCs w:val="24"/>
        </w:rPr>
        <w:t>, the ESI</w:t>
      </w:r>
      <w:r w:rsidR="007D072E" w:rsidRPr="00232FDB">
        <w:rPr>
          <w:rFonts w:eastAsia="Calibri"/>
          <w:szCs w:val="24"/>
        </w:rPr>
        <w:t xml:space="preserve"> Fund </w:t>
      </w:r>
      <w:r w:rsidR="002E3BFF" w:rsidRPr="00232FDB">
        <w:rPr>
          <w:rFonts w:eastAsia="Calibri"/>
          <w:szCs w:val="24"/>
        </w:rPr>
        <w:t xml:space="preserve">programme support provided through </w:t>
      </w:r>
      <w:r w:rsidR="00645779" w:rsidRPr="00232FDB">
        <w:rPr>
          <w:rFonts w:eastAsia="Calibri"/>
          <w:szCs w:val="24"/>
        </w:rPr>
        <w:t xml:space="preserve">financial instruments </w:t>
      </w:r>
      <w:r w:rsidR="002E3BFF" w:rsidRPr="00232FDB">
        <w:rPr>
          <w:rFonts w:eastAsia="Calibri"/>
          <w:szCs w:val="24"/>
        </w:rPr>
        <w:t>to final recipients may cover the totality of the investments made by final recipie</w:t>
      </w:r>
      <w:r w:rsidR="007D072E" w:rsidRPr="00232FDB">
        <w:rPr>
          <w:rFonts w:eastAsia="Calibri"/>
          <w:szCs w:val="24"/>
        </w:rPr>
        <w:t>nts, without distinction of VAT-</w:t>
      </w:r>
      <w:r w:rsidR="002E3BFF" w:rsidRPr="00232FDB">
        <w:rPr>
          <w:rFonts w:eastAsia="Calibri"/>
          <w:szCs w:val="24"/>
        </w:rPr>
        <w:t>related costs</w:t>
      </w:r>
      <w:r w:rsidR="004125F2" w:rsidRPr="00232FDB">
        <w:rPr>
          <w:rFonts w:eastAsia="Calibri"/>
          <w:szCs w:val="24"/>
        </w:rPr>
        <w:t>. This mean</w:t>
      </w:r>
      <w:r w:rsidR="009B546D" w:rsidRPr="00232FDB">
        <w:rPr>
          <w:rFonts w:eastAsia="Calibri"/>
          <w:szCs w:val="24"/>
        </w:rPr>
        <w:t>s</w:t>
      </w:r>
      <w:r w:rsidR="004125F2" w:rsidRPr="00232FDB">
        <w:rPr>
          <w:rFonts w:eastAsia="Calibri"/>
          <w:szCs w:val="24"/>
        </w:rPr>
        <w:t xml:space="preserve"> that </w:t>
      </w:r>
      <w:r w:rsidR="002E3BFF" w:rsidRPr="00232FDB">
        <w:rPr>
          <w:rFonts w:eastAsia="Calibri"/>
          <w:szCs w:val="24"/>
        </w:rPr>
        <w:t xml:space="preserve">the treatment of VAT at this level </w:t>
      </w:r>
      <w:r w:rsidR="009B546D" w:rsidRPr="00232FDB">
        <w:rPr>
          <w:rFonts w:eastAsia="Calibri"/>
          <w:szCs w:val="24"/>
        </w:rPr>
        <w:t xml:space="preserve">is </w:t>
      </w:r>
      <w:r w:rsidR="002E3BFF" w:rsidRPr="00232FDB">
        <w:rPr>
          <w:rFonts w:eastAsia="Calibri"/>
          <w:szCs w:val="24"/>
        </w:rPr>
        <w:t xml:space="preserve">not be considered for determining the eligibility of expenditure under the </w:t>
      </w:r>
      <w:r w:rsidR="00645779" w:rsidRPr="00232FDB">
        <w:rPr>
          <w:rFonts w:eastAsia="Calibri"/>
          <w:szCs w:val="24"/>
        </w:rPr>
        <w:t>financial instrument</w:t>
      </w:r>
      <w:r w:rsidR="001C6589" w:rsidRPr="00232FDB">
        <w:rPr>
          <w:rFonts w:eastAsia="Calibri"/>
          <w:szCs w:val="24"/>
        </w:rPr>
        <w:t xml:space="preserve"> (unless otherwise provided for in the national eligibility rules)</w:t>
      </w:r>
      <w:r w:rsidR="002E3BFF" w:rsidRPr="00232FDB">
        <w:rPr>
          <w:rFonts w:eastAsia="Calibri"/>
          <w:szCs w:val="24"/>
        </w:rPr>
        <w:t>.</w:t>
      </w:r>
      <w:r w:rsidR="00B65E63" w:rsidRPr="00232FDB">
        <w:rPr>
          <w:rFonts w:eastAsia="Calibri"/>
          <w:szCs w:val="24"/>
        </w:rPr>
        <w:t xml:space="preserve"> This </w:t>
      </w:r>
      <w:r w:rsidR="002B3CD0" w:rsidRPr="00232FDB">
        <w:rPr>
          <w:rFonts w:eastAsia="Calibri"/>
          <w:szCs w:val="24"/>
        </w:rPr>
        <w:t>applies</w:t>
      </w:r>
      <w:r w:rsidR="00B65E63" w:rsidRPr="00232FDB">
        <w:rPr>
          <w:rFonts w:eastAsia="Calibri"/>
          <w:szCs w:val="24"/>
        </w:rPr>
        <w:t xml:space="preserve"> </w:t>
      </w:r>
      <w:r w:rsidR="003F407A" w:rsidRPr="00232FDB">
        <w:rPr>
          <w:rFonts w:eastAsia="Calibri"/>
          <w:szCs w:val="24"/>
        </w:rPr>
        <w:t>regardless</w:t>
      </w:r>
      <w:r w:rsidR="00B65E63" w:rsidRPr="00232FDB">
        <w:rPr>
          <w:rFonts w:eastAsia="Calibri"/>
          <w:szCs w:val="24"/>
        </w:rPr>
        <w:t xml:space="preserve"> of </w:t>
      </w:r>
      <w:r w:rsidR="003F407A" w:rsidRPr="00232FDB">
        <w:rPr>
          <w:rFonts w:eastAsia="Calibri"/>
          <w:szCs w:val="24"/>
        </w:rPr>
        <w:t>the</w:t>
      </w:r>
      <w:r w:rsidR="00B65E63" w:rsidRPr="00232FDB">
        <w:rPr>
          <w:rFonts w:eastAsia="Calibri"/>
          <w:szCs w:val="24"/>
        </w:rPr>
        <w:t xml:space="preserve"> final recipients being a legal or natural person and </w:t>
      </w:r>
      <w:r w:rsidR="003F407A" w:rsidRPr="00232FDB">
        <w:rPr>
          <w:rFonts w:eastAsia="Calibri"/>
          <w:szCs w:val="24"/>
        </w:rPr>
        <w:t>regardless</w:t>
      </w:r>
      <w:r w:rsidR="00B65E63" w:rsidRPr="00232FDB">
        <w:rPr>
          <w:rFonts w:eastAsia="Calibri"/>
          <w:szCs w:val="24"/>
        </w:rPr>
        <w:t xml:space="preserve"> of </w:t>
      </w:r>
      <w:r w:rsidR="003F407A" w:rsidRPr="00232FDB">
        <w:rPr>
          <w:rFonts w:eastAsia="Calibri"/>
          <w:szCs w:val="24"/>
        </w:rPr>
        <w:t xml:space="preserve">its VAT status </w:t>
      </w:r>
      <w:r w:rsidR="00D627E0" w:rsidRPr="00232FDB">
        <w:rPr>
          <w:rFonts w:eastAsia="Calibri"/>
          <w:szCs w:val="24"/>
        </w:rPr>
        <w:t xml:space="preserve">under </w:t>
      </w:r>
      <w:r w:rsidR="00645779" w:rsidRPr="00232FDB">
        <w:rPr>
          <w:rFonts w:eastAsia="Calibri"/>
          <w:bCs/>
          <w:szCs w:val="24"/>
        </w:rPr>
        <w:t>national VAT legislation</w:t>
      </w:r>
      <w:r w:rsidR="003F407A" w:rsidRPr="00232FDB">
        <w:rPr>
          <w:rFonts w:eastAsia="Calibri"/>
          <w:szCs w:val="24"/>
        </w:rPr>
        <w:t>.</w:t>
      </w:r>
      <w:r w:rsidR="00F95710" w:rsidRPr="00232FDB">
        <w:rPr>
          <w:rFonts w:eastAsia="Calibri"/>
          <w:szCs w:val="24"/>
        </w:rPr>
        <w:t xml:space="preserve">       </w:t>
      </w:r>
    </w:p>
    <w:p w:rsidR="00877139" w:rsidRDefault="00645779" w:rsidP="006F41DB">
      <w:pPr>
        <w:rPr>
          <w:rFonts w:eastAsia="Calibri"/>
          <w:bCs/>
          <w:szCs w:val="24"/>
        </w:rPr>
      </w:pPr>
      <w:r w:rsidRPr="00232FDB">
        <w:rPr>
          <w:rFonts w:eastAsia="Calibri"/>
          <w:bCs/>
          <w:szCs w:val="24"/>
        </w:rPr>
        <w:t>W</w:t>
      </w:r>
      <w:r w:rsidR="002E3BFF" w:rsidRPr="00232FDB">
        <w:rPr>
          <w:rFonts w:eastAsia="Calibri"/>
          <w:bCs/>
          <w:szCs w:val="24"/>
        </w:rPr>
        <w:t>he</w:t>
      </w:r>
      <w:r w:rsidRPr="00232FDB">
        <w:rPr>
          <w:rFonts w:eastAsia="Calibri"/>
          <w:bCs/>
          <w:szCs w:val="24"/>
        </w:rPr>
        <w:t xml:space="preserve">re financial instruments </w:t>
      </w:r>
      <w:r w:rsidR="002E3BFF" w:rsidRPr="00232FDB">
        <w:rPr>
          <w:rFonts w:eastAsia="Calibri"/>
          <w:bCs/>
          <w:szCs w:val="24"/>
        </w:rPr>
        <w:t>are combined with</w:t>
      </w:r>
      <w:r w:rsidR="009D27F3" w:rsidRPr="00232FDB">
        <w:rPr>
          <w:rFonts w:eastAsia="Calibri"/>
          <w:bCs/>
          <w:szCs w:val="24"/>
        </w:rPr>
        <w:t xml:space="preserve"> </w:t>
      </w:r>
      <w:r w:rsidR="00E27785" w:rsidRPr="00232FDB">
        <w:rPr>
          <w:rFonts w:eastAsia="Calibri"/>
          <w:bCs/>
          <w:szCs w:val="24"/>
        </w:rPr>
        <w:t xml:space="preserve">grants </w:t>
      </w:r>
      <w:r w:rsidR="00BF11E6" w:rsidRPr="00232FDB">
        <w:rPr>
          <w:rFonts w:eastAsia="Calibri"/>
          <w:bCs/>
          <w:szCs w:val="24"/>
        </w:rPr>
        <w:t xml:space="preserve">in one or more than one operation (as </w:t>
      </w:r>
      <w:r w:rsidR="00E92C58" w:rsidRPr="00232FDB">
        <w:rPr>
          <w:rFonts w:eastAsia="Calibri"/>
          <w:bCs/>
          <w:szCs w:val="24"/>
        </w:rPr>
        <w:t>provided for in</w:t>
      </w:r>
      <w:r w:rsidRPr="00232FDB">
        <w:rPr>
          <w:rFonts w:eastAsia="Calibri"/>
          <w:bCs/>
          <w:szCs w:val="24"/>
        </w:rPr>
        <w:t xml:space="preserve"> A</w:t>
      </w:r>
      <w:r w:rsidR="00BF11E6" w:rsidRPr="00232FDB">
        <w:rPr>
          <w:rFonts w:eastAsia="Calibri"/>
          <w:bCs/>
          <w:szCs w:val="24"/>
        </w:rPr>
        <w:t>rticle 37(7) and (8)</w:t>
      </w:r>
      <w:r w:rsidRPr="00232FDB">
        <w:rPr>
          <w:rFonts w:eastAsia="Calibri"/>
          <w:bCs/>
          <w:szCs w:val="24"/>
        </w:rPr>
        <w:t xml:space="preserve"> CPR</w:t>
      </w:r>
      <w:r w:rsidR="00D627E0" w:rsidRPr="00232FDB">
        <w:rPr>
          <w:rFonts w:eastAsia="Calibri"/>
          <w:bCs/>
          <w:szCs w:val="24"/>
        </w:rPr>
        <w:t>)</w:t>
      </w:r>
      <w:r w:rsidR="00BF11E6" w:rsidRPr="00232FDB">
        <w:rPr>
          <w:rFonts w:eastAsia="Calibri"/>
          <w:bCs/>
          <w:szCs w:val="24"/>
        </w:rPr>
        <w:t>, t</w:t>
      </w:r>
      <w:r w:rsidR="002E3BFF" w:rsidRPr="00232FDB">
        <w:rPr>
          <w:rFonts w:eastAsia="Calibri"/>
          <w:bCs/>
          <w:szCs w:val="24"/>
        </w:rPr>
        <w:t xml:space="preserve">he </w:t>
      </w:r>
      <w:r w:rsidR="00877139" w:rsidRPr="00232FDB">
        <w:rPr>
          <w:rFonts w:eastAsia="Calibri"/>
          <w:bCs/>
          <w:szCs w:val="24"/>
        </w:rPr>
        <w:t xml:space="preserve">rule </w:t>
      </w:r>
      <w:r w:rsidR="002E3BFF" w:rsidRPr="00232FDB">
        <w:rPr>
          <w:rFonts w:eastAsia="Calibri"/>
          <w:bCs/>
          <w:szCs w:val="24"/>
        </w:rPr>
        <w:t>for VAT eligibility</w:t>
      </w:r>
      <w:r w:rsidR="00D627E0" w:rsidRPr="00232FDB">
        <w:rPr>
          <w:rFonts w:eastAsia="Calibri"/>
          <w:bCs/>
          <w:szCs w:val="24"/>
        </w:rPr>
        <w:t xml:space="preserve">, for the grant part, </w:t>
      </w:r>
      <w:r w:rsidR="002E3BFF" w:rsidRPr="00232FDB">
        <w:rPr>
          <w:rFonts w:eastAsia="Calibri"/>
          <w:bCs/>
          <w:szCs w:val="24"/>
        </w:rPr>
        <w:t xml:space="preserve">is that </w:t>
      </w:r>
      <w:r w:rsidR="00877139" w:rsidRPr="00232FDB">
        <w:rPr>
          <w:rFonts w:eastAsia="Calibri"/>
          <w:bCs/>
          <w:szCs w:val="24"/>
        </w:rPr>
        <w:t xml:space="preserve">VAT </w:t>
      </w:r>
      <w:r w:rsidR="009B546D" w:rsidRPr="00232FDB">
        <w:rPr>
          <w:rFonts w:eastAsia="Calibri"/>
          <w:bCs/>
          <w:szCs w:val="24"/>
        </w:rPr>
        <w:t xml:space="preserve">is </w:t>
      </w:r>
      <w:r w:rsidR="00877139" w:rsidRPr="00232FDB">
        <w:rPr>
          <w:rFonts w:eastAsia="Calibri"/>
          <w:bCs/>
          <w:szCs w:val="24"/>
        </w:rPr>
        <w:t>not</w:t>
      </w:r>
      <w:r w:rsidR="009B546D" w:rsidRPr="00232FDB">
        <w:rPr>
          <w:rFonts w:eastAsia="Calibri"/>
          <w:bCs/>
          <w:szCs w:val="24"/>
        </w:rPr>
        <w:t xml:space="preserve"> </w:t>
      </w:r>
      <w:r w:rsidR="00877139" w:rsidRPr="00232FDB">
        <w:rPr>
          <w:rFonts w:eastAsia="Calibri"/>
          <w:bCs/>
          <w:szCs w:val="24"/>
        </w:rPr>
        <w:t xml:space="preserve">eligible expenditure of an operation, except in the case </w:t>
      </w:r>
      <w:r w:rsidRPr="00232FDB">
        <w:rPr>
          <w:rFonts w:eastAsia="Calibri"/>
          <w:bCs/>
          <w:szCs w:val="24"/>
        </w:rPr>
        <w:t>of non-recoverable</w:t>
      </w:r>
      <w:r w:rsidR="00877139" w:rsidRPr="00232FDB">
        <w:rPr>
          <w:rFonts w:eastAsia="Calibri"/>
          <w:bCs/>
          <w:szCs w:val="24"/>
        </w:rPr>
        <w:t xml:space="preserve"> VAT under national VAT legislation</w:t>
      </w:r>
      <w:r w:rsidRPr="00232FDB">
        <w:rPr>
          <w:rFonts w:eastAsia="Calibri"/>
          <w:bCs/>
          <w:szCs w:val="24"/>
        </w:rPr>
        <w:t>, as follows from Article 69(3) CPR.</w:t>
      </w:r>
      <w:r w:rsidR="00877139" w:rsidRPr="00232FDB">
        <w:rPr>
          <w:rFonts w:eastAsia="Calibri"/>
          <w:bCs/>
          <w:szCs w:val="24"/>
        </w:rPr>
        <w:t xml:space="preserve"> </w:t>
      </w:r>
      <w:r w:rsidR="00B51508" w:rsidRPr="00232FDB">
        <w:rPr>
          <w:rFonts w:eastAsia="Calibri"/>
          <w:bCs/>
          <w:szCs w:val="24"/>
        </w:rPr>
        <w:t>Please refer to the example below.</w:t>
      </w:r>
    </w:p>
    <w:p w:rsidR="005A7B56" w:rsidRPr="00232FDB" w:rsidRDefault="005A7B56" w:rsidP="006F41DB">
      <w:pPr>
        <w:pBdr>
          <w:top w:val="single" w:sz="4" w:space="1" w:color="auto"/>
          <w:left w:val="single" w:sz="4" w:space="4" w:color="auto"/>
          <w:bottom w:val="single" w:sz="4" w:space="1" w:color="auto"/>
          <w:right w:val="single" w:sz="4" w:space="4" w:color="auto"/>
        </w:pBdr>
        <w:rPr>
          <w:b/>
          <w:szCs w:val="24"/>
          <w:lang w:eastAsia="en-GB"/>
        </w:rPr>
      </w:pPr>
      <w:r w:rsidRPr="00232FDB">
        <w:rPr>
          <w:b/>
          <w:szCs w:val="24"/>
          <w:lang w:eastAsia="en-GB"/>
        </w:rPr>
        <w:t>Schematic representation of VA</w:t>
      </w:r>
      <w:r w:rsidR="00974221" w:rsidRPr="00232FDB">
        <w:rPr>
          <w:b/>
          <w:szCs w:val="24"/>
          <w:lang w:eastAsia="en-GB"/>
        </w:rPr>
        <w:t>T</w:t>
      </w:r>
      <w:r w:rsidRPr="00232FDB">
        <w:rPr>
          <w:b/>
          <w:szCs w:val="24"/>
          <w:lang w:eastAsia="en-GB"/>
        </w:rPr>
        <w:t xml:space="preserve"> eligibility of a </w:t>
      </w:r>
      <w:r w:rsidR="00CE69E1" w:rsidRPr="00232FDB">
        <w:rPr>
          <w:rFonts w:eastAsia="Calibri"/>
          <w:b/>
        </w:rPr>
        <w:t>financial instrument</w:t>
      </w:r>
      <w:r w:rsidRPr="00232FDB">
        <w:rPr>
          <w:b/>
          <w:szCs w:val="24"/>
          <w:lang w:eastAsia="en-GB"/>
        </w:rPr>
        <w:t xml:space="preserve"> operation (which includes combination with grants in one operation as in Article 37(7) CPR)</w:t>
      </w:r>
    </w:p>
    <w:p w:rsidR="005A7B56" w:rsidRPr="00232FDB" w:rsidRDefault="005A7B56" w:rsidP="00476B1B">
      <w:pPr>
        <w:pBdr>
          <w:top w:val="single" w:sz="4" w:space="1" w:color="auto"/>
          <w:left w:val="single" w:sz="4" w:space="4" w:color="auto"/>
          <w:bottom w:val="single" w:sz="4" w:space="1" w:color="auto"/>
          <w:right w:val="single" w:sz="4" w:space="4" w:color="auto"/>
        </w:pBdr>
        <w:jc w:val="center"/>
        <w:rPr>
          <w:szCs w:val="24"/>
          <w:lang w:eastAsia="en-GB"/>
        </w:rPr>
      </w:pPr>
      <w:r w:rsidRPr="00232FDB">
        <w:rPr>
          <w:noProof/>
          <w:szCs w:val="24"/>
          <w:lang w:eastAsia="en-GB"/>
        </w:rPr>
        <w:drawing>
          <wp:inline distT="0" distB="0" distL="0" distR="0" wp14:anchorId="19952491" wp14:editId="09A8865A">
            <wp:extent cx="4724400" cy="3018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8241" cy="3021202"/>
                    </a:xfrm>
                    <a:prstGeom prst="rect">
                      <a:avLst/>
                    </a:prstGeom>
                    <a:noFill/>
                  </pic:spPr>
                </pic:pic>
              </a:graphicData>
            </a:graphic>
          </wp:inline>
        </w:drawing>
      </w:r>
    </w:p>
    <w:p w:rsidR="004B1B31" w:rsidRDefault="00E92C58" w:rsidP="00C63D61">
      <w:pPr>
        <w:autoSpaceDE w:val="0"/>
        <w:autoSpaceDN w:val="0"/>
        <w:adjustRightInd w:val="0"/>
        <w:spacing w:after="0"/>
        <w:rPr>
          <w:rFonts w:eastAsia="Calibri"/>
          <w:bCs/>
          <w:szCs w:val="24"/>
        </w:rPr>
      </w:pPr>
      <w:r w:rsidRPr="00232FDB">
        <w:rPr>
          <w:rFonts w:eastAsia="Calibri"/>
          <w:bCs/>
          <w:szCs w:val="24"/>
        </w:rPr>
        <w:t xml:space="preserve">In addition, </w:t>
      </w:r>
      <w:r w:rsidR="007D072E" w:rsidRPr="00232FDB">
        <w:rPr>
          <w:rFonts w:eastAsia="Calibri"/>
          <w:bCs/>
          <w:szCs w:val="24"/>
        </w:rPr>
        <w:t xml:space="preserve">for the </w:t>
      </w:r>
      <w:r w:rsidRPr="00232FDB">
        <w:rPr>
          <w:rFonts w:eastAsia="Calibri"/>
          <w:bCs/>
          <w:szCs w:val="24"/>
        </w:rPr>
        <w:t xml:space="preserve">combination of financial instrument and grant in two operations, the allocation of VAT for each of the two operations should follow the base amount </w:t>
      </w:r>
      <w:r w:rsidR="005C2E27">
        <w:rPr>
          <w:rFonts w:eastAsia="Calibri"/>
          <w:bCs/>
          <w:szCs w:val="24"/>
        </w:rPr>
        <w:t xml:space="preserve">of the expenditure </w:t>
      </w:r>
      <w:r w:rsidRPr="00232FDB">
        <w:rPr>
          <w:rFonts w:eastAsia="Calibri"/>
          <w:bCs/>
          <w:szCs w:val="24"/>
        </w:rPr>
        <w:t>allocated to each of operation</w:t>
      </w:r>
      <w:r w:rsidR="00B154C7" w:rsidRPr="00232FDB">
        <w:rPr>
          <w:rFonts w:eastAsia="Calibri"/>
          <w:bCs/>
          <w:szCs w:val="24"/>
        </w:rPr>
        <w:t xml:space="preserve"> and the respective VAT rules</w:t>
      </w:r>
      <w:r w:rsidR="0091717E">
        <w:rPr>
          <w:rFonts w:eastAsia="Calibri"/>
          <w:bCs/>
          <w:szCs w:val="24"/>
        </w:rPr>
        <w:t xml:space="preserve"> (including its rate)</w:t>
      </w:r>
      <w:r w:rsidRPr="00232FDB">
        <w:rPr>
          <w:rFonts w:eastAsia="Calibri"/>
          <w:bCs/>
          <w:szCs w:val="24"/>
        </w:rPr>
        <w:t xml:space="preserve">. </w:t>
      </w:r>
    </w:p>
    <w:p w:rsidR="004B1B31" w:rsidRDefault="004B1B31" w:rsidP="00C63D61">
      <w:pPr>
        <w:autoSpaceDE w:val="0"/>
        <w:autoSpaceDN w:val="0"/>
        <w:adjustRightInd w:val="0"/>
        <w:spacing w:after="0"/>
        <w:rPr>
          <w:rFonts w:eastAsia="Calibri"/>
          <w:bCs/>
          <w:szCs w:val="24"/>
        </w:rPr>
      </w:pPr>
    </w:p>
    <w:p w:rsidR="00D20510" w:rsidRDefault="004B1B31" w:rsidP="005C2E27">
      <w:pPr>
        <w:autoSpaceDE w:val="0"/>
        <w:autoSpaceDN w:val="0"/>
        <w:adjustRightInd w:val="0"/>
        <w:spacing w:after="0"/>
        <w:rPr>
          <w:szCs w:val="24"/>
          <w:lang w:eastAsia="en-GB"/>
        </w:rPr>
      </w:pPr>
      <w:r>
        <w:rPr>
          <w:rFonts w:eastAsia="Calibri"/>
          <w:bCs/>
          <w:szCs w:val="24"/>
        </w:rPr>
        <w:t>As explained in the Guidance Note on combination of support from a financial instrument with other forms of support</w:t>
      </w:r>
      <w:r>
        <w:rPr>
          <w:rStyle w:val="FootnoteReference"/>
          <w:rFonts w:eastAsia="Calibri"/>
          <w:bCs/>
          <w:szCs w:val="24"/>
        </w:rPr>
        <w:footnoteReference w:id="8"/>
      </w:r>
      <w:r>
        <w:rPr>
          <w:rFonts w:eastAsia="Calibri"/>
          <w:bCs/>
          <w:szCs w:val="24"/>
        </w:rPr>
        <w:t xml:space="preserve">, </w:t>
      </w:r>
      <w:r w:rsidR="005C2E27">
        <w:rPr>
          <w:rFonts w:eastAsia="Calibri"/>
          <w:bCs/>
          <w:szCs w:val="24"/>
        </w:rPr>
        <w:t>an e</w:t>
      </w:r>
      <w:r w:rsidR="005C2E27">
        <w:rPr>
          <w:szCs w:val="24"/>
          <w:lang w:eastAsia="en-GB"/>
        </w:rPr>
        <w:t xml:space="preserve">xpenditure item means the amount declared as eligible for Union funding under a budget category. Usually </w:t>
      </w:r>
      <w:r w:rsidR="00C63D61">
        <w:rPr>
          <w:szCs w:val="24"/>
          <w:lang w:eastAsia="en-GB"/>
        </w:rPr>
        <w:t xml:space="preserve">where </w:t>
      </w:r>
      <w:r w:rsidR="0011455A">
        <w:rPr>
          <w:szCs w:val="24"/>
          <w:lang w:eastAsia="en-GB"/>
        </w:rPr>
        <w:t xml:space="preserve">the </w:t>
      </w:r>
      <w:r w:rsidR="00C63D61">
        <w:rPr>
          <w:szCs w:val="24"/>
          <w:lang w:eastAsia="en-GB"/>
        </w:rPr>
        <w:t xml:space="preserve">combination of a grant and a </w:t>
      </w:r>
      <w:r>
        <w:rPr>
          <w:szCs w:val="24"/>
          <w:lang w:eastAsia="en-GB"/>
        </w:rPr>
        <w:t xml:space="preserve">financial instrument </w:t>
      </w:r>
      <w:r w:rsidR="00C63D61">
        <w:rPr>
          <w:szCs w:val="24"/>
          <w:lang w:eastAsia="en-GB"/>
        </w:rPr>
        <w:t xml:space="preserve">covers the same expenditure item there will still be a possibility to distinguish separate sub-items and </w:t>
      </w:r>
      <w:r w:rsidR="002D6D7D">
        <w:rPr>
          <w:szCs w:val="24"/>
          <w:lang w:eastAsia="en-GB"/>
        </w:rPr>
        <w:t xml:space="preserve">the Commission recommends </w:t>
      </w:r>
      <w:r w:rsidR="00717280">
        <w:rPr>
          <w:szCs w:val="24"/>
          <w:lang w:eastAsia="en-GB"/>
        </w:rPr>
        <w:t>assigning</w:t>
      </w:r>
      <w:r w:rsidR="00C63D61">
        <w:rPr>
          <w:szCs w:val="24"/>
          <w:lang w:eastAsia="en-GB"/>
        </w:rPr>
        <w:t xml:space="preserve"> each of them either to the grant operation or to the financial instrument operation.</w:t>
      </w:r>
      <w:r>
        <w:rPr>
          <w:szCs w:val="24"/>
          <w:lang w:eastAsia="en-GB"/>
        </w:rPr>
        <w:t xml:space="preserve"> </w:t>
      </w:r>
      <w:r w:rsidR="00C63D61">
        <w:rPr>
          <w:szCs w:val="24"/>
          <w:lang w:eastAsia="en-GB"/>
        </w:rPr>
        <w:t xml:space="preserve"> Where support from ESIF programme financi</w:t>
      </w:r>
      <w:r w:rsidR="00D20510">
        <w:rPr>
          <w:szCs w:val="24"/>
          <w:lang w:eastAsia="en-GB"/>
        </w:rPr>
        <w:t xml:space="preserve">al instrument and a grant cover </w:t>
      </w:r>
      <w:r w:rsidR="00C63D61">
        <w:rPr>
          <w:szCs w:val="24"/>
          <w:lang w:eastAsia="en-GB"/>
        </w:rPr>
        <w:t xml:space="preserve">the same expenditure item not dividable in sub-items the support from a financial instrument and grant should be established proportionally (in </w:t>
      </w:r>
      <w:r>
        <w:rPr>
          <w:szCs w:val="24"/>
          <w:lang w:eastAsia="en-GB"/>
        </w:rPr>
        <w:t xml:space="preserve">percentage). </w:t>
      </w:r>
      <w:r w:rsidR="00717280">
        <w:rPr>
          <w:szCs w:val="24"/>
          <w:lang w:eastAsia="en-GB"/>
        </w:rPr>
        <w:t>In both cases, the allocation of VAT to the 2 operations should follow the agreed allocation/split of expenditure.</w:t>
      </w:r>
    </w:p>
    <w:p w:rsidR="00D20510" w:rsidRDefault="00D20510" w:rsidP="005C2E27">
      <w:pPr>
        <w:autoSpaceDE w:val="0"/>
        <w:autoSpaceDN w:val="0"/>
        <w:adjustRightInd w:val="0"/>
        <w:spacing w:after="0"/>
        <w:rPr>
          <w:szCs w:val="24"/>
          <w:lang w:eastAsia="en-GB"/>
        </w:rPr>
      </w:pPr>
    </w:p>
    <w:p w:rsidR="004B1B31" w:rsidRPr="00717280" w:rsidRDefault="00D20510" w:rsidP="00717280">
      <w:pPr>
        <w:rPr>
          <w:rFonts w:eastAsia="Calibri"/>
          <w:bCs/>
          <w:szCs w:val="24"/>
        </w:rPr>
      </w:pPr>
      <w:r w:rsidRPr="00717280">
        <w:rPr>
          <w:rFonts w:eastAsia="Calibri"/>
          <w:bCs/>
          <w:szCs w:val="24"/>
        </w:rPr>
        <w:t xml:space="preserve">It is the responsibility of the managing authority to put in place an effective management and control system functioning well so that the expenditure declared to the Commission is legal and regular. In this respect, the managing authority can decide on the necessary allocation of the expenditure item between financial instruments and grants as long as the applicable rules for each form of support are respected and an adequate audit trail is kept.   </w:t>
      </w:r>
      <w:r w:rsidR="00E92C58" w:rsidRPr="00232FDB">
        <w:rPr>
          <w:rFonts w:eastAsia="Calibri"/>
          <w:bCs/>
          <w:szCs w:val="24"/>
        </w:rPr>
        <w:t>Please refer to</w:t>
      </w:r>
      <w:r w:rsidR="00465C4D" w:rsidRPr="00232FDB">
        <w:rPr>
          <w:rFonts w:eastAsia="Calibri"/>
          <w:bCs/>
          <w:szCs w:val="24"/>
        </w:rPr>
        <w:t xml:space="preserve"> the</w:t>
      </w:r>
      <w:r w:rsidR="00E92C58" w:rsidRPr="00232FDB">
        <w:rPr>
          <w:rFonts w:eastAsia="Calibri"/>
          <w:bCs/>
          <w:szCs w:val="24"/>
        </w:rPr>
        <w:t xml:space="preserve"> example below.</w:t>
      </w:r>
    </w:p>
    <w:p w:rsidR="005A7B56" w:rsidRPr="004B1B31" w:rsidRDefault="00E92C58" w:rsidP="004B1B31">
      <w:pPr>
        <w:autoSpaceDE w:val="0"/>
        <w:autoSpaceDN w:val="0"/>
        <w:adjustRightInd w:val="0"/>
        <w:spacing w:after="0"/>
        <w:rPr>
          <w:szCs w:val="24"/>
          <w:lang w:eastAsia="en-GB"/>
        </w:rPr>
      </w:pPr>
      <w:r w:rsidRPr="00232FDB">
        <w:rPr>
          <w:rFonts w:eastAsia="Calibri"/>
          <w:bCs/>
          <w:szCs w:val="24"/>
        </w:rPr>
        <w:t xml:space="preserve"> </w:t>
      </w:r>
    </w:p>
    <w:p w:rsidR="005A7B56" w:rsidRPr="00232FDB" w:rsidRDefault="005A7B56" w:rsidP="006F41DB">
      <w:pPr>
        <w:pBdr>
          <w:top w:val="single" w:sz="4" w:space="1" w:color="auto"/>
          <w:left w:val="single" w:sz="4" w:space="4" w:color="auto"/>
          <w:bottom w:val="single" w:sz="4" w:space="1" w:color="auto"/>
          <w:right w:val="single" w:sz="4" w:space="4" w:color="auto"/>
        </w:pBdr>
        <w:rPr>
          <w:b/>
          <w:szCs w:val="24"/>
          <w:lang w:eastAsia="en-GB"/>
        </w:rPr>
      </w:pPr>
      <w:r w:rsidRPr="00232FDB">
        <w:rPr>
          <w:rFonts w:eastAsia="Calibri"/>
          <w:b/>
          <w:bCs/>
          <w:szCs w:val="24"/>
        </w:rPr>
        <w:t xml:space="preserve">Example of VAT eligibility </w:t>
      </w:r>
      <w:r w:rsidR="00645779" w:rsidRPr="00232FDB">
        <w:rPr>
          <w:rFonts w:eastAsia="Calibri"/>
          <w:b/>
          <w:bCs/>
          <w:szCs w:val="24"/>
        </w:rPr>
        <w:t xml:space="preserve">at the level of the </w:t>
      </w:r>
      <w:r w:rsidRPr="00232FDB">
        <w:rPr>
          <w:rFonts w:eastAsia="Calibri"/>
          <w:b/>
          <w:bCs/>
          <w:szCs w:val="24"/>
        </w:rPr>
        <w:t xml:space="preserve">final </w:t>
      </w:r>
      <w:r w:rsidR="00645779" w:rsidRPr="00232FDB">
        <w:rPr>
          <w:rFonts w:eastAsia="Calibri"/>
          <w:b/>
          <w:bCs/>
          <w:szCs w:val="24"/>
        </w:rPr>
        <w:t>recipient</w:t>
      </w:r>
      <w:r w:rsidR="00D425A1" w:rsidRPr="00232FDB">
        <w:rPr>
          <w:rFonts w:eastAsia="Calibri"/>
          <w:b/>
          <w:bCs/>
          <w:szCs w:val="24"/>
        </w:rPr>
        <w:t xml:space="preserve"> </w:t>
      </w:r>
      <w:r w:rsidR="00D425A1" w:rsidRPr="00232FDB">
        <w:rPr>
          <w:b/>
          <w:szCs w:val="24"/>
          <w:lang w:eastAsia="en-GB"/>
        </w:rPr>
        <w:t xml:space="preserve">(which includes combination with </w:t>
      </w:r>
      <w:r w:rsidR="00442E83" w:rsidRPr="00232FDB">
        <w:rPr>
          <w:b/>
          <w:szCs w:val="24"/>
          <w:lang w:eastAsia="en-GB"/>
        </w:rPr>
        <w:t xml:space="preserve">a </w:t>
      </w:r>
      <w:r w:rsidR="00D425A1" w:rsidRPr="00232FDB">
        <w:rPr>
          <w:b/>
          <w:szCs w:val="24"/>
          <w:lang w:eastAsia="en-GB"/>
        </w:rPr>
        <w:t>grant</w:t>
      </w:r>
      <w:r w:rsidR="00442E83" w:rsidRPr="00232FDB">
        <w:rPr>
          <w:b/>
          <w:szCs w:val="24"/>
          <w:lang w:eastAsia="en-GB"/>
        </w:rPr>
        <w:t xml:space="preserve"> </w:t>
      </w:r>
      <w:r w:rsidR="00D425A1" w:rsidRPr="00232FDB">
        <w:rPr>
          <w:b/>
          <w:szCs w:val="24"/>
          <w:lang w:eastAsia="en-GB"/>
        </w:rPr>
        <w:t>in two distinct operation</w:t>
      </w:r>
      <w:r w:rsidR="00FF6BC7" w:rsidRPr="00232FDB">
        <w:rPr>
          <w:b/>
          <w:szCs w:val="24"/>
          <w:lang w:eastAsia="en-GB"/>
        </w:rPr>
        <w:t>s</w:t>
      </w:r>
      <w:r w:rsidR="00D425A1" w:rsidRPr="00232FDB">
        <w:rPr>
          <w:b/>
          <w:szCs w:val="24"/>
          <w:lang w:eastAsia="en-GB"/>
        </w:rPr>
        <w:t xml:space="preserve"> as in Article 37(8) CPR):</w:t>
      </w:r>
    </w:p>
    <w:p w:rsidR="00D627E0" w:rsidRPr="00232FDB" w:rsidRDefault="00645779"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A</w:t>
      </w:r>
      <w:r w:rsidR="007D072E" w:rsidRPr="00232FDB">
        <w:rPr>
          <w:rFonts w:eastAsia="Calibri"/>
          <w:bCs/>
          <w:szCs w:val="24"/>
        </w:rPr>
        <w:t>n SME</w:t>
      </w:r>
      <w:r w:rsidRPr="00232FDB">
        <w:rPr>
          <w:rFonts w:eastAsia="Calibri"/>
          <w:bCs/>
          <w:szCs w:val="24"/>
        </w:rPr>
        <w:t xml:space="preserve"> plans to i</w:t>
      </w:r>
      <w:r w:rsidR="00D627E0" w:rsidRPr="00232FDB">
        <w:rPr>
          <w:rFonts w:eastAsia="Calibri"/>
          <w:bCs/>
          <w:szCs w:val="24"/>
        </w:rPr>
        <w:t>nvest</w:t>
      </w:r>
      <w:r w:rsidR="00FF6BC7" w:rsidRPr="00232FDB">
        <w:rPr>
          <w:rFonts w:eastAsia="Calibri"/>
          <w:bCs/>
          <w:szCs w:val="24"/>
        </w:rPr>
        <w:t xml:space="preserve"> </w:t>
      </w:r>
      <w:r w:rsidR="00D425A1" w:rsidRPr="00232FDB">
        <w:rPr>
          <w:rFonts w:eastAsia="Calibri"/>
          <w:bCs/>
          <w:szCs w:val="24"/>
        </w:rPr>
        <w:t>in the purchase of a fixed asset</w:t>
      </w:r>
      <w:r w:rsidR="00975C0E" w:rsidRPr="00232FDB">
        <w:rPr>
          <w:rFonts w:eastAsia="Calibri"/>
          <w:bCs/>
          <w:szCs w:val="24"/>
        </w:rPr>
        <w:t xml:space="preserve"> (e.g. a piece of equipment to increase its production activity</w:t>
      </w:r>
      <w:r w:rsidR="005C2E27">
        <w:rPr>
          <w:rFonts w:eastAsia="Calibri"/>
          <w:bCs/>
          <w:szCs w:val="24"/>
        </w:rPr>
        <w:t xml:space="preserve">, i.e., an </w:t>
      </w:r>
      <w:r w:rsidR="004B1B31">
        <w:rPr>
          <w:rFonts w:eastAsia="Calibri"/>
          <w:bCs/>
          <w:szCs w:val="24"/>
        </w:rPr>
        <w:t>expenditure item not dividable in sub-</w:t>
      </w:r>
      <w:r w:rsidR="00862536">
        <w:rPr>
          <w:rFonts w:eastAsia="Calibri"/>
          <w:bCs/>
          <w:szCs w:val="24"/>
        </w:rPr>
        <w:t>items</w:t>
      </w:r>
      <w:r w:rsidR="00975C0E" w:rsidRPr="00232FDB">
        <w:rPr>
          <w:rFonts w:eastAsia="Calibri"/>
          <w:bCs/>
          <w:szCs w:val="24"/>
        </w:rPr>
        <w:t xml:space="preserve">) </w:t>
      </w:r>
      <w:r w:rsidR="00D425A1" w:rsidRPr="00232FDB">
        <w:rPr>
          <w:rFonts w:eastAsia="Calibri"/>
          <w:bCs/>
          <w:szCs w:val="24"/>
        </w:rPr>
        <w:t>which costs</w:t>
      </w:r>
      <w:r w:rsidR="00771205" w:rsidRPr="00232FDB">
        <w:rPr>
          <w:rFonts w:eastAsia="Calibri"/>
          <w:bCs/>
          <w:szCs w:val="24"/>
        </w:rPr>
        <w:t xml:space="preserve"> 100+VAT </w:t>
      </w:r>
      <w:r w:rsidR="00D627E0" w:rsidRPr="00232FDB">
        <w:rPr>
          <w:rFonts w:eastAsia="Calibri"/>
          <w:bCs/>
          <w:szCs w:val="24"/>
        </w:rPr>
        <w:t>(20%)</w:t>
      </w:r>
      <w:r w:rsidR="00771205" w:rsidRPr="00232FDB">
        <w:rPr>
          <w:rFonts w:eastAsia="Calibri"/>
          <w:bCs/>
          <w:szCs w:val="24"/>
        </w:rPr>
        <w:t> </w:t>
      </w:r>
      <w:r w:rsidR="00D627E0" w:rsidRPr="00232FDB">
        <w:rPr>
          <w:rFonts w:eastAsia="Calibri"/>
          <w:bCs/>
          <w:szCs w:val="24"/>
        </w:rPr>
        <w:t>=</w:t>
      </w:r>
      <w:r w:rsidR="00771205" w:rsidRPr="00232FDB">
        <w:rPr>
          <w:rFonts w:eastAsia="Calibri"/>
          <w:bCs/>
          <w:szCs w:val="24"/>
        </w:rPr>
        <w:t> </w:t>
      </w:r>
      <w:r w:rsidR="00D627E0" w:rsidRPr="00232FDB">
        <w:rPr>
          <w:rFonts w:eastAsia="Calibri"/>
          <w:bCs/>
          <w:szCs w:val="24"/>
        </w:rPr>
        <w:t>120</w:t>
      </w:r>
      <w:r w:rsidR="00F963D3" w:rsidRPr="00232FDB">
        <w:rPr>
          <w:rFonts w:eastAsia="Calibri"/>
          <w:bCs/>
          <w:szCs w:val="24"/>
        </w:rPr>
        <w:t xml:space="preserve">. The </w:t>
      </w:r>
      <w:r w:rsidR="00F963D3" w:rsidRPr="00232FDB">
        <w:rPr>
          <w:rFonts w:eastAsia="Calibri"/>
          <w:szCs w:val="24"/>
        </w:rPr>
        <w:t xml:space="preserve">VAT status under </w:t>
      </w:r>
      <w:r w:rsidR="00F963D3" w:rsidRPr="00232FDB">
        <w:rPr>
          <w:rFonts w:eastAsia="Calibri"/>
          <w:bCs/>
          <w:szCs w:val="24"/>
        </w:rPr>
        <w:t xml:space="preserve">national VAT legislation of the </w:t>
      </w:r>
      <w:r w:rsidR="007D072E" w:rsidRPr="00232FDB">
        <w:rPr>
          <w:rFonts w:eastAsia="Calibri"/>
          <w:bCs/>
          <w:szCs w:val="24"/>
        </w:rPr>
        <w:t xml:space="preserve">SME </w:t>
      </w:r>
      <w:r w:rsidR="00F963D3" w:rsidRPr="00232FDB">
        <w:rPr>
          <w:rFonts w:eastAsia="Calibri"/>
          <w:bCs/>
          <w:szCs w:val="24"/>
        </w:rPr>
        <w:t>indicates that VAT is recoverable.</w:t>
      </w:r>
    </w:p>
    <w:p w:rsidR="00D425A1" w:rsidRPr="00232FDB" w:rsidRDefault="00D425A1"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This investment can be supported by a loan (delivered via a financial instrument) and a grant operation (</w:t>
      </w:r>
      <w:r w:rsidR="00FF6BC7" w:rsidRPr="00232FDB">
        <w:rPr>
          <w:rFonts w:eastAsia="Calibri"/>
          <w:bCs/>
          <w:szCs w:val="24"/>
        </w:rPr>
        <w:t xml:space="preserve">delivered </w:t>
      </w:r>
      <w:r w:rsidRPr="00232FDB">
        <w:rPr>
          <w:rFonts w:eastAsia="Calibri"/>
          <w:bCs/>
          <w:szCs w:val="24"/>
        </w:rPr>
        <w:t>by the managing authority)</w:t>
      </w:r>
      <w:r w:rsidR="00FF6BC7" w:rsidRPr="00232FDB">
        <w:rPr>
          <w:rFonts w:eastAsia="Calibri"/>
          <w:bCs/>
          <w:szCs w:val="24"/>
        </w:rPr>
        <w:t xml:space="preserve"> with a 50/50 split between the two operations</w:t>
      </w:r>
      <w:r w:rsidRPr="00232FDB">
        <w:rPr>
          <w:rFonts w:eastAsia="Calibri"/>
          <w:bCs/>
          <w:szCs w:val="24"/>
        </w:rPr>
        <w:t>, as follows:</w:t>
      </w:r>
    </w:p>
    <w:p w:rsidR="00D627E0" w:rsidRPr="00232FDB" w:rsidRDefault="00D425A1"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 Maximum e</w:t>
      </w:r>
      <w:r w:rsidR="00D627E0" w:rsidRPr="00232FDB">
        <w:rPr>
          <w:rFonts w:eastAsia="Calibri"/>
          <w:bCs/>
          <w:szCs w:val="24"/>
        </w:rPr>
        <w:t>ligible ex</w:t>
      </w:r>
      <w:r w:rsidRPr="00232FDB">
        <w:rPr>
          <w:rFonts w:eastAsia="Calibri"/>
          <w:bCs/>
          <w:szCs w:val="24"/>
        </w:rPr>
        <w:t xml:space="preserve">penditure </w:t>
      </w:r>
      <w:r w:rsidR="00FF6BC7" w:rsidRPr="00232FDB">
        <w:rPr>
          <w:rFonts w:eastAsia="Calibri"/>
          <w:bCs/>
          <w:szCs w:val="24"/>
        </w:rPr>
        <w:t xml:space="preserve">loan </w:t>
      </w:r>
      <w:r w:rsidRPr="00232FDB">
        <w:rPr>
          <w:rFonts w:eastAsia="Calibri"/>
          <w:bCs/>
          <w:szCs w:val="24"/>
        </w:rPr>
        <w:t>FI=</w:t>
      </w:r>
      <w:r w:rsidR="00771205" w:rsidRPr="00232FDB">
        <w:rPr>
          <w:rFonts w:eastAsia="Calibri"/>
          <w:bCs/>
          <w:szCs w:val="24"/>
        </w:rPr>
        <w:t xml:space="preserve"> </w:t>
      </w:r>
      <w:r w:rsidRPr="00232FDB">
        <w:rPr>
          <w:rFonts w:eastAsia="Calibri"/>
          <w:bCs/>
          <w:szCs w:val="24"/>
        </w:rPr>
        <w:t>50</w:t>
      </w:r>
      <w:r w:rsidR="007D072E" w:rsidRPr="00232FDB">
        <w:rPr>
          <w:rFonts w:eastAsia="Calibri"/>
          <w:bCs/>
          <w:szCs w:val="24"/>
        </w:rPr>
        <w:t>%*100 + VAT (50*0</w:t>
      </w:r>
      <w:r w:rsidRPr="00232FDB">
        <w:rPr>
          <w:rFonts w:eastAsia="Calibri"/>
          <w:bCs/>
          <w:szCs w:val="24"/>
        </w:rPr>
        <w:t>.2</w:t>
      </w:r>
      <w:r w:rsidR="007D072E" w:rsidRPr="00232FDB">
        <w:rPr>
          <w:rFonts w:eastAsia="Calibri"/>
          <w:bCs/>
          <w:szCs w:val="24"/>
        </w:rPr>
        <w:t>)</w:t>
      </w:r>
      <w:r w:rsidR="00771205" w:rsidRPr="00232FDB">
        <w:rPr>
          <w:rFonts w:eastAsia="Calibri"/>
          <w:bCs/>
          <w:szCs w:val="24"/>
        </w:rPr>
        <w:t xml:space="preserve"> </w:t>
      </w:r>
      <w:r w:rsidRPr="00232FDB">
        <w:rPr>
          <w:rFonts w:eastAsia="Calibri"/>
          <w:bCs/>
          <w:szCs w:val="24"/>
        </w:rPr>
        <w:t>=</w:t>
      </w:r>
      <w:r w:rsidR="00771205" w:rsidRPr="00232FDB">
        <w:rPr>
          <w:rFonts w:eastAsia="Calibri"/>
          <w:bCs/>
          <w:szCs w:val="24"/>
        </w:rPr>
        <w:t xml:space="preserve"> </w:t>
      </w:r>
      <w:r w:rsidRPr="00232FDB">
        <w:rPr>
          <w:rFonts w:eastAsia="Calibri"/>
          <w:bCs/>
          <w:szCs w:val="24"/>
        </w:rPr>
        <w:t xml:space="preserve">60 </w:t>
      </w:r>
      <w:r w:rsidR="00FF6BC7" w:rsidRPr="00232FDB">
        <w:rPr>
          <w:rFonts w:eastAsia="Calibri"/>
          <w:bCs/>
          <w:szCs w:val="24"/>
        </w:rPr>
        <w:t>(VAT eligible)</w:t>
      </w:r>
    </w:p>
    <w:p w:rsidR="00D627E0" w:rsidRPr="00232FDB" w:rsidRDefault="00D425A1"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 Maximum e</w:t>
      </w:r>
      <w:r w:rsidR="00D627E0" w:rsidRPr="00232FDB">
        <w:rPr>
          <w:rFonts w:eastAsia="Calibri"/>
          <w:bCs/>
          <w:szCs w:val="24"/>
        </w:rPr>
        <w:t>ligible expenditure grant</w:t>
      </w:r>
      <w:r w:rsidRPr="00232FDB">
        <w:rPr>
          <w:rFonts w:eastAsia="Calibri"/>
          <w:bCs/>
          <w:szCs w:val="24"/>
        </w:rPr>
        <w:t xml:space="preserve"> operation</w:t>
      </w:r>
      <w:r w:rsidR="00771205" w:rsidRPr="00232FDB">
        <w:rPr>
          <w:rFonts w:eastAsia="Calibri"/>
          <w:bCs/>
          <w:szCs w:val="24"/>
        </w:rPr>
        <w:t xml:space="preserve"> </w:t>
      </w:r>
      <w:r w:rsidR="00D627E0" w:rsidRPr="00232FDB">
        <w:rPr>
          <w:rFonts w:eastAsia="Calibri"/>
          <w:bCs/>
          <w:szCs w:val="24"/>
        </w:rPr>
        <w:t>=</w:t>
      </w:r>
      <w:r w:rsidR="00771205" w:rsidRPr="00232FDB">
        <w:rPr>
          <w:rFonts w:eastAsia="Calibri"/>
          <w:bCs/>
          <w:szCs w:val="24"/>
        </w:rPr>
        <w:t xml:space="preserve"> </w:t>
      </w:r>
      <w:r w:rsidR="00D627E0" w:rsidRPr="00232FDB">
        <w:rPr>
          <w:rFonts w:eastAsia="Calibri"/>
          <w:bCs/>
          <w:szCs w:val="24"/>
        </w:rPr>
        <w:t>50</w:t>
      </w:r>
      <w:r w:rsidR="007D072E" w:rsidRPr="00232FDB">
        <w:rPr>
          <w:rFonts w:eastAsia="Calibri"/>
          <w:bCs/>
          <w:szCs w:val="24"/>
        </w:rPr>
        <w:t xml:space="preserve">%*100 = 50 </w:t>
      </w:r>
      <w:r w:rsidRPr="00232FDB">
        <w:rPr>
          <w:rFonts w:eastAsia="Calibri"/>
          <w:bCs/>
          <w:szCs w:val="24"/>
        </w:rPr>
        <w:t>(VAT not eligible)</w:t>
      </w:r>
    </w:p>
    <w:p w:rsidR="007D072E" w:rsidRPr="00232FDB" w:rsidRDefault="00D425A1"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 xml:space="preserve">- Maximum </w:t>
      </w:r>
      <w:r w:rsidR="003066EF" w:rsidRPr="00232FDB">
        <w:rPr>
          <w:rFonts w:eastAsia="Calibri"/>
          <w:bCs/>
          <w:szCs w:val="24"/>
        </w:rPr>
        <w:t>t</w:t>
      </w:r>
      <w:r w:rsidR="00D627E0" w:rsidRPr="00232FDB">
        <w:rPr>
          <w:rFonts w:eastAsia="Calibri"/>
          <w:bCs/>
          <w:szCs w:val="24"/>
        </w:rPr>
        <w:t>otal eligible expenditure</w:t>
      </w:r>
      <w:r w:rsidR="007D072E" w:rsidRPr="00232FDB">
        <w:rPr>
          <w:rFonts w:eastAsia="Calibri"/>
          <w:bCs/>
          <w:szCs w:val="24"/>
        </w:rPr>
        <w:t xml:space="preserve"> for the two operations </w:t>
      </w:r>
      <w:r w:rsidR="00D627E0" w:rsidRPr="00232FDB">
        <w:rPr>
          <w:rFonts w:eastAsia="Calibri"/>
          <w:bCs/>
          <w:szCs w:val="24"/>
        </w:rPr>
        <w:t>=</w:t>
      </w:r>
      <w:r w:rsidR="00771205" w:rsidRPr="00232FDB">
        <w:rPr>
          <w:rFonts w:eastAsia="Calibri"/>
          <w:bCs/>
          <w:szCs w:val="24"/>
        </w:rPr>
        <w:t xml:space="preserve"> </w:t>
      </w:r>
      <w:r w:rsidR="007D072E" w:rsidRPr="00232FDB">
        <w:rPr>
          <w:rFonts w:eastAsia="Calibri"/>
          <w:bCs/>
          <w:szCs w:val="24"/>
        </w:rPr>
        <w:t>Maximum eligible expenditure loan + maximum eligible expenditure grant = 1</w:t>
      </w:r>
      <w:r w:rsidR="00D627E0" w:rsidRPr="00232FDB">
        <w:rPr>
          <w:rFonts w:eastAsia="Calibri"/>
          <w:bCs/>
          <w:szCs w:val="24"/>
        </w:rPr>
        <w:t>10</w:t>
      </w:r>
      <w:r w:rsidR="008405D9" w:rsidRPr="00232FDB">
        <w:rPr>
          <w:rFonts w:eastAsia="Calibri"/>
          <w:bCs/>
          <w:szCs w:val="24"/>
        </w:rPr>
        <w:t xml:space="preserve"> </w:t>
      </w:r>
    </w:p>
    <w:p w:rsidR="00D627E0" w:rsidRPr="00232FDB" w:rsidRDefault="008405D9"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w:t>
      </w:r>
      <w:r w:rsidR="007D072E" w:rsidRPr="00232FDB">
        <w:rPr>
          <w:rFonts w:eastAsia="Calibri"/>
          <w:bCs/>
          <w:i/>
          <w:szCs w:val="24"/>
        </w:rPr>
        <w:t>N.B.</w:t>
      </w:r>
      <w:r w:rsidR="007D072E" w:rsidRPr="00232FDB">
        <w:rPr>
          <w:rFonts w:eastAsia="Calibri"/>
          <w:bCs/>
          <w:szCs w:val="24"/>
        </w:rPr>
        <w:t xml:space="preserve"> the maximum total eligible expenditure for the two operations </w:t>
      </w:r>
      <w:r w:rsidRPr="00232FDB">
        <w:rPr>
          <w:rFonts w:eastAsia="Calibri"/>
          <w:bCs/>
          <w:szCs w:val="24"/>
        </w:rPr>
        <w:t xml:space="preserve">would be of 120 if the </w:t>
      </w:r>
      <w:r w:rsidRPr="00232FDB">
        <w:rPr>
          <w:rFonts w:eastAsia="Calibri"/>
          <w:szCs w:val="24"/>
        </w:rPr>
        <w:t xml:space="preserve">VAT status under </w:t>
      </w:r>
      <w:r w:rsidRPr="00232FDB">
        <w:rPr>
          <w:rFonts w:eastAsia="Calibri"/>
          <w:bCs/>
          <w:szCs w:val="24"/>
        </w:rPr>
        <w:t xml:space="preserve">national VAT legislation of the </w:t>
      </w:r>
      <w:r w:rsidR="007D072E" w:rsidRPr="00232FDB">
        <w:rPr>
          <w:rFonts w:eastAsia="Calibri"/>
          <w:bCs/>
          <w:szCs w:val="24"/>
        </w:rPr>
        <w:t xml:space="preserve">SME </w:t>
      </w:r>
      <w:r w:rsidRPr="00232FDB">
        <w:rPr>
          <w:rFonts w:eastAsia="Calibri"/>
          <w:bCs/>
          <w:szCs w:val="24"/>
        </w:rPr>
        <w:t>indicates that VAT is non-recoverable)</w:t>
      </w:r>
    </w:p>
    <w:p w:rsidR="004F0DF7" w:rsidRPr="00232FDB" w:rsidRDefault="004F0DF7"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In this respect, an adequate and clear audit trail should be ensured.</w:t>
      </w:r>
    </w:p>
    <w:p w:rsidR="00B82C17" w:rsidRPr="00232FDB" w:rsidRDefault="00AB4B35" w:rsidP="006F41DB">
      <w:pPr>
        <w:pStyle w:val="Heading1"/>
        <w:spacing w:before="0"/>
      </w:pPr>
      <w:bookmarkStart w:id="21" w:name="_Toc445141408"/>
      <w:r w:rsidRPr="00232FDB">
        <w:t>E</w:t>
      </w:r>
      <w:r w:rsidR="00B82C17" w:rsidRPr="00232FDB">
        <w:t>xpenditure paid to final recipients before the setup of the financial instrument</w:t>
      </w:r>
      <w:bookmarkEnd w:id="21"/>
    </w:p>
    <w:p w:rsidR="00B82C17" w:rsidRPr="00232FDB" w:rsidRDefault="00B82C17" w:rsidP="006F41DB">
      <w:r w:rsidRPr="00232FDB">
        <w:t xml:space="preserve">The general rule for the eligibility of expenditure for a contribution from </w:t>
      </w:r>
      <w:r w:rsidR="007D072E" w:rsidRPr="00232FDB">
        <w:t>the ESI Funds</w:t>
      </w:r>
      <w:r w:rsidRPr="00232FDB">
        <w:t xml:space="preserve"> is provided for in Article 65(2) CPR. Under this provision</w:t>
      </w:r>
      <w:r w:rsidR="007D072E" w:rsidRPr="00232FDB">
        <w:t>, expenditure</w:t>
      </w:r>
      <w:r w:rsidRPr="00232FDB">
        <w:t xml:space="preserve"> </w:t>
      </w:r>
      <w:r w:rsidR="0045351F" w:rsidRPr="00232FDB">
        <w:t>is</w:t>
      </w:r>
      <w:r w:rsidRPr="00232FDB">
        <w:t xml:space="preserve"> eligible for a contribution from the </w:t>
      </w:r>
      <w:r w:rsidR="007D072E" w:rsidRPr="00232FDB">
        <w:t>ESI Funds</w:t>
      </w:r>
      <w:r w:rsidRPr="00232FDB">
        <w:t xml:space="preserve"> if it has been incurred by a beneficiary and paid between the date of submission of the programme to the Commission or from 1 January 2014, whichever is earlier, and 31 December 2023. </w:t>
      </w:r>
      <w:r w:rsidRPr="00232FDB">
        <w:rPr>
          <w:rFonts w:eastAsia="Calibri"/>
          <w:szCs w:val="24"/>
          <w:lang w:eastAsia="en-GB"/>
        </w:rPr>
        <w:t xml:space="preserve">In addition, the eligibility of expenditure has to comply with the </w:t>
      </w:r>
      <w:r w:rsidR="00BE63CB" w:rsidRPr="00232FDB">
        <w:rPr>
          <w:rFonts w:eastAsia="Calibri"/>
          <w:szCs w:val="24"/>
          <w:lang w:eastAsia="en-GB"/>
        </w:rPr>
        <w:t xml:space="preserve">other </w:t>
      </w:r>
      <w:r w:rsidRPr="00232FDB">
        <w:rPr>
          <w:rFonts w:eastAsia="Calibri"/>
          <w:szCs w:val="24"/>
          <w:lang w:eastAsia="en-GB"/>
        </w:rPr>
        <w:t>CPR rules, Fund</w:t>
      </w:r>
      <w:r w:rsidR="00146925" w:rsidRPr="00232FDB">
        <w:rPr>
          <w:rFonts w:eastAsia="Calibri"/>
          <w:szCs w:val="24"/>
          <w:lang w:eastAsia="en-GB"/>
        </w:rPr>
        <w:t xml:space="preserve"> </w:t>
      </w:r>
      <w:r w:rsidRPr="00232FDB">
        <w:rPr>
          <w:rFonts w:eastAsia="Calibri"/>
          <w:szCs w:val="24"/>
          <w:lang w:eastAsia="en-GB"/>
        </w:rPr>
        <w:t xml:space="preserve">specific rules </w:t>
      </w:r>
      <w:r w:rsidR="006628B8" w:rsidRPr="00232FDB">
        <w:rPr>
          <w:rFonts w:eastAsia="Calibri"/>
          <w:szCs w:val="24"/>
          <w:lang w:eastAsia="en-GB"/>
        </w:rPr>
        <w:t xml:space="preserve">(e.g. Article 60 of EAFRD Regulation) </w:t>
      </w:r>
      <w:r w:rsidRPr="00232FDB">
        <w:rPr>
          <w:rFonts w:eastAsia="Calibri"/>
          <w:szCs w:val="24"/>
          <w:lang w:eastAsia="en-GB"/>
        </w:rPr>
        <w:t xml:space="preserve">and with national rules as provided for in Article 65(1) CPR and be in line with requirements set out under the relevant programme and priority. </w:t>
      </w:r>
    </w:p>
    <w:p w:rsidR="00B82C17" w:rsidRPr="00232FDB" w:rsidRDefault="00B82C17" w:rsidP="006F41DB">
      <w:pPr>
        <w:rPr>
          <w:rFonts w:eastAsia="Calibri"/>
          <w:szCs w:val="24"/>
        </w:rPr>
      </w:pPr>
      <w:r w:rsidRPr="00232FDB">
        <w:t>However, with respect to financial instruments, the following additional provisions need also to be considered and are also applicable.</w:t>
      </w:r>
    </w:p>
    <w:p w:rsidR="00B82C17" w:rsidRPr="00232FDB" w:rsidRDefault="00B82C17" w:rsidP="006F41DB">
      <w:r w:rsidRPr="00232FDB">
        <w:rPr>
          <w:rFonts w:eastAsia="Calibri"/>
          <w:szCs w:val="24"/>
        </w:rPr>
        <w:t xml:space="preserve">In accordance with Article 2(9) CPR, a financial instrument operation is defined as the financial contribution from a programme to a financial instrument and the subsequent financial support provided by this financial instrument.  </w:t>
      </w:r>
      <w:r w:rsidRPr="00232FDB">
        <w:t>These two elements, namely: 1)</w:t>
      </w:r>
      <w:r w:rsidR="00146925" w:rsidRPr="00232FDB">
        <w:t> </w:t>
      </w:r>
      <w:r w:rsidRPr="00232FDB">
        <w:t>a programme contribution to the financial instrument and 2) support from the financial instrument to final recipients, constitute sequentially an operation.</w:t>
      </w:r>
    </w:p>
    <w:p w:rsidR="00B82C17" w:rsidRPr="00232FDB" w:rsidRDefault="00B82C17" w:rsidP="006F41DB">
      <w:r w:rsidRPr="00232FDB">
        <w:rPr>
          <w:rFonts w:eastAsia="Calibri"/>
          <w:szCs w:val="24"/>
        </w:rPr>
        <w:t>As provided for in Article 2(10) CPR, the beneficiary is the body that implements the financial instrument or the fund of funds, as appropriate</w:t>
      </w:r>
      <w:r w:rsidR="0045351F" w:rsidRPr="00232FDB">
        <w:rPr>
          <w:rFonts w:eastAsia="Calibri"/>
          <w:szCs w:val="24"/>
        </w:rPr>
        <w:t xml:space="preserve">. </w:t>
      </w:r>
      <w:r w:rsidR="00CA4F3B" w:rsidRPr="00232FDB">
        <w:rPr>
          <w:rFonts w:eastAsia="Calibri"/>
          <w:szCs w:val="24"/>
        </w:rPr>
        <w:t>Such</w:t>
      </w:r>
      <w:r w:rsidR="0045351F" w:rsidRPr="00232FDB">
        <w:rPr>
          <w:rFonts w:eastAsia="Calibri"/>
          <w:szCs w:val="24"/>
        </w:rPr>
        <w:t xml:space="preserve"> body becomes the </w:t>
      </w:r>
      <w:r w:rsidR="0045351F" w:rsidRPr="00232FDB">
        <w:rPr>
          <w:rFonts w:eastAsia="Calibri"/>
          <w:szCs w:val="24"/>
        </w:rPr>
        <w:lastRenderedPageBreak/>
        <w:t>beneficiary</w:t>
      </w:r>
      <w:r w:rsidRPr="00232FDB">
        <w:rPr>
          <w:rFonts w:eastAsia="Calibri"/>
          <w:szCs w:val="24"/>
        </w:rPr>
        <w:t xml:space="preserve"> on the basis of a funding agreement</w:t>
      </w:r>
      <w:r w:rsidR="0042186A" w:rsidRPr="00232FDB">
        <w:rPr>
          <w:rFonts w:eastAsia="Calibri"/>
          <w:szCs w:val="24"/>
        </w:rPr>
        <w:t xml:space="preserve"> or </w:t>
      </w:r>
      <w:r w:rsidR="0042186A" w:rsidRPr="00232FDB">
        <w:t>a strategy document</w:t>
      </w:r>
      <w:r w:rsidR="00CA4F3B" w:rsidRPr="00232FDB">
        <w:t>, depending on the implementation option chosen</w:t>
      </w:r>
      <w:r w:rsidRPr="00232FDB">
        <w:rPr>
          <w:rFonts w:eastAsia="Calibri"/>
          <w:szCs w:val="24"/>
        </w:rPr>
        <w:t xml:space="preserve">. The </w:t>
      </w:r>
      <w:r w:rsidR="008F484C">
        <w:rPr>
          <w:rFonts w:eastAsia="Calibri"/>
          <w:szCs w:val="24"/>
        </w:rPr>
        <w:t xml:space="preserve">negotiation and </w:t>
      </w:r>
      <w:r w:rsidRPr="00232FDB">
        <w:rPr>
          <w:rFonts w:eastAsia="Calibri"/>
          <w:szCs w:val="24"/>
        </w:rPr>
        <w:t xml:space="preserve">signature of a funding agreement should be preceded by the obligatory ex-ante assessment, by the </w:t>
      </w:r>
      <w:r w:rsidR="0095116F" w:rsidRPr="00232FDB">
        <w:rPr>
          <w:rFonts w:eastAsia="Calibri"/>
          <w:szCs w:val="24"/>
        </w:rPr>
        <w:t xml:space="preserve">submission </w:t>
      </w:r>
      <w:r w:rsidRPr="00232FDB">
        <w:rPr>
          <w:rFonts w:eastAsia="Calibri"/>
          <w:szCs w:val="24"/>
        </w:rPr>
        <w:t>of the ex-ante assessment to the monitoring committee, by the managing authority'</w:t>
      </w:r>
      <w:r w:rsidR="00146925" w:rsidRPr="00232FDB">
        <w:rPr>
          <w:rFonts w:eastAsia="Calibri"/>
          <w:szCs w:val="24"/>
        </w:rPr>
        <w:t>s</w:t>
      </w:r>
      <w:r w:rsidRPr="00232FDB">
        <w:rPr>
          <w:rFonts w:eastAsia="Calibri"/>
          <w:szCs w:val="24"/>
        </w:rPr>
        <w:t xml:space="preserve"> decision to contribute programme resources to the financial instrument and finally the selection of the body implementing the financial instrument. </w:t>
      </w:r>
      <w:r w:rsidRPr="00232FDB">
        <w:t>In financial instruments implemented in accordance with Article 38(4)(c) CPR, following the ex-ante assessment, a strategy document is developed and submitted to the monitoring committee and in this case t</w:t>
      </w:r>
      <w:r w:rsidRPr="00232FDB">
        <w:rPr>
          <w:rFonts w:eastAsia="Calibri"/>
          <w:szCs w:val="24"/>
        </w:rPr>
        <w:t>he beneficiary is the managing authority (or the intermediate body).</w:t>
      </w:r>
    </w:p>
    <w:p w:rsidR="0095116F" w:rsidRPr="00232FDB" w:rsidRDefault="00146925" w:rsidP="006F41DB">
      <w:pPr>
        <w:rPr>
          <w:rFonts w:eastAsia="Calibri"/>
          <w:szCs w:val="24"/>
        </w:rPr>
      </w:pPr>
      <w:r w:rsidRPr="00232FDB">
        <w:rPr>
          <w:rFonts w:eastAsia="Calibri"/>
          <w:szCs w:val="24"/>
        </w:rPr>
        <w:t xml:space="preserve">A </w:t>
      </w:r>
      <w:r w:rsidR="00B82C17" w:rsidRPr="00232FDB">
        <w:rPr>
          <w:rFonts w:eastAsia="Calibri"/>
          <w:szCs w:val="24"/>
        </w:rPr>
        <w:t xml:space="preserve">financial instrument </w:t>
      </w:r>
      <w:r w:rsidR="008F484C">
        <w:rPr>
          <w:rFonts w:eastAsia="Calibri"/>
          <w:szCs w:val="24"/>
        </w:rPr>
        <w:t>should</w:t>
      </w:r>
      <w:r w:rsidR="00B82C17" w:rsidRPr="00232FDB">
        <w:rPr>
          <w:rFonts w:eastAsia="Calibri"/>
          <w:szCs w:val="24"/>
        </w:rPr>
        <w:t xml:space="preserve"> be established following the legal and chronological sequence above, meaning that support to final recipients or for the benefit of final recipients granted by financial instruments can be eligible as of the date of </w:t>
      </w:r>
      <w:r w:rsidR="00CC19A4" w:rsidRPr="00232FDB">
        <w:rPr>
          <w:rFonts w:eastAsia="Calibri"/>
          <w:szCs w:val="24"/>
        </w:rPr>
        <w:t xml:space="preserve">the </w:t>
      </w:r>
      <w:r w:rsidR="00B82C17" w:rsidRPr="00232FDB">
        <w:rPr>
          <w:rFonts w:eastAsia="Calibri"/>
          <w:szCs w:val="24"/>
        </w:rPr>
        <w:t>programme contribution to the financial instrument</w:t>
      </w:r>
      <w:r w:rsidR="00CC19A4" w:rsidRPr="00232FDB">
        <w:rPr>
          <w:rFonts w:eastAsia="Calibri"/>
          <w:szCs w:val="24"/>
        </w:rPr>
        <w:t xml:space="preserve"> (which occurs only after the signature of the funding agreement</w:t>
      </w:r>
      <w:r w:rsidR="006628B8" w:rsidRPr="00232FDB">
        <w:rPr>
          <w:rStyle w:val="FootnoteReference"/>
          <w:rFonts w:eastAsia="Calibri"/>
          <w:szCs w:val="24"/>
        </w:rPr>
        <w:footnoteReference w:id="9"/>
      </w:r>
      <w:r w:rsidR="00CC19A4" w:rsidRPr="00232FDB">
        <w:rPr>
          <w:rFonts w:eastAsia="Calibri"/>
          <w:szCs w:val="24"/>
        </w:rPr>
        <w:t>)</w:t>
      </w:r>
      <w:r w:rsidR="0095116F" w:rsidRPr="00232FDB">
        <w:rPr>
          <w:rFonts w:eastAsia="Calibri"/>
          <w:szCs w:val="24"/>
        </w:rPr>
        <w:t>. I</w:t>
      </w:r>
      <w:r w:rsidR="00CC19A4" w:rsidRPr="00232FDB">
        <w:t xml:space="preserve">n financial </w:t>
      </w:r>
      <w:r w:rsidR="0095116F" w:rsidRPr="00232FDB">
        <w:t>instruments implemented</w:t>
      </w:r>
      <w:r w:rsidR="00CC19A4" w:rsidRPr="00232FDB">
        <w:t xml:space="preserve"> in accordance with Article 38(4)(c) expenditure can be eligible as of the date of presentation of a strategy document for examination by the monitoring committee</w:t>
      </w:r>
      <w:r w:rsidR="0095116F" w:rsidRPr="00232FDB">
        <w:t>.</w:t>
      </w:r>
      <w:r w:rsidR="00CC19A4" w:rsidRPr="00232FDB">
        <w:rPr>
          <w:rFonts w:eastAsia="Calibri"/>
          <w:szCs w:val="24"/>
        </w:rPr>
        <w:t xml:space="preserve"> </w:t>
      </w:r>
    </w:p>
    <w:p w:rsidR="00B82C17" w:rsidRPr="00232FDB" w:rsidRDefault="00B82C17" w:rsidP="006F41DB">
      <w:pPr>
        <w:rPr>
          <w:rFonts w:eastAsia="Calibri"/>
          <w:szCs w:val="24"/>
        </w:rPr>
      </w:pPr>
      <w:r w:rsidRPr="00232FDB">
        <w:rPr>
          <w:rFonts w:eastAsia="Calibri"/>
          <w:szCs w:val="24"/>
        </w:rPr>
        <w:t>The contribution of th</w:t>
      </w:r>
      <w:r w:rsidR="00CC19A4" w:rsidRPr="00232FDB">
        <w:rPr>
          <w:rFonts w:eastAsia="Calibri"/>
          <w:szCs w:val="24"/>
        </w:rPr>
        <w:t>e</w:t>
      </w:r>
      <w:r w:rsidRPr="00232FDB">
        <w:rPr>
          <w:rFonts w:eastAsia="Calibri"/>
          <w:szCs w:val="24"/>
        </w:rPr>
        <w:t xml:space="preserve"> programme to the financial instrument should, </w:t>
      </w:r>
      <w:r w:rsidR="00146925" w:rsidRPr="00232FDB">
        <w:rPr>
          <w:rFonts w:eastAsia="Calibri"/>
          <w:szCs w:val="24"/>
        </w:rPr>
        <w:t xml:space="preserve">therefore, </w:t>
      </w:r>
      <w:r w:rsidRPr="00232FDB">
        <w:rPr>
          <w:rFonts w:eastAsia="Calibri"/>
          <w:szCs w:val="24"/>
        </w:rPr>
        <w:t>precede</w:t>
      </w:r>
      <w:r w:rsidR="0095116F" w:rsidRPr="00232FDB">
        <w:rPr>
          <w:rFonts w:eastAsia="Calibri"/>
          <w:szCs w:val="24"/>
        </w:rPr>
        <w:t xml:space="preserve"> </w:t>
      </w:r>
      <w:r w:rsidRPr="00232FDB">
        <w:rPr>
          <w:rFonts w:eastAsia="Calibri"/>
          <w:szCs w:val="24"/>
        </w:rPr>
        <w:t>the support provided by the financial instrument to the final recipients. Contrary to what happens in grant operations w</w:t>
      </w:r>
      <w:r w:rsidR="00CA4F3B" w:rsidRPr="00232FDB">
        <w:rPr>
          <w:rFonts w:eastAsia="Calibri"/>
          <w:szCs w:val="24"/>
        </w:rPr>
        <w:t>h</w:t>
      </w:r>
      <w:r w:rsidRPr="00232FDB">
        <w:rPr>
          <w:rFonts w:eastAsia="Calibri"/>
          <w:szCs w:val="24"/>
        </w:rPr>
        <w:t xml:space="preserve">ere programme support is provided in the form of reimbursement of expenditure already incurred </w:t>
      </w:r>
      <w:r w:rsidR="003226A0" w:rsidRPr="00232FDB">
        <w:rPr>
          <w:rFonts w:eastAsia="Calibri"/>
          <w:szCs w:val="24"/>
        </w:rPr>
        <w:t xml:space="preserve">and paid </w:t>
      </w:r>
      <w:r w:rsidRPr="00232FDB">
        <w:rPr>
          <w:rFonts w:eastAsia="Calibri"/>
          <w:szCs w:val="24"/>
        </w:rPr>
        <w:t>by a beneficiary, in the case of financial instruments the programme support precedes the investment by the final recipient by providing the means of financing for the investment.</w:t>
      </w:r>
    </w:p>
    <w:p w:rsidR="00B82C17" w:rsidRPr="00232FDB" w:rsidRDefault="00B82C17" w:rsidP="006F41DB">
      <w:pPr>
        <w:rPr>
          <w:szCs w:val="24"/>
          <w:lang w:eastAsia="en-GB"/>
        </w:rPr>
      </w:pPr>
      <w:r w:rsidRPr="00232FDB">
        <w:rPr>
          <w:szCs w:val="24"/>
          <w:lang w:eastAsia="en-GB"/>
        </w:rPr>
        <w:t xml:space="preserve">Therefore, payments to final recipients that have been </w:t>
      </w:r>
      <w:r w:rsidR="00CC19A4" w:rsidRPr="00232FDB">
        <w:rPr>
          <w:szCs w:val="24"/>
          <w:lang w:eastAsia="en-GB"/>
        </w:rPr>
        <w:t>made before the</w:t>
      </w:r>
      <w:r w:rsidR="00CC19A4" w:rsidRPr="00232FDB">
        <w:rPr>
          <w:rFonts w:eastAsia="Calibri"/>
          <w:szCs w:val="24"/>
        </w:rPr>
        <w:t xml:space="preserve"> date of the programme contribution to the financial instrument</w:t>
      </w:r>
      <w:r w:rsidR="00CC19A4" w:rsidRPr="00232FDB">
        <w:rPr>
          <w:szCs w:val="24"/>
          <w:lang w:eastAsia="en-GB"/>
        </w:rPr>
        <w:t xml:space="preserve"> established </w:t>
      </w:r>
      <w:r w:rsidRPr="00232FDB">
        <w:rPr>
          <w:szCs w:val="24"/>
          <w:lang w:eastAsia="en-GB"/>
        </w:rPr>
        <w:t>in accordance with the provision</w:t>
      </w:r>
      <w:r w:rsidR="00146925" w:rsidRPr="00232FDB">
        <w:rPr>
          <w:szCs w:val="24"/>
          <w:lang w:eastAsia="en-GB"/>
        </w:rPr>
        <w:t>s</w:t>
      </w:r>
      <w:r w:rsidRPr="00232FDB">
        <w:rPr>
          <w:szCs w:val="24"/>
          <w:lang w:eastAsia="en-GB"/>
        </w:rPr>
        <w:t xml:space="preserve"> of Title IV CPR </w:t>
      </w:r>
      <w:r w:rsidRPr="00232FDB">
        <w:rPr>
          <w:szCs w:val="24"/>
          <w:u w:val="single"/>
          <w:lang w:eastAsia="en-GB"/>
        </w:rPr>
        <w:t>are not eligible</w:t>
      </w:r>
      <w:r w:rsidRPr="00232FDB">
        <w:rPr>
          <w:szCs w:val="24"/>
          <w:lang w:eastAsia="en-GB"/>
        </w:rPr>
        <w:t xml:space="preserve">. </w:t>
      </w:r>
    </w:p>
    <w:p w:rsidR="00146925" w:rsidRPr="00973083" w:rsidRDefault="00CD0573" w:rsidP="006F41DB">
      <w:pPr>
        <w:rPr>
          <w:szCs w:val="24"/>
          <w:lang w:eastAsia="en-GB"/>
        </w:rPr>
      </w:pPr>
      <w:r w:rsidRPr="00973083">
        <w:rPr>
          <w:szCs w:val="24"/>
          <w:lang w:eastAsia="en-GB"/>
        </w:rPr>
        <w:t xml:space="preserve">It is also highlighted that as set out in </w:t>
      </w:r>
      <w:r w:rsidR="00B82C17" w:rsidRPr="00973083">
        <w:rPr>
          <w:szCs w:val="24"/>
          <w:lang w:eastAsia="en-GB"/>
        </w:rPr>
        <w:t xml:space="preserve">Article 42(5) CPR, </w:t>
      </w:r>
      <w:r w:rsidRPr="00973083">
        <w:rPr>
          <w:szCs w:val="24"/>
        </w:rPr>
        <w:t xml:space="preserve">management costs and fees are eligible as of the date of the signature of the relevant funding agreement, provided that all other eligibility criteria are fulfilled.   However, </w:t>
      </w:r>
      <w:r w:rsidRPr="00973083">
        <w:rPr>
          <w:szCs w:val="24"/>
          <w:lang w:eastAsia="en-GB"/>
        </w:rPr>
        <w:t>m</w:t>
      </w:r>
      <w:r w:rsidR="00146925" w:rsidRPr="00973083">
        <w:rPr>
          <w:szCs w:val="24"/>
        </w:rPr>
        <w:t>anagement costs and fees incurred for the preparatory work in relation to the FI before the signature of the relevant funding agreement, and which according to the general rule above become eligible after the signature, may only be included in the eligible expenditure if incurred after the date when the formal decision selecting the body concerned was taken.</w:t>
      </w:r>
    </w:p>
    <w:p w:rsidR="00B82C17" w:rsidRPr="00232FDB" w:rsidRDefault="00AB4B35" w:rsidP="006F41DB">
      <w:pPr>
        <w:pStyle w:val="Heading1"/>
        <w:spacing w:before="0"/>
      </w:pPr>
      <w:bookmarkStart w:id="22" w:name="_Toc445141409"/>
      <w:r w:rsidRPr="00232FDB">
        <w:t>R</w:t>
      </w:r>
      <w:r w:rsidR="00B82C17" w:rsidRPr="00232FDB">
        <w:t>efinancing of existing loans</w:t>
      </w:r>
      <w:bookmarkEnd w:id="22"/>
    </w:p>
    <w:p w:rsidR="00B82C17" w:rsidRPr="00232FDB" w:rsidRDefault="00B82C17" w:rsidP="006F41DB">
      <w:r w:rsidRPr="00232FDB">
        <w:t xml:space="preserve">The CPR does not </w:t>
      </w:r>
      <w:r w:rsidR="00CD0573" w:rsidRPr="00232FDB">
        <w:t xml:space="preserve">envisage </w:t>
      </w:r>
      <w:r w:rsidRPr="00232FDB">
        <w:t xml:space="preserve">the possibility </w:t>
      </w:r>
      <w:r w:rsidR="00CD0573" w:rsidRPr="00232FDB">
        <w:t xml:space="preserve">of </w:t>
      </w:r>
      <w:r w:rsidRPr="00232FDB">
        <w:t>support</w:t>
      </w:r>
      <w:r w:rsidR="00CD0573" w:rsidRPr="00232FDB">
        <w:t xml:space="preserve">ing </w:t>
      </w:r>
      <w:r w:rsidRPr="00232FDB">
        <w:t>the refinancing of existing loans but sets requirements which de facto exclude that loan agreements signed and paid out to the final recipient are used for the purpose of refinancing existing loans.</w:t>
      </w:r>
    </w:p>
    <w:p w:rsidR="00B82C17" w:rsidRPr="00232FDB" w:rsidRDefault="00B82C17" w:rsidP="006F41DB">
      <w:r w:rsidRPr="00232FDB">
        <w:t xml:space="preserve">As follows from Article 37(1) CPR, financial instruments </w:t>
      </w:r>
      <w:r w:rsidR="009B546D" w:rsidRPr="00232FDB">
        <w:t xml:space="preserve">should </w:t>
      </w:r>
      <w:r w:rsidRPr="00232FDB">
        <w:t xml:space="preserve">be implemented to support investments which are expected to be financially viable and do not give rise to sufficient funding from market sources, therefore justifying the need for public intervention. </w:t>
      </w:r>
      <w:r w:rsidR="0042186A" w:rsidRPr="00232FDB">
        <w:t>T</w:t>
      </w:r>
      <w:r w:rsidRPr="00232FDB">
        <w:t xml:space="preserve">he existence of an initial loan </w:t>
      </w:r>
      <w:r w:rsidR="0042186A" w:rsidRPr="00232FDB">
        <w:t xml:space="preserve">proves the existence of </w:t>
      </w:r>
      <w:r w:rsidRPr="00232FDB">
        <w:t>sufficient funding from ma</w:t>
      </w:r>
      <w:r w:rsidR="0042186A" w:rsidRPr="00232FDB">
        <w:t xml:space="preserve">rket sources for carrying out the </w:t>
      </w:r>
      <w:r w:rsidRPr="00232FDB">
        <w:t xml:space="preserve">investment. Therefore, an </w:t>
      </w:r>
      <w:r w:rsidR="00CD0573" w:rsidRPr="00232FDB">
        <w:rPr>
          <w:u w:val="single"/>
        </w:rPr>
        <w:t xml:space="preserve">ESI Fund </w:t>
      </w:r>
      <w:r w:rsidRPr="00232FDB">
        <w:rPr>
          <w:u w:val="single"/>
        </w:rPr>
        <w:t>programme loan which is refinancing an existing loan</w:t>
      </w:r>
      <w:r w:rsidRPr="00232FDB">
        <w:t xml:space="preserve"> (or an </w:t>
      </w:r>
      <w:r w:rsidR="00CD0573" w:rsidRPr="00232FDB">
        <w:t xml:space="preserve">ESI Fund </w:t>
      </w:r>
      <w:r w:rsidRPr="00232FDB">
        <w:t xml:space="preserve">programme guarantee for an existing loan) </w:t>
      </w:r>
      <w:r w:rsidR="00AB4B35" w:rsidRPr="00232FDB">
        <w:rPr>
          <w:u w:val="single"/>
        </w:rPr>
        <w:t xml:space="preserve">is not </w:t>
      </w:r>
      <w:r w:rsidR="008F484C">
        <w:rPr>
          <w:u w:val="single"/>
        </w:rPr>
        <w:t>justified</w:t>
      </w:r>
      <w:r w:rsidRPr="00232FDB">
        <w:t>.</w:t>
      </w:r>
    </w:p>
    <w:p w:rsidR="00B82C17" w:rsidRPr="00232FDB" w:rsidRDefault="00701FFD" w:rsidP="006F41DB">
      <w:r w:rsidRPr="00933E72">
        <w:t>Only</w:t>
      </w:r>
      <w:r>
        <w:t xml:space="preserve"> in the situation set out in</w:t>
      </w:r>
      <w:r w:rsidRPr="00933E72">
        <w:t xml:space="preserve"> </w:t>
      </w:r>
      <w:r w:rsidRPr="006A51F4">
        <w:t>Article 37(6) CPR</w:t>
      </w:r>
      <w:r>
        <w:t>,</w:t>
      </w:r>
      <w:r w:rsidRPr="006A51F4">
        <w:t xml:space="preserve"> t</w:t>
      </w:r>
      <w:r w:rsidRPr="00232FDB">
        <w:t xml:space="preserve">he reorganisation of a debt portfolio in certain infrastructure investments </w:t>
      </w:r>
      <w:r>
        <w:t xml:space="preserve">is considered possible. </w:t>
      </w:r>
      <w:r w:rsidR="00B82C17" w:rsidRPr="00232FDB">
        <w:t>Article 37(6)</w:t>
      </w:r>
      <w:r>
        <w:t xml:space="preserve"> CPR</w:t>
      </w:r>
      <w:r w:rsidR="00B82C17" w:rsidRPr="00232FDB">
        <w:t xml:space="preserve"> is further explained in point 5.</w:t>
      </w:r>
      <w:r w:rsidR="00511789" w:rsidRPr="00232FDB">
        <w:t xml:space="preserve">9 </w:t>
      </w:r>
      <w:r w:rsidR="00B82C17" w:rsidRPr="00232FDB">
        <w:t>of this document. In addition, please refer also to point 5.</w:t>
      </w:r>
      <w:r w:rsidR="00511789" w:rsidRPr="00232FDB">
        <w:t>8</w:t>
      </w:r>
      <w:r w:rsidR="00B82C17" w:rsidRPr="00232FDB">
        <w:t xml:space="preserve"> on the </w:t>
      </w:r>
      <w:r w:rsidR="00B82C17" w:rsidRPr="00232FDB">
        <w:lastRenderedPageBreak/>
        <w:t>eligibility of expenditure (payment to final recipient) vs completion of underlying investment by the final recipient.</w:t>
      </w:r>
    </w:p>
    <w:p w:rsidR="00A95958" w:rsidRPr="00A95958" w:rsidRDefault="00701FFD" w:rsidP="00A95958">
      <w:pPr>
        <w:pStyle w:val="CommentText"/>
        <w:rPr>
          <w:sz w:val="24"/>
        </w:rPr>
      </w:pPr>
      <w:r>
        <w:rPr>
          <w:sz w:val="24"/>
        </w:rPr>
        <w:t>Furthermore</w:t>
      </w:r>
      <w:r w:rsidR="00B82C17" w:rsidRPr="00A95958">
        <w:rPr>
          <w:sz w:val="24"/>
        </w:rPr>
        <w:t xml:space="preserve">, from the </w:t>
      </w:r>
      <w:r w:rsidR="00F74AAB" w:rsidRPr="00A95958">
        <w:rPr>
          <w:sz w:val="24"/>
        </w:rPr>
        <w:t>State aid</w:t>
      </w:r>
      <w:r w:rsidR="00B82C17" w:rsidRPr="00A95958">
        <w:rPr>
          <w:sz w:val="24"/>
        </w:rPr>
        <w:t xml:space="preserve"> legal framework point of view</w:t>
      </w:r>
      <w:r w:rsidR="00CD0573" w:rsidRPr="00A95958">
        <w:rPr>
          <w:sz w:val="24"/>
        </w:rPr>
        <w:t xml:space="preserve">, the </w:t>
      </w:r>
      <w:r w:rsidR="00B82C17" w:rsidRPr="00A95958">
        <w:rPr>
          <w:sz w:val="24"/>
        </w:rPr>
        <w:t xml:space="preserve">refinancing of existing loans proves that there is no incentive effect in addition to the explicit provisions that make this type of support incompatible with </w:t>
      </w:r>
      <w:r w:rsidR="00F74AAB" w:rsidRPr="00A95958">
        <w:rPr>
          <w:sz w:val="24"/>
        </w:rPr>
        <w:t>State aid</w:t>
      </w:r>
      <w:r w:rsidR="00B82C17" w:rsidRPr="00A95958">
        <w:rPr>
          <w:sz w:val="24"/>
        </w:rPr>
        <w:t xml:space="preserve"> rules. For example, the GBER</w:t>
      </w:r>
      <w:r w:rsidR="00B82C17" w:rsidRPr="00A95958">
        <w:rPr>
          <w:rStyle w:val="FootnoteReference"/>
          <w:szCs w:val="24"/>
          <w:lang w:eastAsia="en-GB"/>
        </w:rPr>
        <w:footnoteReference w:id="10"/>
      </w:r>
      <w:r w:rsidR="00A95958">
        <w:rPr>
          <w:sz w:val="24"/>
        </w:rPr>
        <w:t xml:space="preserve"> </w:t>
      </w:r>
      <w:r w:rsidR="00B82C17" w:rsidRPr="00A95958">
        <w:rPr>
          <w:sz w:val="24"/>
        </w:rPr>
        <w:t xml:space="preserve">defines </w:t>
      </w:r>
      <w:r w:rsidR="00CD0573" w:rsidRPr="00A95958">
        <w:rPr>
          <w:sz w:val="24"/>
        </w:rPr>
        <w:t xml:space="preserve">a </w:t>
      </w:r>
      <w:r w:rsidR="00B82C17" w:rsidRPr="00A95958">
        <w:rPr>
          <w:sz w:val="24"/>
        </w:rPr>
        <w:t xml:space="preserve">guarantee as </w:t>
      </w:r>
      <w:r w:rsidR="00CD0573" w:rsidRPr="00A95958">
        <w:rPr>
          <w:sz w:val="24"/>
        </w:rPr>
        <w:t xml:space="preserve">a </w:t>
      </w:r>
      <w:r w:rsidR="00B82C17" w:rsidRPr="00A95958">
        <w:rPr>
          <w:sz w:val="24"/>
        </w:rPr>
        <w:t xml:space="preserve">written commitment to assume responsibility for all or part of a third party's newly originated loan transactions and provides for that the refinancing of existing loans </w:t>
      </w:r>
      <w:r w:rsidR="009B546D" w:rsidRPr="00A95958">
        <w:rPr>
          <w:sz w:val="24"/>
        </w:rPr>
        <w:t xml:space="preserve">is </w:t>
      </w:r>
      <w:r w:rsidR="00B82C17" w:rsidRPr="00A95958">
        <w:rPr>
          <w:sz w:val="24"/>
        </w:rPr>
        <w:t>not</w:t>
      </w:r>
      <w:r w:rsidR="009B546D" w:rsidRPr="00A95958">
        <w:rPr>
          <w:sz w:val="24"/>
        </w:rPr>
        <w:t xml:space="preserve"> </w:t>
      </w:r>
      <w:r w:rsidR="00B82C17" w:rsidRPr="00A95958">
        <w:rPr>
          <w:sz w:val="24"/>
        </w:rPr>
        <w:t>an eligible loan in the context of this legal framework.</w:t>
      </w:r>
      <w:r w:rsidR="00A95958" w:rsidRPr="00A95958">
        <w:rPr>
          <w:sz w:val="24"/>
        </w:rPr>
        <w:t xml:space="preserve"> </w:t>
      </w:r>
    </w:p>
    <w:p w:rsidR="00B82C17" w:rsidRPr="00232FDB" w:rsidRDefault="00B82C17" w:rsidP="006F41DB">
      <w:pPr>
        <w:rPr>
          <w:rFonts w:eastAsia="Calibri"/>
          <w:bCs/>
        </w:rPr>
      </w:pPr>
      <w:r w:rsidRPr="00A95958">
        <w:t xml:space="preserve">Moreover, the Guidelines on </w:t>
      </w:r>
      <w:r w:rsidR="00F74AAB" w:rsidRPr="00A95958">
        <w:t>State aid</w:t>
      </w:r>
      <w:r w:rsidRPr="00A95958">
        <w:t xml:space="preserve"> to promote risk finance investments</w:t>
      </w:r>
      <w:r w:rsidRPr="00A95958">
        <w:rPr>
          <w:rStyle w:val="FootnoteReference"/>
          <w:szCs w:val="24"/>
          <w:lang w:eastAsia="en-GB"/>
        </w:rPr>
        <w:footnoteReference w:id="11"/>
      </w:r>
      <w:r w:rsidRPr="00A95958">
        <w:rPr>
          <w:rStyle w:val="FootnoteReference"/>
          <w:szCs w:val="24"/>
          <w:lang w:eastAsia="en-GB"/>
        </w:rPr>
        <w:t xml:space="preserve"> </w:t>
      </w:r>
      <w:r w:rsidRPr="00A95958">
        <w:t>explicitly</w:t>
      </w:r>
      <w:r w:rsidRPr="00232FDB">
        <w:rPr>
          <w:rFonts w:eastAsia="Calibri"/>
          <w:bCs/>
        </w:rPr>
        <w:t xml:space="preserve"> </w:t>
      </w:r>
      <w:r w:rsidR="00CD0573" w:rsidRPr="00232FDB">
        <w:rPr>
          <w:rFonts w:eastAsia="Calibri"/>
          <w:bCs/>
        </w:rPr>
        <w:t xml:space="preserve">states </w:t>
      </w:r>
      <w:r w:rsidRPr="00232FDB">
        <w:rPr>
          <w:rFonts w:eastAsia="Calibri"/>
          <w:bCs/>
        </w:rPr>
        <w:t>that  "if funded debt instruments are used to refinance existing loans, they are not considered to generate an incentive effect and any aid element in such instruments cannot be regarded as compatible with the internal market under Article 107(3)(c) of the Treaty"</w:t>
      </w:r>
      <w:r w:rsidR="00126C05" w:rsidRPr="00232FDB">
        <w:rPr>
          <w:rFonts w:eastAsia="Calibri"/>
          <w:bCs/>
        </w:rPr>
        <w:t>.</w:t>
      </w:r>
      <w:r w:rsidR="00E405AB" w:rsidRPr="00E405AB">
        <w:t xml:space="preserve"> </w:t>
      </w:r>
      <w:r w:rsidR="00E405AB" w:rsidRPr="00A95958">
        <w:t>In addition</w:t>
      </w:r>
      <w:r w:rsidR="00E405AB">
        <w:t xml:space="preserve"> to the lack of incentive effect, refinancing/guaranteeing </w:t>
      </w:r>
      <w:r w:rsidR="00E405AB" w:rsidRPr="00A95958">
        <w:t xml:space="preserve">an existing loan </w:t>
      </w:r>
      <w:r w:rsidR="00E405AB">
        <w:t xml:space="preserve">may also constitute State </w:t>
      </w:r>
      <w:r w:rsidR="00E405AB" w:rsidRPr="00A95958">
        <w:t xml:space="preserve">aid </w:t>
      </w:r>
      <w:r w:rsidR="00E405AB">
        <w:t xml:space="preserve">at the level of the </w:t>
      </w:r>
      <w:r w:rsidR="00E405AB" w:rsidRPr="00A95958">
        <w:t>financial intermediary</w:t>
      </w:r>
      <w:r w:rsidR="00E405AB">
        <w:t xml:space="preserve"> and consequently may require a State aid notification.</w:t>
      </w:r>
    </w:p>
    <w:p w:rsidR="00B82C17" w:rsidRPr="00232FDB" w:rsidRDefault="00AB4B35" w:rsidP="006F41DB">
      <w:pPr>
        <w:pStyle w:val="Heading1"/>
        <w:spacing w:before="0"/>
      </w:pPr>
      <w:bookmarkStart w:id="23" w:name="_Toc445141410"/>
      <w:r w:rsidRPr="00232FDB">
        <w:t>G</w:t>
      </w:r>
      <w:r w:rsidR="00B82C17" w:rsidRPr="00232FDB">
        <w:t>uarantees</w:t>
      </w:r>
      <w:bookmarkEnd w:id="23"/>
      <w:r w:rsidR="00F0114A" w:rsidRPr="00232FDB">
        <w:t xml:space="preserve"> </w:t>
      </w:r>
    </w:p>
    <w:p w:rsidR="00F0114A" w:rsidRPr="00232FDB" w:rsidRDefault="00F0114A" w:rsidP="006F41DB">
      <w:pPr>
        <w:autoSpaceDE w:val="0"/>
        <w:autoSpaceDN w:val="0"/>
        <w:adjustRightInd w:val="0"/>
        <w:rPr>
          <w:rFonts w:eastAsia="Calibri"/>
          <w:szCs w:val="24"/>
        </w:rPr>
      </w:pPr>
      <w:r w:rsidRPr="00232FDB">
        <w:rPr>
          <w:rFonts w:eastAsia="Calibri"/>
          <w:szCs w:val="24"/>
        </w:rPr>
        <w:t xml:space="preserve">There are several financial products that can be delivered through financial instruments such as </w:t>
      </w:r>
      <w:r w:rsidRPr="00232FDB">
        <w:rPr>
          <w:szCs w:val="24"/>
          <w:lang w:eastAsia="en-GB"/>
        </w:rPr>
        <w:t>equity or quasi-equity, loans and guarantees</w:t>
      </w:r>
      <w:r w:rsidRPr="00232FDB">
        <w:rPr>
          <w:rStyle w:val="FootnoteReference"/>
          <w:szCs w:val="24"/>
          <w:lang w:eastAsia="en-GB"/>
        </w:rPr>
        <w:footnoteReference w:id="12"/>
      </w:r>
      <w:r w:rsidRPr="00232FDB">
        <w:rPr>
          <w:szCs w:val="24"/>
          <w:lang w:eastAsia="en-GB"/>
        </w:rPr>
        <w:t xml:space="preserve">. </w:t>
      </w:r>
      <w:r w:rsidRPr="00232FDB">
        <w:rPr>
          <w:rFonts w:eastAsia="Calibri"/>
          <w:szCs w:val="24"/>
        </w:rPr>
        <w:t xml:space="preserve"> </w:t>
      </w:r>
    </w:p>
    <w:p w:rsidR="00F0114A" w:rsidRPr="00232FDB" w:rsidRDefault="00B82C17" w:rsidP="006F41DB">
      <w:pPr>
        <w:autoSpaceDE w:val="0"/>
        <w:autoSpaceDN w:val="0"/>
        <w:adjustRightInd w:val="0"/>
        <w:rPr>
          <w:rFonts w:eastAsia="Calibri"/>
          <w:szCs w:val="24"/>
        </w:rPr>
      </w:pPr>
      <w:r w:rsidRPr="00232FDB">
        <w:rPr>
          <w:rFonts w:eastAsia="Calibri"/>
          <w:szCs w:val="24"/>
        </w:rPr>
        <w:t>Guarantees</w:t>
      </w:r>
      <w:r w:rsidR="0091717E">
        <w:rPr>
          <w:rFonts w:eastAsia="Calibri"/>
          <w:szCs w:val="24"/>
        </w:rPr>
        <w:t xml:space="preserve"> </w:t>
      </w:r>
      <w:r w:rsidRPr="00232FDB">
        <w:rPr>
          <w:rFonts w:eastAsia="Calibri"/>
          <w:szCs w:val="24"/>
        </w:rPr>
        <w:t>are a written commitment to assume responsibility for all or part of a third party's debt or obligation if an event occurs which triggers such guarantee, such as a loan default.</w:t>
      </w:r>
      <w:r w:rsidR="00FD086A" w:rsidRPr="00232FDB">
        <w:rPr>
          <w:rFonts w:eastAsia="Calibri"/>
          <w:szCs w:val="24"/>
        </w:rPr>
        <w:t xml:space="preserve"> In other words, g</w:t>
      </w:r>
      <w:r w:rsidR="00F0114A" w:rsidRPr="00232FDB">
        <w:rPr>
          <w:rFonts w:eastAsia="Calibri"/>
          <w:szCs w:val="24"/>
        </w:rPr>
        <w:t>uarantees allow a</w:t>
      </w:r>
      <w:r w:rsidR="00FD086A" w:rsidRPr="00232FDB">
        <w:rPr>
          <w:rFonts w:eastAsia="Calibri"/>
          <w:szCs w:val="24"/>
        </w:rPr>
        <w:t xml:space="preserve"> commercial lender </w:t>
      </w:r>
      <w:r w:rsidR="00F0114A" w:rsidRPr="00232FDB">
        <w:rPr>
          <w:rFonts w:eastAsia="Calibri"/>
          <w:szCs w:val="24"/>
        </w:rPr>
        <w:t xml:space="preserve">to seek reimbursement </w:t>
      </w:r>
      <w:r w:rsidR="00FD086A" w:rsidRPr="00232FDB">
        <w:rPr>
          <w:rFonts w:eastAsia="Calibri"/>
          <w:szCs w:val="24"/>
        </w:rPr>
        <w:t xml:space="preserve">in case </w:t>
      </w:r>
      <w:r w:rsidR="00F0114A" w:rsidRPr="00232FDB">
        <w:rPr>
          <w:rFonts w:eastAsia="Calibri"/>
          <w:szCs w:val="24"/>
        </w:rPr>
        <w:t>a loan</w:t>
      </w:r>
      <w:r w:rsidR="00FD086A" w:rsidRPr="00232FDB">
        <w:rPr>
          <w:rFonts w:eastAsia="Calibri"/>
          <w:szCs w:val="24"/>
        </w:rPr>
        <w:t xml:space="preserve"> or part</w:t>
      </w:r>
      <w:r w:rsidR="00861C03" w:rsidRPr="00232FDB">
        <w:rPr>
          <w:rFonts w:eastAsia="Calibri"/>
          <w:szCs w:val="24"/>
        </w:rPr>
        <w:t xml:space="preserve"> </w:t>
      </w:r>
      <w:r w:rsidR="00FD086A" w:rsidRPr="00232FDB">
        <w:rPr>
          <w:rFonts w:eastAsia="Calibri"/>
          <w:szCs w:val="24"/>
        </w:rPr>
        <w:t xml:space="preserve">of it </w:t>
      </w:r>
      <w:r w:rsidR="00F0114A" w:rsidRPr="00232FDB">
        <w:rPr>
          <w:rFonts w:eastAsia="Calibri"/>
          <w:szCs w:val="24"/>
        </w:rPr>
        <w:t>default.</w:t>
      </w:r>
    </w:p>
    <w:p w:rsidR="0085095E" w:rsidRPr="00232FDB" w:rsidRDefault="0085095E" w:rsidP="0085095E">
      <w:pPr>
        <w:autoSpaceDE w:val="0"/>
        <w:autoSpaceDN w:val="0"/>
        <w:adjustRightInd w:val="0"/>
        <w:rPr>
          <w:rFonts w:eastAsia="Calibri"/>
          <w:szCs w:val="24"/>
        </w:rPr>
      </w:pPr>
      <w:r w:rsidRPr="00232FDB">
        <w:rPr>
          <w:rFonts w:eastAsia="Calibri"/>
          <w:szCs w:val="24"/>
        </w:rPr>
        <w:t xml:space="preserve">ESI </w:t>
      </w:r>
      <w:r w:rsidR="00226CB1">
        <w:rPr>
          <w:rFonts w:eastAsia="Calibri"/>
          <w:szCs w:val="24"/>
        </w:rPr>
        <w:t>F</w:t>
      </w:r>
      <w:r w:rsidRPr="00232FDB">
        <w:rPr>
          <w:rFonts w:eastAsia="Calibri"/>
          <w:szCs w:val="24"/>
        </w:rPr>
        <w:t xml:space="preserve">unds Financial instruments operate under market failures (as identified in the ex-ante assessment) meaning that without an ESI Fund programme guarantee the loan would not have been disbursed. Consequently an ESI Fund programme guarantee is the trigger of a commercial loan. In case of ESI Fund programme guarantees, the eligibility rules should be applied to the entire loan (portfolio) supported with the guarantee. Such a requirement is linked to the nature of the guarantee and universality of the loan (portfolio). Indeed, at the moment of committing the guarantee, it is not possible to predict which (and if any at all) part of the loan (portfolio) will default and be written off and eventually covered by the ESI Fund programme guarantee. </w:t>
      </w:r>
    </w:p>
    <w:p w:rsidR="00B82C17" w:rsidRPr="00232FDB" w:rsidRDefault="00B82C17" w:rsidP="006F41DB">
      <w:pPr>
        <w:pStyle w:val="CM1"/>
        <w:spacing w:after="240"/>
        <w:jc w:val="both"/>
        <w:rPr>
          <w:rFonts w:ascii="Times New Roman" w:eastAsia="Calibri" w:hAnsi="Times New Roman"/>
          <w:lang w:eastAsia="en-US"/>
        </w:rPr>
      </w:pPr>
      <w:r w:rsidRPr="00232FDB">
        <w:rPr>
          <w:rFonts w:ascii="Times New Roman" w:eastAsia="Calibri" w:hAnsi="Times New Roman"/>
          <w:lang w:eastAsia="en-US"/>
        </w:rPr>
        <w:t>As provided for in Article 42(1)(b) CPR, the eligible expenditure for ESI</w:t>
      </w:r>
      <w:r w:rsidR="00A41621" w:rsidRPr="00232FDB">
        <w:rPr>
          <w:rFonts w:ascii="Times New Roman" w:eastAsia="Calibri" w:hAnsi="Times New Roman"/>
          <w:lang w:eastAsia="en-US"/>
        </w:rPr>
        <w:t xml:space="preserve"> </w:t>
      </w:r>
      <w:r w:rsidRPr="00232FDB">
        <w:rPr>
          <w:rFonts w:ascii="Times New Roman" w:eastAsia="Calibri" w:hAnsi="Times New Roman"/>
          <w:lang w:eastAsia="en-US"/>
        </w:rPr>
        <w:t>F</w:t>
      </w:r>
      <w:r w:rsidR="00A41621" w:rsidRPr="00232FDB">
        <w:rPr>
          <w:rFonts w:ascii="Times New Roman" w:eastAsia="Calibri" w:hAnsi="Times New Roman"/>
          <w:lang w:eastAsia="en-US"/>
        </w:rPr>
        <w:t xml:space="preserve">und </w:t>
      </w:r>
      <w:r w:rsidRPr="00232FDB">
        <w:rPr>
          <w:rFonts w:ascii="Times New Roman" w:eastAsia="Calibri" w:hAnsi="Times New Roman"/>
          <w:lang w:eastAsia="en-US"/>
        </w:rPr>
        <w:t>programme guarantees is the total of the amounts committed as guarantees</w:t>
      </w:r>
      <w:r w:rsidR="00BB211D" w:rsidRPr="00232FDB">
        <w:rPr>
          <w:rFonts w:ascii="Times New Roman" w:eastAsia="Calibri" w:hAnsi="Times New Roman"/>
          <w:lang w:eastAsia="en-US"/>
        </w:rPr>
        <w:t xml:space="preserve"> (whether outstanding or already come to maturity)</w:t>
      </w:r>
      <w:r w:rsidRPr="00232FDB">
        <w:rPr>
          <w:rFonts w:ascii="Times New Roman" w:eastAsia="Calibri" w:hAnsi="Times New Roman"/>
          <w:lang w:eastAsia="en-US"/>
        </w:rPr>
        <w:t xml:space="preserve">, i.e. </w:t>
      </w:r>
      <w:r w:rsidRPr="000D0059">
        <w:rPr>
          <w:rFonts w:ascii="Times New Roman" w:eastAsia="Calibri" w:hAnsi="Times New Roman"/>
          <w:u w:val="single"/>
          <w:lang w:eastAsia="en-US"/>
        </w:rPr>
        <w:t>the amount of the programme contribution set aside</w:t>
      </w:r>
      <w:r w:rsidRPr="00232FDB">
        <w:rPr>
          <w:rFonts w:ascii="Times New Roman" w:eastAsia="Calibri" w:hAnsi="Times New Roman"/>
          <w:lang w:eastAsia="en-US"/>
        </w:rPr>
        <w:t xml:space="preserve"> to cover expected and unexpected losses, calculated on the basis of a prudent ex-ante risk assessment and </w:t>
      </w:r>
      <w:r w:rsidRPr="000D0059">
        <w:rPr>
          <w:rFonts w:ascii="Times New Roman" w:eastAsia="Calibri" w:hAnsi="Times New Roman"/>
          <w:u w:val="single"/>
          <w:lang w:eastAsia="en-US"/>
        </w:rPr>
        <w:t>covering a multiple amount of underlying new loans</w:t>
      </w:r>
      <w:r w:rsidRPr="00232FDB">
        <w:rPr>
          <w:rFonts w:ascii="Times New Roman" w:eastAsia="Calibri" w:hAnsi="Times New Roman"/>
          <w:lang w:eastAsia="en-US"/>
        </w:rPr>
        <w:t xml:space="preserve"> or other risk-bearing instruments for new investments in final recipients and covered by those guarantees. </w:t>
      </w:r>
    </w:p>
    <w:p w:rsidR="00B82C17" w:rsidRPr="00232FDB" w:rsidRDefault="00B82C17" w:rsidP="006F41DB">
      <w:pPr>
        <w:pStyle w:val="CM1"/>
        <w:spacing w:after="240"/>
        <w:jc w:val="both"/>
        <w:rPr>
          <w:rFonts w:ascii="Times New Roman" w:eastAsia="Calibri" w:hAnsi="Times New Roman"/>
          <w:lang w:eastAsia="en-US"/>
        </w:rPr>
      </w:pPr>
      <w:r w:rsidRPr="00232FDB">
        <w:rPr>
          <w:rFonts w:ascii="Times New Roman" w:eastAsia="Calibri" w:hAnsi="Times New Roman"/>
          <w:lang w:eastAsia="en-US"/>
        </w:rPr>
        <w:t xml:space="preserve">The </w:t>
      </w:r>
      <w:r w:rsidR="00C624BE" w:rsidRPr="00232FDB">
        <w:rPr>
          <w:rFonts w:ascii="Times New Roman" w:eastAsia="Calibri" w:hAnsi="Times New Roman"/>
          <w:lang w:eastAsia="en-US"/>
        </w:rPr>
        <w:t xml:space="preserve">resources committed for </w:t>
      </w:r>
      <w:r w:rsidRPr="00232FDB">
        <w:rPr>
          <w:rFonts w:ascii="Times New Roman" w:eastAsia="Calibri" w:hAnsi="Times New Roman"/>
          <w:lang w:eastAsia="en-US"/>
        </w:rPr>
        <w:t xml:space="preserve">guarantees are eligible </w:t>
      </w:r>
      <w:r w:rsidR="00861C03" w:rsidRPr="00232FDB">
        <w:rPr>
          <w:rFonts w:ascii="Times New Roman" w:eastAsia="Calibri" w:hAnsi="Times New Roman"/>
          <w:lang w:eastAsia="en-US"/>
        </w:rPr>
        <w:t>once the underlying loan is disbursed and the corresponding guarantee is issued, r</w:t>
      </w:r>
      <w:r w:rsidRPr="00232FDB">
        <w:rPr>
          <w:rFonts w:ascii="Times New Roman" w:eastAsia="Calibri" w:hAnsi="Times New Roman"/>
          <w:lang w:eastAsia="en-US"/>
        </w:rPr>
        <w:t xml:space="preserve">egardless of the guarantee being still outstanding </w:t>
      </w:r>
      <w:r w:rsidR="00861C03" w:rsidRPr="00232FDB">
        <w:rPr>
          <w:rFonts w:ascii="Times New Roman" w:eastAsia="Calibri" w:hAnsi="Times New Roman"/>
          <w:lang w:eastAsia="en-US"/>
        </w:rPr>
        <w:t xml:space="preserve">(at closure) </w:t>
      </w:r>
      <w:r w:rsidRPr="00232FDB">
        <w:rPr>
          <w:rFonts w:ascii="Times New Roman" w:eastAsia="Calibri" w:hAnsi="Times New Roman"/>
          <w:lang w:eastAsia="en-US"/>
        </w:rPr>
        <w:t xml:space="preserve">or having come to maturity and regardless of the guarantee having been called or not, meaning regardless of default or not of the underlying loans.  </w:t>
      </w:r>
      <w:r w:rsidRPr="00232FDB">
        <w:rPr>
          <w:rFonts w:ascii="Times New Roman" w:eastAsia="Calibri" w:hAnsi="Times New Roman"/>
          <w:lang w:eastAsia="en-US"/>
        </w:rPr>
        <w:lastRenderedPageBreak/>
        <w:t xml:space="preserve">This means that even if there is no default of the underlying loans the </w:t>
      </w:r>
      <w:r w:rsidR="00C624BE" w:rsidRPr="00232FDB">
        <w:rPr>
          <w:rFonts w:ascii="Times New Roman" w:eastAsia="Calibri" w:hAnsi="Times New Roman"/>
          <w:lang w:eastAsia="en-US"/>
        </w:rPr>
        <w:t xml:space="preserve">resources committed to guarantee them </w:t>
      </w:r>
      <w:r w:rsidRPr="00232FDB">
        <w:rPr>
          <w:rFonts w:ascii="Times New Roman" w:eastAsia="Calibri" w:hAnsi="Times New Roman"/>
          <w:lang w:eastAsia="en-US"/>
        </w:rPr>
        <w:t xml:space="preserve">are still eligible. Once the guarantees </w:t>
      </w:r>
      <w:r w:rsidR="00BB211D" w:rsidRPr="00232FDB">
        <w:rPr>
          <w:rFonts w:ascii="Times New Roman" w:eastAsia="Calibri" w:hAnsi="Times New Roman"/>
          <w:lang w:eastAsia="en-US"/>
        </w:rPr>
        <w:t>come to maturity</w:t>
      </w:r>
      <w:r w:rsidRPr="00232FDB">
        <w:rPr>
          <w:rFonts w:ascii="Times New Roman" w:eastAsia="Calibri" w:hAnsi="Times New Roman"/>
          <w:lang w:eastAsia="en-US"/>
        </w:rPr>
        <w:t>, the amounts can be reused for more guarantees ensuring the revolving effect of the financial instrument</w:t>
      </w:r>
      <w:r w:rsidR="007E249C" w:rsidRPr="00232FDB">
        <w:rPr>
          <w:rFonts w:ascii="Times New Roman" w:eastAsia="Calibri" w:hAnsi="Times New Roman"/>
          <w:lang w:eastAsia="en-US"/>
        </w:rPr>
        <w:t>.</w:t>
      </w:r>
    </w:p>
    <w:p w:rsidR="00FD086A" w:rsidRPr="00232FDB" w:rsidRDefault="00B82C17" w:rsidP="00A23E38">
      <w:r w:rsidRPr="00232FDB">
        <w:rPr>
          <w:rFonts w:eastAsia="Calibri"/>
          <w:szCs w:val="24"/>
        </w:rPr>
        <w:t xml:space="preserve">The ratio between </w:t>
      </w:r>
      <w:r w:rsidR="00FD086A" w:rsidRPr="00232FDB">
        <w:rPr>
          <w:rFonts w:eastAsia="Calibri"/>
          <w:szCs w:val="24"/>
        </w:rPr>
        <w:t>1) the value of disbursed new loans or other risk sharing instruments and 2</w:t>
      </w:r>
      <w:r w:rsidRPr="00232FDB">
        <w:rPr>
          <w:rFonts w:eastAsia="Calibri"/>
          <w:szCs w:val="24"/>
        </w:rPr>
        <w:t xml:space="preserve">) the amount of the corresponding programme contribution set aside/committed to cover expected and unexpected losses from new loans or other risk sharing instruments </w:t>
      </w:r>
      <w:r w:rsidR="00FD086A" w:rsidRPr="00232FDB">
        <w:rPr>
          <w:rFonts w:eastAsia="Calibri"/>
          <w:szCs w:val="24"/>
        </w:rPr>
        <w:t xml:space="preserve">is </w:t>
      </w:r>
      <w:r w:rsidR="00C624BE" w:rsidRPr="00232FDB">
        <w:rPr>
          <w:rFonts w:eastAsia="Calibri"/>
          <w:szCs w:val="24"/>
        </w:rPr>
        <w:t xml:space="preserve">defined </w:t>
      </w:r>
      <w:r w:rsidRPr="00232FDB">
        <w:rPr>
          <w:rFonts w:eastAsia="Calibri"/>
          <w:szCs w:val="24"/>
        </w:rPr>
        <w:t xml:space="preserve">as </w:t>
      </w:r>
      <w:r w:rsidRPr="00232FDB">
        <w:rPr>
          <w:rFonts w:eastAsia="Calibri"/>
          <w:szCs w:val="24"/>
          <w:u w:val="single"/>
        </w:rPr>
        <w:t>multiplier</w:t>
      </w:r>
      <w:r w:rsidR="00C624BE" w:rsidRPr="00232FDB">
        <w:rPr>
          <w:rFonts w:eastAsia="Calibri"/>
          <w:szCs w:val="24"/>
        </w:rPr>
        <w:t xml:space="preserve"> (Article 8</w:t>
      </w:r>
      <w:r w:rsidR="00BA3701">
        <w:rPr>
          <w:rFonts w:eastAsia="Calibri"/>
          <w:szCs w:val="24"/>
        </w:rPr>
        <w:t>(a)</w:t>
      </w:r>
      <w:r w:rsidR="00C624BE" w:rsidRPr="00232FDB">
        <w:rPr>
          <w:rFonts w:eastAsia="Calibri"/>
          <w:szCs w:val="24"/>
        </w:rPr>
        <w:t xml:space="preserve"> CDR)</w:t>
      </w:r>
      <w:r w:rsidRPr="00232FDB">
        <w:rPr>
          <w:rFonts w:eastAsia="Calibri"/>
          <w:szCs w:val="24"/>
        </w:rPr>
        <w:t xml:space="preserve">. </w:t>
      </w:r>
      <w:r w:rsidR="00FD086A" w:rsidRPr="00232FDB">
        <w:t xml:space="preserve">Depending on the underlying funding structure of a financial instrument, a guarantee can be more effective than a loan as it </w:t>
      </w:r>
      <w:r w:rsidR="00984587" w:rsidRPr="00232FDB">
        <w:t xml:space="preserve">may </w:t>
      </w:r>
      <w:r w:rsidR="00FD086A" w:rsidRPr="00232FDB">
        <w:t>provide greater value-added and requires lower capital charges, due to its multiplier effect. The multiplier allows measuring the impact of programme resources in the financing provided to final recipients.</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8"/>
      </w:tblGrid>
      <w:tr w:rsidR="00C017C0" w:rsidRPr="00232FDB" w:rsidTr="00A23E38">
        <w:trPr>
          <w:trHeight w:val="1932"/>
        </w:trPr>
        <w:tc>
          <w:tcPr>
            <w:tcW w:w="8784" w:type="dxa"/>
            <w:vAlign w:val="center"/>
          </w:tcPr>
          <w:p w:rsidR="00441A1C" w:rsidRPr="00232FDB" w:rsidRDefault="00441A1C" w:rsidP="00441A1C">
            <w:pPr>
              <w:spacing w:after="0"/>
              <w:ind w:left="2160"/>
              <w:rPr>
                <w:b/>
              </w:rPr>
            </w:pPr>
            <w:r w:rsidRPr="00232FDB">
              <w:rPr>
                <w:b/>
              </w:rPr>
              <w:t>The value of the disbursed new loans/other risk-sharing instruments</w:t>
            </w:r>
          </w:p>
          <w:p w:rsidR="00441A1C" w:rsidRPr="00232FDB" w:rsidRDefault="00441A1C" w:rsidP="00441A1C">
            <w:pPr>
              <w:spacing w:after="0"/>
              <w:jc w:val="left"/>
              <w:rPr>
                <w:b/>
                <w:u w:val="single"/>
              </w:rPr>
            </w:pPr>
            <w:r w:rsidRPr="00232FDB">
              <w:rPr>
                <w:b/>
              </w:rPr>
              <w:t>Multiplier ratio = --------------------------------------------------------------------------------</w:t>
            </w:r>
          </w:p>
          <w:p w:rsidR="00C017C0" w:rsidRPr="00232FDB" w:rsidRDefault="00441A1C" w:rsidP="00A23E38">
            <w:pPr>
              <w:spacing w:after="0"/>
              <w:ind w:left="2160"/>
              <w:rPr>
                <w:b/>
              </w:rPr>
            </w:pPr>
            <w:r w:rsidRPr="00232FDB">
              <w:rPr>
                <w:b/>
              </w:rPr>
              <w:t>The programme contribution set aside to cover expected and unexpected losses from new loans/other risk-sharing instruments to be covered by the guarantees</w:t>
            </w:r>
          </w:p>
        </w:tc>
      </w:tr>
    </w:tbl>
    <w:p w:rsidR="00A23E38" w:rsidRPr="00232FDB" w:rsidRDefault="00A23E38" w:rsidP="00F85D73">
      <w:pPr>
        <w:rPr>
          <w:rFonts w:eastAsia="Calibri"/>
          <w:szCs w:val="24"/>
        </w:rPr>
      </w:pPr>
    </w:p>
    <w:p w:rsidR="00F85D73" w:rsidRPr="00232FDB" w:rsidRDefault="00B82C17" w:rsidP="00F85D73">
      <w:pPr>
        <w:autoSpaceDE w:val="0"/>
        <w:autoSpaceDN w:val="0"/>
        <w:adjustRightInd w:val="0"/>
        <w:spacing w:after="0"/>
        <w:rPr>
          <w:szCs w:val="24"/>
          <w:lang w:eastAsia="en-GB"/>
        </w:rPr>
      </w:pPr>
      <w:r w:rsidRPr="00232FDB">
        <w:rPr>
          <w:rFonts w:eastAsia="Calibri"/>
          <w:szCs w:val="24"/>
        </w:rPr>
        <w:t>As provided for in Article 8 CDR, the multiplier ratio should be established through a prudent ex-ante risk assessment</w:t>
      </w:r>
      <w:r w:rsidR="00C04EEF">
        <w:rPr>
          <w:rFonts w:eastAsia="Calibri"/>
          <w:szCs w:val="24"/>
        </w:rPr>
        <w:t xml:space="preserve"> </w:t>
      </w:r>
      <w:r w:rsidRPr="00232FDB">
        <w:rPr>
          <w:rFonts w:eastAsia="Calibri"/>
          <w:szCs w:val="24"/>
        </w:rPr>
        <w:t xml:space="preserve">for the specific guarantee product to be offered, </w:t>
      </w:r>
      <w:r w:rsidR="00A23E38" w:rsidRPr="00232FDB">
        <w:t xml:space="preserve">in order to ensure sound financial management of resources. </w:t>
      </w:r>
      <w:r w:rsidR="00F85D73" w:rsidRPr="00232FDB">
        <w:t xml:space="preserve">The establishment of an adequate multiplier is </w:t>
      </w:r>
      <w:r w:rsidR="00F85D73" w:rsidRPr="00232FDB">
        <w:rPr>
          <w:szCs w:val="24"/>
          <w:lang w:eastAsia="en-GB"/>
        </w:rPr>
        <w:t>indeed inherent in the nature and objectives of guarantee products.</w:t>
      </w:r>
    </w:p>
    <w:p w:rsidR="00F85D73" w:rsidRPr="00232FDB" w:rsidRDefault="00F85D73" w:rsidP="00F85D73">
      <w:pPr>
        <w:autoSpaceDE w:val="0"/>
        <w:autoSpaceDN w:val="0"/>
        <w:adjustRightInd w:val="0"/>
        <w:spacing w:after="0"/>
        <w:rPr>
          <w:szCs w:val="24"/>
          <w:lang w:eastAsia="en-GB"/>
        </w:rPr>
      </w:pPr>
    </w:p>
    <w:p w:rsidR="00A23E38" w:rsidRPr="00232FDB" w:rsidRDefault="00A23E38" w:rsidP="00A23E38">
      <w:r w:rsidRPr="00232FDB">
        <w:t xml:space="preserve">The ex-ante risk assessment should reflect in particular the specific market conditions (for example, the statistics on the rate of defaulted loans in the MS for the sector concerned), the investment strategy of the </w:t>
      </w:r>
      <w:r w:rsidR="00F85D73" w:rsidRPr="00232FDB">
        <w:t>financial instrument</w:t>
      </w:r>
      <w:r w:rsidRPr="00232FDB">
        <w:t xml:space="preserve">, </w:t>
      </w:r>
      <w:r w:rsidRPr="00232FDB">
        <w:rPr>
          <w:rFonts w:eastAsia="Calibri"/>
          <w:szCs w:val="24"/>
        </w:rPr>
        <w:t xml:space="preserve">the characteristics of the guarantee operations and of the underlying new loans and their inherent target investments </w:t>
      </w:r>
      <w:r w:rsidRPr="00232FDB">
        <w:t xml:space="preserve">and </w:t>
      </w:r>
      <w:r w:rsidRPr="00232FDB">
        <w:rPr>
          <w:rFonts w:eastAsia="Calibri"/>
          <w:szCs w:val="24"/>
        </w:rPr>
        <w:t>the principles of sound financial management</w:t>
      </w:r>
      <w:r w:rsidRPr="00232FDB">
        <w:t xml:space="preserve"> (economy, efficiency and effectiveness (e.g. in terms of correctly determining the size of the ESI Fund programme contribution compared to the amount of new loans expected and their forecasted default rate).  </w:t>
      </w:r>
    </w:p>
    <w:p w:rsidR="00F85D73" w:rsidRPr="00232FDB" w:rsidRDefault="00F85D73" w:rsidP="00F85D73">
      <w:pPr>
        <w:autoSpaceDE w:val="0"/>
        <w:autoSpaceDN w:val="0"/>
        <w:adjustRightInd w:val="0"/>
        <w:spacing w:after="0"/>
        <w:rPr>
          <w:szCs w:val="24"/>
          <w:lang w:eastAsia="en-GB"/>
        </w:rPr>
      </w:pPr>
      <w:r w:rsidRPr="00232FDB">
        <w:rPr>
          <w:szCs w:val="24"/>
          <w:lang w:eastAsia="en-GB"/>
        </w:rPr>
        <w:t>In order to achieve an optimal use of the EU scarce financial resources and in line with the principle of sound financial management, the value of the "guarantees provided" is eligible for co-financing if it reflects that the principles of sound financial management and (market) good practices have been taken into account in order to avoid over-guaranteeing (i.e. setting aside more EU financial resources for guarantees or guarantee funds than necessary to cover expected and unexpected losses from loans).</w:t>
      </w:r>
    </w:p>
    <w:p w:rsidR="004A1885" w:rsidRPr="00232FDB" w:rsidRDefault="004A1885" w:rsidP="00F85D73">
      <w:pPr>
        <w:autoSpaceDE w:val="0"/>
        <w:autoSpaceDN w:val="0"/>
        <w:adjustRightInd w:val="0"/>
        <w:spacing w:after="0"/>
        <w:rPr>
          <w:szCs w:val="24"/>
          <w:lang w:eastAsia="en-GB"/>
        </w:rPr>
      </w:pPr>
    </w:p>
    <w:p w:rsidR="00B82C17" w:rsidRDefault="00B82C17" w:rsidP="006F41DB">
      <w:pPr>
        <w:autoSpaceDE w:val="0"/>
        <w:autoSpaceDN w:val="0"/>
        <w:adjustRightInd w:val="0"/>
        <w:rPr>
          <w:rFonts w:eastAsia="Calibri"/>
          <w:szCs w:val="24"/>
        </w:rPr>
      </w:pPr>
      <w:r w:rsidRPr="00232FDB">
        <w:rPr>
          <w:rFonts w:eastAsia="Calibri"/>
          <w:szCs w:val="24"/>
        </w:rPr>
        <w:t xml:space="preserve">The ex-ante risk assessment may be reviewed where it is justified by subsequent </w:t>
      </w:r>
      <w:r w:rsidR="00A23E38" w:rsidRPr="00232FDB">
        <w:rPr>
          <w:rFonts w:eastAsia="Calibri"/>
          <w:szCs w:val="24"/>
        </w:rPr>
        <w:t xml:space="preserve">changes in </w:t>
      </w:r>
      <w:r w:rsidRPr="00232FDB">
        <w:rPr>
          <w:rFonts w:eastAsia="Calibri"/>
          <w:szCs w:val="24"/>
        </w:rPr>
        <w:t>market conditions. This means that whenever</w:t>
      </w:r>
      <w:r w:rsidR="00DF205D" w:rsidRPr="00232FDB">
        <w:rPr>
          <w:rFonts w:eastAsia="Calibri"/>
          <w:szCs w:val="24"/>
        </w:rPr>
        <w:t xml:space="preserve"> during the period of implementation of the </w:t>
      </w:r>
      <w:r w:rsidR="00DF205D" w:rsidRPr="00232FDB">
        <w:rPr>
          <w:rFonts w:eastAsia="Calibri"/>
        </w:rPr>
        <w:t xml:space="preserve">financial instrument </w:t>
      </w:r>
      <w:r w:rsidR="00DF205D" w:rsidRPr="00232FDB">
        <w:rPr>
          <w:rFonts w:eastAsia="Calibri"/>
          <w:szCs w:val="24"/>
        </w:rPr>
        <w:t xml:space="preserve">the </w:t>
      </w:r>
      <w:r w:rsidRPr="00232FDB">
        <w:rPr>
          <w:rFonts w:eastAsia="Calibri"/>
          <w:szCs w:val="24"/>
        </w:rPr>
        <w:t>market conditions become more or less favourable than initially foreseen</w:t>
      </w:r>
      <w:r w:rsidR="00DF205D" w:rsidRPr="00232FDB">
        <w:rPr>
          <w:rFonts w:eastAsia="Calibri"/>
          <w:szCs w:val="24"/>
        </w:rPr>
        <w:t xml:space="preserve">, </w:t>
      </w:r>
      <w:r w:rsidRPr="00232FDB">
        <w:rPr>
          <w:rFonts w:eastAsia="Calibri"/>
          <w:szCs w:val="24"/>
        </w:rPr>
        <w:t xml:space="preserve">the multiplier ratio </w:t>
      </w:r>
      <w:r w:rsidR="00926484" w:rsidRPr="00232FDB">
        <w:rPr>
          <w:rFonts w:eastAsia="Calibri"/>
          <w:szCs w:val="24"/>
        </w:rPr>
        <w:t xml:space="preserve">should </w:t>
      </w:r>
      <w:r w:rsidRPr="00232FDB">
        <w:rPr>
          <w:rFonts w:eastAsia="Calibri"/>
          <w:szCs w:val="24"/>
        </w:rPr>
        <w:t xml:space="preserve">be revised. However, the new multiplier will not apply retroactively to already guaranteed loans </w:t>
      </w:r>
      <w:r w:rsidR="00190F95">
        <w:rPr>
          <w:rFonts w:eastAsia="Calibri"/>
          <w:szCs w:val="24"/>
        </w:rPr>
        <w:t xml:space="preserve">which have come to their maturity date </w:t>
      </w:r>
      <w:r w:rsidR="00DF205D" w:rsidRPr="00232FDB">
        <w:rPr>
          <w:rFonts w:eastAsia="Calibri"/>
          <w:szCs w:val="24"/>
        </w:rPr>
        <w:t xml:space="preserve">but only </w:t>
      </w:r>
      <w:r w:rsidR="00926484" w:rsidRPr="00232FDB">
        <w:rPr>
          <w:rFonts w:eastAsia="Calibri"/>
          <w:szCs w:val="24"/>
        </w:rPr>
        <w:t xml:space="preserve">to </w:t>
      </w:r>
      <w:r w:rsidR="00DF205D" w:rsidRPr="00232FDB">
        <w:rPr>
          <w:rFonts w:eastAsia="Calibri"/>
          <w:szCs w:val="24"/>
        </w:rPr>
        <w:t>those which are</w:t>
      </w:r>
      <w:r w:rsidRPr="00232FDB">
        <w:rPr>
          <w:rFonts w:eastAsia="Calibri"/>
          <w:szCs w:val="24"/>
        </w:rPr>
        <w:t xml:space="preserve"> outstanding</w:t>
      </w:r>
      <w:r w:rsidR="00DF205D" w:rsidRPr="00232FDB">
        <w:rPr>
          <w:rFonts w:eastAsia="Calibri"/>
          <w:szCs w:val="24"/>
        </w:rPr>
        <w:t xml:space="preserve">, i.e. </w:t>
      </w:r>
      <w:r w:rsidR="00926484" w:rsidRPr="00232FDB">
        <w:rPr>
          <w:rFonts w:eastAsia="Calibri"/>
          <w:szCs w:val="24"/>
        </w:rPr>
        <w:t xml:space="preserve">the part of the loan </w:t>
      </w:r>
      <w:r w:rsidR="00DF205D" w:rsidRPr="00232FDB">
        <w:rPr>
          <w:rFonts w:eastAsia="Calibri"/>
          <w:szCs w:val="24"/>
        </w:rPr>
        <w:t>still t</w:t>
      </w:r>
      <w:r w:rsidRPr="00232FDB">
        <w:rPr>
          <w:rFonts w:eastAsia="Calibri"/>
          <w:szCs w:val="24"/>
        </w:rPr>
        <w:t>o be repaid by the final recipients but only if justified in the revised ex-ante risk assessment</w:t>
      </w:r>
      <w:r w:rsidR="00DF205D" w:rsidRPr="00232FDB">
        <w:rPr>
          <w:rFonts w:eastAsia="Calibri"/>
          <w:szCs w:val="24"/>
        </w:rPr>
        <w:t xml:space="preserve">. Thus, </w:t>
      </w:r>
      <w:r w:rsidRPr="00232FDB">
        <w:rPr>
          <w:rFonts w:eastAsia="Calibri"/>
          <w:szCs w:val="24"/>
        </w:rPr>
        <w:t>the guarantees that have already come to maturity cannot be affected by the recalculation of the multiplier and therefore do not affect retroactively the calculation of the eligible expenditure. The new multiplier will also apply to the new guaranteed loans disbursed after the revision of the ex-ante risk assessment.</w:t>
      </w:r>
    </w:p>
    <w:p w:rsidR="00993ADC" w:rsidRPr="00232FDB" w:rsidRDefault="00993ADC" w:rsidP="006F41DB">
      <w:pPr>
        <w:autoSpaceDE w:val="0"/>
        <w:autoSpaceDN w:val="0"/>
        <w:adjustRightInd w:val="0"/>
        <w:rPr>
          <w:rFonts w:eastAsia="Calibri"/>
          <w:szCs w:val="24"/>
        </w:rPr>
      </w:pPr>
    </w:p>
    <w:p w:rsidR="00C33305" w:rsidRPr="00232FDB" w:rsidRDefault="00DF205D"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b/>
          <w:szCs w:val="24"/>
        </w:rPr>
      </w:pPr>
      <w:r w:rsidRPr="00232FDB">
        <w:rPr>
          <w:rFonts w:eastAsia="Calibri"/>
          <w:b/>
          <w:szCs w:val="24"/>
        </w:rPr>
        <w:lastRenderedPageBreak/>
        <w:t xml:space="preserve">Example: </w:t>
      </w:r>
      <w:r w:rsidR="00EE4E1E" w:rsidRPr="00232FDB">
        <w:rPr>
          <w:rFonts w:eastAsia="Calibri"/>
          <w:b/>
          <w:szCs w:val="24"/>
        </w:rPr>
        <w:t xml:space="preserve">Calculation </w:t>
      </w:r>
      <w:r w:rsidR="00B82C17" w:rsidRPr="00232FDB">
        <w:rPr>
          <w:rFonts w:eastAsia="Calibri"/>
          <w:b/>
          <w:szCs w:val="24"/>
        </w:rPr>
        <w:t>of multiplier</w:t>
      </w:r>
      <w:r w:rsidR="00EE4E1E" w:rsidRPr="00232FDB">
        <w:rPr>
          <w:rFonts w:eastAsia="Calibri"/>
          <w:b/>
          <w:szCs w:val="24"/>
        </w:rPr>
        <w:t xml:space="preserve"> for the off-the-shelf financial instrument "Capped Portfolio Guarantee"</w:t>
      </w:r>
    </w:p>
    <w:p w:rsidR="00C33305" w:rsidRPr="00232FDB" w:rsidRDefault="00C33305"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 xml:space="preserve">The off-the-shelf financial instrument "Capped Portfolio Guarantee" </w:t>
      </w:r>
      <w:r w:rsidR="00441A1C" w:rsidRPr="00232FDB">
        <w:rPr>
          <w:rFonts w:eastAsia="Calibri"/>
          <w:szCs w:val="24"/>
        </w:rPr>
        <w:t xml:space="preserve">set </w:t>
      </w:r>
      <w:r w:rsidR="005B5D2D" w:rsidRPr="00232FDB">
        <w:rPr>
          <w:rFonts w:eastAsia="Calibri"/>
          <w:szCs w:val="24"/>
        </w:rPr>
        <w:t>out</w:t>
      </w:r>
      <w:r w:rsidRPr="00232FDB">
        <w:rPr>
          <w:rFonts w:eastAsia="Calibri"/>
          <w:szCs w:val="24"/>
        </w:rPr>
        <w:t xml:space="preserve"> in Regulation No 964/2014</w:t>
      </w:r>
      <w:r w:rsidRPr="00232FDB">
        <w:rPr>
          <w:rStyle w:val="FootnoteReference"/>
          <w:rFonts w:eastAsia="Calibri"/>
        </w:rPr>
        <w:footnoteReference w:id="13"/>
      </w:r>
      <w:r w:rsidRPr="00232FDB">
        <w:rPr>
          <w:rStyle w:val="FootnoteReference"/>
          <w:rFonts w:eastAsia="Calibri"/>
        </w:rPr>
        <w:t xml:space="preserve"> </w:t>
      </w:r>
      <w:r w:rsidRPr="00232FDB">
        <w:rPr>
          <w:rFonts w:eastAsia="Calibri"/>
          <w:szCs w:val="24"/>
        </w:rPr>
        <w:t>provides credit risk coverage on a loan by loan basis up to a guarantee rate of maximum 80%, for the creation of a portfolio of new loans to the small and medium-sized enterprises</w:t>
      </w:r>
      <w:r w:rsidR="007E555A" w:rsidRPr="00232FDB">
        <w:rPr>
          <w:rFonts w:eastAsia="Calibri"/>
          <w:szCs w:val="24"/>
        </w:rPr>
        <w:t>,</w:t>
      </w:r>
      <w:r w:rsidRPr="00232FDB">
        <w:rPr>
          <w:rFonts w:eastAsia="Calibri"/>
          <w:szCs w:val="24"/>
        </w:rPr>
        <w:t xml:space="preserve"> up to a maximum loss amount fixed by the guarantee cap rate which </w:t>
      </w:r>
      <w:r w:rsidR="009B546D" w:rsidRPr="00232FDB">
        <w:rPr>
          <w:rFonts w:eastAsia="Calibri"/>
          <w:szCs w:val="24"/>
        </w:rPr>
        <w:t xml:space="preserve">must </w:t>
      </w:r>
      <w:r w:rsidRPr="00232FDB">
        <w:rPr>
          <w:rFonts w:eastAsia="Calibri"/>
          <w:szCs w:val="24"/>
        </w:rPr>
        <w:t xml:space="preserve">not exceed 25% of the risk exposure at portfolio level. </w:t>
      </w:r>
      <w:r w:rsidR="008163C9" w:rsidRPr="00232FDB">
        <w:rPr>
          <w:rFonts w:eastAsia="Calibri"/>
          <w:szCs w:val="24"/>
        </w:rPr>
        <w:t xml:space="preserve"> </w:t>
      </w:r>
      <w:r w:rsidR="00B70B6E" w:rsidRPr="00232FDB">
        <w:rPr>
          <w:rFonts w:eastAsia="Calibri"/>
          <w:szCs w:val="24"/>
        </w:rPr>
        <w:t>The terms and conditions of this financial instrument provide for that</w:t>
      </w:r>
      <w:r w:rsidR="007E555A" w:rsidRPr="00232FDB">
        <w:rPr>
          <w:rFonts w:eastAsia="Calibri"/>
          <w:szCs w:val="24"/>
        </w:rPr>
        <w:t>, consequently,</w:t>
      </w:r>
      <w:r w:rsidR="00B70B6E" w:rsidRPr="00232FDB">
        <w:rPr>
          <w:rFonts w:eastAsia="Calibri"/>
          <w:szCs w:val="24"/>
        </w:rPr>
        <w:t xml:space="preserve"> t</w:t>
      </w:r>
      <w:r w:rsidRPr="00232FDB">
        <w:rPr>
          <w:rFonts w:eastAsia="Calibri"/>
          <w:szCs w:val="24"/>
        </w:rPr>
        <w:t xml:space="preserve">he multiplier ratio </w:t>
      </w:r>
      <w:r w:rsidR="00FD086A" w:rsidRPr="00232FDB">
        <w:rPr>
          <w:rFonts w:eastAsia="Calibri"/>
          <w:szCs w:val="24"/>
        </w:rPr>
        <w:t xml:space="preserve">should be no less than </w:t>
      </w:r>
      <w:r w:rsidR="00585747" w:rsidRPr="00232FDB">
        <w:rPr>
          <w:rFonts w:eastAsia="Calibri"/>
          <w:szCs w:val="24"/>
        </w:rPr>
        <w:t>5</w:t>
      </w:r>
      <w:r w:rsidRPr="00232FDB">
        <w:rPr>
          <w:rFonts w:eastAsia="Calibri"/>
          <w:szCs w:val="24"/>
        </w:rPr>
        <w:t xml:space="preserve">. </w:t>
      </w:r>
    </w:p>
    <w:p w:rsidR="00CE6874" w:rsidRPr="00232FDB" w:rsidRDefault="001E4B8A"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In a</w:t>
      </w:r>
      <w:r w:rsidR="00A41621" w:rsidRPr="00232FDB">
        <w:rPr>
          <w:rFonts w:eastAsia="Calibri"/>
          <w:szCs w:val="24"/>
        </w:rPr>
        <w:t xml:space="preserve">n example </w:t>
      </w:r>
      <w:r w:rsidR="00B82C17" w:rsidRPr="00232FDB">
        <w:rPr>
          <w:rFonts w:eastAsia="Calibri"/>
          <w:szCs w:val="24"/>
        </w:rPr>
        <w:t>scenario</w:t>
      </w:r>
      <w:r w:rsidR="00CE6874" w:rsidRPr="00232FDB">
        <w:rPr>
          <w:rStyle w:val="FootnoteReference"/>
          <w:rFonts w:eastAsia="Calibri"/>
          <w:szCs w:val="24"/>
        </w:rPr>
        <w:footnoteReference w:id="14"/>
      </w:r>
      <w:r w:rsidR="00B82C17" w:rsidRPr="00232FDB">
        <w:rPr>
          <w:rFonts w:eastAsia="Calibri"/>
          <w:szCs w:val="24"/>
        </w:rPr>
        <w:t xml:space="preserve"> where</w:t>
      </w:r>
      <w:r w:rsidRPr="00232FDB">
        <w:rPr>
          <w:rFonts w:eastAsia="Calibri"/>
          <w:szCs w:val="24"/>
        </w:rPr>
        <w:t xml:space="preserve"> the managing authority has decided to contribute EUR 15 million for a guarantee </w:t>
      </w:r>
      <w:r w:rsidR="00F42BA2" w:rsidRPr="00232FDB">
        <w:rPr>
          <w:rFonts w:eastAsia="Calibri"/>
          <w:szCs w:val="24"/>
        </w:rPr>
        <w:t>financial instrument in</w:t>
      </w:r>
      <w:r w:rsidR="00CE6874" w:rsidRPr="00232FDB">
        <w:rPr>
          <w:rFonts w:eastAsia="Calibri"/>
          <w:szCs w:val="24"/>
        </w:rPr>
        <w:t xml:space="preserve"> the </w:t>
      </w:r>
      <w:r w:rsidR="00F42BA2" w:rsidRPr="00232FDB">
        <w:rPr>
          <w:rFonts w:eastAsia="Calibri"/>
          <w:szCs w:val="24"/>
        </w:rPr>
        <w:t xml:space="preserve">maximum </w:t>
      </w:r>
      <w:r w:rsidR="00CE6874" w:rsidRPr="00232FDB">
        <w:rPr>
          <w:rFonts w:eastAsia="Calibri"/>
          <w:szCs w:val="24"/>
        </w:rPr>
        <w:t>conditions describe above</w:t>
      </w:r>
      <w:r w:rsidR="00F42BA2" w:rsidRPr="00232FDB">
        <w:rPr>
          <w:rFonts w:eastAsia="Calibri"/>
          <w:szCs w:val="24"/>
        </w:rPr>
        <w:t xml:space="preserve"> and as a result of the ex-ante risk assessment </w:t>
      </w:r>
      <w:r w:rsidR="00CE6874" w:rsidRPr="00232FDB">
        <w:rPr>
          <w:rFonts w:eastAsia="Calibri"/>
          <w:szCs w:val="24"/>
        </w:rPr>
        <w:t>(</w:t>
      </w:r>
      <w:r w:rsidR="00B82C17" w:rsidRPr="00232FDB">
        <w:rPr>
          <w:rFonts w:eastAsia="Calibri"/>
          <w:szCs w:val="24"/>
        </w:rPr>
        <w:t xml:space="preserve">guarantee rate of 80% </w:t>
      </w:r>
      <w:r w:rsidR="00CE6874" w:rsidRPr="00232FDB">
        <w:rPr>
          <w:rFonts w:eastAsia="Calibri"/>
          <w:szCs w:val="24"/>
        </w:rPr>
        <w:t xml:space="preserve">and guarantee cape rate of </w:t>
      </w:r>
      <w:r w:rsidR="00F42BA2" w:rsidRPr="00232FDB">
        <w:rPr>
          <w:rFonts w:eastAsia="Calibri"/>
          <w:szCs w:val="24"/>
        </w:rPr>
        <w:t>2</w:t>
      </w:r>
      <w:r w:rsidR="00CE6874" w:rsidRPr="00232FDB">
        <w:rPr>
          <w:rFonts w:eastAsia="Calibri"/>
          <w:szCs w:val="24"/>
        </w:rPr>
        <w:t xml:space="preserve">5%) what is the multiplier and the </w:t>
      </w:r>
      <w:r w:rsidR="00383B16" w:rsidRPr="00232FDB">
        <w:rPr>
          <w:rFonts w:eastAsia="Calibri"/>
          <w:szCs w:val="24"/>
        </w:rPr>
        <w:t>eligible expenditure</w:t>
      </w:r>
      <w:r w:rsidR="00FD086A" w:rsidRPr="00232FDB">
        <w:rPr>
          <w:rFonts w:eastAsia="Calibri"/>
          <w:szCs w:val="24"/>
        </w:rPr>
        <w:t>?</w:t>
      </w:r>
    </w:p>
    <w:p w:rsidR="00FD086A" w:rsidRPr="00232FDB" w:rsidRDefault="00FD086A"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Multiplier = 1/Guarantee rate*1/Guarantee cap rate</w:t>
      </w:r>
    </w:p>
    <w:p w:rsidR="00FD086A" w:rsidRPr="00232FDB" w:rsidRDefault="00FD086A"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Multiplier</w:t>
      </w:r>
      <w:r w:rsidR="0001457C" w:rsidRPr="00232FDB">
        <w:rPr>
          <w:rFonts w:eastAsia="Calibri"/>
          <w:szCs w:val="24"/>
        </w:rPr>
        <w:t xml:space="preserve"> </w:t>
      </w:r>
      <w:r w:rsidRPr="00232FDB">
        <w:rPr>
          <w:rFonts w:eastAsia="Calibri"/>
          <w:szCs w:val="24"/>
        </w:rPr>
        <w:t>=</w:t>
      </w:r>
      <w:r w:rsidR="0001457C" w:rsidRPr="00232FDB">
        <w:rPr>
          <w:rFonts w:eastAsia="Calibri"/>
          <w:szCs w:val="24"/>
        </w:rPr>
        <w:t xml:space="preserve"> </w:t>
      </w:r>
      <w:r w:rsidRPr="00232FDB">
        <w:rPr>
          <w:rFonts w:eastAsia="Calibri"/>
          <w:szCs w:val="24"/>
        </w:rPr>
        <w:t>1/80%*1/25%</w:t>
      </w:r>
      <w:r w:rsidR="0001457C" w:rsidRPr="00232FDB">
        <w:rPr>
          <w:rFonts w:eastAsia="Calibri"/>
          <w:szCs w:val="24"/>
        </w:rPr>
        <w:t xml:space="preserve"> </w:t>
      </w:r>
      <w:r w:rsidRPr="00232FDB">
        <w:rPr>
          <w:rFonts w:eastAsia="Calibri"/>
          <w:szCs w:val="24"/>
        </w:rPr>
        <w:t>=</w:t>
      </w:r>
      <w:r w:rsidR="0001457C" w:rsidRPr="00232FDB">
        <w:rPr>
          <w:rFonts w:eastAsia="Calibri"/>
          <w:szCs w:val="24"/>
        </w:rPr>
        <w:t xml:space="preserve"> </w:t>
      </w:r>
      <w:r w:rsidRPr="00232FDB">
        <w:rPr>
          <w:rFonts w:eastAsia="Calibri"/>
          <w:szCs w:val="24"/>
        </w:rPr>
        <w:t>1.25*4</w:t>
      </w:r>
      <w:r w:rsidR="00905E8F" w:rsidRPr="00232FDB">
        <w:rPr>
          <w:rFonts w:eastAsia="Calibri"/>
          <w:szCs w:val="24"/>
        </w:rPr>
        <w:t xml:space="preserve"> </w:t>
      </w:r>
      <w:r w:rsidRPr="00232FDB">
        <w:rPr>
          <w:rFonts w:eastAsia="Calibri"/>
          <w:szCs w:val="24"/>
        </w:rPr>
        <w:t>=</w:t>
      </w:r>
      <w:r w:rsidR="00905E8F" w:rsidRPr="00232FDB">
        <w:rPr>
          <w:rFonts w:eastAsia="Calibri"/>
          <w:szCs w:val="24"/>
        </w:rPr>
        <w:t xml:space="preserve"> </w:t>
      </w:r>
      <w:r w:rsidRPr="00232FDB">
        <w:rPr>
          <w:rFonts w:eastAsia="Calibri"/>
          <w:szCs w:val="24"/>
        </w:rPr>
        <w:t>5</w:t>
      </w:r>
    </w:p>
    <w:p w:rsidR="00CE6874" w:rsidRPr="00232FDB" w:rsidRDefault="00CE6874"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Portfolio of new loans</w:t>
      </w:r>
      <w:r w:rsidR="0001457C" w:rsidRPr="00232FDB">
        <w:rPr>
          <w:rFonts w:eastAsia="Calibri"/>
          <w:szCs w:val="24"/>
        </w:rPr>
        <w:t xml:space="preserve"> </w:t>
      </w:r>
      <w:r w:rsidR="00905E8F" w:rsidRPr="00232FDB">
        <w:rPr>
          <w:rFonts w:eastAsia="Calibri"/>
          <w:szCs w:val="24"/>
        </w:rPr>
        <w:t>= E</w:t>
      </w:r>
      <w:r w:rsidRPr="00232FDB">
        <w:rPr>
          <w:rFonts w:eastAsia="Calibri"/>
          <w:szCs w:val="24"/>
        </w:rPr>
        <w:t>UR 15 Million</w:t>
      </w:r>
      <w:r w:rsidR="00905E8F" w:rsidRPr="00232FDB">
        <w:rPr>
          <w:rFonts w:eastAsia="Calibri"/>
          <w:szCs w:val="24"/>
        </w:rPr>
        <w:t xml:space="preserve">*5 = </w:t>
      </w:r>
      <w:r w:rsidRPr="00232FDB">
        <w:rPr>
          <w:rFonts w:eastAsia="Calibri"/>
          <w:szCs w:val="24"/>
        </w:rPr>
        <w:t>EUR 75 Million</w:t>
      </w:r>
    </w:p>
    <w:p w:rsidR="00905E8F" w:rsidRPr="00232FDB" w:rsidRDefault="00B82C1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Multiplier</w:t>
      </w:r>
      <w:r w:rsidR="0001457C" w:rsidRPr="00232FDB">
        <w:rPr>
          <w:rFonts w:eastAsia="Calibri"/>
          <w:szCs w:val="24"/>
        </w:rPr>
        <w:t xml:space="preserve"> </w:t>
      </w:r>
      <w:r w:rsidRPr="00232FDB">
        <w:rPr>
          <w:rFonts w:eastAsia="Calibri"/>
          <w:szCs w:val="24"/>
        </w:rPr>
        <w:t>=</w:t>
      </w:r>
      <w:r w:rsidR="0001457C" w:rsidRPr="00232FDB">
        <w:rPr>
          <w:rFonts w:eastAsia="Calibri"/>
          <w:szCs w:val="24"/>
        </w:rPr>
        <w:t xml:space="preserve"> </w:t>
      </w:r>
      <w:r w:rsidR="00905E8F" w:rsidRPr="00232FDB">
        <w:rPr>
          <w:rFonts w:eastAsia="Calibri"/>
          <w:szCs w:val="24"/>
        </w:rPr>
        <w:t>75</w:t>
      </w:r>
      <w:r w:rsidRPr="00232FDB">
        <w:rPr>
          <w:rFonts w:eastAsia="Calibri"/>
          <w:szCs w:val="24"/>
        </w:rPr>
        <w:t>/</w:t>
      </w:r>
      <w:r w:rsidR="00905E8F" w:rsidRPr="00232FDB">
        <w:rPr>
          <w:rFonts w:eastAsia="Calibri"/>
          <w:szCs w:val="24"/>
        </w:rPr>
        <w:t xml:space="preserve">15 = </w:t>
      </w:r>
      <w:r w:rsidRPr="00232FDB">
        <w:rPr>
          <w:rFonts w:eastAsia="Calibri"/>
          <w:szCs w:val="24"/>
        </w:rPr>
        <w:t xml:space="preserve">5 </w:t>
      </w:r>
      <w:r w:rsidR="00905E8F" w:rsidRPr="00232FDB">
        <w:rPr>
          <w:rFonts w:eastAsia="Calibri"/>
          <w:szCs w:val="24"/>
        </w:rPr>
        <w:t>(</w:t>
      </w:r>
      <w:r w:rsidR="003964FD" w:rsidRPr="00232FDB">
        <w:rPr>
          <w:rFonts w:eastAsia="Calibri"/>
          <w:szCs w:val="24"/>
        </w:rPr>
        <w:t xml:space="preserve">each </w:t>
      </w:r>
      <w:r w:rsidR="00383B16" w:rsidRPr="00232FDB">
        <w:rPr>
          <w:rFonts w:eastAsia="Calibri"/>
          <w:szCs w:val="24"/>
        </w:rPr>
        <w:t xml:space="preserve">EUR </w:t>
      </w:r>
      <w:r w:rsidR="003964FD" w:rsidRPr="00232FDB">
        <w:rPr>
          <w:rFonts w:eastAsia="Calibri"/>
          <w:szCs w:val="24"/>
        </w:rPr>
        <w:t xml:space="preserve">1 </w:t>
      </w:r>
      <w:r w:rsidR="00383B16" w:rsidRPr="00232FDB">
        <w:rPr>
          <w:rFonts w:eastAsia="Calibri"/>
          <w:szCs w:val="24"/>
        </w:rPr>
        <w:t>committed from programme resources generates EUR 5 of new commercial loans to final recipients</w:t>
      </w:r>
      <w:r w:rsidR="00905E8F" w:rsidRPr="00232FDB">
        <w:rPr>
          <w:rFonts w:eastAsia="Calibri"/>
          <w:szCs w:val="24"/>
        </w:rPr>
        <w:t xml:space="preserve">) </w:t>
      </w:r>
    </w:p>
    <w:p w:rsidR="00905E8F" w:rsidRPr="00232FDB" w:rsidRDefault="0058574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Assuming that all loans w</w:t>
      </w:r>
      <w:r w:rsidR="0001457C" w:rsidRPr="00232FDB">
        <w:rPr>
          <w:rFonts w:eastAsia="Calibri"/>
          <w:szCs w:val="24"/>
        </w:rPr>
        <w:t xml:space="preserve">ere disbursed, </w:t>
      </w:r>
      <w:r w:rsidRPr="00232FDB">
        <w:rPr>
          <w:rFonts w:eastAsia="Calibri"/>
          <w:szCs w:val="24"/>
        </w:rPr>
        <w:t>EUR</w:t>
      </w:r>
      <w:r w:rsidR="00F12B7D" w:rsidRPr="00232FDB">
        <w:rPr>
          <w:rFonts w:eastAsia="Calibri"/>
          <w:szCs w:val="24"/>
        </w:rPr>
        <w:t> </w:t>
      </w:r>
      <w:r w:rsidRPr="00232FDB">
        <w:rPr>
          <w:rFonts w:eastAsia="Calibri"/>
          <w:szCs w:val="24"/>
        </w:rPr>
        <w:t>15</w:t>
      </w:r>
      <w:r w:rsidR="00F12B7D" w:rsidRPr="00232FDB">
        <w:rPr>
          <w:rFonts w:eastAsia="Calibri"/>
          <w:szCs w:val="24"/>
        </w:rPr>
        <w:t> </w:t>
      </w:r>
      <w:r w:rsidRPr="00232FDB">
        <w:rPr>
          <w:rFonts w:eastAsia="Calibri"/>
          <w:szCs w:val="24"/>
        </w:rPr>
        <w:t xml:space="preserve">million of programme resources committed would </w:t>
      </w:r>
      <w:r w:rsidR="00905E8F" w:rsidRPr="00232FDB">
        <w:rPr>
          <w:rFonts w:eastAsia="Calibri"/>
          <w:szCs w:val="24"/>
        </w:rPr>
        <w:t>constitute the</w:t>
      </w:r>
      <w:r w:rsidRPr="00232FDB">
        <w:rPr>
          <w:rFonts w:eastAsia="Calibri"/>
          <w:szCs w:val="24"/>
        </w:rPr>
        <w:t xml:space="preserve"> eligible </w:t>
      </w:r>
      <w:r w:rsidR="00905E8F" w:rsidRPr="00232FDB">
        <w:rPr>
          <w:rFonts w:eastAsia="Calibri"/>
          <w:szCs w:val="24"/>
        </w:rPr>
        <w:t>expenditure of this financial instrument.</w:t>
      </w:r>
    </w:p>
    <w:p w:rsidR="003964FD" w:rsidRPr="00232FDB" w:rsidRDefault="003964FD" w:rsidP="006F41DB">
      <w:pPr>
        <w:pBdr>
          <w:top w:val="single" w:sz="4" w:space="1" w:color="auto"/>
          <w:left w:val="single" w:sz="4" w:space="4" w:color="auto"/>
          <w:bottom w:val="single" w:sz="4" w:space="1" w:color="auto"/>
          <w:right w:val="single" w:sz="4" w:space="4" w:color="auto"/>
        </w:pBdr>
        <w:autoSpaceDE w:val="0"/>
        <w:autoSpaceDN w:val="0"/>
        <w:adjustRightInd w:val="0"/>
        <w:jc w:val="left"/>
        <w:rPr>
          <w:rFonts w:eastAsia="Calibri"/>
          <w:szCs w:val="24"/>
        </w:rPr>
      </w:pPr>
      <w:r w:rsidRPr="00232FDB">
        <w:rPr>
          <w:rFonts w:eastAsia="Calibri"/>
          <w:noProof/>
          <w:szCs w:val="24"/>
          <w:lang w:eastAsia="en-GB"/>
        </w:rPr>
        <w:drawing>
          <wp:inline distT="0" distB="0" distL="0" distR="0" wp14:anchorId="2136DC9A" wp14:editId="50B9B25F">
            <wp:extent cx="5581816" cy="238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1816" cy="2381940"/>
                    </a:xfrm>
                    <a:prstGeom prst="rect">
                      <a:avLst/>
                    </a:prstGeom>
                    <a:noFill/>
                  </pic:spPr>
                </pic:pic>
              </a:graphicData>
            </a:graphic>
          </wp:inline>
        </w:drawing>
      </w:r>
    </w:p>
    <w:p w:rsidR="00F42BA2" w:rsidRPr="00232FDB" w:rsidRDefault="00F42BA2"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 xml:space="preserve">Please note also that any modification of the rates above mentioned has an impact </w:t>
      </w:r>
      <w:r w:rsidR="007E555A" w:rsidRPr="00232FDB">
        <w:rPr>
          <w:rFonts w:eastAsia="Calibri"/>
          <w:szCs w:val="24"/>
        </w:rPr>
        <w:t>o</w:t>
      </w:r>
      <w:r w:rsidRPr="00232FDB">
        <w:rPr>
          <w:rFonts w:eastAsia="Calibri"/>
          <w:szCs w:val="24"/>
        </w:rPr>
        <w:t>n the multiplier</w:t>
      </w:r>
      <w:r w:rsidR="007E555A" w:rsidRPr="00232FDB">
        <w:rPr>
          <w:rFonts w:eastAsia="Calibri"/>
          <w:szCs w:val="24"/>
        </w:rPr>
        <w:t xml:space="preserve">: The lower the guarantee rate on a loan by loan basis and/or the cap rate at the portfolio level, the higher the multiplier ratio. </w:t>
      </w:r>
      <w:r w:rsidRPr="00232FDB">
        <w:rPr>
          <w:rFonts w:eastAsia="Calibri"/>
          <w:szCs w:val="24"/>
        </w:rPr>
        <w:t>For</w:t>
      </w:r>
      <w:r w:rsidR="00A41621" w:rsidRPr="00232FDB">
        <w:rPr>
          <w:rFonts w:eastAsia="Calibri"/>
          <w:szCs w:val="24"/>
        </w:rPr>
        <w:t xml:space="preserve"> example</w:t>
      </w:r>
      <w:r w:rsidRPr="00232FDB">
        <w:rPr>
          <w:rFonts w:eastAsia="Calibri"/>
          <w:szCs w:val="24"/>
        </w:rPr>
        <w:t xml:space="preserve"> in a case where the guarantee rate is of 60%, keeping all remaining conditions above, the portfolio of new loans could be extended up to EUR 100 million</w:t>
      </w:r>
      <w:r w:rsidR="006B0347" w:rsidRPr="00232FDB">
        <w:rPr>
          <w:rFonts w:eastAsia="Calibri"/>
          <w:szCs w:val="24"/>
        </w:rPr>
        <w:t xml:space="preserve"> (multiplier of 6.66)</w:t>
      </w:r>
      <w:r w:rsidR="00905E8F" w:rsidRPr="00232FDB">
        <w:rPr>
          <w:rFonts w:eastAsia="Calibri"/>
          <w:szCs w:val="24"/>
        </w:rPr>
        <w:t>.</w:t>
      </w:r>
    </w:p>
    <w:p w:rsidR="00B82C17" w:rsidRPr="00232FDB" w:rsidRDefault="000C37E7" w:rsidP="006F41DB">
      <w:pPr>
        <w:autoSpaceDE w:val="0"/>
        <w:autoSpaceDN w:val="0"/>
        <w:adjustRightInd w:val="0"/>
        <w:rPr>
          <w:rFonts w:eastAsia="Calibri"/>
          <w:szCs w:val="24"/>
        </w:rPr>
      </w:pPr>
      <w:r w:rsidRPr="00232FDB">
        <w:rPr>
          <w:rFonts w:eastAsia="Calibri"/>
          <w:szCs w:val="24"/>
        </w:rPr>
        <w:t xml:space="preserve">The example </w:t>
      </w:r>
      <w:r w:rsidR="00B82C17" w:rsidRPr="00232FDB">
        <w:rPr>
          <w:rFonts w:eastAsia="Calibri"/>
          <w:szCs w:val="24"/>
        </w:rPr>
        <w:t xml:space="preserve">above </w:t>
      </w:r>
      <w:r w:rsidRPr="00232FDB">
        <w:rPr>
          <w:rFonts w:eastAsia="Calibri"/>
          <w:szCs w:val="24"/>
        </w:rPr>
        <w:t xml:space="preserve">is </w:t>
      </w:r>
      <w:r w:rsidR="00A41621" w:rsidRPr="00232FDB">
        <w:rPr>
          <w:rFonts w:eastAsia="Calibri"/>
          <w:szCs w:val="24"/>
        </w:rPr>
        <w:t xml:space="preserve">made </w:t>
      </w:r>
      <w:r w:rsidR="00B82C17" w:rsidRPr="00232FDB">
        <w:rPr>
          <w:rFonts w:eastAsia="Calibri"/>
          <w:szCs w:val="24"/>
        </w:rPr>
        <w:t xml:space="preserve">on the assumption that the financial intermediary has disbursed all the planned new loans. If the financial intermediary has not disbursed the </w:t>
      </w:r>
      <w:r w:rsidR="00B82C17" w:rsidRPr="00232FDB">
        <w:rPr>
          <w:rFonts w:eastAsia="Calibri"/>
          <w:szCs w:val="24"/>
        </w:rPr>
        <w:lastRenderedPageBreak/>
        <w:t xml:space="preserve">planned amount of new loans, the eligible expenditure </w:t>
      </w:r>
      <w:r w:rsidR="009B546D" w:rsidRPr="00232FDB">
        <w:rPr>
          <w:rFonts w:eastAsia="Calibri"/>
          <w:szCs w:val="24"/>
        </w:rPr>
        <w:t xml:space="preserve">must </w:t>
      </w:r>
      <w:r w:rsidR="00B82C17" w:rsidRPr="00232FDB">
        <w:rPr>
          <w:rFonts w:eastAsia="Calibri"/>
          <w:szCs w:val="24"/>
        </w:rPr>
        <w:t>be reduced proportionally. This is explained in the following example.</w:t>
      </w:r>
    </w:p>
    <w:p w:rsidR="00B82C17" w:rsidRPr="00232FDB" w:rsidRDefault="00B82C1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b/>
          <w:szCs w:val="24"/>
        </w:rPr>
      </w:pPr>
      <w:r w:rsidRPr="00232FDB">
        <w:rPr>
          <w:rFonts w:eastAsia="Calibri"/>
          <w:b/>
          <w:szCs w:val="24"/>
        </w:rPr>
        <w:t>Example</w:t>
      </w:r>
      <w:r w:rsidR="00BD0EFF" w:rsidRPr="00232FDB">
        <w:rPr>
          <w:rFonts w:eastAsia="Calibri"/>
          <w:b/>
          <w:szCs w:val="24"/>
        </w:rPr>
        <w:t xml:space="preserve"> of proportional reduction of eligible expenditure due </w:t>
      </w:r>
      <w:r w:rsidR="004A1885" w:rsidRPr="00232FDB">
        <w:rPr>
          <w:rFonts w:eastAsia="Calibri"/>
          <w:b/>
          <w:szCs w:val="24"/>
        </w:rPr>
        <w:t>t</w:t>
      </w:r>
      <w:r w:rsidR="00BD0EFF" w:rsidRPr="00232FDB">
        <w:rPr>
          <w:rFonts w:eastAsia="Calibri"/>
          <w:b/>
          <w:szCs w:val="24"/>
        </w:rPr>
        <w:t xml:space="preserve">o not reaching </w:t>
      </w:r>
      <w:r w:rsidR="00441A1C" w:rsidRPr="00232FDB">
        <w:rPr>
          <w:rFonts w:eastAsia="Calibri"/>
          <w:b/>
          <w:szCs w:val="24"/>
        </w:rPr>
        <w:t xml:space="preserve">the </w:t>
      </w:r>
      <w:r w:rsidR="00BD0EFF" w:rsidRPr="00232FDB">
        <w:rPr>
          <w:rFonts w:eastAsia="Calibri"/>
          <w:b/>
          <w:szCs w:val="24"/>
        </w:rPr>
        <w:t xml:space="preserve">target </w:t>
      </w:r>
      <w:r w:rsidR="00441A1C" w:rsidRPr="00232FDB">
        <w:rPr>
          <w:rFonts w:eastAsia="Calibri"/>
          <w:b/>
          <w:szCs w:val="24"/>
        </w:rPr>
        <w:t xml:space="preserve">for </w:t>
      </w:r>
      <w:r w:rsidR="00BD0EFF" w:rsidRPr="00232FDB">
        <w:rPr>
          <w:rFonts w:eastAsia="Calibri"/>
          <w:b/>
          <w:szCs w:val="24"/>
        </w:rPr>
        <w:t>loans</w:t>
      </w:r>
      <w:r w:rsidRPr="00232FDB">
        <w:rPr>
          <w:rFonts w:eastAsia="Calibri"/>
          <w:b/>
          <w:szCs w:val="24"/>
        </w:rPr>
        <w:t>:</w:t>
      </w:r>
    </w:p>
    <w:p w:rsidR="00B82C17" w:rsidRPr="00232FDB" w:rsidRDefault="00B82C1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 xml:space="preserve">For </w:t>
      </w:r>
      <w:r w:rsidR="000C37E7" w:rsidRPr="00232FDB">
        <w:rPr>
          <w:rFonts w:eastAsia="Calibri"/>
          <w:szCs w:val="24"/>
        </w:rPr>
        <w:t xml:space="preserve">the </w:t>
      </w:r>
      <w:r w:rsidRPr="00232FDB">
        <w:rPr>
          <w:rFonts w:eastAsia="Calibri"/>
          <w:szCs w:val="24"/>
        </w:rPr>
        <w:t>scenario</w:t>
      </w:r>
      <w:r w:rsidR="000C37E7" w:rsidRPr="00232FDB">
        <w:rPr>
          <w:rFonts w:eastAsia="Calibri"/>
          <w:szCs w:val="24"/>
        </w:rPr>
        <w:t xml:space="preserve"> </w:t>
      </w:r>
      <w:r w:rsidRPr="00232FDB">
        <w:rPr>
          <w:rFonts w:eastAsia="Calibri"/>
          <w:szCs w:val="24"/>
        </w:rPr>
        <w:t xml:space="preserve">above the initial total estimated portfolio of newly guaranteed commercial loans was of </w:t>
      </w:r>
      <w:r w:rsidR="000C37E7" w:rsidRPr="00232FDB">
        <w:rPr>
          <w:rFonts w:eastAsia="Calibri"/>
          <w:szCs w:val="24"/>
        </w:rPr>
        <w:t xml:space="preserve">EUR </w:t>
      </w:r>
      <w:r w:rsidRPr="00232FDB">
        <w:rPr>
          <w:rFonts w:eastAsia="Calibri"/>
          <w:szCs w:val="24"/>
        </w:rPr>
        <w:t>75</w:t>
      </w:r>
      <w:r w:rsidR="000C37E7" w:rsidRPr="00232FDB">
        <w:rPr>
          <w:rFonts w:eastAsia="Calibri"/>
          <w:szCs w:val="24"/>
        </w:rPr>
        <w:t xml:space="preserve"> million </w:t>
      </w:r>
      <w:r w:rsidRPr="00232FDB">
        <w:rPr>
          <w:rFonts w:eastAsia="Calibri"/>
          <w:szCs w:val="24"/>
        </w:rPr>
        <w:t xml:space="preserve">and this would require </w:t>
      </w:r>
      <w:r w:rsidR="000C37E7" w:rsidRPr="00232FDB">
        <w:rPr>
          <w:rFonts w:eastAsia="Calibri"/>
          <w:szCs w:val="24"/>
        </w:rPr>
        <w:t xml:space="preserve">EUR </w:t>
      </w:r>
      <w:r w:rsidRPr="00232FDB">
        <w:rPr>
          <w:rFonts w:eastAsia="Calibri"/>
          <w:szCs w:val="24"/>
        </w:rPr>
        <w:t>15</w:t>
      </w:r>
      <w:r w:rsidR="000C37E7" w:rsidRPr="00232FDB">
        <w:rPr>
          <w:rFonts w:eastAsia="Calibri"/>
          <w:szCs w:val="24"/>
        </w:rPr>
        <w:t xml:space="preserve"> million </w:t>
      </w:r>
      <w:r w:rsidRPr="00232FDB">
        <w:rPr>
          <w:rFonts w:eastAsia="Calibri"/>
          <w:szCs w:val="24"/>
        </w:rPr>
        <w:t xml:space="preserve">to guarantee the entire portfolio. However, by closure only </w:t>
      </w:r>
      <w:r w:rsidR="000C37E7" w:rsidRPr="00232FDB">
        <w:rPr>
          <w:rFonts w:eastAsia="Calibri"/>
          <w:szCs w:val="24"/>
        </w:rPr>
        <w:t xml:space="preserve">EUR 50 million </w:t>
      </w:r>
      <w:r w:rsidR="00585747" w:rsidRPr="00232FDB">
        <w:rPr>
          <w:rFonts w:eastAsia="Calibri"/>
          <w:szCs w:val="24"/>
        </w:rPr>
        <w:t>has</w:t>
      </w:r>
      <w:r w:rsidRPr="00232FDB">
        <w:rPr>
          <w:rFonts w:eastAsia="Calibri"/>
          <w:szCs w:val="24"/>
        </w:rPr>
        <w:t xml:space="preserve"> been disbursed as new commercial loans.</w:t>
      </w:r>
    </w:p>
    <w:p w:rsidR="00B82C17" w:rsidRPr="00232FDB" w:rsidRDefault="00B82C1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 xml:space="preserve">Consequently, the eligible expenditure at closure will be of </w:t>
      </w:r>
      <w:r w:rsidR="00A170D9" w:rsidRPr="00232FDB">
        <w:rPr>
          <w:rFonts w:eastAsia="Calibri"/>
          <w:szCs w:val="24"/>
        </w:rPr>
        <w:t>EUR 10 million</w:t>
      </w:r>
      <w:r w:rsidRPr="00232FDB">
        <w:rPr>
          <w:rFonts w:eastAsia="Calibri"/>
          <w:szCs w:val="24"/>
        </w:rPr>
        <w:t xml:space="preserve"> as follows from the following formula:</w:t>
      </w:r>
    </w:p>
    <w:p w:rsidR="00441A1C" w:rsidRPr="00232FDB" w:rsidRDefault="00B82C17" w:rsidP="006F41DB">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4"/>
        </w:rPr>
      </w:pPr>
      <w:r w:rsidRPr="00232FDB">
        <w:rPr>
          <w:rFonts w:eastAsia="Calibri"/>
          <w:szCs w:val="24"/>
        </w:rPr>
        <w:t>Total amount of new loans disbursed</w:t>
      </w:r>
      <w:r w:rsidR="00905E8F" w:rsidRPr="00232FDB">
        <w:rPr>
          <w:rFonts w:eastAsia="Calibri"/>
          <w:szCs w:val="24"/>
        </w:rPr>
        <w:t>/</w:t>
      </w:r>
      <w:r w:rsidRPr="00232FDB">
        <w:rPr>
          <w:rFonts w:eastAsia="Calibri"/>
          <w:szCs w:val="24"/>
        </w:rPr>
        <w:t>multiplier</w:t>
      </w:r>
      <w:r w:rsidR="000C37E7" w:rsidRPr="00232FDB">
        <w:rPr>
          <w:rFonts w:eastAsia="Calibri"/>
          <w:szCs w:val="24"/>
        </w:rPr>
        <w:t xml:space="preserve"> </w:t>
      </w:r>
      <w:r w:rsidRPr="00232FDB">
        <w:rPr>
          <w:rFonts w:eastAsia="Calibri"/>
          <w:szCs w:val="24"/>
        </w:rPr>
        <w:t>=</w:t>
      </w:r>
      <w:r w:rsidR="000C37E7" w:rsidRPr="00232FDB">
        <w:rPr>
          <w:rFonts w:eastAsia="Calibri"/>
          <w:szCs w:val="24"/>
        </w:rPr>
        <w:t xml:space="preserve"> EUR </w:t>
      </w:r>
      <w:r w:rsidRPr="00232FDB">
        <w:rPr>
          <w:rFonts w:eastAsia="Calibri"/>
          <w:szCs w:val="24"/>
        </w:rPr>
        <w:t>50</w:t>
      </w:r>
      <w:r w:rsidR="000C37E7" w:rsidRPr="00232FDB">
        <w:rPr>
          <w:rFonts w:eastAsia="Calibri"/>
          <w:szCs w:val="24"/>
        </w:rPr>
        <w:t xml:space="preserve"> million</w:t>
      </w:r>
      <w:r w:rsidR="00905E8F" w:rsidRPr="00232FDB">
        <w:rPr>
          <w:rFonts w:eastAsia="Calibri"/>
          <w:szCs w:val="24"/>
        </w:rPr>
        <w:t xml:space="preserve">/5 </w:t>
      </w:r>
      <w:r w:rsidRPr="00232FDB">
        <w:rPr>
          <w:rFonts w:eastAsia="Calibri"/>
          <w:szCs w:val="24"/>
        </w:rPr>
        <w:t>=</w:t>
      </w:r>
      <w:r w:rsidR="00905E8F" w:rsidRPr="00232FDB">
        <w:rPr>
          <w:rFonts w:eastAsia="Calibri"/>
          <w:szCs w:val="24"/>
        </w:rPr>
        <w:t xml:space="preserve"> EUR </w:t>
      </w:r>
      <w:r w:rsidRPr="00232FDB">
        <w:rPr>
          <w:rFonts w:eastAsia="Calibri"/>
          <w:szCs w:val="24"/>
        </w:rPr>
        <w:t>10</w:t>
      </w:r>
      <w:r w:rsidR="00905E8F" w:rsidRPr="00232FDB">
        <w:rPr>
          <w:rFonts w:eastAsia="Calibri"/>
          <w:szCs w:val="24"/>
        </w:rPr>
        <w:t> </w:t>
      </w:r>
      <w:r w:rsidR="000C37E7" w:rsidRPr="00232FDB">
        <w:rPr>
          <w:rFonts w:eastAsia="Calibri"/>
          <w:szCs w:val="24"/>
        </w:rPr>
        <w:t>million</w:t>
      </w:r>
      <w:r w:rsidRPr="00232FDB">
        <w:rPr>
          <w:rFonts w:eastAsia="Calibri"/>
          <w:szCs w:val="24"/>
        </w:rPr>
        <w:t xml:space="preserve"> (eligible expenditure at closure)</w:t>
      </w:r>
    </w:p>
    <w:p w:rsidR="001146A2" w:rsidRPr="00232FDB" w:rsidRDefault="00AB4B35" w:rsidP="006F41DB">
      <w:pPr>
        <w:pStyle w:val="Heading1"/>
        <w:spacing w:before="0"/>
      </w:pPr>
      <w:bookmarkStart w:id="24" w:name="_Toc445141411"/>
      <w:r w:rsidRPr="00232FDB">
        <w:t>E</w:t>
      </w:r>
      <w:r w:rsidR="001146A2" w:rsidRPr="00232FDB">
        <w:t xml:space="preserve">xpenditure (payment to final recipient) </w:t>
      </w:r>
      <w:r w:rsidR="00511789" w:rsidRPr="00232FDB">
        <w:t xml:space="preserve">vs </w:t>
      </w:r>
      <w:r w:rsidR="001146A2" w:rsidRPr="00232FDB">
        <w:t>completion of underlying investment by final recipient</w:t>
      </w:r>
      <w:bookmarkEnd w:id="24"/>
    </w:p>
    <w:p w:rsidR="003B4A5A" w:rsidRPr="00232FDB" w:rsidRDefault="001146A2" w:rsidP="006F41DB">
      <w:pPr>
        <w:pStyle w:val="CommentText"/>
        <w:rPr>
          <w:sz w:val="24"/>
          <w:szCs w:val="24"/>
          <w:lang w:eastAsia="en-GB"/>
        </w:rPr>
      </w:pPr>
      <w:r w:rsidRPr="00232FDB">
        <w:rPr>
          <w:sz w:val="24"/>
          <w:szCs w:val="24"/>
          <w:lang w:eastAsia="en-GB"/>
        </w:rPr>
        <w:t xml:space="preserve">As provided for in Article 37(5) CPR, the investments by final recipients to be supported through financial instruments </w:t>
      </w:r>
      <w:r w:rsidR="009B546D" w:rsidRPr="00232FDB">
        <w:rPr>
          <w:sz w:val="24"/>
          <w:szCs w:val="24"/>
          <w:lang w:eastAsia="en-GB"/>
        </w:rPr>
        <w:t xml:space="preserve">must </w:t>
      </w:r>
      <w:r w:rsidRPr="00232FDB">
        <w:rPr>
          <w:sz w:val="24"/>
          <w:szCs w:val="24"/>
          <w:lang w:eastAsia="en-GB"/>
        </w:rPr>
        <w:t>not be physically completed or fully implemented at the date of the investment decision</w:t>
      </w:r>
      <w:r w:rsidR="0052639F" w:rsidRPr="00232FDB">
        <w:rPr>
          <w:sz w:val="24"/>
          <w:szCs w:val="24"/>
          <w:lang w:eastAsia="en-GB"/>
        </w:rPr>
        <w:t xml:space="preserve"> for such support</w:t>
      </w:r>
      <w:r w:rsidR="007B59F0" w:rsidRPr="00232FDB">
        <w:rPr>
          <w:sz w:val="24"/>
          <w:szCs w:val="24"/>
          <w:lang w:eastAsia="en-GB"/>
        </w:rPr>
        <w:t xml:space="preserve"> through the financial instruments</w:t>
      </w:r>
      <w:r w:rsidRPr="00232FDB">
        <w:rPr>
          <w:sz w:val="24"/>
          <w:szCs w:val="24"/>
          <w:lang w:eastAsia="en-GB"/>
        </w:rPr>
        <w:t xml:space="preserve">. </w:t>
      </w:r>
    </w:p>
    <w:p w:rsidR="00B51508" w:rsidRPr="00232FDB" w:rsidRDefault="001146A2" w:rsidP="006F41DB">
      <w:pPr>
        <w:pStyle w:val="CommentText"/>
        <w:rPr>
          <w:sz w:val="24"/>
          <w:szCs w:val="24"/>
          <w:lang w:eastAsia="en-GB"/>
        </w:rPr>
      </w:pPr>
      <w:r w:rsidRPr="00232FDB">
        <w:rPr>
          <w:sz w:val="24"/>
          <w:szCs w:val="24"/>
          <w:lang w:eastAsia="en-GB"/>
        </w:rPr>
        <w:t>The date of the investment decision refer</w:t>
      </w:r>
      <w:r w:rsidR="00BA3701">
        <w:rPr>
          <w:sz w:val="24"/>
          <w:szCs w:val="24"/>
          <w:lang w:eastAsia="en-GB"/>
        </w:rPr>
        <w:t>s</w:t>
      </w:r>
      <w:r w:rsidRPr="00232FDB">
        <w:rPr>
          <w:sz w:val="24"/>
          <w:szCs w:val="24"/>
          <w:lang w:eastAsia="en-GB"/>
        </w:rPr>
        <w:t xml:space="preserve"> to the moment when the loan/guarantee or equity investment is approved by the body implementing the financial instrument.</w:t>
      </w:r>
      <w:r w:rsidR="00B51508" w:rsidRPr="00232FDB">
        <w:rPr>
          <w:sz w:val="24"/>
          <w:szCs w:val="24"/>
          <w:lang w:eastAsia="en-GB"/>
        </w:rPr>
        <w:t xml:space="preserve"> </w:t>
      </w:r>
      <w:r w:rsidR="00CD2E15" w:rsidRPr="00232FDB">
        <w:rPr>
          <w:sz w:val="24"/>
          <w:szCs w:val="24"/>
          <w:lang w:eastAsia="en-GB"/>
        </w:rPr>
        <w:t xml:space="preserve">In the loan origination process which includes all the steps from taking a loan application up to disbursement of funds (or declining the application), the </w:t>
      </w:r>
      <w:r w:rsidR="00B51508" w:rsidRPr="00232FDB">
        <w:rPr>
          <w:sz w:val="24"/>
          <w:szCs w:val="24"/>
          <w:lang w:eastAsia="en-GB"/>
        </w:rPr>
        <w:t>date of the investment decision precedes the actual signature</w:t>
      </w:r>
      <w:r w:rsidR="00CD2E15" w:rsidRPr="00232FDB">
        <w:rPr>
          <w:sz w:val="24"/>
          <w:szCs w:val="24"/>
          <w:lang w:eastAsia="en-GB"/>
        </w:rPr>
        <w:t xml:space="preserve"> for e.g. </w:t>
      </w:r>
      <w:r w:rsidR="00B51508" w:rsidRPr="00232FDB">
        <w:rPr>
          <w:sz w:val="24"/>
          <w:szCs w:val="24"/>
          <w:lang w:eastAsia="en-GB"/>
        </w:rPr>
        <w:t>of the loan agreement</w:t>
      </w:r>
      <w:r w:rsidR="00CD2E15" w:rsidRPr="00232FDB">
        <w:rPr>
          <w:sz w:val="24"/>
          <w:szCs w:val="24"/>
          <w:lang w:eastAsia="en-GB"/>
        </w:rPr>
        <w:t xml:space="preserve"> and the disbursement of funds</w:t>
      </w:r>
      <w:r w:rsidR="00B51508" w:rsidRPr="00232FDB">
        <w:rPr>
          <w:sz w:val="24"/>
          <w:szCs w:val="24"/>
          <w:lang w:eastAsia="en-GB"/>
        </w:rPr>
        <w:t xml:space="preserve">. Please refer to the example below. </w:t>
      </w:r>
    </w:p>
    <w:p w:rsidR="00B51508" w:rsidRPr="00232FDB" w:rsidRDefault="00B51508" w:rsidP="006F41DB">
      <w:pPr>
        <w:pBdr>
          <w:top w:val="single" w:sz="4" w:space="1" w:color="auto"/>
          <w:left w:val="single" w:sz="4" w:space="4" w:color="auto"/>
          <w:bottom w:val="single" w:sz="4" w:space="1" w:color="auto"/>
          <w:right w:val="single" w:sz="4" w:space="4" w:color="auto"/>
        </w:pBdr>
        <w:rPr>
          <w:rFonts w:eastAsia="Calibri"/>
          <w:b/>
          <w:bCs/>
          <w:szCs w:val="24"/>
        </w:rPr>
      </w:pPr>
      <w:r w:rsidRPr="00232FDB">
        <w:rPr>
          <w:rFonts w:eastAsia="Calibri"/>
          <w:b/>
          <w:bCs/>
          <w:szCs w:val="24"/>
        </w:rPr>
        <w:t xml:space="preserve">Example of eligibility of expenditure in relation to the </w:t>
      </w:r>
      <w:r w:rsidR="00063951" w:rsidRPr="00232FDB">
        <w:rPr>
          <w:rFonts w:eastAsia="Calibri"/>
          <w:b/>
          <w:bCs/>
          <w:szCs w:val="24"/>
        </w:rPr>
        <w:t xml:space="preserve">date of the </w:t>
      </w:r>
      <w:r w:rsidRPr="00232FDB">
        <w:rPr>
          <w:rFonts w:eastAsia="Calibri"/>
          <w:b/>
          <w:bCs/>
          <w:szCs w:val="24"/>
        </w:rPr>
        <w:t>investment decision by the body implementing the financial instrument:</w:t>
      </w:r>
    </w:p>
    <w:p w:rsidR="000203FB" w:rsidRPr="00232FDB" w:rsidRDefault="00B51508" w:rsidP="006F41DB">
      <w:pPr>
        <w:pBdr>
          <w:top w:val="single" w:sz="4" w:space="1" w:color="auto"/>
          <w:left w:val="single" w:sz="4" w:space="4" w:color="auto"/>
          <w:bottom w:val="single" w:sz="4" w:space="1" w:color="auto"/>
          <w:right w:val="single" w:sz="4" w:space="4" w:color="auto"/>
        </w:pBdr>
        <w:rPr>
          <w:szCs w:val="24"/>
          <w:lang w:eastAsia="en-GB"/>
        </w:rPr>
      </w:pPr>
      <w:r w:rsidRPr="00232FDB">
        <w:rPr>
          <w:szCs w:val="24"/>
          <w:lang w:eastAsia="en-GB"/>
        </w:rPr>
        <w:t xml:space="preserve">A final recipient planned </w:t>
      </w:r>
      <w:r w:rsidR="00063951" w:rsidRPr="00232FDB">
        <w:rPr>
          <w:szCs w:val="24"/>
          <w:lang w:eastAsia="en-GB"/>
        </w:rPr>
        <w:t xml:space="preserve">an investment </w:t>
      </w:r>
      <w:r w:rsidRPr="00232FDB">
        <w:rPr>
          <w:szCs w:val="24"/>
          <w:lang w:eastAsia="en-GB"/>
        </w:rPr>
        <w:t xml:space="preserve">for a total of 1000. </w:t>
      </w:r>
      <w:r w:rsidR="00DE590C" w:rsidRPr="00232FDB">
        <w:rPr>
          <w:szCs w:val="24"/>
          <w:lang w:eastAsia="en-GB"/>
        </w:rPr>
        <w:t xml:space="preserve">The investment was partly financed from other market sources </w:t>
      </w:r>
      <w:r w:rsidR="007E555A" w:rsidRPr="00232FDB">
        <w:rPr>
          <w:szCs w:val="24"/>
          <w:lang w:eastAsia="en-GB"/>
        </w:rPr>
        <w:t xml:space="preserve">for </w:t>
      </w:r>
      <w:r w:rsidR="00DE590C" w:rsidRPr="00232FDB">
        <w:rPr>
          <w:szCs w:val="24"/>
          <w:lang w:eastAsia="en-GB"/>
        </w:rPr>
        <w:t xml:space="preserve">the amount of 500 and </w:t>
      </w:r>
      <w:r w:rsidR="007E555A" w:rsidRPr="00232FDB">
        <w:rPr>
          <w:szCs w:val="24"/>
          <w:lang w:eastAsia="en-GB"/>
        </w:rPr>
        <w:t xml:space="preserve">this part is </w:t>
      </w:r>
      <w:r w:rsidR="00DE590C" w:rsidRPr="00232FDB">
        <w:rPr>
          <w:szCs w:val="24"/>
          <w:lang w:eastAsia="en-GB"/>
        </w:rPr>
        <w:t xml:space="preserve">already fully implemented </w:t>
      </w:r>
      <w:r w:rsidR="004116FF" w:rsidRPr="00232FDB">
        <w:rPr>
          <w:szCs w:val="24"/>
          <w:lang w:eastAsia="en-GB"/>
        </w:rPr>
        <w:t xml:space="preserve">or completed </w:t>
      </w:r>
      <w:r w:rsidR="00DE590C" w:rsidRPr="00232FDB">
        <w:rPr>
          <w:szCs w:val="24"/>
          <w:lang w:eastAsia="en-GB"/>
        </w:rPr>
        <w:t xml:space="preserve">(for ease of reference this </w:t>
      </w:r>
      <w:r w:rsidR="009B546D" w:rsidRPr="00232FDB">
        <w:rPr>
          <w:szCs w:val="24"/>
          <w:lang w:eastAsia="en-GB"/>
        </w:rPr>
        <w:t xml:space="preserve">will be referred to as </w:t>
      </w:r>
      <w:r w:rsidR="00DE590C" w:rsidRPr="00232FDB">
        <w:rPr>
          <w:szCs w:val="24"/>
          <w:lang w:eastAsia="en-GB"/>
        </w:rPr>
        <w:t>the 1</w:t>
      </w:r>
      <w:r w:rsidR="00DE590C" w:rsidRPr="00232FDB">
        <w:rPr>
          <w:szCs w:val="24"/>
          <w:vertAlign w:val="superscript"/>
          <w:lang w:eastAsia="en-GB"/>
        </w:rPr>
        <w:t>st</w:t>
      </w:r>
      <w:r w:rsidR="00DE590C" w:rsidRPr="00232FDB">
        <w:rPr>
          <w:szCs w:val="24"/>
          <w:lang w:eastAsia="en-GB"/>
        </w:rPr>
        <w:t xml:space="preserve"> phase).</w:t>
      </w:r>
      <w:r w:rsidR="004116FF" w:rsidRPr="00232FDB">
        <w:rPr>
          <w:szCs w:val="24"/>
          <w:lang w:eastAsia="en-GB"/>
        </w:rPr>
        <w:t xml:space="preserve"> T</w:t>
      </w:r>
      <w:r w:rsidR="00DE590C" w:rsidRPr="00232FDB">
        <w:rPr>
          <w:szCs w:val="24"/>
          <w:lang w:eastAsia="en-GB"/>
        </w:rPr>
        <w:t xml:space="preserve">he final recipient wants to continue the investment </w:t>
      </w:r>
      <w:r w:rsidRPr="00232FDB">
        <w:rPr>
          <w:szCs w:val="24"/>
          <w:lang w:eastAsia="en-GB"/>
        </w:rPr>
        <w:t>but does not find any market</w:t>
      </w:r>
      <w:r w:rsidR="00DE590C" w:rsidRPr="00232FDB">
        <w:rPr>
          <w:szCs w:val="24"/>
          <w:lang w:eastAsia="en-GB"/>
        </w:rPr>
        <w:t xml:space="preserve"> sources willing to finance it.</w:t>
      </w:r>
      <w:r w:rsidR="000203FB" w:rsidRPr="00232FDB">
        <w:rPr>
          <w:szCs w:val="24"/>
          <w:lang w:eastAsia="en-GB"/>
        </w:rPr>
        <w:t xml:space="preserve"> </w:t>
      </w:r>
    </w:p>
    <w:p w:rsidR="00AC7429" w:rsidRPr="00232FDB" w:rsidRDefault="000203FB" w:rsidP="006F41DB">
      <w:pPr>
        <w:pBdr>
          <w:top w:val="single" w:sz="4" w:space="1" w:color="auto"/>
          <w:left w:val="single" w:sz="4" w:space="4" w:color="auto"/>
          <w:bottom w:val="single" w:sz="4" w:space="1" w:color="auto"/>
          <w:right w:val="single" w:sz="4" w:space="4" w:color="auto"/>
        </w:pBdr>
        <w:rPr>
          <w:szCs w:val="24"/>
          <w:lang w:eastAsia="en-GB"/>
        </w:rPr>
      </w:pPr>
      <w:r w:rsidRPr="00232FDB">
        <w:rPr>
          <w:szCs w:val="24"/>
          <w:lang w:eastAsia="en-GB"/>
        </w:rPr>
        <w:t>T</w:t>
      </w:r>
      <w:r w:rsidR="00B51508" w:rsidRPr="00232FDB">
        <w:rPr>
          <w:szCs w:val="24"/>
          <w:lang w:eastAsia="en-GB"/>
        </w:rPr>
        <w:t>here is a</w:t>
      </w:r>
      <w:r w:rsidR="00DE590C" w:rsidRPr="00232FDB">
        <w:rPr>
          <w:szCs w:val="24"/>
          <w:lang w:eastAsia="en-GB"/>
        </w:rPr>
        <w:t>n</w:t>
      </w:r>
      <w:r w:rsidR="00B51508" w:rsidRPr="00232FDB">
        <w:rPr>
          <w:szCs w:val="24"/>
          <w:lang w:eastAsia="en-GB"/>
        </w:rPr>
        <w:t xml:space="preserve"> ESI</w:t>
      </w:r>
      <w:r w:rsidR="00A41621" w:rsidRPr="00232FDB">
        <w:rPr>
          <w:szCs w:val="24"/>
          <w:lang w:eastAsia="en-GB"/>
        </w:rPr>
        <w:t xml:space="preserve"> </w:t>
      </w:r>
      <w:r w:rsidR="00B51508" w:rsidRPr="00232FDB">
        <w:rPr>
          <w:szCs w:val="24"/>
          <w:lang w:eastAsia="en-GB"/>
        </w:rPr>
        <w:t>F</w:t>
      </w:r>
      <w:r w:rsidR="00A41621" w:rsidRPr="00232FDB">
        <w:rPr>
          <w:szCs w:val="24"/>
          <w:lang w:eastAsia="en-GB"/>
        </w:rPr>
        <w:t xml:space="preserve">und </w:t>
      </w:r>
      <w:r w:rsidR="00B51508" w:rsidRPr="00232FDB">
        <w:rPr>
          <w:szCs w:val="24"/>
          <w:lang w:eastAsia="en-GB"/>
        </w:rPr>
        <w:t>financial instrument that could provide the means of financing the final recipient needs</w:t>
      </w:r>
      <w:r w:rsidR="009C3173" w:rsidRPr="00232FDB">
        <w:rPr>
          <w:szCs w:val="24"/>
          <w:lang w:eastAsia="en-GB"/>
        </w:rPr>
        <w:t xml:space="preserve"> and consequently t</w:t>
      </w:r>
      <w:r w:rsidR="00B51508" w:rsidRPr="00232FDB">
        <w:rPr>
          <w:szCs w:val="24"/>
          <w:lang w:eastAsia="en-GB"/>
        </w:rPr>
        <w:t>he final recipient applies for a loan of 500</w:t>
      </w:r>
      <w:r w:rsidR="009C3173" w:rsidRPr="00232FDB">
        <w:rPr>
          <w:szCs w:val="24"/>
          <w:lang w:eastAsia="en-GB"/>
        </w:rPr>
        <w:t xml:space="preserve"> </w:t>
      </w:r>
      <w:r w:rsidR="00DE590C" w:rsidRPr="00232FDB">
        <w:rPr>
          <w:szCs w:val="24"/>
          <w:lang w:eastAsia="en-GB"/>
        </w:rPr>
        <w:t xml:space="preserve">(for ease of reference this </w:t>
      </w:r>
      <w:r w:rsidR="009B546D" w:rsidRPr="00232FDB">
        <w:rPr>
          <w:szCs w:val="24"/>
          <w:lang w:eastAsia="en-GB"/>
        </w:rPr>
        <w:t xml:space="preserve">will be referred to as </w:t>
      </w:r>
      <w:r w:rsidR="00DE590C" w:rsidRPr="00232FDB">
        <w:rPr>
          <w:szCs w:val="24"/>
          <w:lang w:eastAsia="en-GB"/>
        </w:rPr>
        <w:t>the 2</w:t>
      </w:r>
      <w:r w:rsidR="00DE590C" w:rsidRPr="00232FDB">
        <w:rPr>
          <w:szCs w:val="24"/>
          <w:vertAlign w:val="superscript"/>
          <w:lang w:eastAsia="en-GB"/>
        </w:rPr>
        <w:t>nd</w:t>
      </w:r>
      <w:r w:rsidR="00DE590C" w:rsidRPr="00232FDB">
        <w:rPr>
          <w:szCs w:val="24"/>
          <w:lang w:eastAsia="en-GB"/>
        </w:rPr>
        <w:t xml:space="preserve"> phase) </w:t>
      </w:r>
      <w:r w:rsidR="009C3173" w:rsidRPr="00232FDB">
        <w:rPr>
          <w:szCs w:val="24"/>
          <w:lang w:eastAsia="en-GB"/>
        </w:rPr>
        <w:t xml:space="preserve">and this is the </w:t>
      </w:r>
      <w:r w:rsidR="00AC7429" w:rsidRPr="00232FDB">
        <w:rPr>
          <w:szCs w:val="24"/>
          <w:lang w:eastAsia="en-GB"/>
        </w:rPr>
        <w:t xml:space="preserve">first </w:t>
      </w:r>
      <w:r w:rsidR="009C3173" w:rsidRPr="00232FDB">
        <w:rPr>
          <w:szCs w:val="24"/>
          <w:lang w:eastAsia="en-GB"/>
        </w:rPr>
        <w:t>step of the loan origination process.</w:t>
      </w:r>
      <w:r w:rsidR="00DE590C" w:rsidRPr="00232FDB">
        <w:rPr>
          <w:szCs w:val="24"/>
          <w:lang w:eastAsia="en-GB"/>
        </w:rPr>
        <w:t xml:space="preserve"> </w:t>
      </w:r>
      <w:r w:rsidR="00CD2E15" w:rsidRPr="00232FDB">
        <w:rPr>
          <w:szCs w:val="24"/>
          <w:lang w:eastAsia="en-GB"/>
        </w:rPr>
        <w:t>In case</w:t>
      </w:r>
      <w:r w:rsidR="004116FF" w:rsidRPr="00232FDB">
        <w:rPr>
          <w:szCs w:val="24"/>
          <w:lang w:eastAsia="en-GB"/>
        </w:rPr>
        <w:t xml:space="preserve"> </w:t>
      </w:r>
      <w:r w:rsidR="00CD2E15" w:rsidRPr="00232FDB">
        <w:rPr>
          <w:szCs w:val="24"/>
          <w:lang w:eastAsia="en-GB"/>
        </w:rPr>
        <w:t>the body implementing the financial inst</w:t>
      </w:r>
      <w:r w:rsidR="00DE590C" w:rsidRPr="00232FDB">
        <w:rPr>
          <w:szCs w:val="24"/>
          <w:lang w:eastAsia="en-GB"/>
        </w:rPr>
        <w:t>rument approves the loan application</w:t>
      </w:r>
      <w:r w:rsidR="00CD2E15" w:rsidRPr="00232FDB">
        <w:rPr>
          <w:szCs w:val="24"/>
          <w:lang w:eastAsia="en-GB"/>
        </w:rPr>
        <w:t>, the final recipient can start the implementation of the 2</w:t>
      </w:r>
      <w:r w:rsidR="00CD2E15" w:rsidRPr="00232FDB">
        <w:rPr>
          <w:szCs w:val="24"/>
          <w:vertAlign w:val="superscript"/>
          <w:lang w:eastAsia="en-GB"/>
        </w:rPr>
        <w:t>nd</w:t>
      </w:r>
      <w:r w:rsidR="00CD2E15" w:rsidRPr="00232FDB">
        <w:rPr>
          <w:szCs w:val="24"/>
          <w:lang w:eastAsia="en-GB"/>
        </w:rPr>
        <w:t xml:space="preserve"> phase of its project even if </w:t>
      </w:r>
      <w:r w:rsidR="00DE590C" w:rsidRPr="00232FDB">
        <w:rPr>
          <w:szCs w:val="24"/>
          <w:lang w:eastAsia="en-GB"/>
        </w:rPr>
        <w:t>the 1</w:t>
      </w:r>
      <w:r w:rsidR="00DE590C" w:rsidRPr="00232FDB">
        <w:rPr>
          <w:szCs w:val="24"/>
          <w:vertAlign w:val="superscript"/>
          <w:lang w:eastAsia="en-GB"/>
        </w:rPr>
        <w:t>st</w:t>
      </w:r>
      <w:r w:rsidR="00DE590C" w:rsidRPr="00232FDB">
        <w:rPr>
          <w:szCs w:val="24"/>
          <w:lang w:eastAsia="en-GB"/>
        </w:rPr>
        <w:t xml:space="preserve"> phase has already been fully implemented</w:t>
      </w:r>
      <w:r w:rsidR="004734D7">
        <w:rPr>
          <w:szCs w:val="24"/>
          <w:lang w:eastAsia="en-GB"/>
        </w:rPr>
        <w:t xml:space="preserve"> or completed</w:t>
      </w:r>
      <w:r w:rsidR="00DE590C" w:rsidRPr="00232FDB">
        <w:rPr>
          <w:szCs w:val="24"/>
          <w:lang w:eastAsia="en-GB"/>
        </w:rPr>
        <w:t>.</w:t>
      </w:r>
    </w:p>
    <w:p w:rsidR="00B51508" w:rsidRPr="00232FDB" w:rsidRDefault="000203FB" w:rsidP="006F41DB">
      <w:pPr>
        <w:pBdr>
          <w:top w:val="single" w:sz="4" w:space="1" w:color="auto"/>
          <w:left w:val="single" w:sz="4" w:space="4" w:color="auto"/>
          <w:bottom w:val="single" w:sz="4" w:space="1" w:color="auto"/>
          <w:right w:val="single" w:sz="4" w:space="4" w:color="auto"/>
        </w:pBdr>
        <w:rPr>
          <w:b/>
          <w:szCs w:val="24"/>
          <w:lang w:eastAsia="en-GB"/>
        </w:rPr>
      </w:pPr>
      <w:r w:rsidRPr="00232FDB">
        <w:rPr>
          <w:szCs w:val="24"/>
          <w:lang w:eastAsia="en-GB"/>
        </w:rPr>
        <w:t xml:space="preserve">In </w:t>
      </w:r>
      <w:r w:rsidR="00AC7429" w:rsidRPr="00232FDB">
        <w:rPr>
          <w:szCs w:val="24"/>
          <w:lang w:eastAsia="en-GB"/>
        </w:rPr>
        <w:t xml:space="preserve">other words, this also means that if the final recipient had asked for a loan of 1000 from the </w:t>
      </w:r>
      <w:r w:rsidR="00A41621" w:rsidRPr="00232FDB">
        <w:rPr>
          <w:szCs w:val="24"/>
          <w:lang w:eastAsia="en-GB"/>
        </w:rPr>
        <w:t>ESI Fund</w:t>
      </w:r>
      <w:r w:rsidR="00AC7429" w:rsidRPr="00232FDB">
        <w:rPr>
          <w:szCs w:val="24"/>
          <w:lang w:eastAsia="en-GB"/>
        </w:rPr>
        <w:t xml:space="preserve"> financial instrument, 50% of it would not be eligible</w:t>
      </w:r>
      <w:r w:rsidR="004734D7">
        <w:rPr>
          <w:szCs w:val="24"/>
          <w:lang w:eastAsia="en-GB"/>
        </w:rPr>
        <w:t xml:space="preserve">, because </w:t>
      </w:r>
      <w:r w:rsidR="004734D7" w:rsidRPr="00232FDB">
        <w:rPr>
          <w:szCs w:val="24"/>
          <w:lang w:eastAsia="en-GB"/>
        </w:rPr>
        <w:t>the 1</w:t>
      </w:r>
      <w:r w:rsidR="004734D7" w:rsidRPr="00232FDB">
        <w:rPr>
          <w:szCs w:val="24"/>
          <w:vertAlign w:val="superscript"/>
          <w:lang w:eastAsia="en-GB"/>
        </w:rPr>
        <w:t>st</w:t>
      </w:r>
      <w:r w:rsidR="004734D7" w:rsidRPr="00232FDB">
        <w:rPr>
          <w:szCs w:val="24"/>
          <w:lang w:eastAsia="en-GB"/>
        </w:rPr>
        <w:t xml:space="preserve"> phase has already been fully implemented</w:t>
      </w:r>
      <w:r w:rsidR="004734D7">
        <w:rPr>
          <w:szCs w:val="24"/>
          <w:lang w:eastAsia="en-GB"/>
        </w:rPr>
        <w:t xml:space="preserve"> or completed and received funding from market sources</w:t>
      </w:r>
      <w:r w:rsidR="00AC7429" w:rsidRPr="00232FDB">
        <w:rPr>
          <w:szCs w:val="24"/>
          <w:lang w:eastAsia="en-GB"/>
        </w:rPr>
        <w:t>.</w:t>
      </w:r>
      <w:r w:rsidR="009C3173" w:rsidRPr="00232FDB">
        <w:rPr>
          <w:szCs w:val="24"/>
          <w:lang w:eastAsia="en-GB"/>
        </w:rPr>
        <w:t xml:space="preserve"> </w:t>
      </w:r>
    </w:p>
    <w:p w:rsidR="00AC7429" w:rsidRPr="00232FDB" w:rsidRDefault="00746109" w:rsidP="006F41DB">
      <w:pPr>
        <w:widowControl w:val="0"/>
        <w:rPr>
          <w:rFonts w:eastAsia="Calibri"/>
          <w:bCs/>
          <w:szCs w:val="24"/>
        </w:rPr>
      </w:pPr>
      <w:r w:rsidRPr="00232FDB">
        <w:rPr>
          <w:rFonts w:eastAsia="Calibri"/>
          <w:bCs/>
          <w:szCs w:val="24"/>
        </w:rPr>
        <w:t>T</w:t>
      </w:r>
      <w:r w:rsidR="00AC7429" w:rsidRPr="00232FDB">
        <w:rPr>
          <w:rFonts w:eastAsia="Calibri"/>
          <w:bCs/>
          <w:szCs w:val="24"/>
        </w:rPr>
        <w:t xml:space="preserve">he </w:t>
      </w:r>
      <w:r w:rsidR="00F74AAB" w:rsidRPr="00232FDB">
        <w:rPr>
          <w:rFonts w:eastAsia="Calibri"/>
          <w:bCs/>
          <w:szCs w:val="24"/>
        </w:rPr>
        <w:t>State aid</w:t>
      </w:r>
      <w:r w:rsidR="00AC7429" w:rsidRPr="00232FDB">
        <w:rPr>
          <w:rFonts w:eastAsia="Calibri"/>
          <w:bCs/>
          <w:szCs w:val="24"/>
        </w:rPr>
        <w:t xml:space="preserve"> legal framework </w:t>
      </w:r>
      <w:r w:rsidRPr="00232FDB">
        <w:rPr>
          <w:rFonts w:eastAsia="Calibri"/>
          <w:bCs/>
          <w:szCs w:val="24"/>
        </w:rPr>
        <w:t xml:space="preserve">plays an important </w:t>
      </w:r>
      <w:r w:rsidR="00810D00" w:rsidRPr="00232FDB">
        <w:rPr>
          <w:rFonts w:eastAsia="Calibri"/>
          <w:bCs/>
          <w:szCs w:val="24"/>
        </w:rPr>
        <w:t xml:space="preserve">(and possibility a more restrictive) </w:t>
      </w:r>
      <w:r w:rsidRPr="00232FDB">
        <w:rPr>
          <w:rFonts w:eastAsia="Calibri"/>
          <w:bCs/>
          <w:szCs w:val="24"/>
        </w:rPr>
        <w:t xml:space="preserve">role as it </w:t>
      </w:r>
      <w:r w:rsidR="00AC7429" w:rsidRPr="00232FDB">
        <w:rPr>
          <w:rFonts w:eastAsia="Calibri"/>
          <w:bCs/>
          <w:szCs w:val="24"/>
        </w:rPr>
        <w:t xml:space="preserve">requires that there is an incentive effect to the aid granted. According to </w:t>
      </w:r>
      <w:r w:rsidR="00A41621" w:rsidRPr="00232FDB">
        <w:rPr>
          <w:rFonts w:eastAsia="Calibri"/>
          <w:bCs/>
          <w:szCs w:val="24"/>
        </w:rPr>
        <w:t>A</w:t>
      </w:r>
      <w:r w:rsidR="00AC7429" w:rsidRPr="00232FDB">
        <w:rPr>
          <w:rFonts w:eastAsia="Calibri"/>
          <w:bCs/>
          <w:szCs w:val="24"/>
        </w:rPr>
        <w:t xml:space="preserve">rticle 6 of </w:t>
      </w:r>
      <w:r w:rsidR="00AC7429" w:rsidRPr="00232FDB">
        <w:rPr>
          <w:rFonts w:eastAsia="Calibri"/>
          <w:bCs/>
          <w:szCs w:val="24"/>
        </w:rPr>
        <w:lastRenderedPageBreak/>
        <w:t>the GBER</w:t>
      </w:r>
      <w:r w:rsidR="00AC7429" w:rsidRPr="00232FDB">
        <w:rPr>
          <w:rStyle w:val="FootnoteReference"/>
          <w:rFonts w:eastAsia="Calibri"/>
          <w:bCs/>
          <w:szCs w:val="24"/>
        </w:rPr>
        <w:footnoteReference w:id="15"/>
      </w:r>
      <w:r w:rsidR="009B546D" w:rsidRPr="00232FDB">
        <w:rPr>
          <w:rFonts w:eastAsia="Calibri"/>
          <w:bCs/>
          <w:szCs w:val="24"/>
        </w:rPr>
        <w:t>,</w:t>
      </w:r>
      <w:r w:rsidR="00AE0B1B" w:rsidRPr="00232FDB">
        <w:rPr>
          <w:rFonts w:eastAsia="Calibri"/>
          <w:bCs/>
          <w:szCs w:val="24"/>
        </w:rPr>
        <w:t xml:space="preserve"> </w:t>
      </w:r>
      <w:r w:rsidR="00AC7429" w:rsidRPr="00232FDB">
        <w:rPr>
          <w:rFonts w:eastAsia="Calibri"/>
          <w:bCs/>
          <w:szCs w:val="24"/>
        </w:rPr>
        <w:t xml:space="preserve">aid </w:t>
      </w:r>
      <w:r w:rsidR="009B546D" w:rsidRPr="00232FDB">
        <w:rPr>
          <w:rFonts w:eastAsia="Calibri"/>
          <w:bCs/>
          <w:szCs w:val="24"/>
        </w:rPr>
        <w:t xml:space="preserve">is </w:t>
      </w:r>
      <w:r w:rsidR="00AC7429" w:rsidRPr="00232FDB">
        <w:rPr>
          <w:rFonts w:eastAsia="Calibri"/>
          <w:bCs/>
          <w:szCs w:val="24"/>
        </w:rPr>
        <w:t xml:space="preserve">considered to have an incentive effect if the </w:t>
      </w:r>
      <w:r w:rsidR="00EF712D" w:rsidRPr="00232FDB">
        <w:rPr>
          <w:rFonts w:eastAsia="Calibri"/>
          <w:bCs/>
          <w:szCs w:val="24"/>
        </w:rPr>
        <w:t>final recipient</w:t>
      </w:r>
      <w:r w:rsidR="00AC7429" w:rsidRPr="00232FDB">
        <w:rPr>
          <w:rFonts w:eastAsia="Calibri"/>
          <w:bCs/>
          <w:szCs w:val="24"/>
        </w:rPr>
        <w:t xml:space="preserve"> has submitted a written application for the aid to the Member State concerned before work on the project or activity starts. Start of works means the earlier of either the start of construction works relating to the investment, or the first legally binding commitment to order equipment or any other commitment that makes the investment irreversible.  Preparatory works such as obtaining permits and conducting feasibility studies are not considered start of works. </w:t>
      </w:r>
    </w:p>
    <w:p w:rsidR="00AC7429" w:rsidRPr="00232FDB" w:rsidRDefault="00AC7429" w:rsidP="006F41DB">
      <w:pPr>
        <w:pStyle w:val="CM1"/>
        <w:spacing w:after="240"/>
        <w:jc w:val="both"/>
        <w:rPr>
          <w:rFonts w:ascii="Times New Roman" w:eastAsia="Calibri" w:hAnsi="Times New Roman"/>
          <w:bCs/>
          <w:lang w:eastAsia="en-US"/>
        </w:rPr>
      </w:pPr>
      <w:r w:rsidRPr="00232FDB">
        <w:rPr>
          <w:rFonts w:ascii="Times New Roman" w:eastAsia="Calibri" w:hAnsi="Times New Roman"/>
          <w:bCs/>
          <w:lang w:eastAsia="en-US"/>
        </w:rPr>
        <w:t xml:space="preserve">The same line is </w:t>
      </w:r>
      <w:r w:rsidR="00AE0B1B" w:rsidRPr="00232FDB">
        <w:rPr>
          <w:rFonts w:ascii="Times New Roman" w:eastAsia="Calibri" w:hAnsi="Times New Roman"/>
          <w:bCs/>
          <w:lang w:eastAsia="en-US"/>
        </w:rPr>
        <w:t xml:space="preserve">also </w:t>
      </w:r>
      <w:r w:rsidRPr="00232FDB">
        <w:rPr>
          <w:rFonts w:ascii="Times New Roman" w:eastAsia="Calibri" w:hAnsi="Times New Roman"/>
          <w:bCs/>
          <w:lang w:eastAsia="en-US"/>
        </w:rPr>
        <w:t xml:space="preserve">followed in the Guidelines on </w:t>
      </w:r>
      <w:r w:rsidR="00F74AAB" w:rsidRPr="00232FDB">
        <w:rPr>
          <w:rFonts w:ascii="Times New Roman" w:eastAsia="Calibri" w:hAnsi="Times New Roman"/>
          <w:bCs/>
          <w:lang w:eastAsia="en-US"/>
        </w:rPr>
        <w:t>State aid</w:t>
      </w:r>
      <w:r w:rsidRPr="00232FDB">
        <w:rPr>
          <w:rFonts w:ascii="Times New Roman" w:eastAsia="Calibri" w:hAnsi="Times New Roman"/>
          <w:bCs/>
          <w:lang w:eastAsia="en-US"/>
        </w:rPr>
        <w:t xml:space="preserve"> to promote risk finance investments</w:t>
      </w:r>
      <w:r w:rsidRPr="00232FDB">
        <w:rPr>
          <w:rStyle w:val="FootnoteReference"/>
          <w:rFonts w:ascii="Times New Roman" w:eastAsia="Calibri" w:hAnsi="Times New Roman"/>
          <w:bCs/>
          <w:lang w:eastAsia="en-US"/>
        </w:rPr>
        <w:footnoteReference w:id="16"/>
      </w:r>
      <w:r w:rsidRPr="00232FDB">
        <w:rPr>
          <w:rFonts w:ascii="Times New Roman" w:eastAsia="Calibri" w:hAnsi="Times New Roman"/>
          <w:bCs/>
          <w:lang w:eastAsia="en-US"/>
        </w:rPr>
        <w:t>, whereby</w:t>
      </w:r>
      <w:r w:rsidR="00A41621" w:rsidRPr="00232FDB">
        <w:rPr>
          <w:rFonts w:ascii="Times New Roman" w:eastAsia="Calibri" w:hAnsi="Times New Roman"/>
          <w:bCs/>
          <w:lang w:eastAsia="en-US"/>
        </w:rPr>
        <w:t xml:space="preserve"> </w:t>
      </w:r>
      <w:r w:rsidR="00F74AAB" w:rsidRPr="00232FDB">
        <w:rPr>
          <w:rFonts w:ascii="Times New Roman" w:eastAsia="Calibri" w:hAnsi="Times New Roman"/>
          <w:bCs/>
          <w:lang w:eastAsia="en-US"/>
        </w:rPr>
        <w:t>State aid</w:t>
      </w:r>
      <w:r w:rsidRPr="00232FDB">
        <w:rPr>
          <w:rFonts w:ascii="Times New Roman" w:eastAsia="Calibri" w:hAnsi="Times New Roman"/>
          <w:bCs/>
          <w:lang w:eastAsia="en-US"/>
        </w:rPr>
        <w:t xml:space="preserve"> can only be found compatible with the internal market if it has an incentive effect that induces the aid beneficiary to change its behaviour by undertaking activities which it would not carry out without the aid or would carry out in a more restrictive manner due to the existence of a market failure. At the level of the eligible undertakings, an incentive effect is present when the final beneficiary can raise finance that would not be available otherwise in terms of form, amount or timing.</w:t>
      </w:r>
    </w:p>
    <w:p w:rsidR="00746109" w:rsidRPr="00232FDB" w:rsidRDefault="00746109" w:rsidP="006F41DB">
      <w:pPr>
        <w:rPr>
          <w:rFonts w:eastAsia="Calibri"/>
          <w:b/>
          <w:smallCaps/>
        </w:rPr>
      </w:pPr>
      <w:r w:rsidRPr="00232FDB">
        <w:rPr>
          <w:rFonts w:eastAsia="Calibri"/>
        </w:rPr>
        <w:t xml:space="preserve">In addition, since the payment from financial instruments to the final recipient can be </w:t>
      </w:r>
      <w:r w:rsidR="00A41621" w:rsidRPr="00232FDB">
        <w:rPr>
          <w:rFonts w:eastAsia="Calibri"/>
        </w:rPr>
        <w:t>made</w:t>
      </w:r>
      <w:r w:rsidRPr="00232FDB">
        <w:rPr>
          <w:rFonts w:eastAsia="Calibri"/>
        </w:rPr>
        <w:t xml:space="preserve"> </w:t>
      </w:r>
      <w:r w:rsidR="004038D6" w:rsidRPr="00232FDB">
        <w:rPr>
          <w:rFonts w:eastAsia="Calibri"/>
        </w:rPr>
        <w:t xml:space="preserve">until </w:t>
      </w:r>
      <w:r w:rsidRPr="00232FDB">
        <w:rPr>
          <w:rFonts w:eastAsia="Calibri"/>
        </w:rPr>
        <w:t xml:space="preserve">the end of the eligibility period, it is not reasonable to expect that the final recipient's investment activity pre-financed by the financial instrument is completed by the same date. Therefore, it is possible that the implementation of the investment activity by the final recipient may continue beyond the end of the eligibility period. </w:t>
      </w:r>
    </w:p>
    <w:p w:rsidR="00746109" w:rsidRPr="00232FDB" w:rsidRDefault="00746109" w:rsidP="006F41DB">
      <w:pPr>
        <w:rPr>
          <w:rFonts w:eastAsia="Calibri"/>
          <w:b/>
          <w:smallCaps/>
        </w:rPr>
      </w:pPr>
      <w:r w:rsidRPr="00232FDB">
        <w:rPr>
          <w:rFonts w:eastAsia="Calibri"/>
        </w:rPr>
        <w:t xml:space="preserve">However, even if the CPR does not set deadlines for completion of investment activity financed through financial instruments, Article 9(1)(e)(xi) CDR requires </w:t>
      </w:r>
      <w:r w:rsidR="000203FB" w:rsidRPr="00232FDB">
        <w:rPr>
          <w:rFonts w:eastAsia="Calibri"/>
        </w:rPr>
        <w:t xml:space="preserve">evidence that the </w:t>
      </w:r>
      <w:r w:rsidRPr="00232FDB">
        <w:rPr>
          <w:rFonts w:eastAsia="Calibri"/>
        </w:rPr>
        <w:t xml:space="preserve">support from the financial instrument to final recipients </w:t>
      </w:r>
      <w:r w:rsidR="000203FB" w:rsidRPr="00232FDB">
        <w:rPr>
          <w:rFonts w:eastAsia="Calibri"/>
        </w:rPr>
        <w:t xml:space="preserve">was used </w:t>
      </w:r>
      <w:r w:rsidRPr="00232FDB">
        <w:rPr>
          <w:rFonts w:eastAsia="Calibri"/>
        </w:rPr>
        <w:t xml:space="preserve">for its intended purpose by closure of the programme. Expenditure for which the national authorities do not have assurance that the contribution paid to the final recipient has been used for its intended purpose </w:t>
      </w:r>
      <w:r w:rsidR="00017E88">
        <w:rPr>
          <w:rFonts w:eastAsia="Calibri"/>
        </w:rPr>
        <w:t>is not eligible</w:t>
      </w:r>
      <w:r w:rsidR="00017E88" w:rsidRPr="00232FDB">
        <w:rPr>
          <w:rFonts w:eastAsia="Calibri"/>
        </w:rPr>
        <w:t xml:space="preserve"> </w:t>
      </w:r>
      <w:r w:rsidR="00017E88">
        <w:rPr>
          <w:rFonts w:eastAsia="Calibri"/>
        </w:rPr>
        <w:t xml:space="preserve">and hence </w:t>
      </w:r>
      <w:r w:rsidRPr="00232FDB">
        <w:rPr>
          <w:rFonts w:eastAsia="Calibri"/>
        </w:rPr>
        <w:t>cannot be declared at closure.</w:t>
      </w:r>
    </w:p>
    <w:p w:rsidR="00877139" w:rsidRPr="00232FDB" w:rsidRDefault="00AB4B35" w:rsidP="006F41DB">
      <w:pPr>
        <w:pStyle w:val="Heading1"/>
        <w:spacing w:before="0"/>
      </w:pPr>
      <w:bookmarkStart w:id="25" w:name="_Toc445141412"/>
      <w:r w:rsidRPr="00232FDB">
        <w:t>E</w:t>
      </w:r>
      <w:r w:rsidR="00877139" w:rsidRPr="00232FDB">
        <w:t xml:space="preserve">xpenditure linked to </w:t>
      </w:r>
      <w:r w:rsidR="00A41621" w:rsidRPr="00232FDB">
        <w:t xml:space="preserve">the </w:t>
      </w:r>
      <w:r w:rsidR="00877139" w:rsidRPr="00232FDB">
        <w:t>reorganisation of a debt portfolio in certain infrastructure investments</w:t>
      </w:r>
      <w:bookmarkEnd w:id="25"/>
      <w:r w:rsidR="00877139" w:rsidRPr="00232FDB">
        <w:t xml:space="preserve"> </w:t>
      </w:r>
    </w:p>
    <w:p w:rsidR="00877139" w:rsidRPr="00232FDB" w:rsidRDefault="00813E4F" w:rsidP="006F41DB">
      <w:pPr>
        <w:widowControl w:val="0"/>
        <w:rPr>
          <w:rFonts w:eastAsia="Calibri"/>
          <w:bCs/>
          <w:szCs w:val="24"/>
        </w:rPr>
      </w:pPr>
      <w:r w:rsidRPr="00232FDB">
        <w:rPr>
          <w:rFonts w:eastAsia="Calibri"/>
          <w:bCs/>
          <w:szCs w:val="24"/>
        </w:rPr>
        <w:t>As provided for in Article 37(5) CPR and a</w:t>
      </w:r>
      <w:r w:rsidR="00EF7BEB" w:rsidRPr="00232FDB">
        <w:rPr>
          <w:rFonts w:eastAsia="Calibri"/>
          <w:bCs/>
          <w:szCs w:val="24"/>
        </w:rPr>
        <w:t>s explained above in point 5.</w:t>
      </w:r>
      <w:r w:rsidR="00511789" w:rsidRPr="00232FDB">
        <w:rPr>
          <w:rFonts w:eastAsia="Calibri"/>
          <w:bCs/>
          <w:szCs w:val="24"/>
        </w:rPr>
        <w:t>8</w:t>
      </w:r>
      <w:r w:rsidR="00EF7BEB" w:rsidRPr="00232FDB">
        <w:rPr>
          <w:rFonts w:eastAsia="Calibri"/>
          <w:bCs/>
          <w:szCs w:val="24"/>
        </w:rPr>
        <w:t xml:space="preserve">, </w:t>
      </w:r>
      <w:r w:rsidR="00877139" w:rsidRPr="00232FDB">
        <w:rPr>
          <w:rFonts w:eastAsia="Calibri"/>
          <w:bCs/>
          <w:szCs w:val="24"/>
        </w:rPr>
        <w:t xml:space="preserve">the investments to be supported through financial instruments </w:t>
      </w:r>
      <w:r w:rsidR="009B546D" w:rsidRPr="00232FDB">
        <w:rPr>
          <w:rFonts w:eastAsia="Calibri"/>
          <w:bCs/>
          <w:szCs w:val="24"/>
        </w:rPr>
        <w:t xml:space="preserve">must </w:t>
      </w:r>
      <w:r w:rsidR="00877139" w:rsidRPr="00232FDB">
        <w:rPr>
          <w:rFonts w:eastAsia="Calibri"/>
          <w:bCs/>
          <w:szCs w:val="24"/>
        </w:rPr>
        <w:t>not be physically completed or fully implemented at the d</w:t>
      </w:r>
      <w:r w:rsidR="00C7405B" w:rsidRPr="00232FDB">
        <w:rPr>
          <w:rFonts w:eastAsia="Calibri"/>
          <w:bCs/>
          <w:szCs w:val="24"/>
        </w:rPr>
        <w:t>ate of the investment decision</w:t>
      </w:r>
      <w:r w:rsidR="00C11709" w:rsidRPr="00232FDB">
        <w:rPr>
          <w:rFonts w:eastAsia="Calibri"/>
          <w:bCs/>
          <w:szCs w:val="24"/>
        </w:rPr>
        <w:t>.</w:t>
      </w:r>
      <w:r w:rsidR="00877139" w:rsidRPr="00232FDB">
        <w:rPr>
          <w:rFonts w:eastAsia="Calibri"/>
          <w:bCs/>
          <w:szCs w:val="24"/>
        </w:rPr>
        <w:t xml:space="preserve"> </w:t>
      </w:r>
    </w:p>
    <w:p w:rsidR="00877139" w:rsidRPr="00232FDB" w:rsidRDefault="00877139" w:rsidP="006F41DB">
      <w:pPr>
        <w:widowControl w:val="0"/>
        <w:rPr>
          <w:rFonts w:eastAsia="Calibri"/>
          <w:bCs/>
          <w:szCs w:val="24"/>
        </w:rPr>
      </w:pPr>
      <w:r w:rsidRPr="00232FDB">
        <w:rPr>
          <w:rFonts w:eastAsia="Calibri"/>
          <w:bCs/>
          <w:szCs w:val="24"/>
        </w:rPr>
        <w:t>However</w:t>
      </w:r>
      <w:r w:rsidR="00C7405B" w:rsidRPr="00232FDB">
        <w:rPr>
          <w:rFonts w:eastAsia="Calibri"/>
          <w:bCs/>
          <w:szCs w:val="24"/>
        </w:rPr>
        <w:t xml:space="preserve">, as provided for in Article 37(6) CPR there is an exception to this general rule, </w:t>
      </w:r>
      <w:r w:rsidR="00EC680E" w:rsidRPr="00232FDB">
        <w:rPr>
          <w:rFonts w:eastAsia="Calibri"/>
          <w:bCs/>
          <w:szCs w:val="24"/>
        </w:rPr>
        <w:t xml:space="preserve">since </w:t>
      </w:r>
      <w:r w:rsidRPr="00232FDB">
        <w:rPr>
          <w:rFonts w:eastAsia="Calibri"/>
          <w:bCs/>
          <w:szCs w:val="24"/>
        </w:rPr>
        <w:t xml:space="preserve">support to final recipients provided through financial instruments may include the amount necessary for the reorganisation of a debt portfolio </w:t>
      </w:r>
      <w:r w:rsidR="00EF7BEB" w:rsidRPr="00232FDB">
        <w:rPr>
          <w:rFonts w:eastAsia="Calibri"/>
          <w:bCs/>
          <w:szCs w:val="24"/>
        </w:rPr>
        <w:t xml:space="preserve">up to a maximum of 20% of the total programme support from the financial instrument to the investment </w:t>
      </w:r>
      <w:r w:rsidRPr="00232FDB">
        <w:rPr>
          <w:rFonts w:eastAsia="Calibri"/>
          <w:bCs/>
          <w:szCs w:val="24"/>
        </w:rPr>
        <w:t>under the following conditions:</w:t>
      </w:r>
    </w:p>
    <w:p w:rsidR="00877139" w:rsidRPr="00232FDB" w:rsidRDefault="00EF7BEB" w:rsidP="006F41DB">
      <w:pPr>
        <w:widowControl w:val="0"/>
        <w:numPr>
          <w:ilvl w:val="0"/>
          <w:numId w:val="20"/>
        </w:numPr>
        <w:rPr>
          <w:rFonts w:eastAsia="Calibri"/>
          <w:bCs/>
          <w:szCs w:val="24"/>
        </w:rPr>
      </w:pPr>
      <w:r w:rsidRPr="00232FDB">
        <w:rPr>
          <w:rFonts w:eastAsia="Calibri"/>
          <w:bCs/>
          <w:szCs w:val="24"/>
        </w:rPr>
        <w:t xml:space="preserve">The investment must be an </w:t>
      </w:r>
      <w:r w:rsidR="00877139" w:rsidRPr="00232FDB">
        <w:rPr>
          <w:rFonts w:eastAsia="Calibri"/>
          <w:bCs/>
          <w:szCs w:val="24"/>
        </w:rPr>
        <w:t>infrastructure investment</w:t>
      </w:r>
      <w:r w:rsidRPr="00232FDB">
        <w:rPr>
          <w:rFonts w:eastAsia="Calibri"/>
          <w:bCs/>
          <w:szCs w:val="24"/>
        </w:rPr>
        <w:t xml:space="preserve"> </w:t>
      </w:r>
      <w:r w:rsidR="00877139" w:rsidRPr="00232FDB">
        <w:rPr>
          <w:rFonts w:eastAsia="Calibri"/>
          <w:bCs/>
          <w:szCs w:val="24"/>
        </w:rPr>
        <w:t>with the objective of supporting urban development or urban regeneration</w:t>
      </w:r>
      <w:r w:rsidR="00877139" w:rsidRPr="00232FDB">
        <w:rPr>
          <w:rFonts w:eastAsia="Calibri"/>
          <w:szCs w:val="24"/>
        </w:rPr>
        <w:t xml:space="preserve"> </w:t>
      </w:r>
      <w:r w:rsidR="00877139" w:rsidRPr="00232FDB">
        <w:rPr>
          <w:rFonts w:eastAsia="Calibri"/>
          <w:bCs/>
          <w:szCs w:val="24"/>
        </w:rPr>
        <w:t xml:space="preserve">or similar infrastructure investments with the objectives of diversifying non-agricultural activities in rural areas; </w:t>
      </w:r>
    </w:p>
    <w:p w:rsidR="00877139" w:rsidRPr="00232FDB" w:rsidRDefault="00EF7BEB" w:rsidP="006F41DB">
      <w:pPr>
        <w:widowControl w:val="0"/>
        <w:numPr>
          <w:ilvl w:val="0"/>
          <w:numId w:val="20"/>
        </w:numPr>
        <w:rPr>
          <w:rFonts w:eastAsia="Calibri"/>
          <w:bCs/>
          <w:szCs w:val="24"/>
        </w:rPr>
      </w:pPr>
      <w:r w:rsidRPr="00232FDB">
        <w:rPr>
          <w:rFonts w:eastAsia="Calibri"/>
          <w:bCs/>
          <w:szCs w:val="24"/>
        </w:rPr>
        <w:t xml:space="preserve">The </w:t>
      </w:r>
      <w:r w:rsidR="00877139" w:rsidRPr="00232FDB">
        <w:rPr>
          <w:rFonts w:eastAsia="Calibri"/>
          <w:bCs/>
          <w:szCs w:val="24"/>
        </w:rPr>
        <w:t xml:space="preserve">amount necessary for </w:t>
      </w:r>
      <w:r w:rsidRPr="00232FDB">
        <w:rPr>
          <w:rFonts w:eastAsia="Calibri"/>
          <w:bCs/>
          <w:szCs w:val="24"/>
        </w:rPr>
        <w:t xml:space="preserve">the </w:t>
      </w:r>
      <w:r w:rsidR="00877139" w:rsidRPr="00232FDB">
        <w:rPr>
          <w:rFonts w:eastAsia="Calibri"/>
          <w:bCs/>
          <w:szCs w:val="24"/>
        </w:rPr>
        <w:t xml:space="preserve">reorganisation of </w:t>
      </w:r>
      <w:r w:rsidRPr="00232FDB">
        <w:rPr>
          <w:rFonts w:eastAsia="Calibri"/>
          <w:bCs/>
          <w:szCs w:val="24"/>
        </w:rPr>
        <w:t xml:space="preserve">the </w:t>
      </w:r>
      <w:r w:rsidR="00877139" w:rsidRPr="00232FDB">
        <w:rPr>
          <w:rFonts w:eastAsia="Calibri"/>
          <w:bCs/>
          <w:szCs w:val="24"/>
        </w:rPr>
        <w:t>debt portfolio concerns infrastructure</w:t>
      </w:r>
      <w:r w:rsidRPr="00232FDB">
        <w:rPr>
          <w:rFonts w:eastAsia="Calibri"/>
          <w:bCs/>
          <w:szCs w:val="24"/>
        </w:rPr>
        <w:t xml:space="preserve"> </w:t>
      </w:r>
      <w:r w:rsidR="00877139" w:rsidRPr="00232FDB">
        <w:rPr>
          <w:rFonts w:eastAsia="Calibri"/>
          <w:bCs/>
          <w:szCs w:val="24"/>
        </w:rPr>
        <w:t>which for</w:t>
      </w:r>
      <w:r w:rsidRPr="00232FDB">
        <w:rPr>
          <w:rFonts w:eastAsia="Calibri"/>
          <w:bCs/>
          <w:szCs w:val="24"/>
        </w:rPr>
        <w:t>ms part of the new investment.</w:t>
      </w:r>
    </w:p>
    <w:p w:rsidR="00EC680E" w:rsidRPr="00232FDB" w:rsidRDefault="00EC680E" w:rsidP="006F41DB">
      <w:pPr>
        <w:rPr>
          <w:szCs w:val="24"/>
          <w:lang w:eastAsia="en-GB"/>
        </w:rPr>
      </w:pPr>
      <w:r w:rsidRPr="00232FDB">
        <w:rPr>
          <w:rFonts w:eastAsia="Calibri"/>
          <w:bCs/>
          <w:szCs w:val="24"/>
        </w:rPr>
        <w:lastRenderedPageBreak/>
        <w:t xml:space="preserve">There could be several reasons for the reorganisation of a debt portfolio such as </w:t>
      </w:r>
      <w:r w:rsidR="00F0114A" w:rsidRPr="00232FDB">
        <w:rPr>
          <w:rFonts w:eastAsia="Calibri"/>
          <w:bCs/>
          <w:szCs w:val="24"/>
        </w:rPr>
        <w:t>(1</w:t>
      </w:r>
      <w:r w:rsidR="00F0114A" w:rsidRPr="00232FDB">
        <w:rPr>
          <w:szCs w:val="24"/>
          <w:lang w:eastAsia="en-GB"/>
        </w:rPr>
        <w:t xml:space="preserve">) to consolidate other debt(s) into one loan, </w:t>
      </w:r>
      <w:r w:rsidR="00F0114A" w:rsidRPr="00232FDB">
        <w:rPr>
          <w:rFonts w:eastAsia="Calibri"/>
          <w:bCs/>
          <w:szCs w:val="24"/>
        </w:rPr>
        <w:t>(2</w:t>
      </w:r>
      <w:r w:rsidRPr="00232FDB">
        <w:rPr>
          <w:rFonts w:eastAsia="Calibri"/>
          <w:bCs/>
          <w:szCs w:val="24"/>
        </w:rPr>
        <w:t>) t</w:t>
      </w:r>
      <w:r w:rsidRPr="00232FDB">
        <w:rPr>
          <w:szCs w:val="24"/>
          <w:lang w:eastAsia="en-GB"/>
        </w:rPr>
        <w:t>o benefit from better interest rates or switch from a variable-rate to a fixed-rate loan or vice versa</w:t>
      </w:r>
      <w:r w:rsidR="00F0114A" w:rsidRPr="00232FDB">
        <w:rPr>
          <w:szCs w:val="24"/>
          <w:lang w:eastAsia="en-GB"/>
        </w:rPr>
        <w:t xml:space="preserve"> or </w:t>
      </w:r>
      <w:r w:rsidRPr="00232FDB">
        <w:rPr>
          <w:szCs w:val="24"/>
          <w:lang w:eastAsia="en-GB"/>
        </w:rPr>
        <w:t xml:space="preserve">(3) to reduce the monthly repayment amount by having longer maturities. These examples in the end would allow the final recipient </w:t>
      </w:r>
      <w:r w:rsidRPr="00232FDB">
        <w:t xml:space="preserve">to increase its </w:t>
      </w:r>
      <w:r w:rsidR="00D57B4B" w:rsidRPr="00232FDB">
        <w:t xml:space="preserve">ability to meet the obligations and </w:t>
      </w:r>
      <w:r w:rsidRPr="00232FDB">
        <w:rPr>
          <w:szCs w:val="24"/>
          <w:lang w:eastAsia="en-GB"/>
        </w:rPr>
        <w:t xml:space="preserve">to free up </w:t>
      </w:r>
      <w:r w:rsidR="004E3C90" w:rsidRPr="00232FDB">
        <w:rPr>
          <w:szCs w:val="24"/>
          <w:lang w:eastAsia="en-GB"/>
        </w:rPr>
        <w:t xml:space="preserve">resources </w:t>
      </w:r>
      <w:r w:rsidRPr="00232FDB">
        <w:rPr>
          <w:szCs w:val="24"/>
          <w:lang w:eastAsia="en-GB"/>
        </w:rPr>
        <w:t>to support the continuation of its investment.</w:t>
      </w:r>
    </w:p>
    <w:p w:rsidR="00813E4F" w:rsidRPr="00232FDB" w:rsidRDefault="00813E4F" w:rsidP="006F41DB">
      <w:pPr>
        <w:rPr>
          <w:rFonts w:eastAsia="Calibri"/>
          <w:bCs/>
          <w:szCs w:val="24"/>
        </w:rPr>
      </w:pPr>
      <w:r w:rsidRPr="00232FDB">
        <w:rPr>
          <w:rFonts w:eastAsia="Calibri"/>
          <w:bCs/>
          <w:szCs w:val="24"/>
        </w:rPr>
        <w:t>It should however be highlighted that the purpose of this provision is not to allow that an ESI</w:t>
      </w:r>
      <w:r w:rsidR="002A7CB7" w:rsidRPr="00232FDB">
        <w:rPr>
          <w:rFonts w:eastAsia="Calibri"/>
          <w:bCs/>
          <w:szCs w:val="24"/>
        </w:rPr>
        <w:t xml:space="preserve"> </w:t>
      </w:r>
      <w:r w:rsidRPr="00232FDB">
        <w:rPr>
          <w:rFonts w:eastAsia="Calibri"/>
          <w:bCs/>
          <w:szCs w:val="24"/>
        </w:rPr>
        <w:t>F</w:t>
      </w:r>
      <w:r w:rsidR="002A7CB7" w:rsidRPr="00232FDB">
        <w:rPr>
          <w:rFonts w:eastAsia="Calibri"/>
          <w:bCs/>
          <w:szCs w:val="24"/>
        </w:rPr>
        <w:t xml:space="preserve">und </w:t>
      </w:r>
      <w:r w:rsidRPr="00232FDB">
        <w:rPr>
          <w:rFonts w:eastAsia="Calibri"/>
          <w:bCs/>
          <w:szCs w:val="24"/>
        </w:rPr>
        <w:t>financial instrument provides a loan with a view to reorganise other ESI</w:t>
      </w:r>
      <w:r w:rsidR="002A7CB7" w:rsidRPr="00232FDB">
        <w:rPr>
          <w:rFonts w:eastAsia="Calibri"/>
          <w:bCs/>
          <w:szCs w:val="24"/>
        </w:rPr>
        <w:t xml:space="preserve"> </w:t>
      </w:r>
      <w:r w:rsidRPr="00232FDB">
        <w:rPr>
          <w:rFonts w:eastAsia="Calibri"/>
          <w:bCs/>
          <w:szCs w:val="24"/>
        </w:rPr>
        <w:t>F</w:t>
      </w:r>
      <w:r w:rsidR="002A7CB7" w:rsidRPr="00232FDB">
        <w:rPr>
          <w:rFonts w:eastAsia="Calibri"/>
          <w:bCs/>
          <w:szCs w:val="24"/>
        </w:rPr>
        <w:t>und</w:t>
      </w:r>
      <w:r w:rsidRPr="00232FDB">
        <w:rPr>
          <w:rFonts w:eastAsia="Calibri"/>
          <w:bCs/>
          <w:szCs w:val="24"/>
        </w:rPr>
        <w:t xml:space="preserve"> financial instrument loan</w:t>
      </w:r>
      <w:r w:rsidR="004E3C90" w:rsidRPr="00232FDB">
        <w:rPr>
          <w:rFonts w:eastAsia="Calibri"/>
          <w:bCs/>
          <w:szCs w:val="24"/>
        </w:rPr>
        <w:t>(s)</w:t>
      </w:r>
      <w:r w:rsidRPr="00232FDB">
        <w:rPr>
          <w:rFonts w:eastAsia="Calibri"/>
          <w:bCs/>
          <w:szCs w:val="24"/>
        </w:rPr>
        <w:t>, i.e. this flexibility is open to previously disbursed commercial loans</w:t>
      </w:r>
      <w:r w:rsidR="00B51945" w:rsidRPr="00232FDB">
        <w:rPr>
          <w:rFonts w:eastAsia="Calibri"/>
          <w:bCs/>
          <w:szCs w:val="24"/>
        </w:rPr>
        <w:t>, as an ESI</w:t>
      </w:r>
      <w:r w:rsidR="00226CB1">
        <w:rPr>
          <w:rFonts w:eastAsia="Calibri"/>
          <w:bCs/>
          <w:szCs w:val="24"/>
        </w:rPr>
        <w:t xml:space="preserve"> </w:t>
      </w:r>
      <w:r w:rsidR="00B51945" w:rsidRPr="00232FDB">
        <w:rPr>
          <w:rFonts w:eastAsia="Calibri"/>
          <w:bCs/>
          <w:szCs w:val="24"/>
        </w:rPr>
        <w:t>F</w:t>
      </w:r>
      <w:r w:rsidR="00226CB1">
        <w:rPr>
          <w:rFonts w:eastAsia="Calibri"/>
          <w:bCs/>
          <w:szCs w:val="24"/>
        </w:rPr>
        <w:t xml:space="preserve">und </w:t>
      </w:r>
      <w:r w:rsidR="00B51945" w:rsidRPr="00232FDB">
        <w:rPr>
          <w:rFonts w:eastAsia="Calibri"/>
          <w:bCs/>
          <w:szCs w:val="24"/>
        </w:rPr>
        <w:t xml:space="preserve">programme loan is usually provided at much better conditions which would </w:t>
      </w:r>
      <w:r w:rsidR="006E0AB8" w:rsidRPr="00232FDB">
        <w:rPr>
          <w:rFonts w:eastAsia="Calibri"/>
          <w:bCs/>
          <w:szCs w:val="24"/>
        </w:rPr>
        <w:t xml:space="preserve">not, in principle, </w:t>
      </w:r>
      <w:r w:rsidR="00B51945" w:rsidRPr="00232FDB">
        <w:rPr>
          <w:rFonts w:eastAsia="Calibri"/>
          <w:bCs/>
          <w:szCs w:val="24"/>
        </w:rPr>
        <w:t>require its reorganisation</w:t>
      </w:r>
      <w:r w:rsidR="006C22CF" w:rsidRPr="00232FDB">
        <w:rPr>
          <w:rFonts w:eastAsia="Calibri"/>
          <w:bCs/>
          <w:szCs w:val="24"/>
        </w:rPr>
        <w:t xml:space="preserve"> and could also mean </w:t>
      </w:r>
      <w:r w:rsidR="00B1011F">
        <w:rPr>
          <w:rFonts w:eastAsia="Calibri"/>
          <w:bCs/>
          <w:szCs w:val="24"/>
        </w:rPr>
        <w:t>non-compliance with the CPR rules on combination of support from the budget of the Union</w:t>
      </w:r>
      <w:r w:rsidR="00F54A15">
        <w:rPr>
          <w:rFonts w:eastAsia="Calibri"/>
          <w:bCs/>
          <w:szCs w:val="24"/>
        </w:rPr>
        <w:t>.</w:t>
      </w:r>
      <w:r w:rsidR="00B51945" w:rsidRPr="00232FDB">
        <w:rPr>
          <w:rFonts w:eastAsia="Calibri"/>
          <w:bCs/>
          <w:szCs w:val="24"/>
        </w:rPr>
        <w:t>.</w:t>
      </w:r>
    </w:p>
    <w:p w:rsidR="00590840" w:rsidRPr="00A171BE" w:rsidRDefault="00590840" w:rsidP="00A171BE">
      <w:pPr>
        <w:rPr>
          <w:rFonts w:eastAsia="Calibri"/>
          <w:bCs/>
        </w:rPr>
      </w:pPr>
      <w:r w:rsidRPr="00B85B98">
        <w:rPr>
          <w:rFonts w:eastAsia="Calibri"/>
          <w:bCs/>
          <w:szCs w:val="24"/>
        </w:rPr>
        <w:t xml:space="preserve">In addition, </w:t>
      </w:r>
      <w:r w:rsidR="003B4A5A" w:rsidRPr="00B85B98">
        <w:rPr>
          <w:rFonts w:eastAsia="Calibri"/>
          <w:bCs/>
          <w:szCs w:val="24"/>
        </w:rPr>
        <w:t xml:space="preserve">the State aid legal framework plays an important role in this regard and the national authorities should verify the compliance with State aid rules </w:t>
      </w:r>
      <w:r w:rsidRPr="00B85B98">
        <w:rPr>
          <w:rFonts w:eastAsia="Calibri"/>
          <w:bCs/>
          <w:szCs w:val="24"/>
        </w:rPr>
        <w:t xml:space="preserve">before making use of this provision. </w:t>
      </w:r>
      <w:r w:rsidR="00B85B98">
        <w:rPr>
          <w:rFonts w:eastAsia="Calibri"/>
          <w:bCs/>
          <w:szCs w:val="24"/>
        </w:rPr>
        <w:t>O</w:t>
      </w:r>
      <w:r w:rsidR="00B85B98" w:rsidRPr="00B85B98">
        <w:rPr>
          <w:rFonts w:eastAsia="Calibri"/>
          <w:bCs/>
          <w:szCs w:val="24"/>
        </w:rPr>
        <w:t xml:space="preserve">nly new investments are allowed under </w:t>
      </w:r>
      <w:r w:rsidR="00B85B98">
        <w:rPr>
          <w:rFonts w:eastAsia="Calibri"/>
          <w:bCs/>
          <w:szCs w:val="24"/>
        </w:rPr>
        <w:t xml:space="preserve">State aid </w:t>
      </w:r>
      <w:r w:rsidR="00B85B98" w:rsidRPr="00B85B98">
        <w:rPr>
          <w:rFonts w:eastAsia="Calibri"/>
          <w:bCs/>
          <w:szCs w:val="24"/>
        </w:rPr>
        <w:t>rules</w:t>
      </w:r>
      <w:r w:rsidR="00B85B98">
        <w:rPr>
          <w:rFonts w:eastAsia="Calibri"/>
          <w:bCs/>
          <w:szCs w:val="24"/>
        </w:rPr>
        <w:t xml:space="preserve"> as r</w:t>
      </w:r>
      <w:r w:rsidR="00B85B98" w:rsidRPr="00B85B98">
        <w:rPr>
          <w:rFonts w:eastAsia="Calibri"/>
          <w:bCs/>
          <w:szCs w:val="24"/>
        </w:rPr>
        <w:t xml:space="preserve">e-financing of </w:t>
      </w:r>
      <w:r w:rsidR="00630674" w:rsidRPr="00B85B98">
        <w:rPr>
          <w:rFonts w:eastAsia="Calibri"/>
          <w:bCs/>
          <w:szCs w:val="24"/>
        </w:rPr>
        <w:t xml:space="preserve">financed </w:t>
      </w:r>
      <w:r w:rsidR="00630674">
        <w:rPr>
          <w:rFonts w:eastAsia="Calibri"/>
          <w:bCs/>
          <w:szCs w:val="24"/>
        </w:rPr>
        <w:t xml:space="preserve">and </w:t>
      </w:r>
      <w:r w:rsidR="00B85B98" w:rsidRPr="00B85B98">
        <w:rPr>
          <w:rFonts w:eastAsia="Calibri"/>
          <w:bCs/>
          <w:szCs w:val="24"/>
        </w:rPr>
        <w:t>completed</w:t>
      </w:r>
      <w:r w:rsidR="00630674">
        <w:rPr>
          <w:rFonts w:eastAsia="Calibri"/>
          <w:bCs/>
          <w:szCs w:val="24"/>
        </w:rPr>
        <w:t xml:space="preserve"> </w:t>
      </w:r>
      <w:r w:rsidR="00B85B98" w:rsidRPr="00B85B98">
        <w:rPr>
          <w:rFonts w:eastAsia="Calibri"/>
          <w:bCs/>
          <w:szCs w:val="24"/>
        </w:rPr>
        <w:t>act</w:t>
      </w:r>
      <w:r w:rsidR="00B85B98">
        <w:rPr>
          <w:rFonts w:eastAsia="Calibri"/>
          <w:bCs/>
          <w:szCs w:val="24"/>
        </w:rPr>
        <w:t>ivities has no incentive effect</w:t>
      </w:r>
      <w:r w:rsidR="00B85B98" w:rsidRPr="00B85B98">
        <w:rPr>
          <w:rFonts w:eastAsia="Calibri"/>
          <w:bCs/>
          <w:szCs w:val="24"/>
        </w:rPr>
        <w:t>.</w:t>
      </w:r>
      <w:r w:rsidR="00B85B98">
        <w:rPr>
          <w:rFonts w:eastAsia="Calibri"/>
          <w:bCs/>
          <w:szCs w:val="24"/>
        </w:rPr>
        <w:t xml:space="preserve"> </w:t>
      </w:r>
      <w:r w:rsidR="00B85B98" w:rsidRPr="00B85B98">
        <w:rPr>
          <w:rFonts w:eastAsia="Calibri"/>
          <w:bCs/>
          <w:szCs w:val="24"/>
        </w:rPr>
        <w:t xml:space="preserve">There is also a </w:t>
      </w:r>
      <w:r w:rsidR="00B85B98">
        <w:rPr>
          <w:rFonts w:eastAsia="Calibri"/>
          <w:bCs/>
          <w:szCs w:val="24"/>
        </w:rPr>
        <w:t xml:space="preserve">significant </w:t>
      </w:r>
      <w:r w:rsidR="00B85B98" w:rsidRPr="00B85B98">
        <w:rPr>
          <w:rFonts w:eastAsia="Calibri"/>
          <w:bCs/>
          <w:szCs w:val="24"/>
        </w:rPr>
        <w:t xml:space="preserve">risk of crowding out private investors if ESI Funds </w:t>
      </w:r>
      <w:r w:rsidR="00A171BE">
        <w:rPr>
          <w:rFonts w:eastAsia="Calibri"/>
          <w:bCs/>
          <w:szCs w:val="24"/>
        </w:rPr>
        <w:t xml:space="preserve">are </w:t>
      </w:r>
      <w:r w:rsidR="00B85B98" w:rsidRPr="00B85B98">
        <w:rPr>
          <w:rFonts w:eastAsia="Calibri"/>
          <w:bCs/>
          <w:szCs w:val="24"/>
        </w:rPr>
        <w:t>used to refinance commercial loans</w:t>
      </w:r>
      <w:r w:rsidR="00A171BE">
        <w:rPr>
          <w:rFonts w:eastAsia="Calibri"/>
          <w:bCs/>
          <w:szCs w:val="24"/>
        </w:rPr>
        <w:t xml:space="preserve"> </w:t>
      </w:r>
      <w:r w:rsidR="00A171BE">
        <w:t xml:space="preserve">and refinancing/guaranteeing </w:t>
      </w:r>
      <w:r w:rsidR="00A171BE" w:rsidRPr="00A95958">
        <w:t xml:space="preserve">an existing loan </w:t>
      </w:r>
      <w:r w:rsidR="00A171BE">
        <w:t xml:space="preserve">may also constitute State </w:t>
      </w:r>
      <w:r w:rsidR="00A171BE" w:rsidRPr="00A95958">
        <w:t xml:space="preserve">aid </w:t>
      </w:r>
      <w:r w:rsidR="00A171BE">
        <w:t xml:space="preserve">at the level of the </w:t>
      </w:r>
      <w:r w:rsidR="00A171BE" w:rsidRPr="00A95958">
        <w:t>financial intermediary</w:t>
      </w:r>
      <w:r w:rsidR="00A171BE">
        <w:t xml:space="preserve"> and consequently may require a State aid notification. </w:t>
      </w:r>
      <w:r w:rsidRPr="00B85B98">
        <w:rPr>
          <w:rFonts w:eastAsia="Calibri"/>
          <w:szCs w:val="24"/>
        </w:rPr>
        <w:t>Please refer also to point 5.</w:t>
      </w:r>
      <w:r w:rsidR="00511789" w:rsidRPr="00B85B98">
        <w:rPr>
          <w:rFonts w:eastAsia="Calibri"/>
          <w:szCs w:val="24"/>
        </w:rPr>
        <w:t xml:space="preserve">6 </w:t>
      </w:r>
      <w:r w:rsidRPr="00B85B98">
        <w:rPr>
          <w:rFonts w:eastAsia="Calibri"/>
          <w:szCs w:val="24"/>
        </w:rPr>
        <w:t xml:space="preserve">on the eligibility </w:t>
      </w:r>
      <w:r w:rsidRPr="00B85B98">
        <w:rPr>
          <w:szCs w:val="24"/>
        </w:rPr>
        <w:t>refinancing of existing loans.</w:t>
      </w:r>
    </w:p>
    <w:p w:rsidR="005848DE" w:rsidRPr="00232FDB" w:rsidRDefault="005848DE" w:rsidP="006F41DB">
      <w:pPr>
        <w:pBdr>
          <w:top w:val="single" w:sz="4" w:space="1" w:color="auto"/>
          <w:left w:val="single" w:sz="4" w:space="4" w:color="auto"/>
          <w:bottom w:val="single" w:sz="4" w:space="1" w:color="auto"/>
          <w:right w:val="single" w:sz="4" w:space="4" w:color="auto"/>
        </w:pBdr>
        <w:rPr>
          <w:rFonts w:eastAsia="Calibri"/>
          <w:b/>
          <w:bCs/>
          <w:szCs w:val="24"/>
        </w:rPr>
      </w:pPr>
      <w:r w:rsidRPr="00232FDB">
        <w:rPr>
          <w:rFonts w:eastAsia="Calibri"/>
          <w:b/>
          <w:bCs/>
          <w:szCs w:val="24"/>
        </w:rPr>
        <w:t xml:space="preserve">Example of eligibility of expenditure </w:t>
      </w:r>
      <w:r w:rsidR="00D015D1" w:rsidRPr="00232FDB">
        <w:rPr>
          <w:rFonts w:eastAsia="Calibri"/>
          <w:b/>
          <w:bCs/>
          <w:szCs w:val="24"/>
        </w:rPr>
        <w:t xml:space="preserve">for </w:t>
      </w:r>
      <w:r w:rsidRPr="00232FDB">
        <w:rPr>
          <w:rFonts w:eastAsia="Calibri"/>
          <w:b/>
          <w:bCs/>
          <w:szCs w:val="24"/>
        </w:rPr>
        <w:t>the reorganisation of a debt portfolio:</w:t>
      </w:r>
    </w:p>
    <w:p w:rsidR="00C11709" w:rsidRPr="00232FDB" w:rsidRDefault="00C11709"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I</w:t>
      </w:r>
      <w:r w:rsidR="005848DE" w:rsidRPr="00232FDB">
        <w:rPr>
          <w:rFonts w:eastAsia="Calibri"/>
          <w:bCs/>
          <w:szCs w:val="24"/>
        </w:rPr>
        <w:t xml:space="preserve">n the context of an integrated infrastructure investment </w:t>
      </w:r>
      <w:r w:rsidRPr="00232FDB">
        <w:rPr>
          <w:rFonts w:eastAsia="Calibri"/>
          <w:bCs/>
          <w:szCs w:val="24"/>
        </w:rPr>
        <w:t xml:space="preserve">with the objective of supporting urban development, </w:t>
      </w:r>
      <w:r w:rsidR="005848DE" w:rsidRPr="00232FDB">
        <w:rPr>
          <w:rFonts w:eastAsia="Calibri"/>
          <w:bCs/>
          <w:szCs w:val="24"/>
        </w:rPr>
        <w:t>part of the investment (e.g. part of the infrastructure) was financed from market sources and is al</w:t>
      </w:r>
      <w:r w:rsidRPr="00232FDB">
        <w:rPr>
          <w:rFonts w:eastAsia="Calibri"/>
          <w:bCs/>
          <w:szCs w:val="24"/>
        </w:rPr>
        <w:t>ready constructed. Thus, t</w:t>
      </w:r>
      <w:r w:rsidR="005848DE" w:rsidRPr="00232FDB">
        <w:rPr>
          <w:rFonts w:eastAsia="Calibri"/>
          <w:bCs/>
          <w:szCs w:val="24"/>
        </w:rPr>
        <w:t xml:space="preserve">his part of </w:t>
      </w:r>
      <w:r w:rsidRPr="00232FDB">
        <w:rPr>
          <w:rFonts w:eastAsia="Calibri"/>
          <w:bCs/>
          <w:szCs w:val="24"/>
        </w:rPr>
        <w:t>infrastructure</w:t>
      </w:r>
      <w:r w:rsidR="00926484" w:rsidRPr="00232FDB">
        <w:rPr>
          <w:rFonts w:eastAsia="Calibri"/>
          <w:bCs/>
          <w:szCs w:val="24"/>
        </w:rPr>
        <w:t xml:space="preserve">, which must be linked and essential for </w:t>
      </w:r>
      <w:r w:rsidR="00652B90" w:rsidRPr="00232FDB">
        <w:rPr>
          <w:rFonts w:eastAsia="Calibri"/>
          <w:bCs/>
          <w:szCs w:val="24"/>
        </w:rPr>
        <w:t xml:space="preserve">the </w:t>
      </w:r>
      <w:r w:rsidR="00926484" w:rsidRPr="00232FDB">
        <w:rPr>
          <w:rFonts w:eastAsia="Calibri"/>
          <w:bCs/>
          <w:szCs w:val="24"/>
        </w:rPr>
        <w:t xml:space="preserve">overall investment </w:t>
      </w:r>
      <w:r w:rsidRPr="00232FDB">
        <w:rPr>
          <w:rFonts w:eastAsia="Calibri"/>
          <w:bCs/>
          <w:szCs w:val="24"/>
        </w:rPr>
        <w:t xml:space="preserve">can be considered as fully </w:t>
      </w:r>
      <w:r w:rsidR="005848DE" w:rsidRPr="00232FDB">
        <w:rPr>
          <w:rFonts w:eastAsia="Calibri"/>
          <w:bCs/>
          <w:szCs w:val="24"/>
        </w:rPr>
        <w:t>completed</w:t>
      </w:r>
      <w:r w:rsidRPr="00232FDB">
        <w:rPr>
          <w:rFonts w:eastAsia="Calibri"/>
          <w:bCs/>
          <w:szCs w:val="24"/>
        </w:rPr>
        <w:t xml:space="preserve"> and as a general rule would not be able to receive any support from an ESI</w:t>
      </w:r>
      <w:r w:rsidR="002A7CB7" w:rsidRPr="00232FDB">
        <w:rPr>
          <w:rFonts w:eastAsia="Calibri"/>
          <w:bCs/>
          <w:szCs w:val="24"/>
        </w:rPr>
        <w:t xml:space="preserve"> </w:t>
      </w:r>
      <w:r w:rsidRPr="00232FDB">
        <w:rPr>
          <w:rFonts w:eastAsia="Calibri"/>
          <w:bCs/>
          <w:szCs w:val="24"/>
        </w:rPr>
        <w:t>F</w:t>
      </w:r>
      <w:r w:rsidR="002A7CB7" w:rsidRPr="00232FDB">
        <w:rPr>
          <w:rFonts w:eastAsia="Calibri"/>
          <w:bCs/>
          <w:szCs w:val="24"/>
        </w:rPr>
        <w:t>und</w:t>
      </w:r>
      <w:r w:rsidRPr="00232FDB">
        <w:rPr>
          <w:rFonts w:eastAsia="Calibri"/>
          <w:bCs/>
          <w:szCs w:val="24"/>
        </w:rPr>
        <w:t xml:space="preserve"> financial instrument. </w:t>
      </w:r>
    </w:p>
    <w:p w:rsidR="006159CA" w:rsidRPr="00232FDB" w:rsidRDefault="00A51F56" w:rsidP="006F41DB">
      <w:pPr>
        <w:pBdr>
          <w:top w:val="single" w:sz="4" w:space="1" w:color="auto"/>
          <w:left w:val="single" w:sz="4" w:space="4" w:color="auto"/>
          <w:bottom w:val="single" w:sz="4" w:space="1" w:color="auto"/>
          <w:right w:val="single" w:sz="4" w:space="4" w:color="auto"/>
        </w:pBdr>
        <w:rPr>
          <w:rFonts w:eastAsia="Calibri"/>
          <w:bCs/>
          <w:szCs w:val="24"/>
        </w:rPr>
      </w:pPr>
      <w:r w:rsidRPr="00232FDB">
        <w:rPr>
          <w:rFonts w:eastAsia="Calibri"/>
          <w:bCs/>
          <w:szCs w:val="24"/>
        </w:rPr>
        <w:t>However, w</w:t>
      </w:r>
      <w:r w:rsidR="00C11709" w:rsidRPr="00232FDB">
        <w:rPr>
          <w:rFonts w:eastAsia="Calibri"/>
          <w:bCs/>
          <w:szCs w:val="24"/>
        </w:rPr>
        <w:t xml:space="preserve">ith the </w:t>
      </w:r>
      <w:r w:rsidRPr="00232FDB">
        <w:rPr>
          <w:rFonts w:eastAsia="Calibri"/>
          <w:bCs/>
          <w:szCs w:val="24"/>
        </w:rPr>
        <w:t xml:space="preserve">flexibility provided by </w:t>
      </w:r>
      <w:r w:rsidR="00C11709" w:rsidRPr="00232FDB">
        <w:rPr>
          <w:rFonts w:eastAsia="Calibri"/>
          <w:bCs/>
          <w:szCs w:val="24"/>
        </w:rPr>
        <w:t xml:space="preserve">Article 37(6) CPR, the </w:t>
      </w:r>
      <w:r w:rsidR="00926484" w:rsidRPr="00232FDB">
        <w:rPr>
          <w:rFonts w:eastAsia="Calibri"/>
          <w:bCs/>
          <w:szCs w:val="24"/>
        </w:rPr>
        <w:t xml:space="preserve">loan from the </w:t>
      </w:r>
      <w:r w:rsidR="006E0AB8" w:rsidRPr="00232FDB">
        <w:rPr>
          <w:rFonts w:eastAsia="Calibri"/>
          <w:bCs/>
          <w:szCs w:val="24"/>
        </w:rPr>
        <w:t xml:space="preserve">ESI Fund programme </w:t>
      </w:r>
      <w:r w:rsidR="00C11709" w:rsidRPr="00232FDB">
        <w:rPr>
          <w:rFonts w:eastAsia="Calibri"/>
          <w:bCs/>
          <w:szCs w:val="24"/>
        </w:rPr>
        <w:t>financial instrument can cover</w:t>
      </w:r>
      <w:r w:rsidR="005848DE" w:rsidRPr="00232FDB">
        <w:rPr>
          <w:rFonts w:eastAsia="Calibri"/>
          <w:bCs/>
          <w:szCs w:val="24"/>
        </w:rPr>
        <w:t xml:space="preserve"> </w:t>
      </w:r>
      <w:r w:rsidR="006159CA" w:rsidRPr="00232FDB">
        <w:rPr>
          <w:rFonts w:eastAsia="Calibri"/>
          <w:bCs/>
          <w:szCs w:val="24"/>
        </w:rPr>
        <w:t>the amount necessary (</w:t>
      </w:r>
      <w:r w:rsidR="00C11709" w:rsidRPr="00232FDB">
        <w:rPr>
          <w:rFonts w:eastAsia="Calibri"/>
          <w:bCs/>
          <w:szCs w:val="24"/>
        </w:rPr>
        <w:t>up to a maximum of 20% of the tota</w:t>
      </w:r>
      <w:r w:rsidR="006159CA" w:rsidRPr="00232FDB">
        <w:rPr>
          <w:rFonts w:eastAsia="Calibri"/>
          <w:bCs/>
          <w:szCs w:val="24"/>
        </w:rPr>
        <w:t>l loan</w:t>
      </w:r>
      <w:r w:rsidR="00D015D1" w:rsidRPr="00232FDB">
        <w:rPr>
          <w:rFonts w:eastAsia="Calibri"/>
          <w:bCs/>
          <w:szCs w:val="24"/>
        </w:rPr>
        <w:t>(s)</w:t>
      </w:r>
      <w:r w:rsidR="006159CA" w:rsidRPr="00232FDB">
        <w:rPr>
          <w:rFonts w:eastAsia="Calibri"/>
          <w:bCs/>
          <w:szCs w:val="24"/>
        </w:rPr>
        <w:t xml:space="preserve"> p</w:t>
      </w:r>
      <w:r w:rsidR="00C11709" w:rsidRPr="00232FDB">
        <w:rPr>
          <w:rFonts w:eastAsia="Calibri"/>
          <w:bCs/>
          <w:szCs w:val="24"/>
        </w:rPr>
        <w:t>rovided by the financial instrument</w:t>
      </w:r>
      <w:r w:rsidR="00590840" w:rsidRPr="00232FDB">
        <w:rPr>
          <w:rFonts w:eastAsia="Calibri"/>
          <w:bCs/>
          <w:szCs w:val="24"/>
        </w:rPr>
        <w:t>)</w:t>
      </w:r>
      <w:r w:rsidR="00C11709" w:rsidRPr="00232FDB">
        <w:rPr>
          <w:rFonts w:eastAsia="Calibri"/>
          <w:bCs/>
          <w:szCs w:val="24"/>
        </w:rPr>
        <w:t xml:space="preserve"> with a view to reorganise </w:t>
      </w:r>
      <w:r w:rsidRPr="00232FDB">
        <w:rPr>
          <w:rFonts w:eastAsia="Calibri"/>
          <w:bCs/>
          <w:szCs w:val="24"/>
        </w:rPr>
        <w:t xml:space="preserve">the </w:t>
      </w:r>
      <w:r w:rsidR="00590840" w:rsidRPr="00232FDB">
        <w:rPr>
          <w:rFonts w:eastAsia="Calibri"/>
          <w:bCs/>
          <w:szCs w:val="24"/>
        </w:rPr>
        <w:t xml:space="preserve">current </w:t>
      </w:r>
      <w:r w:rsidRPr="00232FDB">
        <w:rPr>
          <w:rFonts w:eastAsia="Calibri"/>
          <w:bCs/>
          <w:szCs w:val="24"/>
        </w:rPr>
        <w:t>debt</w:t>
      </w:r>
      <w:r w:rsidR="00813E4F" w:rsidRPr="00232FDB">
        <w:rPr>
          <w:rFonts w:eastAsia="Calibri"/>
          <w:bCs/>
          <w:szCs w:val="24"/>
        </w:rPr>
        <w:t xml:space="preserve"> portfolio</w:t>
      </w:r>
      <w:r w:rsidR="00590840" w:rsidRPr="00232FDB">
        <w:rPr>
          <w:rFonts w:eastAsia="Calibri"/>
          <w:bCs/>
          <w:szCs w:val="24"/>
        </w:rPr>
        <w:t xml:space="preserve"> of the final recipient linked to the </w:t>
      </w:r>
      <w:r w:rsidR="00D106E4" w:rsidRPr="00232FDB">
        <w:rPr>
          <w:rFonts w:eastAsia="Calibri"/>
          <w:bCs/>
          <w:szCs w:val="24"/>
        </w:rPr>
        <w:t xml:space="preserve">overall </w:t>
      </w:r>
      <w:r w:rsidR="00590840" w:rsidRPr="00232FDB">
        <w:rPr>
          <w:rFonts w:eastAsia="Calibri"/>
          <w:bCs/>
          <w:szCs w:val="24"/>
        </w:rPr>
        <w:t xml:space="preserve">investment at stake. </w:t>
      </w:r>
    </w:p>
    <w:p w:rsidR="005848DE" w:rsidRPr="00232FDB" w:rsidRDefault="00590840" w:rsidP="006F41DB">
      <w:pPr>
        <w:pBdr>
          <w:top w:val="single" w:sz="4" w:space="1" w:color="auto"/>
          <w:left w:val="single" w:sz="4" w:space="4" w:color="auto"/>
          <w:bottom w:val="single" w:sz="4" w:space="1" w:color="auto"/>
          <w:right w:val="single" w:sz="4" w:space="4" w:color="auto"/>
        </w:pBdr>
        <w:rPr>
          <w:rFonts w:eastAsia="Calibri"/>
          <w:b/>
          <w:bCs/>
          <w:szCs w:val="24"/>
        </w:rPr>
      </w:pPr>
      <w:r w:rsidRPr="00232FDB">
        <w:rPr>
          <w:rFonts w:eastAsia="Calibri"/>
          <w:bCs/>
          <w:szCs w:val="24"/>
        </w:rPr>
        <w:t>The entire loan disbursed by the financial instrument could thus be considered as eligible expenditure as provided for in Article 42 CPR</w:t>
      </w:r>
      <w:r w:rsidR="00926484" w:rsidRPr="00232FDB">
        <w:rPr>
          <w:rFonts w:eastAsia="Calibri"/>
          <w:bCs/>
          <w:szCs w:val="24"/>
        </w:rPr>
        <w:t>, provided that State Aid rules and national eligibility rules are complied with.</w:t>
      </w:r>
    </w:p>
    <w:p w:rsidR="00472205" w:rsidRPr="00232FDB" w:rsidRDefault="00AB4B35" w:rsidP="006F41DB">
      <w:pPr>
        <w:pStyle w:val="Heading1"/>
        <w:spacing w:before="0"/>
      </w:pPr>
      <w:bookmarkStart w:id="26" w:name="_Toc445141413"/>
      <w:r w:rsidRPr="00232FDB">
        <w:t>F</w:t>
      </w:r>
      <w:r w:rsidR="00472205" w:rsidRPr="00232FDB">
        <w:t>actoring</w:t>
      </w:r>
      <w:bookmarkEnd w:id="26"/>
    </w:p>
    <w:p w:rsidR="00A91F61" w:rsidRPr="00232FDB" w:rsidRDefault="00A91F61" w:rsidP="00A91F61">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t xml:space="preserve">Article 37(1) CPR requires that financial instruments should support investments which are expected to be financially viable and do not give rise to sufficient funding from market sources. This provision refers to the viability of the </w:t>
      </w:r>
      <w:r w:rsidR="00D76B2A">
        <w:rPr>
          <w:rFonts w:ascii="Times New Roman" w:eastAsia="Calibri" w:hAnsi="Times New Roman"/>
          <w:sz w:val="24"/>
          <w:szCs w:val="24"/>
        </w:rPr>
        <w:t xml:space="preserve">investment and </w:t>
      </w:r>
      <w:r w:rsidRPr="00232FDB">
        <w:rPr>
          <w:rFonts w:ascii="Times New Roman" w:eastAsia="Calibri" w:hAnsi="Times New Roman"/>
          <w:sz w:val="24"/>
          <w:szCs w:val="24"/>
        </w:rPr>
        <w:t xml:space="preserve">is backed by recital 38 CPR which refers to "direct financial returns" of the investment. It should </w:t>
      </w:r>
      <w:r w:rsidR="00D76B2A">
        <w:rPr>
          <w:rFonts w:ascii="Times New Roman" w:eastAsia="Calibri" w:hAnsi="Times New Roman"/>
          <w:sz w:val="24"/>
          <w:szCs w:val="24"/>
        </w:rPr>
        <w:t xml:space="preserve">also </w:t>
      </w:r>
      <w:r w:rsidRPr="00232FDB">
        <w:rPr>
          <w:rFonts w:ascii="Times New Roman" w:eastAsia="Calibri" w:hAnsi="Times New Roman"/>
          <w:sz w:val="24"/>
          <w:szCs w:val="24"/>
        </w:rPr>
        <w:t xml:space="preserve">be noted also that Article 2 of CF and Article 3 of ERDF exclude the provision of aid to undertakings in difficulty as defined under Union State aid rules and in general these rules </w:t>
      </w:r>
      <w:r>
        <w:rPr>
          <w:rFonts w:ascii="Times New Roman" w:eastAsia="Calibri" w:hAnsi="Times New Roman"/>
          <w:sz w:val="24"/>
          <w:szCs w:val="24"/>
        </w:rPr>
        <w:t xml:space="preserve">does not allow </w:t>
      </w:r>
      <w:r w:rsidRPr="00232FDB">
        <w:rPr>
          <w:rFonts w:ascii="Times New Roman" w:eastAsia="Calibri" w:hAnsi="Times New Roman"/>
          <w:sz w:val="24"/>
          <w:szCs w:val="24"/>
        </w:rPr>
        <w:t>this type of support.</w:t>
      </w:r>
    </w:p>
    <w:p w:rsidR="00A91F61" w:rsidRPr="00232FDB" w:rsidRDefault="00A91F61" w:rsidP="00A91F61">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t xml:space="preserve">Article 6 CDR requires that the final recipients receiving support from financial instruments are selected with due account taken of the nature of the financial instrument and the potential economic viability of investment projects to be financed. </w:t>
      </w:r>
    </w:p>
    <w:p w:rsidR="00A91F61" w:rsidRPr="00232FDB" w:rsidRDefault="00A91F61" w:rsidP="00A91F61">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lastRenderedPageBreak/>
        <w:t>Article 9 CDR requires the submission of a business plan and other supporting documents at the moment a final recipient applies for support from a financial instrument.</w:t>
      </w:r>
    </w:p>
    <w:p w:rsidR="00A91F61" w:rsidRPr="00232FDB" w:rsidRDefault="00A91F61" w:rsidP="00A91F61">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t>As a consequence of the above, the economic and financial viability of the underlying investment by a final recipient to be supported by the financial instrument must be documented in a business plan to be assessed by the body implementing the financial instrument at the moment of application for support.</w:t>
      </w:r>
      <w:r>
        <w:rPr>
          <w:rFonts w:ascii="Times New Roman" w:eastAsia="Calibri" w:hAnsi="Times New Roman"/>
          <w:sz w:val="24"/>
          <w:szCs w:val="24"/>
        </w:rPr>
        <w:t xml:space="preserve"> This is one of the core principles for the provision of financial instrument support.</w:t>
      </w:r>
    </w:p>
    <w:p w:rsidR="002A7CB7" w:rsidRPr="00232FDB" w:rsidRDefault="002A7CB7" w:rsidP="006F41DB">
      <w:pPr>
        <w:pStyle w:val="ListParagraph"/>
        <w:spacing w:after="240"/>
        <w:ind w:left="0"/>
        <w:jc w:val="both"/>
        <w:rPr>
          <w:rFonts w:ascii="Times New Roman" w:eastAsia="Calibri" w:hAnsi="Times New Roman"/>
          <w:sz w:val="24"/>
          <w:szCs w:val="24"/>
        </w:rPr>
      </w:pPr>
      <w:r w:rsidRPr="00232FDB">
        <w:rPr>
          <w:rFonts w:ascii="Times New Roman" w:eastAsia="Calibri" w:hAnsi="Times New Roman"/>
          <w:sz w:val="24"/>
          <w:szCs w:val="24"/>
        </w:rPr>
        <w:t xml:space="preserve">For the purposes of </w:t>
      </w:r>
      <w:r w:rsidR="0082294E" w:rsidRPr="00232FDB">
        <w:rPr>
          <w:rFonts w:ascii="Times New Roman" w:eastAsia="Calibri" w:hAnsi="Times New Roman"/>
          <w:sz w:val="24"/>
          <w:szCs w:val="24"/>
        </w:rPr>
        <w:t>this</w:t>
      </w:r>
      <w:r w:rsidRPr="00232FDB">
        <w:rPr>
          <w:rFonts w:ascii="Times New Roman" w:eastAsia="Calibri" w:hAnsi="Times New Roman"/>
          <w:sz w:val="24"/>
          <w:szCs w:val="24"/>
        </w:rPr>
        <w:t xml:space="preserve"> guidance, factoring </w:t>
      </w:r>
      <w:r w:rsidR="00862536">
        <w:rPr>
          <w:rFonts w:ascii="Times New Roman" w:eastAsia="Calibri" w:hAnsi="Times New Roman"/>
          <w:sz w:val="24"/>
          <w:szCs w:val="24"/>
        </w:rPr>
        <w:t>is</w:t>
      </w:r>
      <w:r w:rsidR="00862536" w:rsidRPr="00232FDB">
        <w:rPr>
          <w:rFonts w:ascii="Times New Roman" w:eastAsia="Calibri" w:hAnsi="Times New Roman"/>
          <w:sz w:val="24"/>
          <w:szCs w:val="24"/>
        </w:rPr>
        <w:t xml:space="preserve"> understood</w:t>
      </w:r>
      <w:r w:rsidRPr="00232FDB">
        <w:rPr>
          <w:rFonts w:ascii="Times New Roman" w:eastAsia="Calibri" w:hAnsi="Times New Roman"/>
          <w:sz w:val="24"/>
          <w:szCs w:val="24"/>
        </w:rPr>
        <w:t xml:space="preserve"> as the sale of all kinds of receivables </w:t>
      </w:r>
      <w:r w:rsidR="0082294E" w:rsidRPr="00232FDB">
        <w:rPr>
          <w:rFonts w:ascii="Times New Roman" w:eastAsia="Calibri" w:hAnsi="Times New Roman"/>
          <w:sz w:val="24"/>
          <w:szCs w:val="24"/>
        </w:rPr>
        <w:t xml:space="preserve">(usually with a discount) </w:t>
      </w:r>
      <w:r w:rsidRPr="00232FDB">
        <w:rPr>
          <w:rFonts w:ascii="Times New Roman" w:eastAsia="Calibri" w:hAnsi="Times New Roman"/>
          <w:sz w:val="24"/>
          <w:szCs w:val="24"/>
        </w:rPr>
        <w:t>to a third party called factor.</w:t>
      </w:r>
    </w:p>
    <w:p w:rsidR="00A91F61" w:rsidRDefault="00A91F61" w:rsidP="00A91F61">
      <w:pPr>
        <w:autoSpaceDE w:val="0"/>
        <w:autoSpaceDN w:val="0"/>
        <w:adjustRightInd w:val="0"/>
        <w:rPr>
          <w:rFonts w:eastAsia="Calibri"/>
          <w:szCs w:val="24"/>
        </w:rPr>
      </w:pPr>
      <w:r w:rsidRPr="00232FDB">
        <w:rPr>
          <w:rFonts w:eastAsia="Calibri"/>
          <w:szCs w:val="24"/>
        </w:rPr>
        <w:t xml:space="preserve">As </w:t>
      </w:r>
      <w:r>
        <w:rPr>
          <w:rFonts w:eastAsia="Calibri"/>
          <w:szCs w:val="24"/>
        </w:rPr>
        <w:t xml:space="preserve">a </w:t>
      </w:r>
      <w:r w:rsidRPr="00232FDB">
        <w:rPr>
          <w:rFonts w:eastAsia="Calibri"/>
          <w:szCs w:val="24"/>
        </w:rPr>
        <w:t xml:space="preserve">rule, factoring does neither imply an assessment of the repayment capacity of the final recipient nor an assessment of the economic and financial viability of the prospective investment to be carried out by the final recipient (which </w:t>
      </w:r>
      <w:r>
        <w:rPr>
          <w:rFonts w:eastAsia="Calibri"/>
          <w:szCs w:val="24"/>
        </w:rPr>
        <w:t xml:space="preserve">is </w:t>
      </w:r>
      <w:r w:rsidRPr="00232FDB">
        <w:rPr>
          <w:rFonts w:eastAsia="Calibri"/>
          <w:szCs w:val="24"/>
        </w:rPr>
        <w:t xml:space="preserve">not even be the underlying reason for the application for such factoring services). On the contrary, the factor assesses the repayment capacity of the third party responsible for paying the invoice (e.g. the client of the final recipient) and this is the self-liquidating feature of the factoring advance. </w:t>
      </w:r>
    </w:p>
    <w:p w:rsidR="00472205" w:rsidRPr="00232FDB" w:rsidRDefault="00A91F61" w:rsidP="006F41DB">
      <w:pPr>
        <w:autoSpaceDE w:val="0"/>
        <w:autoSpaceDN w:val="0"/>
        <w:adjustRightInd w:val="0"/>
        <w:rPr>
          <w:rFonts w:eastAsia="Calibri"/>
          <w:b/>
          <w:szCs w:val="24"/>
          <w:u w:val="single"/>
        </w:rPr>
      </w:pPr>
      <w:r>
        <w:rPr>
          <w:rFonts w:eastAsia="Calibri"/>
          <w:szCs w:val="24"/>
          <w:u w:val="single"/>
        </w:rPr>
        <w:t xml:space="preserve">It is within this context that </w:t>
      </w:r>
      <w:r w:rsidR="0082294E" w:rsidRPr="00232FDB">
        <w:rPr>
          <w:rFonts w:eastAsia="Calibri"/>
          <w:szCs w:val="24"/>
          <w:u w:val="single"/>
        </w:rPr>
        <w:t xml:space="preserve">the provision of </w:t>
      </w:r>
      <w:r w:rsidR="00472205" w:rsidRPr="00232FDB">
        <w:rPr>
          <w:rFonts w:eastAsia="Calibri"/>
          <w:szCs w:val="24"/>
          <w:u w:val="single"/>
        </w:rPr>
        <w:t>factoring services</w:t>
      </w:r>
      <w:r w:rsidR="0082294E" w:rsidRPr="00232FDB">
        <w:rPr>
          <w:rFonts w:eastAsia="Calibri"/>
          <w:szCs w:val="24"/>
          <w:u w:val="single"/>
        </w:rPr>
        <w:t xml:space="preserve"> under a</w:t>
      </w:r>
      <w:r>
        <w:rPr>
          <w:rFonts w:eastAsia="Calibri"/>
          <w:szCs w:val="24"/>
          <w:u w:val="single"/>
        </w:rPr>
        <w:t xml:space="preserve">n ESI Funds </w:t>
      </w:r>
      <w:r w:rsidR="0082294E" w:rsidRPr="00232FDB">
        <w:rPr>
          <w:rFonts w:eastAsia="Calibri"/>
          <w:szCs w:val="24"/>
          <w:u w:val="single"/>
        </w:rPr>
        <w:t>financial instrument</w:t>
      </w:r>
      <w:r w:rsidR="00472205" w:rsidRPr="00232FDB">
        <w:rPr>
          <w:rFonts w:eastAsia="Calibri"/>
          <w:szCs w:val="24"/>
          <w:u w:val="single"/>
        </w:rPr>
        <w:t xml:space="preserve"> </w:t>
      </w:r>
      <w:r w:rsidR="0082294E" w:rsidRPr="00232FDB">
        <w:rPr>
          <w:rFonts w:eastAsia="Calibri"/>
          <w:szCs w:val="24"/>
          <w:u w:val="single"/>
        </w:rPr>
        <w:t xml:space="preserve">is </w:t>
      </w:r>
      <w:r w:rsidR="00472205" w:rsidRPr="00232FDB">
        <w:rPr>
          <w:rFonts w:eastAsia="Calibri"/>
          <w:szCs w:val="24"/>
          <w:u w:val="single"/>
        </w:rPr>
        <w:t>not eligible under CPR rules</w:t>
      </w:r>
      <w:r>
        <w:rPr>
          <w:rFonts w:eastAsia="Calibri"/>
          <w:szCs w:val="24"/>
          <w:u w:val="single"/>
        </w:rPr>
        <w:t>, because the provision of factoring services is not aligned with the purp</w:t>
      </w:r>
      <w:r w:rsidR="00993ADC">
        <w:rPr>
          <w:rFonts w:eastAsia="Calibri"/>
          <w:szCs w:val="24"/>
          <w:u w:val="single"/>
        </w:rPr>
        <w:t xml:space="preserve">ose and objectives of ESI Funds financial instruments </w:t>
      </w:r>
      <w:r>
        <w:rPr>
          <w:rFonts w:eastAsia="Calibri"/>
          <w:szCs w:val="24"/>
          <w:u w:val="single"/>
        </w:rPr>
        <w:t>support as explained above</w:t>
      </w:r>
      <w:r w:rsidR="00472205" w:rsidRPr="00232FDB">
        <w:rPr>
          <w:rFonts w:eastAsia="Calibri"/>
          <w:szCs w:val="24"/>
          <w:u w:val="single"/>
        </w:rPr>
        <w:t>.</w:t>
      </w:r>
    </w:p>
    <w:p w:rsidR="00472205" w:rsidRPr="00232FDB" w:rsidRDefault="00472205" w:rsidP="006F41DB">
      <w:pPr>
        <w:widowControl w:val="0"/>
        <w:tabs>
          <w:tab w:val="left" w:pos="0"/>
        </w:tabs>
        <w:rPr>
          <w:rFonts w:eastAsia="Calibri"/>
          <w:bCs/>
          <w:szCs w:val="24"/>
        </w:rPr>
      </w:pPr>
      <w:r w:rsidRPr="00232FDB">
        <w:rPr>
          <w:rFonts w:eastAsia="Calibri"/>
          <w:bCs/>
          <w:szCs w:val="24"/>
        </w:rPr>
        <w:t>Other relevant information can be found in the guidance note on support to enterprises/working capital</w:t>
      </w:r>
      <w:r w:rsidRPr="00232FDB">
        <w:rPr>
          <w:rStyle w:val="FootnoteReference"/>
          <w:rFonts w:eastAsia="Calibri"/>
          <w:bCs/>
          <w:szCs w:val="24"/>
        </w:rPr>
        <w:footnoteReference w:id="17"/>
      </w:r>
      <w:r w:rsidRPr="00232FDB">
        <w:rPr>
          <w:rFonts w:eastAsia="Calibri"/>
          <w:bCs/>
          <w:szCs w:val="24"/>
        </w:rPr>
        <w:t xml:space="preserve">. </w:t>
      </w:r>
    </w:p>
    <w:p w:rsidR="00472205" w:rsidRPr="00232FDB" w:rsidRDefault="00AB4B35" w:rsidP="006F41DB">
      <w:pPr>
        <w:pStyle w:val="Heading1"/>
        <w:spacing w:before="0"/>
      </w:pPr>
      <w:bookmarkStart w:id="27" w:name="_Toc445141414"/>
      <w:r w:rsidRPr="00232FDB">
        <w:t>B</w:t>
      </w:r>
      <w:r w:rsidR="00472205" w:rsidRPr="00232FDB">
        <w:t>usiness transfers</w:t>
      </w:r>
      <w:bookmarkEnd w:id="27"/>
    </w:p>
    <w:p w:rsidR="00472205" w:rsidRPr="00232FDB" w:rsidRDefault="00472205" w:rsidP="006F41DB">
      <w:pPr>
        <w:rPr>
          <w:i/>
        </w:rPr>
      </w:pPr>
      <w:r w:rsidRPr="00232FDB">
        <w:t xml:space="preserve">Article 37(4) CPR provides for that financing to enterprises, including SMEs, </w:t>
      </w:r>
      <w:r w:rsidRPr="00232FDB">
        <w:rPr>
          <w:i/>
        </w:rPr>
        <w:t xml:space="preserve">“shall target the establishment of new enterprises, early stage capital, i.e. seed capital and start-up capital, expansion capital, capital for the strengthening of the general activities of an enterprise, or the realisation of new projects, penetration of new markets or new developments by existing enterprises, without prejudice to applicable Union </w:t>
      </w:r>
      <w:r w:rsidR="00F74AAB" w:rsidRPr="00232FDB">
        <w:rPr>
          <w:i/>
        </w:rPr>
        <w:t>State aid</w:t>
      </w:r>
      <w:r w:rsidRPr="00232FDB">
        <w:rPr>
          <w:i/>
        </w:rPr>
        <w:t xml:space="preserve"> rules, and in accordance with the fund-specific rules. Such support may include investment in both tangible and intangible assets as well as working capital within the limits of applicable Union </w:t>
      </w:r>
      <w:r w:rsidR="00F74AAB" w:rsidRPr="00232FDB">
        <w:rPr>
          <w:i/>
        </w:rPr>
        <w:t>State aid</w:t>
      </w:r>
      <w:r w:rsidRPr="00232FDB">
        <w:rPr>
          <w:i/>
        </w:rPr>
        <w:t xml:space="preserve"> rules and with a view to stimulate the private sector as a supplier of funding to enterprises. It may also </w:t>
      </w:r>
      <w:r w:rsidRPr="00232FDB">
        <w:rPr>
          <w:b/>
          <w:i/>
        </w:rPr>
        <w:t>include the cost of transfer of proprietary rights in enterprises provided that such transfers take place between independent investors</w:t>
      </w:r>
      <w:r w:rsidR="00333711" w:rsidRPr="00232FDB">
        <w:rPr>
          <w:i/>
        </w:rPr>
        <w:t>.”(</w:t>
      </w:r>
      <w:r w:rsidR="0074544F" w:rsidRPr="00232FDB">
        <w:rPr>
          <w:i/>
        </w:rPr>
        <w:t>Bold</w:t>
      </w:r>
      <w:r w:rsidR="0082294E" w:rsidRPr="00232FDB">
        <w:rPr>
          <w:i/>
        </w:rPr>
        <w:t xml:space="preserve"> added</w:t>
      </w:r>
      <w:r w:rsidR="00333711" w:rsidRPr="00232FDB">
        <w:rPr>
          <w:i/>
        </w:rPr>
        <w:t>)</w:t>
      </w:r>
    </w:p>
    <w:p w:rsidR="00472205" w:rsidRPr="00232FDB" w:rsidRDefault="00472205" w:rsidP="006F41DB">
      <w:pPr>
        <w:pStyle w:val="NormalWeb"/>
        <w:spacing w:before="0" w:beforeAutospacing="0" w:after="240" w:afterAutospacing="0"/>
        <w:jc w:val="both"/>
      </w:pPr>
      <w:r w:rsidRPr="00232FDB">
        <w:t xml:space="preserve">The support above mentioned should </w:t>
      </w:r>
      <w:r w:rsidR="00AC6D36">
        <w:t xml:space="preserve">be also </w:t>
      </w:r>
      <w:r w:rsidRPr="00232FDB">
        <w:t xml:space="preserve">in accordance with the Fund-specific </w:t>
      </w:r>
      <w:r w:rsidR="00D76B2A">
        <w:t xml:space="preserve">and State aid </w:t>
      </w:r>
      <w:r w:rsidRPr="00232FDB">
        <w:t xml:space="preserve">rules. </w:t>
      </w:r>
      <w:r w:rsidR="00AC6D36">
        <w:t>T</w:t>
      </w:r>
      <w:r w:rsidRPr="00232FDB">
        <w:t>he last indent of paragraph 4 specifies that the support through financial instruments may include the costs of transfer of proprietary rights in enterprises provided that such transfers take place between independent investors. </w:t>
      </w:r>
    </w:p>
    <w:p w:rsidR="00E44056" w:rsidRPr="00232FDB" w:rsidRDefault="00472205" w:rsidP="006F41DB">
      <w:r w:rsidRPr="00232FDB">
        <w:t xml:space="preserve">There is no legal definition of an "independent investor" in the CPR. For ESI Funds, "independent" in this context means an investor who holds no shareholding or voting rights in, or has any family ties to the proprietor(s) of the enterprise which is the object of transaction. </w:t>
      </w:r>
    </w:p>
    <w:p w:rsidR="00472205" w:rsidRPr="00232FDB" w:rsidRDefault="00472205" w:rsidP="006F41DB">
      <w:r w:rsidRPr="00232FDB">
        <w:lastRenderedPageBreak/>
        <w:t xml:space="preserve">This means that even if </w:t>
      </w:r>
      <w:r w:rsidR="00F74AAB" w:rsidRPr="00232FDB">
        <w:t>State aid</w:t>
      </w:r>
      <w:r w:rsidRPr="00232FDB">
        <w:t xml:space="preserve"> rules do not require the </w:t>
      </w:r>
      <w:r w:rsidR="00E44056" w:rsidRPr="00232FDB">
        <w:t xml:space="preserve">existence of an </w:t>
      </w:r>
      <w:r w:rsidRPr="00232FDB">
        <w:t xml:space="preserve">"independent investor" or </w:t>
      </w:r>
      <w:r w:rsidR="00E44056" w:rsidRPr="00232FDB">
        <w:t xml:space="preserve">that </w:t>
      </w:r>
      <w:r w:rsidRPr="00232FDB">
        <w:t xml:space="preserve">there is no </w:t>
      </w:r>
      <w:r w:rsidR="00F74AAB" w:rsidRPr="00232FDB">
        <w:t>State aid</w:t>
      </w:r>
      <w:r w:rsidRPr="00232FDB">
        <w:t xml:space="preserve"> at all, the CPR restricts the support via financial instruments to costs of transfer to proprietary rights only if taking place between independent investors.</w:t>
      </w:r>
    </w:p>
    <w:p w:rsidR="00472205" w:rsidRPr="00232FDB" w:rsidRDefault="00472205" w:rsidP="006F41DB">
      <w:pPr>
        <w:rPr>
          <w:szCs w:val="24"/>
          <w:lang w:eastAsia="en-GB"/>
        </w:rPr>
      </w:pPr>
      <w:r w:rsidRPr="00232FDB">
        <w:rPr>
          <w:szCs w:val="24"/>
          <w:lang w:eastAsia="en-GB"/>
        </w:rPr>
        <w:t>In conclusion, when supporting an enterprise through financial instruments the ESI</w:t>
      </w:r>
      <w:r w:rsidR="0074544F" w:rsidRPr="00232FDB">
        <w:rPr>
          <w:szCs w:val="24"/>
          <w:lang w:eastAsia="en-GB"/>
        </w:rPr>
        <w:t xml:space="preserve"> </w:t>
      </w:r>
      <w:r w:rsidRPr="00232FDB">
        <w:rPr>
          <w:szCs w:val="24"/>
          <w:lang w:eastAsia="en-GB"/>
        </w:rPr>
        <w:t>F</w:t>
      </w:r>
      <w:r w:rsidR="0074544F" w:rsidRPr="00232FDB">
        <w:rPr>
          <w:szCs w:val="24"/>
          <w:lang w:eastAsia="en-GB"/>
        </w:rPr>
        <w:t xml:space="preserve">und </w:t>
      </w:r>
      <w:r w:rsidRPr="00232FDB">
        <w:rPr>
          <w:szCs w:val="24"/>
          <w:lang w:eastAsia="en-GB"/>
        </w:rPr>
        <w:t>programme may include the costs of transfer of proprietary rights in enterprises provided that the following cumulative conditions are fulfilled:</w:t>
      </w:r>
    </w:p>
    <w:p w:rsidR="00472205" w:rsidRPr="00232FDB" w:rsidRDefault="00472205" w:rsidP="006F41DB">
      <w:pPr>
        <w:numPr>
          <w:ilvl w:val="0"/>
          <w:numId w:val="22"/>
        </w:numPr>
        <w:jc w:val="left"/>
        <w:rPr>
          <w:szCs w:val="24"/>
          <w:lang w:eastAsia="en-GB"/>
        </w:rPr>
      </w:pPr>
      <w:r w:rsidRPr="00232FDB">
        <w:rPr>
          <w:szCs w:val="24"/>
          <w:lang w:eastAsia="en-GB"/>
        </w:rPr>
        <w:t>The final reci</w:t>
      </w:r>
      <w:r w:rsidR="002B6BC7" w:rsidRPr="00232FDB">
        <w:rPr>
          <w:szCs w:val="24"/>
          <w:lang w:eastAsia="en-GB"/>
        </w:rPr>
        <w:t>pient is an eligible enterprise</w:t>
      </w:r>
      <w:r w:rsidR="00AC6D36">
        <w:rPr>
          <w:szCs w:val="24"/>
          <w:lang w:eastAsia="en-GB"/>
        </w:rPr>
        <w:t xml:space="preserve"> in accordance with </w:t>
      </w:r>
      <w:r w:rsidR="00AC6D36" w:rsidRPr="00232FDB">
        <w:rPr>
          <w:rFonts w:eastAsia="Calibri"/>
          <w:szCs w:val="24"/>
          <w:lang w:eastAsia="en-GB"/>
        </w:rPr>
        <w:t xml:space="preserve">CPR rules, Fund specific rules and with the national </w:t>
      </w:r>
      <w:r w:rsidR="00AC6D36">
        <w:rPr>
          <w:rFonts w:eastAsia="Calibri"/>
          <w:szCs w:val="24"/>
          <w:lang w:eastAsia="en-GB"/>
        </w:rPr>
        <w:t xml:space="preserve">eligibility </w:t>
      </w:r>
      <w:r w:rsidR="00AC6D36" w:rsidRPr="00232FDB">
        <w:rPr>
          <w:rFonts w:eastAsia="Calibri"/>
          <w:szCs w:val="24"/>
          <w:lang w:eastAsia="en-GB"/>
        </w:rPr>
        <w:t>rules</w:t>
      </w:r>
      <w:r w:rsidR="002B6BC7" w:rsidRPr="00232FDB">
        <w:rPr>
          <w:szCs w:val="24"/>
          <w:lang w:eastAsia="en-GB"/>
        </w:rPr>
        <w:t>;</w:t>
      </w:r>
    </w:p>
    <w:p w:rsidR="00472205" w:rsidRPr="00232FDB" w:rsidRDefault="00472205" w:rsidP="006F41DB">
      <w:pPr>
        <w:numPr>
          <w:ilvl w:val="0"/>
          <w:numId w:val="22"/>
        </w:numPr>
        <w:rPr>
          <w:szCs w:val="24"/>
          <w:lang w:eastAsia="en-GB"/>
        </w:rPr>
      </w:pPr>
      <w:r w:rsidRPr="00232FDB">
        <w:rPr>
          <w:szCs w:val="24"/>
          <w:lang w:eastAsia="en-GB"/>
        </w:rPr>
        <w:t xml:space="preserve">The </w:t>
      </w:r>
      <w:r w:rsidRPr="00232FDB">
        <w:t>transfer of proprietary rights</w:t>
      </w:r>
      <w:r w:rsidRPr="00232FDB">
        <w:rPr>
          <w:szCs w:val="24"/>
          <w:lang w:eastAsia="en-GB"/>
        </w:rPr>
        <w:t xml:space="preserve"> is part of a viable investment focusing on at least one eligible activity under Article 37(4) CPR, and presented in the business plan.  Financing of costs of transfers which is not associated to an investment plan in the form of seed capital, start-up capital, establishment of a new enterprise, or, for existing enterprises for their expansion, strengthening, implementation of new developments, realisation of new projects or penetration of new markets, should not be supporte</w:t>
      </w:r>
      <w:r w:rsidR="002B6BC7" w:rsidRPr="00232FDB">
        <w:rPr>
          <w:szCs w:val="24"/>
          <w:lang w:eastAsia="en-GB"/>
        </w:rPr>
        <w:t>d through financial instruments;</w:t>
      </w:r>
    </w:p>
    <w:p w:rsidR="00472205" w:rsidRPr="00232FDB" w:rsidRDefault="00472205" w:rsidP="006F41DB">
      <w:pPr>
        <w:numPr>
          <w:ilvl w:val="0"/>
          <w:numId w:val="22"/>
        </w:numPr>
        <w:rPr>
          <w:szCs w:val="24"/>
          <w:lang w:eastAsia="en-GB"/>
        </w:rPr>
      </w:pPr>
      <w:r w:rsidRPr="00232FDB">
        <w:rPr>
          <w:szCs w:val="24"/>
          <w:lang w:eastAsia="en-GB"/>
        </w:rPr>
        <w:t>The transfer takes place between independent investors as defined above</w:t>
      </w:r>
      <w:r w:rsidR="002B6BC7" w:rsidRPr="00232FDB">
        <w:rPr>
          <w:szCs w:val="24"/>
          <w:lang w:eastAsia="en-GB"/>
        </w:rPr>
        <w:t>;</w:t>
      </w:r>
    </w:p>
    <w:p w:rsidR="00472205" w:rsidRPr="00232FDB" w:rsidRDefault="00472205" w:rsidP="006F41DB">
      <w:pPr>
        <w:numPr>
          <w:ilvl w:val="0"/>
          <w:numId w:val="22"/>
        </w:numPr>
        <w:rPr>
          <w:szCs w:val="24"/>
          <w:lang w:eastAsia="en-GB"/>
        </w:rPr>
      </w:pPr>
      <w:r w:rsidRPr="00232FDB">
        <w:rPr>
          <w:szCs w:val="24"/>
          <w:lang w:eastAsia="en-GB"/>
        </w:rPr>
        <w:t xml:space="preserve">The transfer is allowed under </w:t>
      </w:r>
      <w:r w:rsidR="00F74AAB" w:rsidRPr="00232FDB">
        <w:rPr>
          <w:szCs w:val="24"/>
          <w:lang w:eastAsia="en-GB"/>
        </w:rPr>
        <w:t>State aid</w:t>
      </w:r>
      <w:r w:rsidRPr="00232FDB">
        <w:rPr>
          <w:szCs w:val="24"/>
          <w:lang w:eastAsia="en-GB"/>
        </w:rPr>
        <w:t xml:space="preserve"> rules.</w:t>
      </w:r>
    </w:p>
    <w:p w:rsidR="00472205" w:rsidRPr="00232FDB" w:rsidRDefault="00472205" w:rsidP="006F41DB">
      <w:pPr>
        <w:widowControl w:val="0"/>
        <w:tabs>
          <w:tab w:val="left" w:pos="0"/>
        </w:tabs>
        <w:rPr>
          <w:rFonts w:eastAsia="Calibri"/>
          <w:bCs/>
          <w:szCs w:val="24"/>
        </w:rPr>
      </w:pPr>
      <w:r w:rsidRPr="00232FDB">
        <w:rPr>
          <w:rFonts w:eastAsia="Calibri"/>
          <w:bCs/>
          <w:szCs w:val="24"/>
        </w:rPr>
        <w:t>Further details in relation to Article 37(4) CPR are available in the guidance note on support to enterprises/working capital</w:t>
      </w:r>
      <w:r w:rsidRPr="00232FDB">
        <w:rPr>
          <w:rStyle w:val="FootnoteReference"/>
          <w:rFonts w:eastAsia="Calibri"/>
          <w:bCs/>
          <w:szCs w:val="24"/>
        </w:rPr>
        <w:footnoteReference w:id="18"/>
      </w:r>
      <w:r w:rsidRPr="00232FDB">
        <w:rPr>
          <w:rFonts w:eastAsia="Calibri"/>
          <w:bCs/>
          <w:szCs w:val="24"/>
        </w:rPr>
        <w:t xml:space="preserve">. </w:t>
      </w:r>
    </w:p>
    <w:p w:rsidR="00877139" w:rsidRPr="00232FDB" w:rsidRDefault="00AB4B35" w:rsidP="006F41DB">
      <w:pPr>
        <w:pStyle w:val="Heading1"/>
        <w:spacing w:before="0"/>
      </w:pPr>
      <w:bookmarkStart w:id="28" w:name="_Toc445141415"/>
      <w:r w:rsidRPr="00232FDB">
        <w:t>I</w:t>
      </w:r>
      <w:r w:rsidR="00877139" w:rsidRPr="00232FDB">
        <w:t>nterest rate subsidies</w:t>
      </w:r>
      <w:r w:rsidR="00643343" w:rsidRPr="00232FDB">
        <w:t xml:space="preserve">, </w:t>
      </w:r>
      <w:r w:rsidR="00877139" w:rsidRPr="00232FDB">
        <w:t xml:space="preserve">guarantee fee subsidies </w:t>
      </w:r>
      <w:r w:rsidR="00643343" w:rsidRPr="00232FDB">
        <w:t xml:space="preserve">and technical support when combined with a </w:t>
      </w:r>
      <w:r w:rsidR="00877139" w:rsidRPr="00232FDB">
        <w:t>financial instrument in a single operation pursuant to Article 37(7)</w:t>
      </w:r>
      <w:r w:rsidR="00643343" w:rsidRPr="00232FDB">
        <w:t xml:space="preserve"> CPR</w:t>
      </w:r>
      <w:bookmarkEnd w:id="28"/>
    </w:p>
    <w:p w:rsidR="00A80356" w:rsidRPr="00232FDB" w:rsidRDefault="00640429" w:rsidP="006F41DB">
      <w:pPr>
        <w:rPr>
          <w:rFonts w:eastAsia="Calibri"/>
          <w:szCs w:val="24"/>
        </w:rPr>
      </w:pPr>
      <w:r w:rsidRPr="00232FDB">
        <w:rPr>
          <w:rFonts w:eastAsia="Calibri"/>
          <w:szCs w:val="24"/>
        </w:rPr>
        <w:t>Article 37(7) CPR provides for the possibility of combining financial instruments and other forms of support (</w:t>
      </w:r>
      <w:r w:rsidR="0074544F" w:rsidRPr="00232FDB">
        <w:rPr>
          <w:rFonts w:eastAsia="Calibri"/>
          <w:szCs w:val="24"/>
        </w:rPr>
        <w:t>i</w:t>
      </w:r>
      <w:r w:rsidRPr="00232FDB">
        <w:rPr>
          <w:rFonts w:eastAsia="Calibri"/>
          <w:szCs w:val="24"/>
        </w:rPr>
        <w:t xml:space="preserve">nterest rate subsidies, guarantee fee subsidies </w:t>
      </w:r>
      <w:r w:rsidR="007F45F5" w:rsidRPr="00232FDB">
        <w:rPr>
          <w:rFonts w:eastAsia="Calibri"/>
          <w:szCs w:val="24"/>
        </w:rPr>
        <w:t xml:space="preserve">and </w:t>
      </w:r>
      <w:r w:rsidRPr="00232FDB">
        <w:rPr>
          <w:rFonts w:eastAsia="Calibri"/>
          <w:szCs w:val="24"/>
        </w:rPr>
        <w:t>technical support for the preparation of a prospective investment) in a single</w:t>
      </w:r>
      <w:r w:rsidR="009C3C00" w:rsidRPr="00232FDB">
        <w:rPr>
          <w:rFonts w:eastAsia="Calibri"/>
          <w:szCs w:val="24"/>
        </w:rPr>
        <w:t xml:space="preserve"> financial instrument operation.</w:t>
      </w:r>
      <w:r w:rsidRPr="00232FDB">
        <w:rPr>
          <w:rFonts w:eastAsia="Calibri"/>
          <w:szCs w:val="24"/>
        </w:rPr>
        <w:t xml:space="preserve"> </w:t>
      </w:r>
    </w:p>
    <w:p w:rsidR="0009054C" w:rsidRPr="00232FDB" w:rsidRDefault="006645FB" w:rsidP="006F41DB">
      <w:pPr>
        <w:rPr>
          <w:rFonts w:eastAsia="Calibri"/>
          <w:szCs w:val="24"/>
        </w:rPr>
      </w:pPr>
      <w:r w:rsidRPr="00232FDB">
        <w:rPr>
          <w:rFonts w:eastAsia="Calibri"/>
          <w:szCs w:val="24"/>
        </w:rPr>
        <w:t>Interest rate subsidies, guarantee fee subsidies and technical support</w:t>
      </w:r>
      <w:r w:rsidR="002E7ACE" w:rsidRPr="00232FDB">
        <w:rPr>
          <w:rStyle w:val="FootnoteReference"/>
          <w:rFonts w:eastAsia="Calibri"/>
          <w:szCs w:val="24"/>
        </w:rPr>
        <w:footnoteReference w:id="19"/>
      </w:r>
      <w:r w:rsidRPr="00232FDB">
        <w:rPr>
          <w:rFonts w:eastAsia="Calibri"/>
          <w:szCs w:val="24"/>
        </w:rPr>
        <w:t xml:space="preserve"> for the preparation of </w:t>
      </w:r>
      <w:r w:rsidR="00BE0462" w:rsidRPr="00232FDB">
        <w:rPr>
          <w:rFonts w:eastAsia="Calibri"/>
          <w:szCs w:val="24"/>
        </w:rPr>
        <w:t xml:space="preserve">a </w:t>
      </w:r>
      <w:r w:rsidR="00643343" w:rsidRPr="00232FDB">
        <w:rPr>
          <w:rFonts w:eastAsia="Calibri"/>
          <w:szCs w:val="24"/>
        </w:rPr>
        <w:t xml:space="preserve">prospective </w:t>
      </w:r>
      <w:r w:rsidRPr="00232FDB">
        <w:rPr>
          <w:rFonts w:eastAsia="Calibri"/>
          <w:szCs w:val="24"/>
        </w:rPr>
        <w:t>investment when provide</w:t>
      </w:r>
      <w:r w:rsidR="00014FEE" w:rsidRPr="00232FDB">
        <w:rPr>
          <w:rFonts w:eastAsia="Calibri"/>
          <w:szCs w:val="24"/>
        </w:rPr>
        <w:t xml:space="preserve">d </w:t>
      </w:r>
      <w:r w:rsidRPr="00232FDB">
        <w:rPr>
          <w:rFonts w:eastAsia="Calibri"/>
          <w:szCs w:val="24"/>
        </w:rPr>
        <w:t xml:space="preserve">alone are considered support in the form of grants. However, in order to facilitate </w:t>
      </w:r>
      <w:r w:rsidR="005E0343" w:rsidRPr="00232FDB">
        <w:rPr>
          <w:rFonts w:eastAsia="Calibri"/>
          <w:szCs w:val="24"/>
        </w:rPr>
        <w:t xml:space="preserve">and enhance </w:t>
      </w:r>
      <w:r w:rsidRPr="00232FDB">
        <w:rPr>
          <w:rFonts w:eastAsia="Calibri"/>
          <w:szCs w:val="24"/>
        </w:rPr>
        <w:t>the implementation</w:t>
      </w:r>
      <w:r w:rsidR="005E0343" w:rsidRPr="00232FDB">
        <w:rPr>
          <w:rFonts w:eastAsia="Calibri"/>
          <w:szCs w:val="24"/>
        </w:rPr>
        <w:t xml:space="preserve"> of </w:t>
      </w:r>
      <w:r w:rsidR="00A80356" w:rsidRPr="00232FDB">
        <w:rPr>
          <w:rFonts w:eastAsia="Calibri"/>
          <w:szCs w:val="24"/>
        </w:rPr>
        <w:t>a specific financial instrument</w:t>
      </w:r>
      <w:r w:rsidRPr="00232FDB">
        <w:rPr>
          <w:rFonts w:eastAsia="Calibri"/>
          <w:szCs w:val="24"/>
        </w:rPr>
        <w:t>, i</w:t>
      </w:r>
      <w:r w:rsidR="00877139" w:rsidRPr="00232FDB">
        <w:rPr>
          <w:rFonts w:eastAsia="Calibri"/>
          <w:szCs w:val="24"/>
        </w:rPr>
        <w:t>nterest rate sub</w:t>
      </w:r>
      <w:r w:rsidR="003973D9" w:rsidRPr="00232FDB">
        <w:rPr>
          <w:rFonts w:eastAsia="Calibri"/>
          <w:szCs w:val="24"/>
        </w:rPr>
        <w:t xml:space="preserve">sidies, guarantee fee subsidies </w:t>
      </w:r>
      <w:r w:rsidR="00877139" w:rsidRPr="00232FDB">
        <w:rPr>
          <w:rFonts w:eastAsia="Calibri"/>
          <w:szCs w:val="24"/>
        </w:rPr>
        <w:t xml:space="preserve">and technical support for the preparation of the </w:t>
      </w:r>
      <w:r w:rsidR="00643343" w:rsidRPr="00232FDB">
        <w:rPr>
          <w:rFonts w:eastAsia="Calibri"/>
          <w:szCs w:val="24"/>
        </w:rPr>
        <w:t xml:space="preserve">prospective </w:t>
      </w:r>
      <w:r w:rsidR="00877139" w:rsidRPr="00232FDB">
        <w:rPr>
          <w:rFonts w:eastAsia="Calibri"/>
          <w:szCs w:val="24"/>
        </w:rPr>
        <w:t>investment can be considered to be a part</w:t>
      </w:r>
      <w:r w:rsidR="0038453B" w:rsidRPr="00232FDB">
        <w:rPr>
          <w:rFonts w:eastAsia="Calibri"/>
          <w:szCs w:val="24"/>
        </w:rPr>
        <w:t xml:space="preserve"> and directly linked to </w:t>
      </w:r>
      <w:r w:rsidR="00877139" w:rsidRPr="00232FDB">
        <w:rPr>
          <w:rFonts w:eastAsia="Calibri"/>
          <w:szCs w:val="24"/>
        </w:rPr>
        <w:t xml:space="preserve">the financial instrument </w:t>
      </w:r>
      <w:r w:rsidR="00643343" w:rsidRPr="00232FDB">
        <w:rPr>
          <w:rFonts w:eastAsia="Calibri"/>
          <w:szCs w:val="24"/>
        </w:rPr>
        <w:t xml:space="preserve">operation </w:t>
      </w:r>
      <w:r w:rsidR="00877139" w:rsidRPr="00232FDB">
        <w:rPr>
          <w:rFonts w:eastAsia="Calibri"/>
          <w:szCs w:val="24"/>
        </w:rPr>
        <w:t xml:space="preserve">when associated and combined with support provided from the financial instrument </w:t>
      </w:r>
      <w:r w:rsidR="006B5B1A" w:rsidRPr="00232FDB">
        <w:rPr>
          <w:rFonts w:eastAsia="Calibri"/>
          <w:szCs w:val="24"/>
        </w:rPr>
        <w:t xml:space="preserve">targeting the same final recipients </w:t>
      </w:r>
      <w:r w:rsidR="00877139" w:rsidRPr="00232FDB">
        <w:rPr>
          <w:rFonts w:eastAsia="Calibri"/>
          <w:szCs w:val="24"/>
        </w:rPr>
        <w:t xml:space="preserve">in a single financing package. </w:t>
      </w:r>
    </w:p>
    <w:p w:rsidR="009C3C00" w:rsidRPr="00232FDB" w:rsidRDefault="009C3C00" w:rsidP="006F41DB">
      <w:pPr>
        <w:rPr>
          <w:rFonts w:eastAsia="Calibri"/>
          <w:szCs w:val="24"/>
        </w:rPr>
      </w:pPr>
      <w:r w:rsidRPr="00232FDB">
        <w:rPr>
          <w:rFonts w:eastAsia="Calibri"/>
          <w:szCs w:val="24"/>
        </w:rPr>
        <w:t>T</w:t>
      </w:r>
      <w:r w:rsidR="006645FB" w:rsidRPr="00232FDB">
        <w:rPr>
          <w:rFonts w:eastAsia="Calibri"/>
          <w:szCs w:val="24"/>
        </w:rPr>
        <w:t>his type of combination should be provide</w:t>
      </w:r>
      <w:r w:rsidR="008465F9" w:rsidRPr="00232FDB">
        <w:rPr>
          <w:rFonts w:eastAsia="Calibri"/>
          <w:szCs w:val="24"/>
        </w:rPr>
        <w:t>d</w:t>
      </w:r>
      <w:r w:rsidR="006645FB" w:rsidRPr="00232FDB">
        <w:rPr>
          <w:rFonts w:eastAsia="Calibri"/>
          <w:szCs w:val="24"/>
        </w:rPr>
        <w:t xml:space="preserve"> </w:t>
      </w:r>
      <w:r w:rsidR="008465F9" w:rsidRPr="00232FDB">
        <w:rPr>
          <w:rFonts w:eastAsia="Calibri"/>
          <w:szCs w:val="24"/>
        </w:rPr>
        <w:t>through</w:t>
      </w:r>
      <w:r w:rsidR="006645FB" w:rsidRPr="00232FDB">
        <w:rPr>
          <w:rFonts w:eastAsia="Calibri"/>
          <w:szCs w:val="24"/>
        </w:rPr>
        <w:t xml:space="preserve"> financial instrument</w:t>
      </w:r>
      <w:r w:rsidR="008465F9" w:rsidRPr="00232FDB">
        <w:rPr>
          <w:rFonts w:eastAsia="Calibri"/>
          <w:szCs w:val="24"/>
        </w:rPr>
        <w:t>s</w:t>
      </w:r>
      <w:r w:rsidR="006645FB" w:rsidRPr="00232FDB">
        <w:rPr>
          <w:rFonts w:eastAsia="Calibri"/>
          <w:szCs w:val="24"/>
        </w:rPr>
        <w:t xml:space="preserve"> operating with </w:t>
      </w:r>
      <w:r w:rsidR="0074544F" w:rsidRPr="00232FDB">
        <w:rPr>
          <w:rFonts w:eastAsia="Calibri"/>
          <w:szCs w:val="24"/>
        </w:rPr>
        <w:t xml:space="preserve">2014-2020 </w:t>
      </w:r>
      <w:r w:rsidR="00643343" w:rsidRPr="00232FDB">
        <w:rPr>
          <w:rFonts w:eastAsia="Calibri"/>
          <w:szCs w:val="24"/>
        </w:rPr>
        <w:t xml:space="preserve">programme </w:t>
      </w:r>
      <w:r w:rsidR="006645FB" w:rsidRPr="00232FDB">
        <w:rPr>
          <w:rFonts w:eastAsia="Calibri"/>
          <w:szCs w:val="24"/>
        </w:rPr>
        <w:t xml:space="preserve">resources </w:t>
      </w:r>
      <w:r w:rsidRPr="00232FDB">
        <w:rPr>
          <w:rFonts w:eastAsia="Calibri"/>
          <w:szCs w:val="24"/>
        </w:rPr>
        <w:t>(both for the grant part and the financial instrument part). This means that th</w:t>
      </w:r>
      <w:r w:rsidR="00266A0F">
        <w:rPr>
          <w:rFonts w:eastAsia="Calibri"/>
          <w:szCs w:val="24"/>
        </w:rPr>
        <w:t xml:space="preserve">e </w:t>
      </w:r>
      <w:r w:rsidRPr="00232FDB">
        <w:rPr>
          <w:rFonts w:eastAsia="Calibri"/>
          <w:szCs w:val="24"/>
        </w:rPr>
        <w:t xml:space="preserve"> provision</w:t>
      </w:r>
      <w:r w:rsidR="00266A0F">
        <w:rPr>
          <w:rFonts w:eastAsia="Calibri"/>
          <w:szCs w:val="24"/>
        </w:rPr>
        <w:t xml:space="preserve">s under Article 37(7) CPR are </w:t>
      </w:r>
      <w:r w:rsidRPr="00232FDB">
        <w:rPr>
          <w:rFonts w:eastAsia="Calibri"/>
          <w:szCs w:val="24"/>
        </w:rPr>
        <w:t xml:space="preserve">not applicable </w:t>
      </w:r>
      <w:r w:rsidR="0074544F" w:rsidRPr="00232FDB">
        <w:rPr>
          <w:rFonts w:eastAsia="Calibri"/>
          <w:szCs w:val="24"/>
        </w:rPr>
        <w:t xml:space="preserve">if </w:t>
      </w:r>
      <w:r w:rsidRPr="00232FDB">
        <w:rPr>
          <w:rFonts w:eastAsia="Calibri"/>
          <w:szCs w:val="24"/>
        </w:rPr>
        <w:t xml:space="preserve">the grant component is provided from 2014-2020 </w:t>
      </w:r>
      <w:r w:rsidR="007F4C3C" w:rsidRPr="00232FDB">
        <w:rPr>
          <w:rFonts w:eastAsia="Calibri"/>
          <w:szCs w:val="24"/>
        </w:rPr>
        <w:t xml:space="preserve">programme </w:t>
      </w:r>
      <w:r w:rsidRPr="00232FDB">
        <w:rPr>
          <w:rFonts w:eastAsia="Calibri"/>
          <w:szCs w:val="24"/>
        </w:rPr>
        <w:t xml:space="preserve">resources </w:t>
      </w:r>
      <w:r w:rsidR="0074544F" w:rsidRPr="00232FDB">
        <w:rPr>
          <w:rFonts w:eastAsia="Calibri"/>
          <w:szCs w:val="24"/>
        </w:rPr>
        <w:t xml:space="preserve">but </w:t>
      </w:r>
      <w:r w:rsidRPr="00232FDB">
        <w:rPr>
          <w:rFonts w:eastAsia="Calibri"/>
          <w:szCs w:val="24"/>
        </w:rPr>
        <w:t xml:space="preserve">the financial instrument component is </w:t>
      </w:r>
      <w:r w:rsidR="007F4C3C" w:rsidRPr="00232FDB">
        <w:rPr>
          <w:rFonts w:eastAsia="Calibri"/>
          <w:szCs w:val="24"/>
        </w:rPr>
        <w:t xml:space="preserve">delivered </w:t>
      </w:r>
      <w:r w:rsidR="005442DC" w:rsidRPr="00232FDB">
        <w:rPr>
          <w:rFonts w:eastAsia="Calibri"/>
          <w:szCs w:val="24"/>
        </w:rPr>
        <w:t xml:space="preserve">from resources other than </w:t>
      </w:r>
      <w:r w:rsidR="007F4C3C" w:rsidRPr="00232FDB">
        <w:rPr>
          <w:rFonts w:eastAsia="Calibri"/>
          <w:szCs w:val="24"/>
        </w:rPr>
        <w:t>2014-2020</w:t>
      </w:r>
      <w:r w:rsidR="005442DC" w:rsidRPr="00232FDB">
        <w:rPr>
          <w:rFonts w:eastAsia="Calibri"/>
          <w:szCs w:val="24"/>
        </w:rPr>
        <w:t xml:space="preserve"> </w:t>
      </w:r>
      <w:r w:rsidR="007F4C3C" w:rsidRPr="00232FDB">
        <w:rPr>
          <w:rFonts w:eastAsia="Calibri"/>
          <w:szCs w:val="24"/>
        </w:rPr>
        <w:lastRenderedPageBreak/>
        <w:t>programme</w:t>
      </w:r>
      <w:r w:rsidRPr="00232FDB">
        <w:rPr>
          <w:rFonts w:eastAsia="Calibri"/>
          <w:szCs w:val="24"/>
        </w:rPr>
        <w:t xml:space="preserve"> resources</w:t>
      </w:r>
      <w:r w:rsidR="005442DC" w:rsidRPr="00232FDB">
        <w:rPr>
          <w:rFonts w:eastAsia="Calibri"/>
          <w:szCs w:val="24"/>
        </w:rPr>
        <w:t xml:space="preserve"> and vice versa</w:t>
      </w:r>
      <w:r w:rsidR="00266A0F">
        <w:rPr>
          <w:rFonts w:eastAsia="Calibri"/>
          <w:szCs w:val="24"/>
        </w:rPr>
        <w:t xml:space="preserve">. If this was the case it would be considered a mere grant operation or a financial instrument operation but not a combination of grant and financial instrument within a single </w:t>
      </w:r>
      <w:r w:rsidR="001D2445">
        <w:rPr>
          <w:rFonts w:eastAsia="Calibri"/>
          <w:szCs w:val="24"/>
        </w:rPr>
        <w:t xml:space="preserve">financial instrument </w:t>
      </w:r>
      <w:r w:rsidR="00266A0F">
        <w:rPr>
          <w:rFonts w:eastAsia="Calibri"/>
          <w:szCs w:val="24"/>
        </w:rPr>
        <w:t>operation</w:t>
      </w:r>
      <w:r w:rsidR="001D2445">
        <w:rPr>
          <w:rFonts w:eastAsia="Calibri"/>
          <w:szCs w:val="24"/>
        </w:rPr>
        <w:t xml:space="preserve"> as provided for in the referred article</w:t>
      </w:r>
      <w:r w:rsidR="00266A0F">
        <w:rPr>
          <w:rFonts w:eastAsia="Calibri"/>
          <w:szCs w:val="24"/>
        </w:rPr>
        <w:t>.</w:t>
      </w:r>
    </w:p>
    <w:p w:rsidR="0038453B" w:rsidRPr="00232FDB" w:rsidRDefault="00A80356" w:rsidP="006F41DB">
      <w:pPr>
        <w:rPr>
          <w:rFonts w:eastAsia="Calibri"/>
          <w:szCs w:val="24"/>
        </w:rPr>
      </w:pPr>
      <w:r w:rsidRPr="00232FDB">
        <w:rPr>
          <w:rFonts w:eastAsia="Calibri"/>
          <w:szCs w:val="24"/>
        </w:rPr>
        <w:t xml:space="preserve">As financial instruments operate in changing market conditions, </w:t>
      </w:r>
      <w:r w:rsidR="006B5B1A" w:rsidRPr="00232FDB">
        <w:rPr>
          <w:rFonts w:eastAsia="Calibri"/>
          <w:szCs w:val="24"/>
        </w:rPr>
        <w:t xml:space="preserve">Article 37(7) </w:t>
      </w:r>
      <w:r w:rsidR="005442DC" w:rsidRPr="00232FDB">
        <w:rPr>
          <w:rFonts w:eastAsia="Calibri"/>
          <w:szCs w:val="24"/>
        </w:rPr>
        <w:t xml:space="preserve">CPR </w:t>
      </w:r>
      <w:r w:rsidRPr="00232FDB">
        <w:rPr>
          <w:rFonts w:eastAsia="Calibri"/>
          <w:szCs w:val="24"/>
        </w:rPr>
        <w:t>does not provide for an exhaustive list of grants and enumerated only the three types of grants which are commonly used. In any case, this type of grants or any other type will have to be compliant with the conditions set in the CPR</w:t>
      </w:r>
      <w:r w:rsidR="00922CF0" w:rsidRPr="00232FDB">
        <w:rPr>
          <w:rFonts w:eastAsia="Calibri"/>
          <w:szCs w:val="24"/>
        </w:rPr>
        <w:t xml:space="preserve">. </w:t>
      </w:r>
      <w:r w:rsidR="007F0BA8" w:rsidRPr="00232FDB">
        <w:rPr>
          <w:rFonts w:eastAsia="Calibri"/>
          <w:szCs w:val="24"/>
        </w:rPr>
        <w:t>Thus</w:t>
      </w:r>
      <w:r w:rsidR="00922CF0" w:rsidRPr="00232FDB">
        <w:rPr>
          <w:rFonts w:eastAsia="Calibri"/>
          <w:szCs w:val="24"/>
        </w:rPr>
        <w:t xml:space="preserve">, </w:t>
      </w:r>
      <w:r w:rsidR="0038453B" w:rsidRPr="00232FDB">
        <w:rPr>
          <w:rFonts w:eastAsia="Calibri"/>
          <w:szCs w:val="24"/>
        </w:rPr>
        <w:t xml:space="preserve">even if there </w:t>
      </w:r>
      <w:r w:rsidR="00922CF0" w:rsidRPr="00232FDB">
        <w:rPr>
          <w:rFonts w:eastAsia="Calibri"/>
          <w:szCs w:val="24"/>
        </w:rPr>
        <w:t>is</w:t>
      </w:r>
      <w:r w:rsidR="0038453B" w:rsidRPr="00232FDB">
        <w:rPr>
          <w:rFonts w:eastAsia="Calibri"/>
          <w:szCs w:val="24"/>
        </w:rPr>
        <w:t xml:space="preserve"> any other type</w:t>
      </w:r>
      <w:r w:rsidR="00922CF0" w:rsidRPr="00232FDB">
        <w:rPr>
          <w:rFonts w:eastAsia="Calibri"/>
          <w:szCs w:val="24"/>
        </w:rPr>
        <w:t xml:space="preserve"> </w:t>
      </w:r>
      <w:r w:rsidR="0038453B" w:rsidRPr="00232FDB">
        <w:rPr>
          <w:rFonts w:eastAsia="Calibri"/>
          <w:szCs w:val="24"/>
        </w:rPr>
        <w:t>of grant</w:t>
      </w:r>
      <w:r w:rsidR="005442DC" w:rsidRPr="00232FDB">
        <w:rPr>
          <w:rFonts w:eastAsia="Calibri"/>
          <w:szCs w:val="24"/>
        </w:rPr>
        <w:t xml:space="preserve"> </w:t>
      </w:r>
      <w:r w:rsidR="0038453B" w:rsidRPr="00232FDB">
        <w:rPr>
          <w:rFonts w:eastAsia="Calibri"/>
          <w:szCs w:val="24"/>
        </w:rPr>
        <w:t xml:space="preserve">in addition to the ones mentioned in </w:t>
      </w:r>
      <w:r w:rsidR="006B5B1A" w:rsidRPr="00232FDB">
        <w:rPr>
          <w:rFonts w:eastAsia="Calibri"/>
          <w:szCs w:val="24"/>
        </w:rPr>
        <w:t>A</w:t>
      </w:r>
      <w:r w:rsidR="0038453B" w:rsidRPr="00232FDB">
        <w:rPr>
          <w:rFonts w:eastAsia="Calibri"/>
          <w:szCs w:val="24"/>
        </w:rPr>
        <w:t>rticle 37(7), any other type of grant</w:t>
      </w:r>
      <w:r w:rsidR="005442DC" w:rsidRPr="00232FDB">
        <w:rPr>
          <w:rFonts w:eastAsia="Calibri"/>
          <w:szCs w:val="24"/>
        </w:rPr>
        <w:t xml:space="preserve"> </w:t>
      </w:r>
      <w:r w:rsidR="0038453B" w:rsidRPr="00232FDB">
        <w:rPr>
          <w:rFonts w:eastAsia="Calibri"/>
          <w:szCs w:val="24"/>
        </w:rPr>
        <w:t>to be combined with the financial instrument must be directly related to the financial instrument with the purpose of facilitating and</w:t>
      </w:r>
      <w:r w:rsidR="00922CF0" w:rsidRPr="00232FDB">
        <w:rPr>
          <w:rFonts w:eastAsia="Calibri"/>
          <w:szCs w:val="24"/>
        </w:rPr>
        <w:t xml:space="preserve"> enhancing its implementation</w:t>
      </w:r>
      <w:r w:rsidR="007F45F5" w:rsidRPr="00232FDB">
        <w:rPr>
          <w:rFonts w:eastAsia="Calibri"/>
          <w:szCs w:val="24"/>
        </w:rPr>
        <w:t xml:space="preserve"> and must target the same final recipients</w:t>
      </w:r>
      <w:r w:rsidR="00922CF0" w:rsidRPr="00232FDB">
        <w:rPr>
          <w:rFonts w:eastAsia="Calibri"/>
          <w:szCs w:val="24"/>
        </w:rPr>
        <w:t>.</w:t>
      </w:r>
    </w:p>
    <w:p w:rsidR="00637485" w:rsidRDefault="005E0343" w:rsidP="006F41DB">
      <w:pPr>
        <w:rPr>
          <w:rFonts w:eastAsia="Calibri"/>
          <w:szCs w:val="24"/>
        </w:rPr>
      </w:pPr>
      <w:r w:rsidRPr="00232FDB">
        <w:rPr>
          <w:rFonts w:eastAsia="Calibri"/>
          <w:szCs w:val="24"/>
        </w:rPr>
        <w:t xml:space="preserve">In </w:t>
      </w:r>
      <w:r w:rsidR="00922CF0" w:rsidRPr="00232FDB">
        <w:rPr>
          <w:rFonts w:eastAsia="Calibri"/>
          <w:szCs w:val="24"/>
        </w:rPr>
        <w:t>addition</w:t>
      </w:r>
      <w:r w:rsidRPr="00232FDB">
        <w:rPr>
          <w:rFonts w:eastAsia="Calibri"/>
          <w:szCs w:val="24"/>
        </w:rPr>
        <w:t xml:space="preserve">, in accordance with Article </w:t>
      </w:r>
      <w:r w:rsidR="008465F9" w:rsidRPr="00232FDB">
        <w:rPr>
          <w:rFonts w:eastAsia="Calibri"/>
          <w:szCs w:val="24"/>
        </w:rPr>
        <w:t xml:space="preserve">5 CDR, </w:t>
      </w:r>
      <w:r w:rsidR="00A30B4F" w:rsidRPr="00232FDB">
        <w:rPr>
          <w:rFonts w:eastAsia="Calibri"/>
          <w:szCs w:val="24"/>
        </w:rPr>
        <w:t>g</w:t>
      </w:r>
      <w:r w:rsidR="008465F9" w:rsidRPr="00232FDB">
        <w:rPr>
          <w:rFonts w:eastAsia="Calibri"/>
          <w:szCs w:val="24"/>
        </w:rPr>
        <w:t xml:space="preserve">rants for technical support </w:t>
      </w:r>
      <w:r w:rsidR="00A30B4F" w:rsidRPr="00232FDB">
        <w:rPr>
          <w:rFonts w:eastAsia="Calibri"/>
          <w:szCs w:val="24"/>
        </w:rPr>
        <w:t xml:space="preserve">may </w:t>
      </w:r>
      <w:r w:rsidR="008465F9" w:rsidRPr="00232FDB">
        <w:rPr>
          <w:rFonts w:eastAsia="Calibri"/>
          <w:szCs w:val="24"/>
        </w:rPr>
        <w:t xml:space="preserve">only </w:t>
      </w:r>
      <w:r w:rsidR="00A30B4F" w:rsidRPr="00232FDB">
        <w:rPr>
          <w:rFonts w:eastAsia="Calibri"/>
          <w:szCs w:val="24"/>
        </w:rPr>
        <w:t xml:space="preserve">be provided </w:t>
      </w:r>
      <w:r w:rsidR="008465F9" w:rsidRPr="00232FDB">
        <w:rPr>
          <w:rFonts w:eastAsia="Calibri"/>
          <w:szCs w:val="24"/>
        </w:rPr>
        <w:t xml:space="preserve">for the purpose of technical preparation </w:t>
      </w:r>
      <w:r w:rsidR="00310442" w:rsidRPr="00232FDB">
        <w:rPr>
          <w:rFonts w:eastAsia="Calibri"/>
          <w:szCs w:val="24"/>
        </w:rPr>
        <w:t xml:space="preserve">of the prospective investment to be supported by the financial instrument and </w:t>
      </w:r>
      <w:r w:rsidR="00A30B4F" w:rsidRPr="00232FDB">
        <w:rPr>
          <w:rFonts w:eastAsia="Calibri"/>
          <w:szCs w:val="24"/>
        </w:rPr>
        <w:t>for the benefit of the final recipient</w:t>
      </w:r>
      <w:r w:rsidR="00922CF0" w:rsidRPr="00232FDB">
        <w:rPr>
          <w:rFonts w:eastAsia="Calibri"/>
          <w:szCs w:val="24"/>
        </w:rPr>
        <w:t>.</w:t>
      </w:r>
      <w:r w:rsidR="00310442" w:rsidRPr="00232FDB">
        <w:rPr>
          <w:rFonts w:eastAsia="Calibri"/>
          <w:szCs w:val="24"/>
        </w:rPr>
        <w:t xml:space="preserve"> </w:t>
      </w:r>
    </w:p>
    <w:p w:rsidR="00310442" w:rsidRDefault="0074544F" w:rsidP="006F41DB">
      <w:pPr>
        <w:rPr>
          <w:rFonts w:eastAsia="Calibri"/>
          <w:szCs w:val="24"/>
        </w:rPr>
      </w:pPr>
      <w:r w:rsidRPr="00232FDB">
        <w:rPr>
          <w:rFonts w:eastAsia="Calibri"/>
          <w:szCs w:val="24"/>
        </w:rPr>
        <w:t>Consequently</w:t>
      </w:r>
      <w:r w:rsidR="00310442" w:rsidRPr="00232FDB">
        <w:rPr>
          <w:rFonts w:eastAsia="Calibri"/>
          <w:szCs w:val="24"/>
        </w:rPr>
        <w:t xml:space="preserve">, if the final recipient eventually does not receive </w:t>
      </w:r>
      <w:r w:rsidR="005442DC" w:rsidRPr="00232FDB">
        <w:rPr>
          <w:rFonts w:eastAsia="Calibri"/>
          <w:szCs w:val="24"/>
        </w:rPr>
        <w:t xml:space="preserve">the </w:t>
      </w:r>
      <w:r w:rsidR="009B06D0" w:rsidRPr="00232FDB">
        <w:rPr>
          <w:rFonts w:eastAsia="Calibri"/>
          <w:szCs w:val="24"/>
        </w:rPr>
        <w:t xml:space="preserve">financial instrument </w:t>
      </w:r>
      <w:r w:rsidR="00310442" w:rsidRPr="00232FDB">
        <w:rPr>
          <w:rFonts w:eastAsia="Calibri"/>
          <w:szCs w:val="24"/>
        </w:rPr>
        <w:t>support the</w:t>
      </w:r>
      <w:r w:rsidR="005442DC" w:rsidRPr="00232FDB">
        <w:rPr>
          <w:rFonts w:eastAsia="Calibri"/>
          <w:szCs w:val="24"/>
        </w:rPr>
        <w:t xml:space="preserve">n the </w:t>
      </w:r>
      <w:r w:rsidR="00310442" w:rsidRPr="00232FDB">
        <w:rPr>
          <w:rFonts w:eastAsia="Calibri"/>
          <w:szCs w:val="24"/>
        </w:rPr>
        <w:t xml:space="preserve">related technical support should </w:t>
      </w:r>
      <w:r w:rsidR="005442DC" w:rsidRPr="00232FDB">
        <w:rPr>
          <w:rFonts w:eastAsia="Calibri"/>
          <w:szCs w:val="24"/>
        </w:rPr>
        <w:t xml:space="preserve">also </w:t>
      </w:r>
      <w:r w:rsidR="00310442" w:rsidRPr="00232FDB">
        <w:rPr>
          <w:rFonts w:eastAsia="Calibri"/>
          <w:szCs w:val="24"/>
        </w:rPr>
        <w:t xml:space="preserve">be </w:t>
      </w:r>
      <w:r w:rsidR="00637485" w:rsidRPr="00232FDB">
        <w:rPr>
          <w:rFonts w:eastAsia="Calibri"/>
          <w:szCs w:val="24"/>
        </w:rPr>
        <w:t xml:space="preserve">not </w:t>
      </w:r>
      <w:r w:rsidR="00310442" w:rsidRPr="00232FDB">
        <w:rPr>
          <w:rFonts w:eastAsia="Calibri"/>
          <w:szCs w:val="24"/>
        </w:rPr>
        <w:t xml:space="preserve">eligible. However, </w:t>
      </w:r>
      <w:r w:rsidR="005442DC" w:rsidRPr="00232FDB">
        <w:rPr>
          <w:rFonts w:eastAsia="Calibri"/>
          <w:szCs w:val="24"/>
        </w:rPr>
        <w:t xml:space="preserve">this does not prevent the </w:t>
      </w:r>
      <w:r w:rsidR="00310442" w:rsidRPr="00232FDB">
        <w:rPr>
          <w:rFonts w:eastAsia="Calibri"/>
          <w:szCs w:val="24"/>
        </w:rPr>
        <w:t xml:space="preserve">managing </w:t>
      </w:r>
      <w:r w:rsidR="005442DC" w:rsidRPr="00232FDB">
        <w:rPr>
          <w:rFonts w:eastAsia="Calibri"/>
          <w:szCs w:val="24"/>
        </w:rPr>
        <w:t xml:space="preserve">authority, if seeing </w:t>
      </w:r>
      <w:r w:rsidR="00310442" w:rsidRPr="00232FDB">
        <w:rPr>
          <w:rFonts w:eastAsia="Calibri"/>
          <w:szCs w:val="24"/>
        </w:rPr>
        <w:t>the need for general support for example in the form of training to potential final recipients</w:t>
      </w:r>
      <w:r w:rsidR="005442DC" w:rsidRPr="00232FDB">
        <w:rPr>
          <w:rFonts w:eastAsia="Calibri"/>
          <w:szCs w:val="24"/>
        </w:rPr>
        <w:t>,</w:t>
      </w:r>
      <w:r w:rsidR="00310442" w:rsidRPr="00232FDB">
        <w:rPr>
          <w:rFonts w:eastAsia="Calibri"/>
          <w:szCs w:val="24"/>
        </w:rPr>
        <w:t xml:space="preserve"> </w:t>
      </w:r>
      <w:r w:rsidR="005442DC" w:rsidRPr="00232FDB">
        <w:rPr>
          <w:rFonts w:eastAsia="Calibri"/>
          <w:szCs w:val="24"/>
        </w:rPr>
        <w:t xml:space="preserve">to </w:t>
      </w:r>
      <w:r w:rsidR="00310442" w:rsidRPr="00232FDB">
        <w:rPr>
          <w:rFonts w:eastAsia="Calibri"/>
          <w:szCs w:val="24"/>
        </w:rPr>
        <w:t xml:space="preserve">consider setting up a separate grant operation (falling under grant rules), whose aim would be to assist a specific target group (potential final recipients). In such </w:t>
      </w:r>
      <w:r w:rsidR="009B06D0" w:rsidRPr="00232FDB">
        <w:rPr>
          <w:rFonts w:eastAsia="Calibri"/>
          <w:szCs w:val="24"/>
        </w:rPr>
        <w:t xml:space="preserve">case of </w:t>
      </w:r>
      <w:r w:rsidR="00310442" w:rsidRPr="00232FDB">
        <w:rPr>
          <w:rFonts w:eastAsia="Calibri"/>
          <w:szCs w:val="24"/>
        </w:rPr>
        <w:t>grant support its eligibility</w:t>
      </w:r>
      <w:r w:rsidR="005C3F0B" w:rsidRPr="00232FDB">
        <w:rPr>
          <w:rFonts w:eastAsia="Calibri"/>
          <w:szCs w:val="24"/>
        </w:rPr>
        <w:t xml:space="preserve"> follows the grant rules and</w:t>
      </w:r>
      <w:r w:rsidR="00310442" w:rsidRPr="00232FDB">
        <w:rPr>
          <w:rFonts w:eastAsia="Calibri"/>
          <w:szCs w:val="24"/>
        </w:rPr>
        <w:t xml:space="preserve"> does not need to be conditional on the prospective support from </w:t>
      </w:r>
      <w:r w:rsidR="009B06D0" w:rsidRPr="00232FDB">
        <w:rPr>
          <w:rFonts w:eastAsia="Calibri"/>
          <w:szCs w:val="24"/>
        </w:rPr>
        <w:t xml:space="preserve">the </w:t>
      </w:r>
      <w:r w:rsidR="00310442" w:rsidRPr="00232FDB">
        <w:rPr>
          <w:rFonts w:eastAsia="Calibri"/>
          <w:szCs w:val="24"/>
        </w:rPr>
        <w:t>financial instrument.</w:t>
      </w:r>
    </w:p>
    <w:p w:rsidR="003413D3" w:rsidRDefault="00F634BF" w:rsidP="00F634BF">
      <w:r w:rsidRPr="00232FDB">
        <w:t>Article 42(1)</w:t>
      </w:r>
      <w:r>
        <w:t xml:space="preserve"> </w:t>
      </w:r>
      <w:r w:rsidRPr="00232FDB">
        <w:t>CPR explicitly makes a distinction between</w:t>
      </w:r>
      <w:r w:rsidR="003413D3">
        <w:t>:</w:t>
      </w:r>
    </w:p>
    <w:p w:rsidR="003413D3" w:rsidRDefault="003413D3" w:rsidP="00F634BF">
      <w:r>
        <w:t xml:space="preserve">1) </w:t>
      </w:r>
      <w:r w:rsidR="006A4AD3">
        <w:t>The</w:t>
      </w:r>
      <w:r w:rsidR="00F634BF" w:rsidRPr="00232FDB">
        <w:t xml:space="preserve"> payments to final recipients (which take the form </w:t>
      </w:r>
      <w:r w:rsidR="00F634BF">
        <w:t>of financial</w:t>
      </w:r>
      <w:r>
        <w:t xml:space="preserve"> instruments products: </w:t>
      </w:r>
      <w:r w:rsidRPr="00232FDB">
        <w:t>loans</w:t>
      </w:r>
      <w:r>
        <w:t xml:space="preserve">, </w:t>
      </w:r>
      <w:r w:rsidRPr="00232FDB">
        <w:t>guarantees</w:t>
      </w:r>
      <w:r>
        <w:t xml:space="preserve">, </w:t>
      </w:r>
      <w:r w:rsidR="00F634BF" w:rsidRPr="00232FDB">
        <w:t>equity</w:t>
      </w:r>
      <w:r>
        <w:t xml:space="preserve"> and </w:t>
      </w:r>
      <w:r w:rsidR="00F634BF" w:rsidRPr="00232FDB">
        <w:t xml:space="preserve">quasi-equity) and </w:t>
      </w:r>
    </w:p>
    <w:p w:rsidR="00F634BF" w:rsidRPr="00D76B2A" w:rsidRDefault="003413D3" w:rsidP="00F634BF">
      <w:pPr>
        <w:rPr>
          <w:rFonts w:eastAsia="Calibri"/>
          <w:szCs w:val="24"/>
        </w:rPr>
      </w:pPr>
      <w:r>
        <w:rPr>
          <w:rFonts w:eastAsia="Calibri"/>
          <w:szCs w:val="24"/>
        </w:rPr>
        <w:t xml:space="preserve">2) </w:t>
      </w:r>
      <w:r w:rsidR="006A4AD3">
        <w:rPr>
          <w:rFonts w:eastAsia="Calibri"/>
          <w:szCs w:val="24"/>
        </w:rPr>
        <w:t>The</w:t>
      </w:r>
      <w:r>
        <w:rPr>
          <w:rFonts w:eastAsia="Calibri"/>
          <w:szCs w:val="24"/>
        </w:rPr>
        <w:t xml:space="preserve"> </w:t>
      </w:r>
      <w:r w:rsidRPr="00232FDB">
        <w:rPr>
          <w:rFonts w:eastAsia="Calibri"/>
          <w:szCs w:val="24"/>
        </w:rPr>
        <w:t>payments to the benefit of final recipients</w:t>
      </w:r>
      <w:r w:rsidR="006A4AD3">
        <w:rPr>
          <w:rFonts w:eastAsia="Calibri"/>
          <w:szCs w:val="24"/>
        </w:rPr>
        <w:t>,</w:t>
      </w:r>
      <w:r>
        <w:rPr>
          <w:rFonts w:eastAsia="Calibri"/>
          <w:szCs w:val="24"/>
        </w:rPr>
        <w:t xml:space="preserve"> </w:t>
      </w:r>
      <w:r w:rsidRPr="00232FDB">
        <w:t>i.e. without an effective payment to the final recipient</w:t>
      </w:r>
      <w:r>
        <w:t xml:space="preserve"> </w:t>
      </w:r>
      <w:r>
        <w:rPr>
          <w:rFonts w:eastAsia="Calibri"/>
          <w:szCs w:val="24"/>
        </w:rPr>
        <w:t xml:space="preserve">for </w:t>
      </w:r>
      <w:r>
        <w:t xml:space="preserve">the </w:t>
      </w:r>
      <w:r w:rsidR="00F634BF" w:rsidRPr="00232FDB">
        <w:rPr>
          <w:rFonts w:eastAsia="Calibri"/>
          <w:szCs w:val="24"/>
        </w:rPr>
        <w:t xml:space="preserve">cases referred to </w:t>
      </w:r>
      <w:r>
        <w:rPr>
          <w:rFonts w:eastAsia="Calibri"/>
          <w:szCs w:val="24"/>
        </w:rPr>
        <w:t xml:space="preserve">in </w:t>
      </w:r>
      <w:r w:rsidR="00F634BF" w:rsidRPr="00232FDB">
        <w:rPr>
          <w:rFonts w:eastAsia="Calibri"/>
          <w:szCs w:val="24"/>
        </w:rPr>
        <w:t>Article 37(7) CPR</w:t>
      </w:r>
      <w:r w:rsidR="00F634BF">
        <w:rPr>
          <w:rFonts w:eastAsia="Calibri"/>
          <w:szCs w:val="24"/>
        </w:rPr>
        <w:t xml:space="preserve">, </w:t>
      </w:r>
      <w:r w:rsidR="006A4AD3">
        <w:rPr>
          <w:rFonts w:eastAsia="Calibri"/>
          <w:szCs w:val="24"/>
        </w:rPr>
        <w:t xml:space="preserve">i.e. </w:t>
      </w:r>
      <w:r w:rsidR="00F634BF">
        <w:rPr>
          <w:rFonts w:eastAsia="Calibri"/>
          <w:szCs w:val="24"/>
        </w:rPr>
        <w:t>the types of grants there mentioned</w:t>
      </w:r>
      <w:r>
        <w:rPr>
          <w:rFonts w:eastAsia="Calibri"/>
          <w:szCs w:val="24"/>
        </w:rPr>
        <w:t>.</w:t>
      </w:r>
      <w:r w:rsidR="00637485">
        <w:rPr>
          <w:rFonts w:eastAsia="Calibri"/>
          <w:szCs w:val="24"/>
        </w:rPr>
        <w:t xml:space="preserve"> I</w:t>
      </w:r>
      <w:r w:rsidR="00FE1033" w:rsidRPr="00232FDB">
        <w:rPr>
          <w:rFonts w:eastAsia="Calibri"/>
          <w:szCs w:val="24"/>
        </w:rPr>
        <w:t xml:space="preserve">n practice the money is paid to the body implementing the financial instrument </w:t>
      </w:r>
      <w:r w:rsidR="00637485">
        <w:rPr>
          <w:rFonts w:eastAsia="Calibri"/>
          <w:szCs w:val="24"/>
        </w:rPr>
        <w:t xml:space="preserve">which will subsequently, for </w:t>
      </w:r>
      <w:r w:rsidR="00D76B2A">
        <w:rPr>
          <w:rFonts w:eastAsia="Calibri"/>
          <w:szCs w:val="24"/>
        </w:rPr>
        <w:t>e.g.</w:t>
      </w:r>
      <w:r w:rsidR="00637485">
        <w:rPr>
          <w:rFonts w:eastAsia="Calibri"/>
          <w:szCs w:val="24"/>
        </w:rPr>
        <w:t xml:space="preserve">, pay </w:t>
      </w:r>
      <w:r w:rsidR="00FE1033" w:rsidRPr="00232FDB">
        <w:rPr>
          <w:rFonts w:eastAsia="Calibri"/>
          <w:szCs w:val="24"/>
        </w:rPr>
        <w:t xml:space="preserve">the provider of the technical support </w:t>
      </w:r>
      <w:r w:rsidR="00637485">
        <w:rPr>
          <w:rFonts w:eastAsia="Calibri"/>
          <w:szCs w:val="24"/>
        </w:rPr>
        <w:t xml:space="preserve">services </w:t>
      </w:r>
      <w:r w:rsidR="00FE1033" w:rsidRPr="00232FDB">
        <w:rPr>
          <w:rFonts w:eastAsia="Calibri"/>
          <w:szCs w:val="24"/>
        </w:rPr>
        <w:t xml:space="preserve">or pay the interest rate subsidy to the bank that provides a commercial loan </w:t>
      </w:r>
      <w:r w:rsidR="00637485">
        <w:rPr>
          <w:rFonts w:eastAsia="Calibri"/>
          <w:szCs w:val="24"/>
        </w:rPr>
        <w:t xml:space="preserve">which is also guaranteed by an </w:t>
      </w:r>
      <w:r w:rsidR="00FE1033" w:rsidRPr="00232FDB">
        <w:rPr>
          <w:rFonts w:eastAsia="Calibri"/>
          <w:szCs w:val="24"/>
        </w:rPr>
        <w:t>ESI Fund financial instrument.</w:t>
      </w:r>
    </w:p>
    <w:p w:rsidR="00637485" w:rsidRDefault="00F634BF" w:rsidP="006F41DB">
      <w:pPr>
        <w:rPr>
          <w:rFonts w:eastAsia="Calibri"/>
          <w:szCs w:val="24"/>
        </w:rPr>
      </w:pPr>
      <w:r w:rsidRPr="00232FDB">
        <w:t xml:space="preserve">This </w:t>
      </w:r>
      <w:r w:rsidR="003413D3">
        <w:rPr>
          <w:rFonts w:eastAsia="Calibri"/>
          <w:szCs w:val="24"/>
        </w:rPr>
        <w:t xml:space="preserve">distinction </w:t>
      </w:r>
      <w:r w:rsidRPr="00232FDB">
        <w:t>is also corroborated in Article 13(2)(b)(v) CDR</w:t>
      </w:r>
      <w:r w:rsidR="006A4AD3">
        <w:t xml:space="preserve"> on the management costs and fees thresholds </w:t>
      </w:r>
      <w:r w:rsidRPr="00232FDB">
        <w:t xml:space="preserve">applicable to grants </w:t>
      </w:r>
      <w:r w:rsidR="006A4AD3">
        <w:t xml:space="preserve">managed </w:t>
      </w:r>
      <w:r w:rsidRPr="00232FDB">
        <w:t>under Article 37(7) CPR which refers exclusively to amounts paid for the benefit of final recipients.</w:t>
      </w:r>
      <w:r w:rsidRPr="00232FDB">
        <w:rPr>
          <w:rFonts w:eastAsia="Calibri"/>
          <w:szCs w:val="24"/>
        </w:rPr>
        <w:t xml:space="preserve"> </w:t>
      </w:r>
    </w:p>
    <w:p w:rsidR="00BE66C7" w:rsidRPr="00232FDB" w:rsidRDefault="00637485" w:rsidP="006F41DB">
      <w:pPr>
        <w:rPr>
          <w:rFonts w:eastAsia="Calibri"/>
          <w:szCs w:val="24"/>
        </w:rPr>
      </w:pPr>
      <w:r>
        <w:rPr>
          <w:rFonts w:eastAsia="Calibri"/>
          <w:szCs w:val="24"/>
        </w:rPr>
        <w:t xml:space="preserve">The above also means </w:t>
      </w:r>
      <w:r w:rsidR="00F634BF" w:rsidRPr="00232FDB">
        <w:rPr>
          <w:rFonts w:eastAsia="Calibri"/>
          <w:szCs w:val="24"/>
        </w:rPr>
        <w:t>that the typ</w:t>
      </w:r>
      <w:r w:rsidR="00F634BF">
        <w:rPr>
          <w:rFonts w:eastAsia="Calibri"/>
          <w:szCs w:val="24"/>
        </w:rPr>
        <w:t>e</w:t>
      </w:r>
      <w:r w:rsidR="00F634BF" w:rsidRPr="00232FDB">
        <w:rPr>
          <w:rFonts w:eastAsia="Calibri"/>
          <w:szCs w:val="24"/>
        </w:rPr>
        <w:t xml:space="preserve"> of grants referred to in Article 37(7) CPR, cannot be provided for the actual investment to be carried out by the final recipients but for their benefit and that the body implementing the </w:t>
      </w:r>
      <w:r w:rsidR="00F634BF" w:rsidRPr="00232FDB">
        <w:rPr>
          <w:rFonts w:eastAsia="Calibri"/>
        </w:rPr>
        <w:t>financial instrument</w:t>
      </w:r>
      <w:r w:rsidR="00F634BF" w:rsidRPr="00232FDB">
        <w:rPr>
          <w:rFonts w:eastAsia="Calibri"/>
          <w:szCs w:val="24"/>
        </w:rPr>
        <w:t xml:space="preserve"> should manage the grant component for which it will also be remunerated.</w:t>
      </w:r>
      <w:r w:rsidR="00FE1033">
        <w:rPr>
          <w:rFonts w:eastAsia="Calibri"/>
          <w:szCs w:val="24"/>
        </w:rPr>
        <w:t xml:space="preserve"> </w:t>
      </w:r>
      <w:r w:rsidR="00014FEE" w:rsidRPr="00232FDB">
        <w:rPr>
          <w:rFonts w:eastAsia="Calibri"/>
          <w:szCs w:val="24"/>
        </w:rPr>
        <w:t xml:space="preserve"> </w:t>
      </w:r>
    </w:p>
    <w:p w:rsidR="00310442" w:rsidRPr="00232FDB" w:rsidRDefault="00877139" w:rsidP="006F41DB">
      <w:pPr>
        <w:rPr>
          <w:rFonts w:eastAsia="Calibri"/>
          <w:szCs w:val="24"/>
        </w:rPr>
      </w:pPr>
      <w:r w:rsidRPr="00232FDB">
        <w:rPr>
          <w:rFonts w:eastAsia="Calibri"/>
          <w:szCs w:val="24"/>
        </w:rPr>
        <w:t>For the grant expenditure within</w:t>
      </w:r>
      <w:r w:rsidR="00643343" w:rsidRPr="00232FDB">
        <w:rPr>
          <w:rFonts w:eastAsia="Calibri"/>
          <w:szCs w:val="24"/>
        </w:rPr>
        <w:t xml:space="preserve"> the </w:t>
      </w:r>
      <w:r w:rsidRPr="00232FDB">
        <w:rPr>
          <w:rFonts w:eastAsia="Calibri"/>
          <w:szCs w:val="24"/>
        </w:rPr>
        <w:t>financial instrument</w:t>
      </w:r>
      <w:r w:rsidR="00643343" w:rsidRPr="00232FDB">
        <w:rPr>
          <w:rFonts w:eastAsia="Calibri"/>
          <w:szCs w:val="24"/>
        </w:rPr>
        <w:t xml:space="preserve"> operation</w:t>
      </w:r>
      <w:r w:rsidRPr="00232FDB">
        <w:rPr>
          <w:rFonts w:eastAsia="Calibri"/>
          <w:szCs w:val="24"/>
        </w:rPr>
        <w:t xml:space="preserve"> </w:t>
      </w:r>
      <w:r w:rsidR="00DC7525" w:rsidRPr="00232FDB">
        <w:rPr>
          <w:rFonts w:eastAsia="Calibri"/>
          <w:szCs w:val="24"/>
        </w:rPr>
        <w:t xml:space="preserve">please refer also to point 5.4 of this document </w:t>
      </w:r>
      <w:r w:rsidR="00DC7525">
        <w:rPr>
          <w:rFonts w:eastAsia="Calibri"/>
          <w:szCs w:val="24"/>
        </w:rPr>
        <w:t xml:space="preserve">on </w:t>
      </w:r>
      <w:r w:rsidRPr="00232FDB">
        <w:rPr>
          <w:rFonts w:eastAsia="Calibri"/>
          <w:szCs w:val="24"/>
        </w:rPr>
        <w:t>VAT eligibility rules</w:t>
      </w:r>
      <w:r w:rsidR="00643343" w:rsidRPr="00232FDB">
        <w:rPr>
          <w:rFonts w:eastAsia="Calibri"/>
          <w:szCs w:val="24"/>
        </w:rPr>
        <w:t>.</w:t>
      </w:r>
    </w:p>
    <w:p w:rsidR="00310442" w:rsidRPr="00232FDB" w:rsidRDefault="005442DC" w:rsidP="006F41DB">
      <w:r w:rsidRPr="00232FDB">
        <w:t>Finally, i</w:t>
      </w:r>
      <w:r w:rsidR="00310442" w:rsidRPr="00232FDB">
        <w:t xml:space="preserve">t </w:t>
      </w:r>
      <w:r w:rsidR="006D1155" w:rsidRPr="00232FDB">
        <w:t>is highligh</w:t>
      </w:r>
      <w:r w:rsidRPr="00232FDB">
        <w:t xml:space="preserve">ted that, as provided for in Article 37(2)(e) CPR, the ex-ante assessment </w:t>
      </w:r>
      <w:r w:rsidR="006D1155" w:rsidRPr="00232FDB">
        <w:t xml:space="preserve">needs to consider the "envisaged combination with grant support as appropriate".  This implies that for the combination of a financial instrument and grants within one operation </w:t>
      </w:r>
      <w:r w:rsidR="006D1155" w:rsidRPr="00477524">
        <w:rPr>
          <w:u w:val="single"/>
        </w:rPr>
        <w:t>the ex-ante assessment should not only assess the need but also estimate the contribution needed for such grants</w:t>
      </w:r>
      <w:r w:rsidR="006D1155" w:rsidRPr="00232FDB">
        <w:t xml:space="preserve">. The amounts needed for </w:t>
      </w:r>
      <w:r w:rsidR="00776664" w:rsidRPr="00232FDB">
        <w:t xml:space="preserve">the grant </w:t>
      </w:r>
      <w:r w:rsidR="00776664" w:rsidRPr="00232FDB">
        <w:lastRenderedPageBreak/>
        <w:t xml:space="preserve">together with contribution </w:t>
      </w:r>
      <w:r w:rsidR="00CA0751" w:rsidRPr="00232FDB">
        <w:t>to the</w:t>
      </w:r>
      <w:r w:rsidR="006D1155" w:rsidRPr="00232FDB">
        <w:t xml:space="preserve"> </w:t>
      </w:r>
      <w:r w:rsidR="00776664" w:rsidRPr="00232FDB">
        <w:t xml:space="preserve">financial instrument </w:t>
      </w:r>
      <w:r w:rsidR="006D1155" w:rsidRPr="00232FDB">
        <w:t xml:space="preserve">would constitute </w:t>
      </w:r>
      <w:r w:rsidR="00CA0751" w:rsidRPr="00232FDB">
        <w:t xml:space="preserve">the programme </w:t>
      </w:r>
      <w:r w:rsidR="006D1155" w:rsidRPr="00232FDB">
        <w:t xml:space="preserve">contribution from the </w:t>
      </w:r>
      <w:r w:rsidR="00BE66C7" w:rsidRPr="00232FDB">
        <w:t>managing a</w:t>
      </w:r>
      <w:r w:rsidR="006D1155" w:rsidRPr="00232FDB">
        <w:t>uthority to the financial instrument.</w:t>
      </w:r>
    </w:p>
    <w:p w:rsidR="00877139" w:rsidRPr="00232FDB" w:rsidRDefault="003973D9" w:rsidP="006F41DB">
      <w:pPr>
        <w:rPr>
          <w:rFonts w:eastAsia="Calibri"/>
          <w:szCs w:val="24"/>
        </w:rPr>
      </w:pPr>
      <w:r w:rsidRPr="00232FDB">
        <w:rPr>
          <w:rFonts w:eastAsia="Calibri"/>
          <w:szCs w:val="24"/>
        </w:rPr>
        <w:t>Further d</w:t>
      </w:r>
      <w:r w:rsidR="00877139" w:rsidRPr="00232FDB">
        <w:rPr>
          <w:rFonts w:eastAsia="Calibri"/>
          <w:szCs w:val="24"/>
        </w:rPr>
        <w:t xml:space="preserve">etails are </w:t>
      </w:r>
      <w:r w:rsidR="00643343" w:rsidRPr="00232FDB">
        <w:rPr>
          <w:rFonts w:eastAsia="Calibri"/>
          <w:szCs w:val="24"/>
        </w:rPr>
        <w:t xml:space="preserve">also available </w:t>
      </w:r>
      <w:r w:rsidR="00877139" w:rsidRPr="00232FDB">
        <w:rPr>
          <w:rFonts w:eastAsia="Calibri"/>
          <w:szCs w:val="24"/>
        </w:rPr>
        <w:t xml:space="preserve">in the guidance note on </w:t>
      </w:r>
      <w:r w:rsidR="00643343" w:rsidRPr="00232FDB">
        <w:rPr>
          <w:rFonts w:eastAsia="Calibri"/>
          <w:szCs w:val="24"/>
        </w:rPr>
        <w:t>c</w:t>
      </w:r>
      <w:r w:rsidR="00877139" w:rsidRPr="00232FDB">
        <w:rPr>
          <w:rFonts w:eastAsia="Calibri"/>
          <w:szCs w:val="24"/>
        </w:rPr>
        <w:t>ombination of support from a financial instrument with other forms of support</w:t>
      </w:r>
      <w:r w:rsidR="00643343" w:rsidRPr="00232FDB">
        <w:rPr>
          <w:rStyle w:val="FootnoteReference"/>
          <w:rFonts w:eastAsia="Calibri"/>
          <w:szCs w:val="24"/>
        </w:rPr>
        <w:footnoteReference w:id="20"/>
      </w:r>
      <w:r w:rsidR="00877139" w:rsidRPr="00232FDB">
        <w:rPr>
          <w:rFonts w:eastAsia="Calibri"/>
          <w:szCs w:val="24"/>
        </w:rPr>
        <w:t>.</w:t>
      </w:r>
    </w:p>
    <w:p w:rsidR="006645FB" w:rsidRPr="00232FDB" w:rsidRDefault="00AB4B35" w:rsidP="006F41DB">
      <w:pPr>
        <w:pStyle w:val="Heading1"/>
        <w:spacing w:before="0"/>
      </w:pPr>
      <w:bookmarkStart w:id="29" w:name="_Toc445141416"/>
      <w:r w:rsidRPr="00232FDB">
        <w:t>C</w:t>
      </w:r>
      <w:r w:rsidR="006645FB" w:rsidRPr="00232FDB">
        <w:t>apitalised interest rate subsidies and guarantee fee subsidies used in combination with financial instruments</w:t>
      </w:r>
      <w:r w:rsidR="00F53021" w:rsidRPr="00232FDB">
        <w:t xml:space="preserve"> (to be paid after </w:t>
      </w:r>
      <w:r w:rsidR="00CA0751" w:rsidRPr="00232FDB">
        <w:t xml:space="preserve">the </w:t>
      </w:r>
      <w:r w:rsidR="00F53021" w:rsidRPr="00232FDB">
        <w:t>eligibility period)</w:t>
      </w:r>
      <w:bookmarkEnd w:id="29"/>
    </w:p>
    <w:p w:rsidR="006645FB" w:rsidRPr="00232FDB" w:rsidRDefault="00776664" w:rsidP="006F41DB">
      <w:pPr>
        <w:rPr>
          <w:rFonts w:eastAsia="Calibri"/>
          <w:szCs w:val="24"/>
        </w:rPr>
      </w:pPr>
      <w:r w:rsidRPr="00232FDB">
        <w:rPr>
          <w:rFonts w:eastAsia="Calibri"/>
          <w:szCs w:val="24"/>
        </w:rPr>
        <w:t>As explained above in point 5.</w:t>
      </w:r>
      <w:r w:rsidR="00511789" w:rsidRPr="00232FDB">
        <w:rPr>
          <w:rFonts w:eastAsia="Calibri"/>
          <w:szCs w:val="24"/>
        </w:rPr>
        <w:t>12</w:t>
      </w:r>
      <w:r w:rsidRPr="00232FDB">
        <w:rPr>
          <w:rFonts w:eastAsia="Calibri"/>
          <w:szCs w:val="24"/>
        </w:rPr>
        <w:t>, i</w:t>
      </w:r>
      <w:r w:rsidR="006645FB" w:rsidRPr="00232FDB">
        <w:rPr>
          <w:rFonts w:eastAsia="Calibri"/>
          <w:szCs w:val="24"/>
        </w:rPr>
        <w:t xml:space="preserve">nterest rate subsidies and guarantee fee subsidies can be considered to be a part of the financial instrument, only when associated and combined </w:t>
      </w:r>
      <w:r w:rsidRPr="00232FDB">
        <w:rPr>
          <w:rFonts w:eastAsia="Calibri"/>
          <w:szCs w:val="24"/>
        </w:rPr>
        <w:t xml:space="preserve">with support provided from the financial instrument </w:t>
      </w:r>
      <w:r w:rsidR="00862866" w:rsidRPr="00232FDB">
        <w:rPr>
          <w:rFonts w:eastAsia="Calibri"/>
          <w:szCs w:val="24"/>
        </w:rPr>
        <w:t>in a single financial instrument operation</w:t>
      </w:r>
      <w:r w:rsidR="006645FB" w:rsidRPr="00232FDB">
        <w:rPr>
          <w:rFonts w:eastAsia="Calibri"/>
          <w:szCs w:val="24"/>
        </w:rPr>
        <w:t xml:space="preserve">. </w:t>
      </w:r>
    </w:p>
    <w:p w:rsidR="006645FB" w:rsidRPr="00232FDB" w:rsidRDefault="00CA0751" w:rsidP="006F41DB">
      <w:pPr>
        <w:rPr>
          <w:rFonts w:eastAsia="Calibri"/>
          <w:szCs w:val="24"/>
        </w:rPr>
      </w:pPr>
      <w:r w:rsidRPr="00232FDB">
        <w:rPr>
          <w:rFonts w:eastAsia="Calibri"/>
          <w:szCs w:val="24"/>
        </w:rPr>
        <w:t xml:space="preserve">With a view of ensuring </w:t>
      </w:r>
      <w:r w:rsidR="001D2445">
        <w:rPr>
          <w:rFonts w:eastAsia="Calibri"/>
          <w:szCs w:val="24"/>
        </w:rPr>
        <w:t xml:space="preserve">that </w:t>
      </w:r>
      <w:r w:rsidRPr="00232FDB">
        <w:rPr>
          <w:rFonts w:eastAsia="Calibri"/>
          <w:szCs w:val="24"/>
        </w:rPr>
        <w:t xml:space="preserve">the legal framework </w:t>
      </w:r>
      <w:r w:rsidR="001D2445">
        <w:rPr>
          <w:rFonts w:eastAsia="Calibri"/>
          <w:szCs w:val="24"/>
        </w:rPr>
        <w:t xml:space="preserve">is applied in a way so that </w:t>
      </w:r>
      <w:r w:rsidRPr="00232FDB">
        <w:rPr>
          <w:rFonts w:eastAsia="Calibri"/>
          <w:szCs w:val="24"/>
        </w:rPr>
        <w:t xml:space="preserve">market practices </w:t>
      </w:r>
      <w:r w:rsidR="001D2445">
        <w:rPr>
          <w:rFonts w:eastAsia="Calibri"/>
          <w:szCs w:val="24"/>
        </w:rPr>
        <w:t xml:space="preserve">are taken into due consideration </w:t>
      </w:r>
      <w:r w:rsidRPr="00232FDB">
        <w:rPr>
          <w:rFonts w:eastAsia="Calibri"/>
          <w:szCs w:val="24"/>
        </w:rPr>
        <w:t xml:space="preserve">and </w:t>
      </w:r>
      <w:r w:rsidR="001D2445" w:rsidRPr="00232FDB">
        <w:rPr>
          <w:rFonts w:eastAsia="Calibri"/>
          <w:szCs w:val="24"/>
        </w:rPr>
        <w:t>since</w:t>
      </w:r>
      <w:r w:rsidRPr="00232FDB">
        <w:rPr>
          <w:rFonts w:eastAsia="Calibri"/>
          <w:szCs w:val="24"/>
        </w:rPr>
        <w:t xml:space="preserve"> </w:t>
      </w:r>
      <w:r w:rsidR="00776664" w:rsidRPr="00232FDB">
        <w:rPr>
          <w:rFonts w:eastAsia="Calibri"/>
          <w:szCs w:val="24"/>
        </w:rPr>
        <w:t xml:space="preserve">the </w:t>
      </w:r>
      <w:r w:rsidRPr="00232FDB">
        <w:rPr>
          <w:rFonts w:eastAsia="Calibri"/>
          <w:szCs w:val="24"/>
        </w:rPr>
        <w:t xml:space="preserve">decisions </w:t>
      </w:r>
      <w:r w:rsidR="00776664" w:rsidRPr="00232FDB">
        <w:rPr>
          <w:rFonts w:eastAsia="Calibri"/>
          <w:szCs w:val="24"/>
        </w:rPr>
        <w:t>o</w:t>
      </w:r>
      <w:r w:rsidRPr="00232FDB">
        <w:rPr>
          <w:rFonts w:eastAsia="Calibri"/>
          <w:szCs w:val="24"/>
        </w:rPr>
        <w:t xml:space="preserve">n </w:t>
      </w:r>
      <w:r w:rsidR="00776664" w:rsidRPr="00232FDB">
        <w:rPr>
          <w:rFonts w:eastAsia="Calibri"/>
          <w:szCs w:val="24"/>
        </w:rPr>
        <w:t>the maturity of the loans  or even its grace period do</w:t>
      </w:r>
      <w:r w:rsidRPr="00232FDB">
        <w:rPr>
          <w:rFonts w:eastAsia="Calibri"/>
          <w:szCs w:val="24"/>
        </w:rPr>
        <w:t xml:space="preserve"> </w:t>
      </w:r>
      <w:r w:rsidR="00776664" w:rsidRPr="00232FDB">
        <w:rPr>
          <w:rFonts w:eastAsia="Calibri"/>
          <w:szCs w:val="24"/>
        </w:rPr>
        <w:t>not need to</w:t>
      </w:r>
      <w:r w:rsidR="00944C64" w:rsidRPr="00232FDB">
        <w:rPr>
          <w:rFonts w:eastAsia="Calibri"/>
          <w:szCs w:val="24"/>
        </w:rPr>
        <w:t xml:space="preserve"> </w:t>
      </w:r>
      <w:r w:rsidR="00776664" w:rsidRPr="00232FDB">
        <w:rPr>
          <w:rFonts w:eastAsia="Calibri"/>
          <w:szCs w:val="24"/>
        </w:rPr>
        <w:t>be necessarily linked to the eligibil</w:t>
      </w:r>
      <w:r w:rsidRPr="00232FDB">
        <w:rPr>
          <w:rFonts w:eastAsia="Calibri"/>
          <w:szCs w:val="24"/>
        </w:rPr>
        <w:t>ity period foreseen in Article 6</w:t>
      </w:r>
      <w:r w:rsidR="00776664" w:rsidRPr="00232FDB">
        <w:rPr>
          <w:rFonts w:eastAsia="Calibri"/>
          <w:szCs w:val="24"/>
        </w:rPr>
        <w:t xml:space="preserve">5 CPR and in order to allow the continuation of the payments to the benefit of final recipient, the CPR allows for </w:t>
      </w:r>
      <w:r w:rsidR="006645FB" w:rsidRPr="00232FDB">
        <w:rPr>
          <w:rFonts w:eastAsia="Calibri"/>
          <w:szCs w:val="24"/>
        </w:rPr>
        <w:t xml:space="preserve">capitalised interest rate subsidies or guarantee fee subsidies due to be paid for a period not exceeding 10 years after the </w:t>
      </w:r>
      <w:r w:rsidR="00FE16B8" w:rsidRPr="00232FDB">
        <w:rPr>
          <w:rFonts w:eastAsia="Calibri"/>
          <w:szCs w:val="24"/>
        </w:rPr>
        <w:t xml:space="preserve">end of the </w:t>
      </w:r>
      <w:r w:rsidR="006645FB" w:rsidRPr="00232FDB">
        <w:rPr>
          <w:rFonts w:eastAsia="Calibri"/>
          <w:szCs w:val="24"/>
        </w:rPr>
        <w:t xml:space="preserve">eligibility period </w:t>
      </w:r>
      <w:r w:rsidR="00776664" w:rsidRPr="00232FDB">
        <w:rPr>
          <w:rFonts w:eastAsia="Calibri"/>
          <w:szCs w:val="24"/>
        </w:rPr>
        <w:t xml:space="preserve">to </w:t>
      </w:r>
      <w:r w:rsidR="006645FB" w:rsidRPr="00232FDB">
        <w:rPr>
          <w:rFonts w:eastAsia="Calibri"/>
          <w:szCs w:val="24"/>
        </w:rPr>
        <w:t xml:space="preserve">be declared as eligible expenditure under Article 42(1)(c) CPR in relation to loans or other risk-bearing instruments disbursed for investments in final recipients within eligibility period, whose </w:t>
      </w:r>
      <w:r w:rsidR="0032135E" w:rsidRPr="00232FDB">
        <w:rPr>
          <w:rFonts w:eastAsia="Calibri"/>
          <w:szCs w:val="24"/>
        </w:rPr>
        <w:t xml:space="preserve">maturity </w:t>
      </w:r>
      <w:r w:rsidR="006645FB" w:rsidRPr="00232FDB">
        <w:rPr>
          <w:rFonts w:eastAsia="Calibri"/>
          <w:szCs w:val="24"/>
        </w:rPr>
        <w:t xml:space="preserve">extends beyond the end of the eligibility period. </w:t>
      </w:r>
    </w:p>
    <w:p w:rsidR="00944C64" w:rsidRPr="00232FDB" w:rsidRDefault="00E6160A" w:rsidP="006F41DB">
      <w:pPr>
        <w:rPr>
          <w:rFonts w:eastAsia="Calibri"/>
          <w:szCs w:val="24"/>
        </w:rPr>
      </w:pPr>
      <w:r>
        <w:rPr>
          <w:rFonts w:eastAsia="Calibri"/>
          <w:szCs w:val="24"/>
        </w:rPr>
        <w:t xml:space="preserve">As set out in </w:t>
      </w:r>
      <w:r w:rsidRPr="00232FDB">
        <w:rPr>
          <w:rFonts w:eastAsia="Calibri"/>
          <w:szCs w:val="24"/>
        </w:rPr>
        <w:t>Article 42(1)(c) CPR</w:t>
      </w:r>
      <w:r>
        <w:rPr>
          <w:rFonts w:eastAsia="Calibri"/>
          <w:szCs w:val="24"/>
        </w:rPr>
        <w:t>, t</w:t>
      </w:r>
      <w:r w:rsidR="006645FB" w:rsidRPr="00232FDB">
        <w:rPr>
          <w:rFonts w:eastAsia="Calibri"/>
          <w:szCs w:val="24"/>
        </w:rPr>
        <w:t>he total amount of capitalised interest rate subsidies or guarantee fee subsidies must be transferred to an escrow account</w:t>
      </w:r>
      <w:r w:rsidR="000178D1" w:rsidRPr="00232FDB">
        <w:rPr>
          <w:rStyle w:val="FootnoteReference"/>
          <w:rFonts w:eastAsia="Calibri"/>
          <w:szCs w:val="24"/>
        </w:rPr>
        <w:footnoteReference w:id="21"/>
      </w:r>
      <w:r w:rsidR="00FB0A42" w:rsidRPr="00232FDB">
        <w:rPr>
          <w:rFonts w:eastAsia="Calibri"/>
          <w:szCs w:val="24"/>
        </w:rPr>
        <w:t xml:space="preserve">. </w:t>
      </w:r>
      <w:r w:rsidR="006645FB" w:rsidRPr="00232FDB">
        <w:rPr>
          <w:rFonts w:eastAsia="Calibri"/>
          <w:szCs w:val="24"/>
        </w:rPr>
        <w:t xml:space="preserve">The payment </w:t>
      </w:r>
      <w:r w:rsidR="00FE7C69" w:rsidRPr="00232FDB">
        <w:rPr>
          <w:rFonts w:eastAsia="Calibri"/>
          <w:szCs w:val="24"/>
        </w:rPr>
        <w:t xml:space="preserve">of this amount </w:t>
      </w:r>
      <w:r w:rsidR="006645FB" w:rsidRPr="00232FDB">
        <w:rPr>
          <w:rFonts w:eastAsia="Calibri"/>
          <w:szCs w:val="24"/>
        </w:rPr>
        <w:t>to the escrow account at the end of eligibility period is considered eligible expenditure.</w:t>
      </w:r>
    </w:p>
    <w:p w:rsidR="00944C64" w:rsidRPr="00232FDB" w:rsidRDefault="00944C64" w:rsidP="006F41DB">
      <w:pPr>
        <w:rPr>
          <w:rFonts w:eastAsia="Calibri"/>
          <w:szCs w:val="24"/>
        </w:rPr>
      </w:pPr>
      <w:r w:rsidRPr="00232FDB">
        <w:rPr>
          <w:rFonts w:eastAsia="Calibri"/>
          <w:szCs w:val="24"/>
        </w:rPr>
        <w:t xml:space="preserve">As provided for in Article 11 CDR, capitalised interest rate subsidies and guarantee fee subsidies </w:t>
      </w:r>
      <w:r w:rsidR="009B546D" w:rsidRPr="00232FDB">
        <w:rPr>
          <w:rFonts w:eastAsia="Calibri"/>
          <w:szCs w:val="24"/>
        </w:rPr>
        <w:t xml:space="preserve">are </w:t>
      </w:r>
      <w:r w:rsidRPr="00232FDB">
        <w:rPr>
          <w:rFonts w:eastAsia="Calibri"/>
          <w:szCs w:val="24"/>
        </w:rPr>
        <w:t>calculated at the end of the eligibility period as the total of discounted payment obligations for the purposes and periods referred to above and in accordance with the relevant funding agreements. Any resources left in the escrow account after the period for which there is an obligation to make this type of payments for the benefit of the final recipient (max</w:t>
      </w:r>
      <w:r w:rsidR="00BE66C7" w:rsidRPr="00232FDB">
        <w:rPr>
          <w:rFonts w:eastAsia="Calibri"/>
          <w:szCs w:val="24"/>
        </w:rPr>
        <w:t xml:space="preserve">imum </w:t>
      </w:r>
      <w:r w:rsidRPr="00232FDB">
        <w:rPr>
          <w:rFonts w:eastAsia="Calibri"/>
          <w:szCs w:val="24"/>
        </w:rPr>
        <w:t xml:space="preserve">10 years but can be less if such an obligation is shorter in time), or as a result of an unexpected winding-up of the financial instrument before the end of that period, </w:t>
      </w:r>
      <w:r w:rsidR="009B546D" w:rsidRPr="00232FDB">
        <w:rPr>
          <w:rFonts w:eastAsia="Calibri"/>
          <w:szCs w:val="24"/>
        </w:rPr>
        <w:t xml:space="preserve">must </w:t>
      </w:r>
      <w:r w:rsidRPr="00232FDB">
        <w:rPr>
          <w:rFonts w:eastAsia="Calibri"/>
          <w:szCs w:val="24"/>
        </w:rPr>
        <w:t>be used in accordance with Article 45 CPR.</w:t>
      </w:r>
    </w:p>
    <w:p w:rsidR="00D7134C" w:rsidRPr="00232FDB" w:rsidRDefault="00D7134C" w:rsidP="006F41DB">
      <w:pPr>
        <w:rPr>
          <w:szCs w:val="24"/>
        </w:rPr>
      </w:pPr>
      <w:r w:rsidRPr="00232FDB">
        <w:rPr>
          <w:szCs w:val="24"/>
        </w:rPr>
        <w:t xml:space="preserve">Finally, the CPR and the CDR do not stipulate which discount rates should be used to calculate the amount of capitalised </w:t>
      </w:r>
      <w:r w:rsidRPr="00232FDB">
        <w:rPr>
          <w:rFonts w:eastAsia="Calibri"/>
          <w:szCs w:val="24"/>
        </w:rPr>
        <w:t xml:space="preserve">interest rate subsidies and guarantee fee subsidies </w:t>
      </w:r>
      <w:r w:rsidRPr="00232FDB">
        <w:rPr>
          <w:szCs w:val="24"/>
        </w:rPr>
        <w:t xml:space="preserve">which may be considered eligible at closure. Nevertheless, the economic reasoning would be that this capitalised value paid to the escrow account should just allow paying the </w:t>
      </w:r>
      <w:r w:rsidR="006B4E54" w:rsidRPr="00232FDB">
        <w:rPr>
          <w:rFonts w:eastAsia="Calibri"/>
          <w:szCs w:val="24"/>
        </w:rPr>
        <w:t xml:space="preserve">interest rate subsidies and guarantee fee subsidies </w:t>
      </w:r>
      <w:r w:rsidRPr="00232FDB">
        <w:rPr>
          <w:szCs w:val="24"/>
        </w:rPr>
        <w:t xml:space="preserve">which will be due within the </w:t>
      </w:r>
      <w:r w:rsidR="006B4E54" w:rsidRPr="00232FDB">
        <w:rPr>
          <w:szCs w:val="24"/>
        </w:rPr>
        <w:t>10</w:t>
      </w:r>
      <w:r w:rsidRPr="00232FDB">
        <w:rPr>
          <w:szCs w:val="24"/>
        </w:rPr>
        <w:t xml:space="preserve"> years after the eligibility period. In this case the discount rate to be used would correspond to the internal rate of return on the amount paid to the escrow account, i.e. the </w:t>
      </w:r>
      <w:r w:rsidRPr="00232FDB">
        <w:rPr>
          <w:szCs w:val="24"/>
        </w:rPr>
        <w:lastRenderedPageBreak/>
        <w:t xml:space="preserve">agreed (expected if there is no fixed interest rate for the whole duration) interest rate of the account if no other returns or expenses are expected. </w:t>
      </w:r>
    </w:p>
    <w:p w:rsidR="00F53021" w:rsidRPr="00232FDB" w:rsidRDefault="00AB4B35" w:rsidP="006F41DB">
      <w:pPr>
        <w:pStyle w:val="Heading1"/>
        <w:spacing w:before="0"/>
      </w:pPr>
      <w:bookmarkStart w:id="30" w:name="_Toc445141417"/>
      <w:r w:rsidRPr="00232FDB">
        <w:t>F</w:t>
      </w:r>
      <w:r w:rsidR="000178D1" w:rsidRPr="00232FDB">
        <w:t xml:space="preserve">ollow-on investments in </w:t>
      </w:r>
      <w:r w:rsidR="00877139" w:rsidRPr="00232FDB">
        <w:t>enterprises in the case of equity</w:t>
      </w:r>
      <w:r w:rsidR="00487861" w:rsidRPr="00232FDB">
        <w:t xml:space="preserve"> </w:t>
      </w:r>
      <w:r w:rsidR="00877139" w:rsidRPr="00232FDB">
        <w:t>instruments</w:t>
      </w:r>
      <w:r w:rsidR="00F53021" w:rsidRPr="00232FDB">
        <w:t xml:space="preserve"> (to be paid after </w:t>
      </w:r>
      <w:r w:rsidR="00CA0751" w:rsidRPr="00232FDB">
        <w:t xml:space="preserve">the </w:t>
      </w:r>
      <w:r w:rsidR="00F53021" w:rsidRPr="00232FDB">
        <w:t>eligibility period)</w:t>
      </w:r>
      <w:bookmarkEnd w:id="30"/>
    </w:p>
    <w:p w:rsidR="00F91056" w:rsidRPr="00232FDB" w:rsidRDefault="0072094B" w:rsidP="006F41DB">
      <w:pPr>
        <w:rPr>
          <w:rFonts w:eastAsia="Calibri"/>
          <w:szCs w:val="24"/>
        </w:rPr>
      </w:pPr>
      <w:r>
        <w:rPr>
          <w:rFonts w:eastAsia="Calibri"/>
          <w:szCs w:val="24"/>
        </w:rPr>
        <w:t>An e</w:t>
      </w:r>
      <w:r w:rsidR="00F91056" w:rsidRPr="00232FDB">
        <w:rPr>
          <w:rFonts w:eastAsia="Calibri"/>
          <w:szCs w:val="24"/>
        </w:rPr>
        <w:t xml:space="preserve">quity investment </w:t>
      </w:r>
      <w:r>
        <w:rPr>
          <w:rFonts w:eastAsia="Calibri"/>
          <w:szCs w:val="24"/>
        </w:rPr>
        <w:t xml:space="preserve">is </w:t>
      </w:r>
      <w:r w:rsidR="00F91056" w:rsidRPr="00232FDB">
        <w:rPr>
          <w:rFonts w:eastAsia="Calibri"/>
          <w:szCs w:val="24"/>
        </w:rPr>
        <w:t xml:space="preserve">the provision of capital to a firm, invested directly or indirectly in return for total or partial ownership of that firm and where the equity investor may assume some management control of the firm and may share the firm's profits. </w:t>
      </w:r>
    </w:p>
    <w:p w:rsidR="00F91056" w:rsidRPr="00232FDB" w:rsidRDefault="00F91056" w:rsidP="006F41DB">
      <w:pPr>
        <w:rPr>
          <w:rFonts w:eastAsia="Calibri"/>
          <w:szCs w:val="24"/>
        </w:rPr>
      </w:pPr>
      <w:r w:rsidRPr="00232FDB">
        <w:rPr>
          <w:rFonts w:eastAsia="Calibri"/>
          <w:szCs w:val="24"/>
        </w:rPr>
        <w:t xml:space="preserve">Equity </w:t>
      </w:r>
      <w:r w:rsidR="00573420" w:rsidRPr="00232FDB">
        <w:rPr>
          <w:rFonts w:eastAsia="Calibri"/>
          <w:szCs w:val="24"/>
        </w:rPr>
        <w:t>investments are</w:t>
      </w:r>
      <w:r w:rsidRPr="00232FDB">
        <w:rPr>
          <w:rFonts w:eastAsia="Calibri"/>
          <w:szCs w:val="24"/>
        </w:rPr>
        <w:t xml:space="preserve"> very often made in several rounds. The first round financing</w:t>
      </w:r>
      <w:r w:rsidR="00573420" w:rsidRPr="00232FDB">
        <w:rPr>
          <w:rFonts w:eastAsia="Calibri"/>
          <w:szCs w:val="24"/>
        </w:rPr>
        <w:t>/</w:t>
      </w:r>
      <w:r w:rsidRPr="00232FDB">
        <w:rPr>
          <w:rFonts w:eastAsia="Calibri"/>
          <w:szCs w:val="24"/>
        </w:rPr>
        <w:t xml:space="preserve">investment can be followed by the so called follow-on investments which are subsequent investments made by an investor who has made a previous investment in the </w:t>
      </w:r>
      <w:r w:rsidR="001637B0" w:rsidRPr="00232FDB">
        <w:rPr>
          <w:rFonts w:eastAsia="Calibri"/>
          <w:szCs w:val="24"/>
        </w:rPr>
        <w:t>enterprise (the final recipient)</w:t>
      </w:r>
      <w:r w:rsidRPr="00232FDB">
        <w:rPr>
          <w:rFonts w:eastAsia="Calibri"/>
          <w:szCs w:val="24"/>
        </w:rPr>
        <w:t>, generally a later stage investment in comparison to the initial investment</w:t>
      </w:r>
      <w:r w:rsidR="0006288A" w:rsidRPr="00232FDB">
        <w:rPr>
          <w:rStyle w:val="FootnoteReference"/>
          <w:rFonts w:eastAsia="Calibri"/>
          <w:szCs w:val="24"/>
        </w:rPr>
        <w:footnoteReference w:id="22"/>
      </w:r>
      <w:r w:rsidR="000E49E0" w:rsidRPr="00232FDB">
        <w:rPr>
          <w:rFonts w:eastAsia="Calibri"/>
          <w:szCs w:val="24"/>
        </w:rPr>
        <w:t>.</w:t>
      </w:r>
    </w:p>
    <w:p w:rsidR="00EE0CA4" w:rsidRDefault="00CA0751" w:rsidP="006F41DB">
      <w:pPr>
        <w:rPr>
          <w:rFonts w:eastAsia="Calibri"/>
          <w:szCs w:val="24"/>
        </w:rPr>
      </w:pPr>
      <w:r w:rsidRPr="000D3992">
        <w:rPr>
          <w:rFonts w:eastAsia="Calibri"/>
          <w:szCs w:val="24"/>
        </w:rPr>
        <w:t xml:space="preserve">With </w:t>
      </w:r>
      <w:r w:rsidR="00573420" w:rsidRPr="000D3992">
        <w:rPr>
          <w:rFonts w:eastAsia="Calibri"/>
          <w:szCs w:val="24"/>
        </w:rPr>
        <w:t xml:space="preserve">the objective </w:t>
      </w:r>
      <w:r w:rsidRPr="000D3992">
        <w:rPr>
          <w:rFonts w:eastAsia="Calibri"/>
          <w:szCs w:val="24"/>
        </w:rPr>
        <w:t>of ensuring alignment of the legal framework with market practices</w:t>
      </w:r>
      <w:r w:rsidR="00190F95" w:rsidRPr="000D3992">
        <w:rPr>
          <w:rFonts w:eastAsia="Calibri"/>
          <w:szCs w:val="24"/>
        </w:rPr>
        <w:t xml:space="preserve">, </w:t>
      </w:r>
      <w:r w:rsidR="00573420" w:rsidRPr="000D3992">
        <w:rPr>
          <w:rFonts w:eastAsia="Calibri"/>
          <w:szCs w:val="24"/>
        </w:rPr>
        <w:t xml:space="preserve">of ensuring that final recipients are able to benefit from continued support from the ESI Funds </w:t>
      </w:r>
      <w:r w:rsidR="00D21302" w:rsidRPr="000D3992">
        <w:rPr>
          <w:rFonts w:eastAsia="Calibri"/>
          <w:szCs w:val="24"/>
        </w:rPr>
        <w:t xml:space="preserve">even </w:t>
      </w:r>
      <w:r w:rsidR="00573420" w:rsidRPr="000D3992">
        <w:rPr>
          <w:rFonts w:eastAsia="Calibri"/>
          <w:szCs w:val="24"/>
        </w:rPr>
        <w:t>after the end of the eligibility period</w:t>
      </w:r>
      <w:r w:rsidR="00190F95" w:rsidRPr="000D3992">
        <w:rPr>
          <w:rFonts w:eastAsia="Calibri"/>
          <w:szCs w:val="24"/>
        </w:rPr>
        <w:t xml:space="preserve"> and also to protect the initial investment </w:t>
      </w:r>
      <w:r w:rsidR="00EE0CA4">
        <w:rPr>
          <w:rFonts w:eastAsia="Calibri"/>
          <w:szCs w:val="24"/>
        </w:rPr>
        <w:t xml:space="preserve">by the financial instrument </w:t>
      </w:r>
      <w:r w:rsidR="00190F95" w:rsidRPr="000D3992">
        <w:rPr>
          <w:rFonts w:eastAsia="Calibri"/>
          <w:szCs w:val="24"/>
        </w:rPr>
        <w:t xml:space="preserve">so that it is not diluted by a subsequent capital increase taking place before exit, to which the financial instrument investment </w:t>
      </w:r>
      <w:r w:rsidR="00EE0CA4">
        <w:rPr>
          <w:rFonts w:eastAsia="Calibri"/>
          <w:szCs w:val="24"/>
        </w:rPr>
        <w:t>would have</w:t>
      </w:r>
      <w:r w:rsidR="00190F95" w:rsidRPr="000D3992">
        <w:rPr>
          <w:rFonts w:eastAsia="Calibri"/>
          <w:szCs w:val="24"/>
        </w:rPr>
        <w:t xml:space="preserve"> not participated, </w:t>
      </w:r>
      <w:r w:rsidRPr="000D3992">
        <w:rPr>
          <w:rFonts w:eastAsia="Calibri"/>
          <w:szCs w:val="24"/>
        </w:rPr>
        <w:t>i</w:t>
      </w:r>
      <w:r w:rsidR="00877139" w:rsidRPr="000D3992">
        <w:rPr>
          <w:rFonts w:eastAsia="Calibri"/>
          <w:szCs w:val="24"/>
        </w:rPr>
        <w:t xml:space="preserve">n the case of equity-based instruments for enterprises a limited amount of payments for </w:t>
      </w:r>
      <w:r w:rsidR="00573420" w:rsidRPr="000D3992">
        <w:rPr>
          <w:rFonts w:eastAsia="Calibri"/>
          <w:szCs w:val="24"/>
        </w:rPr>
        <w:t xml:space="preserve">follow-on </w:t>
      </w:r>
      <w:r w:rsidR="00877139" w:rsidRPr="000D3992">
        <w:rPr>
          <w:rFonts w:eastAsia="Calibri"/>
          <w:szCs w:val="24"/>
        </w:rPr>
        <w:t>investments in final recipients can be eligible</w:t>
      </w:r>
      <w:r w:rsidR="00BE66C7" w:rsidRPr="000D3992">
        <w:rPr>
          <w:rFonts w:eastAsia="Calibri"/>
          <w:szCs w:val="24"/>
        </w:rPr>
        <w:t xml:space="preserve">. </w:t>
      </w:r>
    </w:p>
    <w:p w:rsidR="00877139" w:rsidRPr="000D3992" w:rsidRDefault="00BE66C7" w:rsidP="006F41DB">
      <w:pPr>
        <w:rPr>
          <w:rFonts w:eastAsia="Calibri"/>
          <w:szCs w:val="24"/>
        </w:rPr>
      </w:pPr>
      <w:r w:rsidRPr="000D3992">
        <w:rPr>
          <w:rFonts w:eastAsia="Calibri"/>
          <w:szCs w:val="24"/>
        </w:rPr>
        <w:t xml:space="preserve">This amount is eligible </w:t>
      </w:r>
      <w:r w:rsidR="00573420" w:rsidRPr="000D3992">
        <w:rPr>
          <w:rFonts w:eastAsia="Calibri"/>
          <w:szCs w:val="24"/>
        </w:rPr>
        <w:t xml:space="preserve">even if not paid/invested in final recipients until the end of the eligibility period, </w:t>
      </w:r>
      <w:r w:rsidR="00877139" w:rsidRPr="000D3992">
        <w:rPr>
          <w:rFonts w:eastAsia="Calibri"/>
          <w:szCs w:val="24"/>
        </w:rPr>
        <w:t>if the following conditions</w:t>
      </w:r>
      <w:r w:rsidR="00977900" w:rsidRPr="000D3992">
        <w:rPr>
          <w:rFonts w:eastAsia="Calibri"/>
          <w:szCs w:val="24"/>
        </w:rPr>
        <w:t xml:space="preserve">, in line with Article 42(3) CPR, </w:t>
      </w:r>
      <w:r w:rsidR="00877139" w:rsidRPr="000D3992">
        <w:rPr>
          <w:rFonts w:eastAsia="Calibri"/>
          <w:szCs w:val="24"/>
        </w:rPr>
        <w:t xml:space="preserve">are </w:t>
      </w:r>
      <w:r w:rsidR="00877139" w:rsidRPr="000D3992">
        <w:rPr>
          <w:rFonts w:eastAsia="Calibri"/>
          <w:szCs w:val="24"/>
          <w:u w:val="single"/>
        </w:rPr>
        <w:t>cumulatively met</w:t>
      </w:r>
      <w:r w:rsidR="00877139" w:rsidRPr="000D3992">
        <w:rPr>
          <w:rFonts w:eastAsia="Calibri"/>
          <w:szCs w:val="24"/>
        </w:rPr>
        <w:t>:</w:t>
      </w:r>
    </w:p>
    <w:p w:rsidR="00877139" w:rsidRPr="00232FDB" w:rsidRDefault="00877139" w:rsidP="006F41DB">
      <w:pPr>
        <w:numPr>
          <w:ilvl w:val="0"/>
          <w:numId w:val="21"/>
        </w:numPr>
        <w:rPr>
          <w:rFonts w:eastAsia="Calibri"/>
          <w:szCs w:val="24"/>
        </w:rPr>
      </w:pPr>
      <w:r w:rsidRPr="00232FDB">
        <w:rPr>
          <w:rFonts w:eastAsia="Calibri"/>
          <w:szCs w:val="24"/>
        </w:rPr>
        <w:t xml:space="preserve">the </w:t>
      </w:r>
      <w:r w:rsidR="00487861" w:rsidRPr="00232FDB">
        <w:rPr>
          <w:rFonts w:eastAsia="Calibri"/>
          <w:szCs w:val="24"/>
        </w:rPr>
        <w:t xml:space="preserve">planned </w:t>
      </w:r>
      <w:r w:rsidRPr="00232FDB">
        <w:rPr>
          <w:rFonts w:eastAsia="Calibri"/>
          <w:szCs w:val="24"/>
        </w:rPr>
        <w:t xml:space="preserve">support to enterprises </w:t>
      </w:r>
      <w:r w:rsidR="00487861" w:rsidRPr="00232FDB">
        <w:rPr>
          <w:rFonts w:eastAsia="Calibri"/>
          <w:szCs w:val="24"/>
        </w:rPr>
        <w:t>has to comply with Article 37(4) CPR</w:t>
      </w:r>
      <w:r w:rsidRPr="00232FDB">
        <w:rPr>
          <w:rFonts w:eastAsia="Calibri"/>
          <w:szCs w:val="24"/>
        </w:rPr>
        <w:t>;</w:t>
      </w:r>
    </w:p>
    <w:p w:rsidR="00877139" w:rsidRPr="00232FDB" w:rsidRDefault="00877139" w:rsidP="006F41DB">
      <w:pPr>
        <w:numPr>
          <w:ilvl w:val="0"/>
          <w:numId w:val="21"/>
        </w:numPr>
        <w:rPr>
          <w:rFonts w:eastAsia="Calibri"/>
          <w:szCs w:val="24"/>
        </w:rPr>
      </w:pPr>
      <w:r w:rsidRPr="00232FDB">
        <w:rPr>
          <w:rFonts w:eastAsia="Calibri"/>
          <w:szCs w:val="24"/>
        </w:rPr>
        <w:t xml:space="preserve">the funding agreement between the duly mandated representatives of the managing authority, or where applicable, the body that implements the fund of funds, and the body that implements equity-based financial instrument </w:t>
      </w:r>
      <w:r w:rsidR="00D942F6">
        <w:rPr>
          <w:rFonts w:eastAsia="Calibri"/>
          <w:szCs w:val="24"/>
        </w:rPr>
        <w:t>is</w:t>
      </w:r>
      <w:r w:rsidR="006B098C" w:rsidRPr="00232FDB">
        <w:rPr>
          <w:rFonts w:eastAsia="Calibri"/>
          <w:szCs w:val="24"/>
        </w:rPr>
        <w:t xml:space="preserve"> </w:t>
      </w:r>
      <w:r w:rsidRPr="00232FDB">
        <w:rPr>
          <w:rFonts w:eastAsia="Calibri"/>
          <w:szCs w:val="24"/>
        </w:rPr>
        <w:t>signed before 31</w:t>
      </w:r>
      <w:r w:rsidR="00BE66C7" w:rsidRPr="00232FDB">
        <w:rPr>
          <w:rFonts w:eastAsia="Calibri"/>
          <w:szCs w:val="24"/>
        </w:rPr>
        <w:t xml:space="preserve"> December </w:t>
      </w:r>
      <w:r w:rsidRPr="00232FDB">
        <w:rPr>
          <w:rFonts w:eastAsia="Calibri"/>
          <w:szCs w:val="24"/>
        </w:rPr>
        <w:t xml:space="preserve">2017; </w:t>
      </w:r>
    </w:p>
    <w:p w:rsidR="00877139" w:rsidRPr="00232FDB" w:rsidRDefault="00877139" w:rsidP="006F41DB">
      <w:pPr>
        <w:numPr>
          <w:ilvl w:val="0"/>
          <w:numId w:val="21"/>
        </w:numPr>
        <w:rPr>
          <w:rFonts w:eastAsia="Calibri"/>
          <w:szCs w:val="24"/>
        </w:rPr>
      </w:pPr>
      <w:r w:rsidRPr="00232FDB">
        <w:rPr>
          <w:rFonts w:eastAsia="Calibri"/>
          <w:szCs w:val="24"/>
        </w:rPr>
        <w:t xml:space="preserve">by the end of eligibility date at least 55% of the programme resources committed in the relevant funding agreement is invested in final recipients; </w:t>
      </w:r>
    </w:p>
    <w:p w:rsidR="00877139" w:rsidRPr="00232FDB" w:rsidRDefault="00877139" w:rsidP="006F41DB">
      <w:pPr>
        <w:numPr>
          <w:ilvl w:val="0"/>
          <w:numId w:val="21"/>
        </w:numPr>
        <w:rPr>
          <w:rFonts w:eastAsia="Calibri"/>
          <w:szCs w:val="24"/>
        </w:rPr>
      </w:pPr>
      <w:r w:rsidRPr="00232FDB">
        <w:rPr>
          <w:rFonts w:eastAsia="Calibri"/>
          <w:szCs w:val="24"/>
        </w:rPr>
        <w:t xml:space="preserve">the amount of payments for investments in final recipients: </w:t>
      </w:r>
    </w:p>
    <w:p w:rsidR="00877139" w:rsidRPr="00232FDB" w:rsidRDefault="00877139" w:rsidP="006F41DB">
      <w:pPr>
        <w:numPr>
          <w:ilvl w:val="1"/>
          <w:numId w:val="21"/>
        </w:numPr>
        <w:rPr>
          <w:rFonts w:eastAsia="Calibri"/>
          <w:szCs w:val="24"/>
        </w:rPr>
      </w:pPr>
      <w:r w:rsidRPr="00232FDB">
        <w:rPr>
          <w:rFonts w:eastAsia="Calibri"/>
          <w:szCs w:val="24"/>
        </w:rPr>
        <w:t xml:space="preserve">cover the period not exceeding 4 years after the end of eligibility period; </w:t>
      </w:r>
    </w:p>
    <w:p w:rsidR="00877139" w:rsidRPr="00232FDB" w:rsidRDefault="00877139" w:rsidP="006F41DB">
      <w:pPr>
        <w:numPr>
          <w:ilvl w:val="1"/>
          <w:numId w:val="21"/>
        </w:numPr>
        <w:rPr>
          <w:rFonts w:eastAsia="Calibri"/>
          <w:szCs w:val="24"/>
        </w:rPr>
      </w:pPr>
      <w:r w:rsidRPr="00232FDB">
        <w:rPr>
          <w:rFonts w:eastAsia="Calibri"/>
          <w:szCs w:val="24"/>
        </w:rPr>
        <w:t>is paid into an escrow account</w:t>
      </w:r>
      <w:r w:rsidR="000178D1" w:rsidRPr="00232FDB">
        <w:rPr>
          <w:rStyle w:val="FootnoteReference"/>
          <w:rFonts w:eastAsia="Calibri"/>
          <w:szCs w:val="24"/>
        </w:rPr>
        <w:footnoteReference w:id="23"/>
      </w:r>
      <w:r w:rsidRPr="00232FDB">
        <w:rPr>
          <w:rFonts w:eastAsia="Calibri"/>
          <w:szCs w:val="24"/>
        </w:rPr>
        <w:t xml:space="preserve"> specifically set up for that purpose;</w:t>
      </w:r>
    </w:p>
    <w:p w:rsidR="00877139" w:rsidRPr="00232FDB" w:rsidRDefault="00877139" w:rsidP="006F41DB">
      <w:pPr>
        <w:numPr>
          <w:ilvl w:val="0"/>
          <w:numId w:val="21"/>
        </w:numPr>
        <w:rPr>
          <w:rFonts w:eastAsia="Calibri"/>
          <w:szCs w:val="24"/>
        </w:rPr>
      </w:pPr>
      <w:r w:rsidRPr="00232FDB">
        <w:rPr>
          <w:rFonts w:eastAsia="Calibri"/>
          <w:szCs w:val="24"/>
        </w:rPr>
        <w:t xml:space="preserve">the amount paid into the escrow account: </w:t>
      </w:r>
    </w:p>
    <w:p w:rsidR="00877139" w:rsidRPr="00232FDB" w:rsidRDefault="00877139" w:rsidP="006F41DB">
      <w:pPr>
        <w:numPr>
          <w:ilvl w:val="1"/>
          <w:numId w:val="21"/>
        </w:numPr>
        <w:rPr>
          <w:rFonts w:eastAsia="Calibri"/>
          <w:szCs w:val="24"/>
        </w:rPr>
      </w:pPr>
      <w:r w:rsidRPr="00232FDB">
        <w:rPr>
          <w:rFonts w:eastAsia="Calibri"/>
          <w:szCs w:val="24"/>
        </w:rPr>
        <w:lastRenderedPageBreak/>
        <w:t>is used solely for follow-on investments in final recipients having received  equity investments from the financial instrument within the eligibility period</w:t>
      </w:r>
      <w:r w:rsidR="00C324BB" w:rsidRPr="00232FDB">
        <w:rPr>
          <w:rFonts w:eastAsia="Calibri"/>
          <w:szCs w:val="24"/>
        </w:rPr>
        <w:t xml:space="preserve"> for 2014-2020</w:t>
      </w:r>
      <w:r w:rsidRPr="00232FDB">
        <w:rPr>
          <w:rFonts w:eastAsia="Calibri"/>
          <w:szCs w:val="24"/>
        </w:rPr>
        <w:t xml:space="preserve">, which are still outstanding wholly or partially; </w:t>
      </w:r>
    </w:p>
    <w:p w:rsidR="00877139" w:rsidRPr="00232FDB" w:rsidRDefault="00877139" w:rsidP="006F41DB">
      <w:pPr>
        <w:numPr>
          <w:ilvl w:val="1"/>
          <w:numId w:val="21"/>
        </w:numPr>
        <w:rPr>
          <w:rFonts w:eastAsia="Calibri"/>
          <w:szCs w:val="24"/>
        </w:rPr>
      </w:pPr>
      <w:r w:rsidRPr="00232FDB">
        <w:rPr>
          <w:rFonts w:eastAsia="Calibri"/>
          <w:szCs w:val="24"/>
        </w:rPr>
        <w:t>is used solely for follow-on investments to be made in accordance with market standards and market standard contractual arrangements and limited to the minimum necessary to stimulate private sector co-investment, while ensuring continuity of financing for the target enterprises so that both public and private investors can benefit from investments;</w:t>
      </w:r>
    </w:p>
    <w:p w:rsidR="00877139" w:rsidRPr="00232FDB" w:rsidRDefault="00877139" w:rsidP="006F41DB">
      <w:pPr>
        <w:numPr>
          <w:ilvl w:val="1"/>
          <w:numId w:val="21"/>
        </w:numPr>
        <w:rPr>
          <w:rFonts w:eastAsia="Calibri"/>
          <w:szCs w:val="24"/>
        </w:rPr>
      </w:pPr>
      <w:r w:rsidRPr="00232FDB">
        <w:rPr>
          <w:rFonts w:eastAsia="Calibri"/>
          <w:szCs w:val="24"/>
        </w:rPr>
        <w:t xml:space="preserve">does not exceed 20% of the eligible expenditure </w:t>
      </w:r>
      <w:r w:rsidR="000178D1" w:rsidRPr="00232FDB">
        <w:rPr>
          <w:rFonts w:eastAsia="Calibri"/>
          <w:szCs w:val="24"/>
        </w:rPr>
        <w:t xml:space="preserve">at closure </w:t>
      </w:r>
      <w:r w:rsidRPr="00232FDB">
        <w:rPr>
          <w:rFonts w:eastAsia="Calibri"/>
          <w:szCs w:val="24"/>
        </w:rPr>
        <w:t>of the equity-based instrument in the form of payments to final recipients and payments to the benefit of final recipients. From this ceiling (i.e. 20% of eligible expenditure in final recipients) capital resources and gains returned during the eligibility period to this equity-based financial instrument should be deducted;</w:t>
      </w:r>
    </w:p>
    <w:p w:rsidR="00877139" w:rsidRPr="00232FDB" w:rsidRDefault="00F74AAB" w:rsidP="006F41DB">
      <w:pPr>
        <w:numPr>
          <w:ilvl w:val="0"/>
          <w:numId w:val="21"/>
        </w:numPr>
        <w:jc w:val="left"/>
        <w:rPr>
          <w:rFonts w:eastAsia="Calibri"/>
          <w:szCs w:val="24"/>
        </w:rPr>
      </w:pPr>
      <w:r w:rsidRPr="00232FDB">
        <w:rPr>
          <w:rFonts w:eastAsia="Calibri"/>
          <w:szCs w:val="24"/>
        </w:rPr>
        <w:t>State aid</w:t>
      </w:r>
      <w:r w:rsidR="00877139" w:rsidRPr="00232FDB">
        <w:rPr>
          <w:rFonts w:eastAsia="Calibri"/>
          <w:szCs w:val="24"/>
        </w:rPr>
        <w:t xml:space="preserve"> rules have to be complied with.</w:t>
      </w:r>
    </w:p>
    <w:p w:rsidR="00877139" w:rsidRPr="00232FDB" w:rsidRDefault="00877139" w:rsidP="006F41DB">
      <w:pPr>
        <w:rPr>
          <w:rFonts w:eastAsia="Calibri"/>
          <w:szCs w:val="24"/>
        </w:rPr>
      </w:pPr>
      <w:r w:rsidRPr="00232FDB">
        <w:rPr>
          <w:rFonts w:eastAsia="Calibri"/>
          <w:szCs w:val="24"/>
        </w:rPr>
        <w:t xml:space="preserve">The amount of payments for investments in final recipients paid into escrow account will constitute eligible expenditure which can be declared </w:t>
      </w:r>
      <w:r w:rsidR="0006091C" w:rsidRPr="00232FDB">
        <w:rPr>
          <w:rFonts w:eastAsia="Calibri"/>
          <w:szCs w:val="24"/>
        </w:rPr>
        <w:t xml:space="preserve">at closure. </w:t>
      </w:r>
      <w:r w:rsidRPr="00232FDB">
        <w:rPr>
          <w:rFonts w:eastAsia="Calibri"/>
          <w:szCs w:val="24"/>
        </w:rPr>
        <w:t>Any amount of payments for investments in final recipients paid into an escrow account but not used for related follow-on investments in final recipients within the four years after the end of eligibility period will be used in accordance with Article 45 CPR.</w:t>
      </w:r>
    </w:p>
    <w:p w:rsidR="00FB1A42" w:rsidRPr="00232FDB" w:rsidRDefault="00FB1A42" w:rsidP="006F41DB">
      <w:pPr>
        <w:pBdr>
          <w:top w:val="single" w:sz="4" w:space="1" w:color="auto"/>
          <w:left w:val="single" w:sz="4" w:space="4" w:color="auto"/>
          <w:bottom w:val="single" w:sz="4" w:space="1" w:color="auto"/>
          <w:right w:val="single" w:sz="4" w:space="4" w:color="auto"/>
        </w:pBdr>
        <w:rPr>
          <w:rFonts w:eastAsia="Calibri"/>
          <w:szCs w:val="24"/>
        </w:rPr>
      </w:pPr>
      <w:r w:rsidRPr="00232FDB">
        <w:rPr>
          <w:rFonts w:eastAsia="Calibri"/>
          <w:b/>
          <w:szCs w:val="24"/>
        </w:rPr>
        <w:t>Example of eligible expenditure to be paid/invested after the end of the eligibility period</w:t>
      </w:r>
      <w:r w:rsidRPr="00232FDB">
        <w:rPr>
          <w:rFonts w:eastAsia="Calibri"/>
          <w:szCs w:val="24"/>
        </w:rPr>
        <w:t>:</w:t>
      </w:r>
    </w:p>
    <w:p w:rsidR="00FB1A42"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 xml:space="preserve">1) Funding agreement signed </w:t>
      </w:r>
      <w:r w:rsidR="000E49E0" w:rsidRPr="00232FDB">
        <w:rPr>
          <w:sz w:val="24"/>
          <w:szCs w:val="24"/>
        </w:rPr>
        <w:t>on 1</w:t>
      </w:r>
      <w:r w:rsidRPr="00232FDB">
        <w:rPr>
          <w:sz w:val="24"/>
          <w:szCs w:val="24"/>
        </w:rPr>
        <w:t xml:space="preserve"> June 2016 with a c</w:t>
      </w:r>
      <w:r w:rsidR="00FB1A42" w:rsidRPr="00232FDB">
        <w:rPr>
          <w:sz w:val="24"/>
          <w:szCs w:val="24"/>
        </w:rPr>
        <w:t>ommitted amoun</w:t>
      </w:r>
      <w:r w:rsidRPr="00232FDB">
        <w:rPr>
          <w:sz w:val="24"/>
          <w:szCs w:val="24"/>
        </w:rPr>
        <w:t>t to an Equity-based instrument</w:t>
      </w:r>
      <w:r w:rsidR="00FB1A42" w:rsidRPr="00232FDB">
        <w:rPr>
          <w:sz w:val="24"/>
          <w:szCs w:val="24"/>
        </w:rPr>
        <w:t>: EUR</w:t>
      </w:r>
      <w:r w:rsidRPr="00232FDB">
        <w:rPr>
          <w:sz w:val="24"/>
          <w:szCs w:val="24"/>
        </w:rPr>
        <w:t> </w:t>
      </w:r>
      <w:r w:rsidR="00FB1A42" w:rsidRPr="00232FDB">
        <w:rPr>
          <w:sz w:val="24"/>
          <w:szCs w:val="24"/>
        </w:rPr>
        <w:t>100</w:t>
      </w:r>
      <w:r w:rsidRPr="00232FDB">
        <w:rPr>
          <w:sz w:val="24"/>
          <w:szCs w:val="24"/>
        </w:rPr>
        <w:t> </w:t>
      </w:r>
      <w:r w:rsidR="00FB1A42" w:rsidRPr="00232FDB">
        <w:rPr>
          <w:sz w:val="24"/>
          <w:szCs w:val="24"/>
        </w:rPr>
        <w:t>million</w:t>
      </w:r>
    </w:p>
    <w:p w:rsidR="00FB1A42"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 xml:space="preserve">2) </w:t>
      </w:r>
      <w:r w:rsidR="00FB1A42" w:rsidRPr="00232FDB">
        <w:rPr>
          <w:sz w:val="24"/>
          <w:szCs w:val="24"/>
        </w:rPr>
        <w:t>Total amount invested in</w:t>
      </w:r>
      <w:r w:rsidR="001637B0" w:rsidRPr="00232FDB">
        <w:rPr>
          <w:sz w:val="24"/>
          <w:szCs w:val="24"/>
        </w:rPr>
        <w:t xml:space="preserve"> </w:t>
      </w:r>
      <w:r w:rsidR="00FB1A42" w:rsidRPr="00232FDB">
        <w:rPr>
          <w:sz w:val="24"/>
          <w:szCs w:val="24"/>
        </w:rPr>
        <w:t>SMEs by 31/12/2023</w:t>
      </w:r>
      <w:r w:rsidRPr="00232FDB">
        <w:rPr>
          <w:sz w:val="24"/>
          <w:szCs w:val="24"/>
        </w:rPr>
        <w:t xml:space="preserve"> (excluding management costs and fees)</w:t>
      </w:r>
      <w:r w:rsidR="00FB1A42" w:rsidRPr="00232FDB">
        <w:rPr>
          <w:sz w:val="24"/>
          <w:szCs w:val="24"/>
        </w:rPr>
        <w:t>: EUR 80 million (i.e. more than 55%)</w:t>
      </w:r>
    </w:p>
    <w:p w:rsidR="00FB1A42"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 xml:space="preserve">3) </w:t>
      </w:r>
      <w:r w:rsidR="00FB1A42" w:rsidRPr="00232FDB">
        <w:rPr>
          <w:sz w:val="24"/>
          <w:szCs w:val="24"/>
        </w:rPr>
        <w:t xml:space="preserve">Resources &amp; gains returned </w:t>
      </w:r>
      <w:r w:rsidRPr="00232FDB">
        <w:rPr>
          <w:sz w:val="24"/>
          <w:szCs w:val="24"/>
        </w:rPr>
        <w:t xml:space="preserve">to </w:t>
      </w:r>
      <w:r w:rsidR="001637B0" w:rsidRPr="00232FDB">
        <w:rPr>
          <w:sz w:val="24"/>
          <w:szCs w:val="24"/>
        </w:rPr>
        <w:t xml:space="preserve">the instrument </w:t>
      </w:r>
      <w:r w:rsidR="00FB1A42" w:rsidRPr="00232FDB">
        <w:rPr>
          <w:sz w:val="24"/>
          <w:szCs w:val="24"/>
        </w:rPr>
        <w:t xml:space="preserve">by 31/12/2023: EUR </w:t>
      </w:r>
      <w:r w:rsidR="00576758" w:rsidRPr="00232FDB">
        <w:rPr>
          <w:sz w:val="24"/>
          <w:szCs w:val="24"/>
        </w:rPr>
        <w:t>1</w:t>
      </w:r>
      <w:r w:rsidR="00FB1A42" w:rsidRPr="00232FDB">
        <w:rPr>
          <w:sz w:val="24"/>
          <w:szCs w:val="24"/>
        </w:rPr>
        <w:t>0</w:t>
      </w:r>
      <w:r w:rsidR="001637B0" w:rsidRPr="00232FDB">
        <w:rPr>
          <w:sz w:val="24"/>
          <w:szCs w:val="24"/>
        </w:rPr>
        <w:t xml:space="preserve"> million</w:t>
      </w:r>
    </w:p>
    <w:p w:rsidR="00FB1A42"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 xml:space="preserve">4) </w:t>
      </w:r>
      <w:r w:rsidR="00FB1A42" w:rsidRPr="00232FDB">
        <w:rPr>
          <w:sz w:val="24"/>
          <w:szCs w:val="24"/>
        </w:rPr>
        <w:t>Maximum amount of payments for follow-on investments in final recipients within 4 years after 31/12/2023:</w:t>
      </w:r>
    </w:p>
    <w:p w:rsidR="00587E62" w:rsidRPr="00232FDB" w:rsidRDefault="000E49E0" w:rsidP="006F41DB">
      <w:pPr>
        <w:pStyle w:val="CommentText"/>
        <w:pBdr>
          <w:top w:val="single" w:sz="4" w:space="1" w:color="auto"/>
          <w:left w:val="single" w:sz="4" w:space="4" w:color="auto"/>
          <w:bottom w:val="single" w:sz="4" w:space="1" w:color="auto"/>
          <w:right w:val="single" w:sz="4" w:space="4" w:color="auto"/>
        </w:pBdr>
        <w:tabs>
          <w:tab w:val="left" w:pos="6221"/>
        </w:tabs>
        <w:rPr>
          <w:sz w:val="24"/>
          <w:szCs w:val="24"/>
        </w:rPr>
      </w:pPr>
      <w:r w:rsidRPr="00232FDB">
        <w:rPr>
          <w:sz w:val="24"/>
          <w:szCs w:val="24"/>
        </w:rPr>
        <w:t xml:space="preserve">EUR </w:t>
      </w:r>
      <w:r w:rsidR="00576758" w:rsidRPr="00232FDB">
        <w:rPr>
          <w:sz w:val="24"/>
          <w:szCs w:val="24"/>
        </w:rPr>
        <w:t>80</w:t>
      </w:r>
      <w:r w:rsidR="00D26CED" w:rsidRPr="00232FDB">
        <w:rPr>
          <w:sz w:val="24"/>
          <w:szCs w:val="24"/>
        </w:rPr>
        <w:t xml:space="preserve"> million</w:t>
      </w:r>
      <w:r w:rsidR="00576758" w:rsidRPr="00232FDB">
        <w:rPr>
          <w:sz w:val="24"/>
          <w:szCs w:val="24"/>
        </w:rPr>
        <w:t>*20%=</w:t>
      </w:r>
      <w:r w:rsidR="00587E62" w:rsidRPr="00232FDB">
        <w:rPr>
          <w:sz w:val="24"/>
          <w:szCs w:val="24"/>
        </w:rPr>
        <w:t xml:space="preserve"> EUR </w:t>
      </w:r>
      <w:r w:rsidR="00576758" w:rsidRPr="00232FDB">
        <w:rPr>
          <w:sz w:val="24"/>
          <w:szCs w:val="24"/>
        </w:rPr>
        <w:t>16</w:t>
      </w:r>
      <w:r w:rsidR="00587E62" w:rsidRPr="00232FDB">
        <w:rPr>
          <w:sz w:val="24"/>
          <w:szCs w:val="24"/>
        </w:rPr>
        <w:t xml:space="preserve"> million</w:t>
      </w:r>
      <w:r w:rsidR="00587E62" w:rsidRPr="00232FDB">
        <w:rPr>
          <w:sz w:val="24"/>
          <w:szCs w:val="24"/>
        </w:rPr>
        <w:tab/>
      </w:r>
    </w:p>
    <w:p w:rsidR="00576758"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 xml:space="preserve">EUR 16 million – EUR </w:t>
      </w:r>
      <w:r w:rsidR="00576758" w:rsidRPr="00232FDB">
        <w:rPr>
          <w:sz w:val="24"/>
          <w:szCs w:val="24"/>
        </w:rPr>
        <w:t>10</w:t>
      </w:r>
      <w:r w:rsidRPr="00232FDB">
        <w:rPr>
          <w:sz w:val="24"/>
          <w:szCs w:val="24"/>
        </w:rPr>
        <w:t xml:space="preserve"> million (resources &amp; gains returned)</w:t>
      </w:r>
      <w:r w:rsidR="00A83C55" w:rsidRPr="00232FDB">
        <w:rPr>
          <w:sz w:val="24"/>
          <w:szCs w:val="24"/>
        </w:rPr>
        <w:t xml:space="preserve"> </w:t>
      </w:r>
      <w:r w:rsidR="00576758" w:rsidRPr="00232FDB">
        <w:rPr>
          <w:sz w:val="24"/>
          <w:szCs w:val="24"/>
        </w:rPr>
        <w:t>= EUR 6 million</w:t>
      </w:r>
      <w:r w:rsidR="00C324BB" w:rsidRPr="00232FDB">
        <w:rPr>
          <w:sz w:val="24"/>
          <w:szCs w:val="24"/>
        </w:rPr>
        <w:t xml:space="preserve"> should</w:t>
      </w:r>
      <w:r w:rsidR="004E610B" w:rsidRPr="00232FDB">
        <w:rPr>
          <w:sz w:val="24"/>
          <w:szCs w:val="24"/>
        </w:rPr>
        <w:t xml:space="preserve"> be </w:t>
      </w:r>
      <w:r w:rsidR="00C324BB" w:rsidRPr="00232FDB">
        <w:rPr>
          <w:sz w:val="24"/>
          <w:szCs w:val="24"/>
        </w:rPr>
        <w:t xml:space="preserve"> paid into an escrow account in order to allow its declaration as eligible expenditure.</w:t>
      </w:r>
    </w:p>
    <w:p w:rsidR="00587E62" w:rsidRPr="00232FDB" w:rsidRDefault="00587E62" w:rsidP="006F41DB">
      <w:pPr>
        <w:pStyle w:val="CommentText"/>
        <w:pBdr>
          <w:top w:val="single" w:sz="4" w:space="1" w:color="auto"/>
          <w:left w:val="single" w:sz="4" w:space="4" w:color="auto"/>
          <w:bottom w:val="single" w:sz="4" w:space="1" w:color="auto"/>
          <w:right w:val="single" w:sz="4" w:space="4" w:color="auto"/>
        </w:pBdr>
        <w:rPr>
          <w:sz w:val="24"/>
          <w:szCs w:val="24"/>
        </w:rPr>
      </w:pPr>
      <w:r w:rsidRPr="00232FDB">
        <w:rPr>
          <w:sz w:val="24"/>
          <w:szCs w:val="24"/>
        </w:rPr>
        <w:t>5) Total amount of management costs and fees for the whole implementation of the equity instrument: EUR 2 million</w:t>
      </w:r>
    </w:p>
    <w:p w:rsidR="00233430" w:rsidRPr="00232FDB" w:rsidRDefault="00587E62" w:rsidP="006F41DB">
      <w:pPr>
        <w:pStyle w:val="CommentText"/>
        <w:pBdr>
          <w:top w:val="single" w:sz="4" w:space="1" w:color="auto"/>
          <w:left w:val="single" w:sz="4" w:space="4" w:color="auto"/>
          <w:bottom w:val="single" w:sz="4" w:space="1" w:color="auto"/>
          <w:right w:val="single" w:sz="4" w:space="4" w:color="auto"/>
        </w:pBdr>
      </w:pPr>
      <w:r w:rsidRPr="00232FDB">
        <w:rPr>
          <w:sz w:val="24"/>
          <w:szCs w:val="24"/>
        </w:rPr>
        <w:t xml:space="preserve">6) </w:t>
      </w:r>
      <w:r w:rsidR="00576758" w:rsidRPr="00232FDB">
        <w:rPr>
          <w:sz w:val="24"/>
          <w:szCs w:val="24"/>
        </w:rPr>
        <w:t xml:space="preserve">The amount of EUR </w:t>
      </w:r>
      <w:r w:rsidRPr="00232FDB">
        <w:rPr>
          <w:sz w:val="24"/>
          <w:szCs w:val="24"/>
        </w:rPr>
        <w:t xml:space="preserve">88 </w:t>
      </w:r>
      <w:r w:rsidR="00576758" w:rsidRPr="00232FDB">
        <w:rPr>
          <w:sz w:val="24"/>
          <w:szCs w:val="24"/>
        </w:rPr>
        <w:t xml:space="preserve">million </w:t>
      </w:r>
      <w:r w:rsidR="00F1009A" w:rsidRPr="00232FDB">
        <w:rPr>
          <w:sz w:val="24"/>
          <w:szCs w:val="24"/>
        </w:rPr>
        <w:t>(80+</w:t>
      </w:r>
      <w:r w:rsidR="00FE7C69" w:rsidRPr="00232FDB">
        <w:rPr>
          <w:sz w:val="24"/>
          <w:szCs w:val="24"/>
        </w:rPr>
        <w:t>6</w:t>
      </w:r>
      <w:r w:rsidR="00F1009A" w:rsidRPr="00232FDB">
        <w:rPr>
          <w:sz w:val="24"/>
          <w:szCs w:val="24"/>
        </w:rPr>
        <w:t>+</w:t>
      </w:r>
      <w:r w:rsidR="00FE7C69" w:rsidRPr="00232FDB">
        <w:rPr>
          <w:sz w:val="24"/>
          <w:szCs w:val="24"/>
        </w:rPr>
        <w:t>2</w:t>
      </w:r>
      <w:r w:rsidRPr="00232FDB">
        <w:rPr>
          <w:sz w:val="24"/>
          <w:szCs w:val="24"/>
        </w:rPr>
        <w:t>)</w:t>
      </w:r>
      <w:r w:rsidR="00F1009A" w:rsidRPr="00232FDB">
        <w:rPr>
          <w:sz w:val="24"/>
          <w:szCs w:val="24"/>
        </w:rPr>
        <w:t xml:space="preserve"> </w:t>
      </w:r>
      <w:r w:rsidR="00576758" w:rsidRPr="00232FDB">
        <w:rPr>
          <w:sz w:val="24"/>
          <w:szCs w:val="24"/>
        </w:rPr>
        <w:t>can be declared as eligible expenditure at closure</w:t>
      </w:r>
      <w:r w:rsidR="00576758" w:rsidRPr="00232FDB">
        <w:t>.</w:t>
      </w:r>
    </w:p>
    <w:p w:rsidR="00746C6C" w:rsidRPr="00232FDB" w:rsidRDefault="00746C6C" w:rsidP="00746C6C">
      <w:pPr>
        <w:pStyle w:val="Heading1"/>
      </w:pPr>
      <w:bookmarkStart w:id="31" w:name="_Toc445141418"/>
      <w:r w:rsidRPr="00232FDB">
        <w:t>Eligibility depending on location, relocation and durability</w:t>
      </w:r>
      <w:bookmarkEnd w:id="31"/>
    </w:p>
    <w:p w:rsidR="00746C6C" w:rsidRPr="00232FDB" w:rsidRDefault="00746C6C" w:rsidP="00746C6C">
      <w:pPr>
        <w:rPr>
          <w:rFonts w:eastAsia="Calibri"/>
          <w:b/>
          <w:bCs/>
          <w:szCs w:val="24"/>
          <w:u w:val="single"/>
        </w:rPr>
      </w:pPr>
      <w:r w:rsidRPr="00232FDB">
        <w:rPr>
          <w:rFonts w:eastAsia="Calibri"/>
          <w:b/>
          <w:bCs/>
          <w:szCs w:val="24"/>
          <w:u w:val="single"/>
        </w:rPr>
        <w:t>Location</w:t>
      </w:r>
    </w:p>
    <w:p w:rsidR="00746C6C" w:rsidRPr="00232FDB" w:rsidRDefault="00746C6C" w:rsidP="00746C6C">
      <w:pPr>
        <w:rPr>
          <w:rFonts w:eastAsia="Calibri"/>
          <w:bCs/>
          <w:szCs w:val="24"/>
        </w:rPr>
      </w:pPr>
      <w:r w:rsidRPr="00232FDB">
        <w:rPr>
          <w:rFonts w:eastAsia="Calibri"/>
          <w:bCs/>
          <w:szCs w:val="24"/>
        </w:rPr>
        <w:t xml:space="preserve">In the context of financial instrument operations, the general rule of Article 70(1) CPR is that operations supported by the ESI Funds should be located in the programme area. </w:t>
      </w:r>
    </w:p>
    <w:p w:rsidR="00746C6C" w:rsidRPr="00232FDB" w:rsidRDefault="00746C6C" w:rsidP="00746C6C">
      <w:pPr>
        <w:rPr>
          <w:rFonts w:eastAsia="Calibri"/>
          <w:bCs/>
          <w:szCs w:val="24"/>
        </w:rPr>
      </w:pPr>
      <w:r w:rsidRPr="00232FDB">
        <w:rPr>
          <w:rFonts w:eastAsia="Calibri"/>
          <w:bCs/>
          <w:szCs w:val="24"/>
        </w:rPr>
        <w:lastRenderedPageBreak/>
        <w:t xml:space="preserve">In the context of financial instruments, the general rule above as well as the exception presented in  Article 70(2) CPR should apply only in relation to the location of the operation at the level of the final recipient receiving support from a financial instrument, i.e., these provisions cannot be understood as a limitation in relation to the place of establishment of a body implementing financial instrument (including a fund of funds) which should, nevertheless, be established in a Member State and </w:t>
      </w:r>
      <w:r w:rsidR="00A85F55">
        <w:rPr>
          <w:rFonts w:eastAsia="Calibri"/>
          <w:bCs/>
          <w:szCs w:val="24"/>
        </w:rPr>
        <w:t>which must</w:t>
      </w:r>
      <w:r w:rsidR="00A85F55" w:rsidRPr="00232FDB">
        <w:rPr>
          <w:rFonts w:eastAsia="Calibri"/>
          <w:bCs/>
          <w:szCs w:val="24"/>
        </w:rPr>
        <w:t xml:space="preserve"> </w:t>
      </w:r>
      <w:r w:rsidRPr="00232FDB">
        <w:rPr>
          <w:rFonts w:eastAsia="Calibri"/>
          <w:bCs/>
          <w:szCs w:val="24"/>
        </w:rPr>
        <w:t xml:space="preserve">be legally authorised to provide financial instrument’s support to final recipients. </w:t>
      </w:r>
    </w:p>
    <w:p w:rsidR="00746C6C" w:rsidRPr="00232FDB" w:rsidRDefault="00EE0CA4" w:rsidP="00EE0CA4">
      <w:pPr>
        <w:pStyle w:val="ListParagraph"/>
        <w:spacing w:after="240"/>
        <w:ind w:left="0"/>
        <w:jc w:val="both"/>
        <w:rPr>
          <w:rFonts w:ascii="Times New Roman" w:eastAsia="Calibri" w:hAnsi="Times New Roman"/>
          <w:bCs/>
          <w:sz w:val="24"/>
          <w:szCs w:val="24"/>
        </w:rPr>
      </w:pPr>
      <w:r>
        <w:rPr>
          <w:rFonts w:ascii="Times New Roman" w:eastAsia="Calibri" w:hAnsi="Times New Roman"/>
          <w:bCs/>
          <w:sz w:val="24"/>
          <w:szCs w:val="24"/>
        </w:rPr>
        <w:t xml:space="preserve">This means that the investment by the final recipient </w:t>
      </w:r>
      <w:r w:rsidR="00746C6C" w:rsidRPr="00232FDB">
        <w:rPr>
          <w:rFonts w:ascii="Times New Roman" w:eastAsia="Calibri" w:hAnsi="Times New Roman"/>
          <w:bCs/>
          <w:sz w:val="24"/>
          <w:szCs w:val="24"/>
        </w:rPr>
        <w:t>for which the ESI Fund programme contribution was disbursed (or committed in the case of guarantees) should be located in the geographical area of the corresponding ESI Fund programme.</w:t>
      </w:r>
    </w:p>
    <w:p w:rsidR="00746C6C" w:rsidRPr="00232FDB" w:rsidRDefault="00746C6C" w:rsidP="00746C6C">
      <w:pPr>
        <w:autoSpaceDE w:val="0"/>
        <w:autoSpaceDN w:val="0"/>
        <w:adjustRightInd w:val="0"/>
        <w:rPr>
          <w:rFonts w:eastAsia="Calibri"/>
          <w:bCs/>
          <w:szCs w:val="24"/>
        </w:rPr>
      </w:pPr>
      <w:r w:rsidRPr="00232FDB">
        <w:rPr>
          <w:rFonts w:eastAsia="Calibri"/>
          <w:bCs/>
          <w:szCs w:val="24"/>
        </w:rPr>
        <w:t>Where assistance is granted from the Funds to a large enterprise</w:t>
      </w:r>
      <w:r w:rsidRPr="00232FDB">
        <w:rPr>
          <w:rStyle w:val="FootnoteReference"/>
          <w:rFonts w:eastAsia="Calibri"/>
          <w:bCs/>
          <w:szCs w:val="24"/>
        </w:rPr>
        <w:footnoteReference w:id="24"/>
      </w:r>
      <w:r w:rsidRPr="00232FDB">
        <w:rPr>
          <w:rFonts w:eastAsia="Calibri"/>
          <w:bCs/>
          <w:szCs w:val="24"/>
        </w:rPr>
        <w:t>, the managing authority should assure itself that the financial contribution from the ESI Funds does not result in a substantial loss of jobs in existing locations within the Union. It is therefore recommended that the funding agreement includes provisions allowing the avoidance of such cases.</w:t>
      </w:r>
    </w:p>
    <w:p w:rsidR="00746C6C" w:rsidRPr="00232FDB" w:rsidRDefault="00746C6C" w:rsidP="00746C6C">
      <w:pPr>
        <w:rPr>
          <w:rFonts w:eastAsia="Calibri"/>
          <w:b/>
          <w:bCs/>
          <w:szCs w:val="24"/>
          <w:u w:val="single"/>
        </w:rPr>
      </w:pPr>
      <w:r w:rsidRPr="00232FDB">
        <w:rPr>
          <w:rFonts w:eastAsia="Calibri"/>
          <w:b/>
          <w:bCs/>
          <w:szCs w:val="24"/>
          <w:u w:val="single"/>
        </w:rPr>
        <w:t>Relocation/Durability</w:t>
      </w:r>
    </w:p>
    <w:p w:rsidR="00746C6C" w:rsidRPr="00232FDB" w:rsidRDefault="00746C6C" w:rsidP="00746C6C">
      <w:pPr>
        <w:rPr>
          <w:rFonts w:eastAsia="Calibri"/>
        </w:rPr>
      </w:pPr>
      <w:r w:rsidRPr="00232FDB">
        <w:rPr>
          <w:rFonts w:eastAsia="Calibri"/>
        </w:rPr>
        <w:t xml:space="preserve">Article 71(4) CPR states that the provisions on durability of operations do not apply to contributions to or by financial instruments. </w:t>
      </w:r>
    </w:p>
    <w:p w:rsidR="00746C6C" w:rsidRPr="00232FDB" w:rsidRDefault="00746C6C" w:rsidP="00746C6C">
      <w:pPr>
        <w:rPr>
          <w:rFonts w:eastAsia="Calibri"/>
        </w:rPr>
      </w:pPr>
      <w:r w:rsidRPr="00232FDB">
        <w:rPr>
          <w:rFonts w:eastAsia="Calibri"/>
        </w:rPr>
        <w:t>The non-applicability of durability provisions under Article 71 CPR to financial instruments is intrinsically linked to the different notion of operation and beneficiary in financial instruments as compared to traditional grant operations. However, financial instruments providing ESI Fund support to different thematic objectives and through different delivery modes very likely fall under different State aid rules</w:t>
      </w:r>
      <w:r w:rsidRPr="00232FDB">
        <w:rPr>
          <w:rFonts w:eastAsia="Calibri"/>
          <w:vertAlign w:val="superscript"/>
        </w:rPr>
        <w:footnoteReference w:id="25"/>
      </w:r>
      <w:r w:rsidRPr="00232FDB">
        <w:rPr>
          <w:rFonts w:eastAsia="Calibri"/>
        </w:rPr>
        <w:t xml:space="preserve"> which may include special provisions on durability that have to be complied with.</w:t>
      </w:r>
    </w:p>
    <w:p w:rsidR="00746C6C" w:rsidRPr="00232FDB" w:rsidRDefault="00746C6C" w:rsidP="00746C6C">
      <w:pPr>
        <w:rPr>
          <w:rFonts w:eastAsia="Calibri"/>
        </w:rPr>
      </w:pPr>
      <w:r w:rsidRPr="00232FDB">
        <w:rPr>
          <w:rFonts w:eastAsia="Calibri"/>
        </w:rPr>
        <w:t>In order to ensure the effectiveness of the support delivered through financial instrument it is necessary that investments in final recipients contribute to the attainment of the specific objectives set out under the relevant priority of the programme and contribute to the achievement of its intended results.  It is not enough to require that investments by the final recipient contribute to priority objectives only at the moment of disbursing the support from the financial instrument to the final recipient, as such narrow interpretation could lead to misuse of programme resources, as in the end, it is important to obtain assurance that the support channelled through the financial instrument has indeed been used for its intended purpose.</w:t>
      </w:r>
    </w:p>
    <w:p w:rsidR="00746C6C" w:rsidRPr="00232FDB" w:rsidRDefault="00746C6C" w:rsidP="00746C6C">
      <w:pPr>
        <w:rPr>
          <w:rFonts w:eastAsia="Calibri"/>
          <w:bCs/>
          <w:szCs w:val="24"/>
        </w:rPr>
      </w:pPr>
      <w:r w:rsidRPr="00232FDB">
        <w:rPr>
          <w:rFonts w:eastAsia="Calibri"/>
          <w:bCs/>
          <w:szCs w:val="24"/>
        </w:rPr>
        <w:t xml:space="preserve">To exclude situations where a final recipient </w:t>
      </w:r>
      <w:r w:rsidRPr="00232FDB">
        <w:rPr>
          <w:rFonts w:eastAsia="Calibri"/>
          <w:bCs/>
          <w:szCs w:val="24"/>
          <w:u w:val="single"/>
        </w:rPr>
        <w:t>relocates</w:t>
      </w:r>
      <w:r w:rsidRPr="00232FDB">
        <w:rPr>
          <w:rFonts w:eastAsia="Calibri"/>
          <w:bCs/>
          <w:szCs w:val="24"/>
        </w:rPr>
        <w:t xml:space="preserve"> the investment </w:t>
      </w:r>
      <w:r w:rsidRPr="00232FDB">
        <w:rPr>
          <w:rFonts w:eastAsia="Calibri"/>
        </w:rPr>
        <w:t>that received support from the financial instrument</w:t>
      </w:r>
      <w:r w:rsidRPr="00232FDB">
        <w:rPr>
          <w:rFonts w:eastAsia="Calibri"/>
          <w:bCs/>
          <w:szCs w:val="24"/>
        </w:rPr>
        <w:t xml:space="preserve"> once the payment to the final recipient is executed, </w:t>
      </w:r>
      <w:r w:rsidR="00A85F55">
        <w:rPr>
          <w:rFonts w:eastAsia="Calibri"/>
          <w:bCs/>
          <w:szCs w:val="24"/>
        </w:rPr>
        <w:t xml:space="preserve">it is recommended that </w:t>
      </w:r>
      <w:r w:rsidRPr="00232FDB">
        <w:rPr>
          <w:rFonts w:eastAsia="Calibri"/>
          <w:bCs/>
          <w:szCs w:val="24"/>
        </w:rPr>
        <w:t xml:space="preserve">the link between the priority axis objectives and the investment </w:t>
      </w:r>
      <w:r w:rsidRPr="00232FDB">
        <w:rPr>
          <w:rFonts w:eastAsia="Calibri"/>
          <w:bCs/>
          <w:szCs w:val="24"/>
        </w:rPr>
        <w:lastRenderedPageBreak/>
        <w:t xml:space="preserve">by the final recipient </w:t>
      </w:r>
      <w:r w:rsidR="00D76B2A">
        <w:rPr>
          <w:rFonts w:eastAsia="Calibri"/>
          <w:bCs/>
          <w:szCs w:val="24"/>
        </w:rPr>
        <w:t>is</w:t>
      </w:r>
      <w:r w:rsidR="00A85F55">
        <w:rPr>
          <w:rFonts w:eastAsia="Calibri"/>
          <w:bCs/>
          <w:szCs w:val="24"/>
        </w:rPr>
        <w:t xml:space="preserve"> </w:t>
      </w:r>
      <w:r w:rsidRPr="00232FDB">
        <w:rPr>
          <w:rFonts w:eastAsia="Calibri"/>
          <w:bCs/>
          <w:szCs w:val="24"/>
        </w:rPr>
        <w:t>maintained until the actual investment by the final recipient is completed</w:t>
      </w:r>
      <w:r w:rsidR="005A2F13">
        <w:rPr>
          <w:rStyle w:val="FootnoteReference"/>
          <w:rFonts w:eastAsia="Calibri"/>
          <w:bCs/>
          <w:szCs w:val="24"/>
        </w:rPr>
        <w:footnoteReference w:id="26"/>
      </w:r>
      <w:r w:rsidRPr="00232FDB">
        <w:rPr>
          <w:rFonts w:eastAsia="Calibri"/>
          <w:bCs/>
          <w:szCs w:val="24"/>
        </w:rPr>
        <w:t xml:space="preserve">. </w:t>
      </w:r>
    </w:p>
    <w:p w:rsidR="00746C6C" w:rsidRPr="00232FDB" w:rsidRDefault="00746C6C" w:rsidP="00746C6C">
      <w:r w:rsidRPr="00232FDB">
        <w:rPr>
          <w:rFonts w:eastAsia="Calibri"/>
        </w:rPr>
        <w:t>Therefore, at the time of implementing the investment with the support received from the financial instrument, the inve</w:t>
      </w:r>
      <w:r w:rsidR="005A2F13">
        <w:rPr>
          <w:rFonts w:eastAsia="Calibri"/>
        </w:rPr>
        <w:t xml:space="preserve">stment by the final </w:t>
      </w:r>
      <w:r w:rsidR="008A7ED3">
        <w:rPr>
          <w:rFonts w:eastAsia="Calibri"/>
        </w:rPr>
        <w:t xml:space="preserve">recipient </w:t>
      </w:r>
      <w:r w:rsidR="008A7ED3" w:rsidRPr="00232FDB">
        <w:rPr>
          <w:rFonts w:eastAsia="Calibri"/>
        </w:rPr>
        <w:t>for</w:t>
      </w:r>
      <w:r w:rsidRPr="00232FDB">
        <w:rPr>
          <w:rFonts w:eastAsia="Calibri"/>
        </w:rPr>
        <w:t xml:space="preserve"> which the support (e.g. loan) was provided should be located in the relevant Member State and in the </w:t>
      </w:r>
      <w:r w:rsidRPr="00232FDB">
        <w:rPr>
          <w:rFonts w:eastAsia="Calibri"/>
          <w:bCs/>
          <w:szCs w:val="24"/>
        </w:rPr>
        <w:t xml:space="preserve">geographical area </w:t>
      </w:r>
      <w:r w:rsidRPr="00232FDB">
        <w:rPr>
          <w:rFonts w:eastAsia="Calibri"/>
        </w:rPr>
        <w:t xml:space="preserve">of the ESI Fund programme. </w:t>
      </w:r>
      <w:r w:rsidRPr="00232FDB">
        <w:rPr>
          <w:rFonts w:eastAsia="Calibri"/>
          <w:bCs/>
          <w:szCs w:val="24"/>
        </w:rPr>
        <w:t xml:space="preserve">However, in order to ensure the effectiveness of the support delivered under a programme it is recommended that the same principle applies during the period for reimbursement of the support received from the financial instrument </w:t>
      </w:r>
      <w:r w:rsidRPr="00232FDB">
        <w:rPr>
          <w:rFonts w:eastAsia="Calibri"/>
          <w:szCs w:val="24"/>
        </w:rPr>
        <w:t xml:space="preserve">as follows from the provisions for the off the shelf instruments described in Regulation (EU) No 964/2014 </w:t>
      </w:r>
      <w:r w:rsidRPr="00232FDB">
        <w:rPr>
          <w:rFonts w:eastAsia="Calibri"/>
        </w:rPr>
        <w:t xml:space="preserve">2014 (see Annex II, III and IV – section </w:t>
      </w:r>
      <w:r w:rsidRPr="00232FDB">
        <w:rPr>
          <w:rFonts w:eastAsia="Calibri"/>
          <w:i/>
        </w:rPr>
        <w:t>Final recipients eligibility</w:t>
      </w:r>
      <w:r w:rsidRPr="00232FDB">
        <w:rPr>
          <w:rFonts w:eastAsia="Calibri"/>
        </w:rPr>
        <w:t>).</w:t>
      </w:r>
    </w:p>
    <w:p w:rsidR="00114D0D" w:rsidRPr="00232FDB" w:rsidRDefault="00114D0D" w:rsidP="006F41DB">
      <w:pPr>
        <w:pStyle w:val="Heading1"/>
        <w:spacing w:before="0"/>
      </w:pPr>
      <w:bookmarkStart w:id="32" w:name="_Toc445141419"/>
      <w:r w:rsidRPr="00232FDB">
        <w:t>Technical characteristics of information and Communication measures for Financial instruments</w:t>
      </w:r>
      <w:bookmarkEnd w:id="32"/>
    </w:p>
    <w:p w:rsidR="00114D0D" w:rsidRPr="00232FDB" w:rsidRDefault="00114D0D" w:rsidP="006F41DB">
      <w:pPr>
        <w:rPr>
          <w:rFonts w:eastAsia="Calibri"/>
          <w:bCs/>
          <w:szCs w:val="24"/>
        </w:rPr>
      </w:pPr>
      <w:r w:rsidRPr="00232FDB">
        <w:rPr>
          <w:rFonts w:eastAsia="Calibri"/>
          <w:bCs/>
          <w:szCs w:val="24"/>
        </w:rPr>
        <w:t xml:space="preserve">The detailed technical characteristics for displaying the Union emblem and reference to Fund(s) supporting any operation are provided for in Articles 3, 4 and 5 CIR. In this regard, it is </w:t>
      </w:r>
      <w:r w:rsidRPr="00A85F55">
        <w:rPr>
          <w:rFonts w:eastAsia="Calibri"/>
          <w:bCs/>
          <w:szCs w:val="24"/>
        </w:rPr>
        <w:t>highlighted that</w:t>
      </w:r>
      <w:r w:rsidR="00A85F55" w:rsidRPr="00563B4D">
        <w:rPr>
          <w:rFonts w:eastAsia="Calibri"/>
          <w:bCs/>
          <w:szCs w:val="24"/>
        </w:rPr>
        <w:t xml:space="preserve"> Article 4(4) CIR requires</w:t>
      </w:r>
      <w:r w:rsidRPr="00182773">
        <w:rPr>
          <w:rFonts w:eastAsia="Calibri"/>
          <w:bCs/>
          <w:szCs w:val="24"/>
        </w:rPr>
        <w:t xml:space="preserve"> </w:t>
      </w:r>
      <w:r w:rsidRPr="00232FDB">
        <w:rPr>
          <w:rFonts w:eastAsia="Calibri"/>
          <w:bCs/>
          <w:szCs w:val="24"/>
        </w:rPr>
        <w:t xml:space="preserve">the name of a financial instrument </w:t>
      </w:r>
      <w:r w:rsidR="00182773">
        <w:rPr>
          <w:rFonts w:eastAsia="Calibri"/>
          <w:bCs/>
          <w:szCs w:val="24"/>
        </w:rPr>
        <w:t xml:space="preserve">to </w:t>
      </w:r>
      <w:r w:rsidRPr="00232FDB">
        <w:rPr>
          <w:rFonts w:eastAsia="Calibri"/>
          <w:bCs/>
          <w:szCs w:val="24"/>
        </w:rPr>
        <w:t>include a reference to the fact that it is supported by the ESI Funds.</w:t>
      </w:r>
    </w:p>
    <w:sectPr w:rsidR="00114D0D" w:rsidRPr="00232FDB" w:rsidSect="00390337">
      <w:footerReference w:type="default" r:id="rId13"/>
      <w:headerReference w:type="first" r:id="rId14"/>
      <w:type w:val="continuous"/>
      <w:pgSz w:w="11906" w:h="16838" w:code="9"/>
      <w:pgMar w:top="230" w:right="1701" w:bottom="1021" w:left="1588"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337" w:rsidRDefault="00390337" w:rsidP="006723FE">
      <w:pPr>
        <w:spacing w:after="0"/>
      </w:pPr>
      <w:r>
        <w:separator/>
      </w:r>
    </w:p>
  </w:endnote>
  <w:endnote w:type="continuationSeparator" w:id="0">
    <w:p w:rsidR="00390337" w:rsidRDefault="00390337" w:rsidP="006723FE">
      <w:pPr>
        <w:spacing w:after="0"/>
      </w:pPr>
      <w:r>
        <w:continuationSeparator/>
      </w:r>
    </w:p>
  </w:endnote>
  <w:endnote w:type="continuationNotice" w:id="1">
    <w:p w:rsidR="00390337" w:rsidRDefault="003903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37" w:rsidRDefault="00390337" w:rsidP="00762881">
    <w:pPr>
      <w:pStyle w:val="Footer"/>
      <w:jc w:val="center"/>
    </w:pPr>
    <w:r>
      <w:fldChar w:fldCharType="begin"/>
    </w:r>
    <w:r>
      <w:instrText>PAGE</w:instrText>
    </w:r>
    <w:r>
      <w:fldChar w:fldCharType="separate"/>
    </w:r>
    <w:r w:rsidR="00571C3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337" w:rsidRDefault="00390337" w:rsidP="006723FE">
      <w:pPr>
        <w:spacing w:after="0"/>
      </w:pPr>
      <w:r>
        <w:separator/>
      </w:r>
    </w:p>
  </w:footnote>
  <w:footnote w:type="continuationSeparator" w:id="0">
    <w:p w:rsidR="00390337" w:rsidRDefault="00390337" w:rsidP="006723FE">
      <w:pPr>
        <w:spacing w:after="0"/>
      </w:pPr>
      <w:r>
        <w:continuationSeparator/>
      </w:r>
    </w:p>
  </w:footnote>
  <w:footnote w:type="continuationNotice" w:id="1">
    <w:p w:rsidR="00390337" w:rsidRDefault="00390337">
      <w:pPr>
        <w:spacing w:after="0"/>
      </w:pPr>
    </w:p>
  </w:footnote>
  <w:footnote w:id="2">
    <w:p w:rsidR="00390337" w:rsidRPr="00F72102" w:rsidRDefault="00390337" w:rsidP="009B05F7">
      <w:pPr>
        <w:pStyle w:val="FootnoteText"/>
        <w:spacing w:after="120"/>
        <w:ind w:left="0" w:firstLine="0"/>
      </w:pPr>
      <w:r>
        <w:rPr>
          <w:rStyle w:val="FootnoteReference"/>
        </w:rPr>
        <w:footnoteRef/>
      </w:r>
      <w:r>
        <w:t xml:space="preserve"> </w:t>
      </w:r>
      <w:r w:rsidRPr="0062560C">
        <w:rPr>
          <w:rFonts w:eastAsia="Calibri"/>
        </w:rPr>
        <w:t xml:space="preserve">Please refer to the additional explanations available in the guidance note on Article 41 CPR </w:t>
      </w:r>
      <w:r>
        <w:rPr>
          <w:rFonts w:eastAsia="Calibri"/>
        </w:rPr>
        <w:t xml:space="preserve"> - Request  for payments: </w:t>
      </w:r>
      <w:hyperlink r:id="rId1" w:history="1">
        <w:r w:rsidRPr="00156514">
          <w:rPr>
            <w:rStyle w:val="Hyperlink"/>
          </w:rPr>
          <w:t>https://www.fi-compass.eu/publication/ec-regulatory-guidance/ec-regulatory-guidance-guidance-member-states-article-41-cpr%E2%80%93</w:t>
        </w:r>
      </w:hyperlink>
    </w:p>
  </w:footnote>
  <w:footnote w:id="3">
    <w:p w:rsidR="00390337" w:rsidRPr="00764FC9" w:rsidRDefault="00390337" w:rsidP="009B05F7">
      <w:pPr>
        <w:tabs>
          <w:tab w:val="left" w:pos="0"/>
        </w:tabs>
        <w:spacing w:after="120"/>
        <w:rPr>
          <w:lang w:val="en-US"/>
        </w:rPr>
      </w:pPr>
      <w:r w:rsidRPr="00764FC9">
        <w:rPr>
          <w:rStyle w:val="FootnoteReference"/>
          <w:sz w:val="20"/>
        </w:rPr>
        <w:footnoteRef/>
      </w:r>
      <w:r w:rsidRPr="00764FC9">
        <w:rPr>
          <w:sz w:val="20"/>
        </w:rPr>
        <w:t xml:space="preserve"> </w:t>
      </w:r>
      <w:r w:rsidRPr="00764FC9">
        <w:rPr>
          <w:rFonts w:eastAsia="Calibri"/>
          <w:sz w:val="20"/>
        </w:rPr>
        <w:t xml:space="preserve">Please refer to the additional explanations available in the guidance note on management costs and fees </w:t>
      </w:r>
      <w:hyperlink r:id="rId2" w:history="1">
        <w:r w:rsidRPr="00156514">
          <w:rPr>
            <w:rStyle w:val="Hyperlink"/>
            <w:sz w:val="20"/>
          </w:rPr>
          <w:t>https://www.fi-compass.eu/publication/ec-regulatory-guidance/ec-regulatory-guidance-guidance-member-states</w:t>
        </w:r>
      </w:hyperlink>
    </w:p>
  </w:footnote>
  <w:footnote w:id="4">
    <w:p w:rsidR="00390337" w:rsidRPr="00AC66B3" w:rsidRDefault="00390337" w:rsidP="009B05F7">
      <w:pPr>
        <w:pStyle w:val="FootnoteText"/>
        <w:spacing w:after="120"/>
        <w:ind w:left="0" w:firstLine="0"/>
      </w:pPr>
      <w:r>
        <w:rPr>
          <w:rStyle w:val="FootnoteReference"/>
        </w:rPr>
        <w:footnoteRef/>
      </w:r>
      <w:r>
        <w:t xml:space="preserve"> Even if State aid rules sometimes require own resources of the final recipient.</w:t>
      </w:r>
    </w:p>
  </w:footnote>
  <w:footnote w:id="5">
    <w:p w:rsidR="00390337" w:rsidRPr="00A95958" w:rsidRDefault="00390337" w:rsidP="00A95958">
      <w:pPr>
        <w:pStyle w:val="CommentText"/>
      </w:pPr>
      <w:r>
        <w:rPr>
          <w:rStyle w:val="FootnoteReference"/>
        </w:rPr>
        <w:footnoteRef/>
      </w:r>
      <w:r>
        <w:t xml:space="preserve"> For State aid purposes, the products do not have to be of the same type. However, if a financial instrument is developed as aid free because it is </w:t>
      </w:r>
      <w:r w:rsidRPr="00A95958">
        <w:rPr>
          <w:i/>
        </w:rPr>
        <w:t>pari passu</w:t>
      </w:r>
      <w:r>
        <w:t xml:space="preserve"> with private investors, the instruments must have the same terms and conditions.</w:t>
      </w:r>
    </w:p>
  </w:footnote>
  <w:footnote w:id="6">
    <w:p w:rsidR="00390337" w:rsidRPr="003E3026" w:rsidRDefault="00390337" w:rsidP="009B05F7">
      <w:pPr>
        <w:pStyle w:val="FootnoteText"/>
        <w:spacing w:after="120"/>
        <w:ind w:left="0" w:firstLine="0"/>
      </w:pPr>
      <w:r>
        <w:rPr>
          <w:rStyle w:val="FootnoteReference"/>
        </w:rPr>
        <w:footnoteRef/>
      </w:r>
      <w:r>
        <w:t xml:space="preserve"> </w:t>
      </w:r>
      <w:hyperlink r:id="rId3" w:history="1">
        <w:r w:rsidRPr="009841E8">
          <w:rPr>
            <w:rStyle w:val="Hyperlink"/>
          </w:rPr>
          <w:t>https://www.fi-compass.eu/publication/ec-regulatory-guidance/ec-regulatory-guidance-guidance-member-states-article-41-cpr%E2%80%93</w:t>
        </w:r>
      </w:hyperlink>
    </w:p>
  </w:footnote>
  <w:footnote w:id="7">
    <w:p w:rsidR="00390337" w:rsidRPr="00265C46" w:rsidRDefault="00390337" w:rsidP="009B05F7">
      <w:pPr>
        <w:pStyle w:val="FootnoteText"/>
        <w:spacing w:after="120"/>
        <w:ind w:left="0" w:firstLine="0"/>
      </w:pPr>
      <w:r w:rsidRPr="0013610E">
        <w:rPr>
          <w:rStyle w:val="FootnoteReference"/>
        </w:rPr>
        <w:footnoteRef/>
      </w:r>
      <w:r w:rsidRPr="0013610E">
        <w:t xml:space="preserve"> I</w:t>
      </w:r>
      <w:r w:rsidRPr="0013610E">
        <w:rPr>
          <w:szCs w:val="24"/>
          <w:lang w:eastAsia="en-GB"/>
        </w:rPr>
        <w:t>n the case of provision of land or real estate, a cash payment, for the purposes of a lease agreement of a nominal amount per annum not exceeding a single unit of the currency of the Member State</w:t>
      </w:r>
      <w:r>
        <w:rPr>
          <w:szCs w:val="24"/>
          <w:lang w:eastAsia="en-GB"/>
        </w:rPr>
        <w:t xml:space="preserve"> (for e.g. EUR 1)</w:t>
      </w:r>
      <w:r w:rsidRPr="0013610E">
        <w:rPr>
          <w:szCs w:val="24"/>
          <w:lang w:eastAsia="en-GB"/>
        </w:rPr>
        <w:t>, may be made as provided for in Article 69(1)(d) CPR.</w:t>
      </w:r>
    </w:p>
  </w:footnote>
  <w:footnote w:id="8">
    <w:p w:rsidR="00390337" w:rsidRPr="004B1B31" w:rsidRDefault="00390337" w:rsidP="004B1B31">
      <w:pPr>
        <w:pStyle w:val="FootnoteText"/>
        <w:ind w:left="0" w:firstLine="0"/>
      </w:pPr>
      <w:r>
        <w:rPr>
          <w:rStyle w:val="FootnoteReference"/>
        </w:rPr>
        <w:footnoteRef/>
      </w:r>
      <w:r>
        <w:t xml:space="preserve"> </w:t>
      </w:r>
      <w:r w:rsidRPr="004B1B31">
        <w:t>https://www.fi-compass.eu/publication/ec-regulatory-guidance/european-structural-and-investment-funds-guidance-member-states</w:t>
      </w:r>
    </w:p>
  </w:footnote>
  <w:footnote w:id="9">
    <w:p w:rsidR="00390337" w:rsidRPr="006628B8" w:rsidRDefault="00390337" w:rsidP="009B05F7">
      <w:pPr>
        <w:pStyle w:val="FootnoteText"/>
        <w:spacing w:after="120"/>
        <w:ind w:left="0" w:firstLine="0"/>
      </w:pPr>
      <w:r>
        <w:rPr>
          <w:rStyle w:val="FootnoteReference"/>
        </w:rPr>
        <w:footnoteRef/>
      </w:r>
      <w:r>
        <w:t xml:space="preserve"> For EAFRD: also </w:t>
      </w:r>
      <w:r>
        <w:rPr>
          <w:rFonts w:eastAsia="Calibri"/>
          <w:szCs w:val="24"/>
        </w:rPr>
        <w:t>following a programme modification to include the financial instrument if not yet done.</w:t>
      </w:r>
    </w:p>
  </w:footnote>
  <w:footnote w:id="10">
    <w:p w:rsidR="00390337" w:rsidRPr="008459E1" w:rsidRDefault="00390337" w:rsidP="00476B1B">
      <w:pPr>
        <w:pStyle w:val="FootnoteText"/>
        <w:spacing w:after="0"/>
        <w:ind w:left="0" w:firstLine="0"/>
      </w:pPr>
      <w:r>
        <w:rPr>
          <w:rStyle w:val="FootnoteReference"/>
        </w:rPr>
        <w:footnoteRef/>
      </w:r>
      <w:r>
        <w:t xml:space="preserve"> </w:t>
      </w:r>
      <w:r>
        <w:rPr>
          <w:lang w:eastAsia="en-GB"/>
        </w:rPr>
        <w:t>Commission Regulation</w:t>
      </w:r>
      <w:r w:rsidRPr="00B44FD9">
        <w:rPr>
          <w:lang w:eastAsia="en-GB"/>
        </w:rPr>
        <w:t xml:space="preserve"> (EU) No 651/2014</w:t>
      </w:r>
      <w:r>
        <w:rPr>
          <w:lang w:eastAsia="en-GB"/>
        </w:rPr>
        <w:t xml:space="preserve"> </w:t>
      </w:r>
      <w:r w:rsidRPr="00B44FD9">
        <w:rPr>
          <w:lang w:eastAsia="en-GB"/>
        </w:rPr>
        <w:t>of 17 June 2014</w:t>
      </w:r>
      <w:r>
        <w:rPr>
          <w:lang w:eastAsia="en-GB"/>
        </w:rPr>
        <w:t xml:space="preserve"> </w:t>
      </w:r>
      <w:r w:rsidRPr="00B44FD9">
        <w:rPr>
          <w:lang w:eastAsia="en-GB"/>
        </w:rPr>
        <w:t>declaring certain categories of aid compatible with the internal market in application of Articles</w:t>
      </w:r>
      <w:r>
        <w:rPr>
          <w:lang w:eastAsia="en-GB"/>
        </w:rPr>
        <w:t xml:space="preserve"> </w:t>
      </w:r>
      <w:r w:rsidRPr="00B44FD9">
        <w:rPr>
          <w:lang w:eastAsia="en-GB"/>
        </w:rPr>
        <w:t>107 and 108 of the Treaty</w:t>
      </w:r>
      <w:r>
        <w:rPr>
          <w:lang w:eastAsia="en-GB"/>
        </w:rPr>
        <w:t>.</w:t>
      </w:r>
    </w:p>
  </w:footnote>
  <w:footnote w:id="11">
    <w:p w:rsidR="00390337" w:rsidRPr="00986A41" w:rsidRDefault="00390337" w:rsidP="00476B1B">
      <w:pPr>
        <w:spacing w:after="0"/>
      </w:pPr>
      <w:r>
        <w:rPr>
          <w:rStyle w:val="FootnoteReference"/>
        </w:rPr>
        <w:footnoteRef/>
      </w:r>
      <w:r>
        <w:t xml:space="preserve"> </w:t>
      </w:r>
      <w:r w:rsidRPr="00986A41">
        <w:rPr>
          <w:sz w:val="20"/>
          <w:lang w:eastAsia="en-GB"/>
        </w:rPr>
        <w:t xml:space="preserve">Communication from the Commission "Guidelines on </w:t>
      </w:r>
      <w:r>
        <w:rPr>
          <w:sz w:val="20"/>
          <w:lang w:eastAsia="en-GB"/>
        </w:rPr>
        <w:t>State aid</w:t>
      </w:r>
      <w:r w:rsidRPr="00986A41">
        <w:rPr>
          <w:sz w:val="20"/>
          <w:lang w:eastAsia="en-GB"/>
        </w:rPr>
        <w:t xml:space="preserve"> to promote risk finance investments" (2014/C 19/04)</w:t>
      </w:r>
    </w:p>
  </w:footnote>
  <w:footnote w:id="12">
    <w:p w:rsidR="00390337" w:rsidRPr="00F0114A" w:rsidRDefault="00390337" w:rsidP="00476B1B">
      <w:pPr>
        <w:pStyle w:val="FootnoteText"/>
        <w:spacing w:after="0"/>
        <w:ind w:left="0" w:firstLine="0"/>
      </w:pPr>
      <w:r>
        <w:rPr>
          <w:rStyle w:val="FootnoteReference"/>
        </w:rPr>
        <w:footnoteRef/>
      </w:r>
      <w:r>
        <w:t xml:space="preserve"> Please refer to factsheet </w:t>
      </w:r>
      <w:hyperlink r:id="rId4" w:history="1">
        <w:r w:rsidRPr="00C279E7">
          <w:rPr>
            <w:rStyle w:val="Hyperlink"/>
          </w:rPr>
          <w:t>https://www.fi-compass.eu/publication/brochures-factsheets/financial-instrument-products</w:t>
        </w:r>
      </w:hyperlink>
      <w:r>
        <w:t xml:space="preserve"> for further details</w:t>
      </w:r>
    </w:p>
  </w:footnote>
  <w:footnote w:id="13">
    <w:p w:rsidR="00390337" w:rsidRPr="00C33305" w:rsidRDefault="00390337" w:rsidP="009B05F7">
      <w:pPr>
        <w:spacing w:after="120"/>
      </w:pPr>
      <w:r w:rsidRPr="00C33305">
        <w:rPr>
          <w:rStyle w:val="FootnoteReference"/>
        </w:rPr>
        <w:footnoteRef/>
      </w:r>
      <w:r w:rsidRPr="00C33305">
        <w:rPr>
          <w:rStyle w:val="FootnoteReference"/>
        </w:rPr>
        <w:t xml:space="preserve"> </w:t>
      </w:r>
      <w:r w:rsidRPr="00C33305">
        <w:rPr>
          <w:sz w:val="20"/>
        </w:rPr>
        <w:t>C</w:t>
      </w:r>
      <w:r>
        <w:rPr>
          <w:sz w:val="20"/>
        </w:rPr>
        <w:t xml:space="preserve">ommission Implementing Regulation </w:t>
      </w:r>
      <w:r w:rsidRPr="00C33305">
        <w:rPr>
          <w:sz w:val="20"/>
        </w:rPr>
        <w:t>(EU) No 964/2014 of 11 September 2014 laying down rules for the application of Regulation (EU) No 1303/2013 of the European Parliament and of the Council as regards standard terms and conditions for financial instruments</w:t>
      </w:r>
    </w:p>
  </w:footnote>
  <w:footnote w:id="14">
    <w:p w:rsidR="00390337" w:rsidRPr="00275F42" w:rsidRDefault="00390337" w:rsidP="009B05F7">
      <w:pPr>
        <w:pStyle w:val="FootnoteText"/>
        <w:spacing w:after="120"/>
        <w:ind w:left="0" w:firstLine="0"/>
      </w:pPr>
      <w:r>
        <w:rPr>
          <w:rStyle w:val="FootnoteReference"/>
        </w:rPr>
        <w:footnoteRef/>
      </w:r>
      <w:r>
        <w:t xml:space="preserve"> This is presented as a mere illustration for the calculation method of the multiplier.</w:t>
      </w:r>
    </w:p>
  </w:footnote>
  <w:footnote w:id="15">
    <w:p w:rsidR="00390337" w:rsidRPr="008459E1" w:rsidRDefault="00390337" w:rsidP="009B05F7">
      <w:pPr>
        <w:pStyle w:val="FootnoteText"/>
        <w:spacing w:after="120"/>
        <w:ind w:left="0" w:firstLine="0"/>
      </w:pPr>
      <w:r>
        <w:rPr>
          <w:rStyle w:val="FootnoteReference"/>
        </w:rPr>
        <w:footnoteRef/>
      </w:r>
      <w:r>
        <w:t xml:space="preserve"> </w:t>
      </w:r>
      <w:r>
        <w:rPr>
          <w:lang w:eastAsia="en-GB"/>
        </w:rPr>
        <w:t>Commission Regulation</w:t>
      </w:r>
      <w:r w:rsidRPr="00B44FD9">
        <w:rPr>
          <w:lang w:eastAsia="en-GB"/>
        </w:rPr>
        <w:t xml:space="preserve"> (EU) No 651/2014</w:t>
      </w:r>
      <w:r>
        <w:rPr>
          <w:lang w:eastAsia="en-GB"/>
        </w:rPr>
        <w:t xml:space="preserve"> </w:t>
      </w:r>
      <w:r w:rsidRPr="00B44FD9">
        <w:rPr>
          <w:lang w:eastAsia="en-GB"/>
        </w:rPr>
        <w:t>of 17 June 2014</w:t>
      </w:r>
      <w:r>
        <w:rPr>
          <w:lang w:eastAsia="en-GB"/>
        </w:rPr>
        <w:t xml:space="preserve"> </w:t>
      </w:r>
      <w:r w:rsidRPr="00B44FD9">
        <w:rPr>
          <w:lang w:eastAsia="en-GB"/>
        </w:rPr>
        <w:t>declaring certain categories of aid compatible with the internal market in application of Articles</w:t>
      </w:r>
      <w:r>
        <w:rPr>
          <w:lang w:eastAsia="en-GB"/>
        </w:rPr>
        <w:t xml:space="preserve"> </w:t>
      </w:r>
      <w:r w:rsidRPr="00B44FD9">
        <w:rPr>
          <w:lang w:eastAsia="en-GB"/>
        </w:rPr>
        <w:t>107 and 108 of the Treaty</w:t>
      </w:r>
      <w:r>
        <w:rPr>
          <w:lang w:eastAsia="en-GB"/>
        </w:rPr>
        <w:t>.</w:t>
      </w:r>
    </w:p>
  </w:footnote>
  <w:footnote w:id="16">
    <w:p w:rsidR="00390337" w:rsidRPr="00986A41" w:rsidRDefault="00390337" w:rsidP="009B05F7">
      <w:pPr>
        <w:spacing w:after="120"/>
      </w:pPr>
      <w:r>
        <w:rPr>
          <w:rStyle w:val="FootnoteReference"/>
        </w:rPr>
        <w:footnoteRef/>
      </w:r>
      <w:r>
        <w:t xml:space="preserve"> </w:t>
      </w:r>
      <w:r w:rsidRPr="00986A41">
        <w:rPr>
          <w:sz w:val="20"/>
          <w:lang w:eastAsia="en-GB"/>
        </w:rPr>
        <w:t xml:space="preserve">Communication from the Commission "Guidelines on </w:t>
      </w:r>
      <w:r>
        <w:rPr>
          <w:sz w:val="20"/>
          <w:lang w:eastAsia="en-GB"/>
        </w:rPr>
        <w:t>State aid</w:t>
      </w:r>
      <w:r w:rsidRPr="00986A41">
        <w:rPr>
          <w:sz w:val="20"/>
          <w:lang w:eastAsia="en-GB"/>
        </w:rPr>
        <w:t xml:space="preserve"> to promote risk finance investments" (2014/C 19/04)</w:t>
      </w:r>
    </w:p>
  </w:footnote>
  <w:footnote w:id="17">
    <w:p w:rsidR="00390337" w:rsidRPr="002C64B0" w:rsidRDefault="00390337" w:rsidP="009B05F7">
      <w:pPr>
        <w:pStyle w:val="FootnoteText"/>
        <w:spacing w:after="120"/>
        <w:jc w:val="left"/>
      </w:pPr>
      <w:r>
        <w:rPr>
          <w:rStyle w:val="FootnoteReference"/>
        </w:rPr>
        <w:footnoteRef/>
      </w:r>
      <w:r>
        <w:t xml:space="preserve"> </w:t>
      </w:r>
      <w:hyperlink r:id="rId5" w:history="1">
        <w:r w:rsidRPr="00F022E1">
          <w:rPr>
            <w:rStyle w:val="Hyperlink"/>
          </w:rPr>
          <w:t>https://www.fi-compass.eu/publication/ec-regulatory-guidance-guidance-member-states-article-374-cpr-support-enterprisesworking</w:t>
        </w:r>
      </w:hyperlink>
    </w:p>
  </w:footnote>
  <w:footnote w:id="18">
    <w:p w:rsidR="00390337" w:rsidRPr="002C64B0" w:rsidRDefault="00390337" w:rsidP="009B05F7">
      <w:pPr>
        <w:pStyle w:val="FootnoteText"/>
        <w:spacing w:after="120"/>
        <w:jc w:val="left"/>
      </w:pPr>
      <w:r>
        <w:rPr>
          <w:rStyle w:val="FootnoteReference"/>
        </w:rPr>
        <w:footnoteRef/>
      </w:r>
      <w:r>
        <w:t xml:space="preserve"> </w:t>
      </w:r>
      <w:hyperlink r:id="rId6" w:history="1">
        <w:r w:rsidRPr="00F022E1">
          <w:rPr>
            <w:rStyle w:val="Hyperlink"/>
          </w:rPr>
          <w:t>https://www.fi-compass.eu/publication/ec-regulatory-guidance-guidance-member-states-article-374-cpr-support-enterprisesworking</w:t>
        </w:r>
      </w:hyperlink>
    </w:p>
  </w:footnote>
  <w:footnote w:id="19">
    <w:p w:rsidR="00390337" w:rsidRPr="002E7ACE" w:rsidRDefault="00390337" w:rsidP="009B05F7">
      <w:pPr>
        <w:pStyle w:val="FootnoteText"/>
        <w:spacing w:after="120"/>
        <w:ind w:left="0" w:firstLine="0"/>
        <w:jc w:val="left"/>
      </w:pPr>
      <w:r>
        <w:rPr>
          <w:rStyle w:val="FootnoteReference"/>
        </w:rPr>
        <w:footnoteRef/>
      </w:r>
      <w:r>
        <w:t xml:space="preserve"> T</w:t>
      </w:r>
      <w:r w:rsidRPr="002E7ACE">
        <w:t>echnical assistance and technical support are two distinct term</w:t>
      </w:r>
      <w:r>
        <w:t xml:space="preserve">s used in the CPR. Whereas, the </w:t>
      </w:r>
      <w:r w:rsidRPr="002E7ACE">
        <w:t>notion of technical support is explained in Article 5 CDR, the notion of technical assistance is explained in title VI of CPR.</w:t>
      </w:r>
    </w:p>
  </w:footnote>
  <w:footnote w:id="20">
    <w:p w:rsidR="00390337" w:rsidRPr="00643343" w:rsidRDefault="00390337" w:rsidP="009B05F7">
      <w:pPr>
        <w:pStyle w:val="FootnoteText"/>
        <w:spacing w:after="120"/>
        <w:ind w:left="0" w:firstLine="0"/>
      </w:pPr>
      <w:r>
        <w:rPr>
          <w:rStyle w:val="FootnoteReference"/>
        </w:rPr>
        <w:footnoteRef/>
      </w:r>
      <w:r>
        <w:t xml:space="preserve"> </w:t>
      </w:r>
      <w:hyperlink r:id="rId7" w:history="1">
        <w:r w:rsidRPr="002137CF">
          <w:rPr>
            <w:rStyle w:val="Hyperlink"/>
          </w:rPr>
          <w:t>https://www.fi-compass.eu/publication/ec-regulatory-guidance/european-structural-and-investment-funds-guidance-member-states</w:t>
        </w:r>
      </w:hyperlink>
    </w:p>
  </w:footnote>
  <w:footnote w:id="21">
    <w:p w:rsidR="00390337" w:rsidRPr="000178D1" w:rsidRDefault="00390337" w:rsidP="009B05F7">
      <w:pPr>
        <w:spacing w:after="120"/>
      </w:pPr>
      <w:r>
        <w:rPr>
          <w:rStyle w:val="FootnoteReference"/>
        </w:rPr>
        <w:footnoteRef/>
      </w:r>
      <w:r>
        <w:t xml:space="preserve"> </w:t>
      </w:r>
      <w:r w:rsidRPr="000178D1">
        <w:rPr>
          <w:sz w:val="20"/>
        </w:rPr>
        <w:t>As provided for in Article 2(26</w:t>
      </w:r>
      <w:r>
        <w:rPr>
          <w:sz w:val="20"/>
        </w:rPr>
        <w:t>)</w:t>
      </w:r>
      <w:r w:rsidRPr="000178D1">
        <w:rPr>
          <w:sz w:val="20"/>
        </w:rPr>
        <w:t xml:space="preserve"> CPR an escrow account means a bank account covered by a written agreement between a managing authority or an intermediate body and the body implementing a financial instrument (…), set up specifically to hold funds to be paid out after the eligibility period, exclusively for the purposes provided for in point (c) of Article 42(1), Article 42(2), Article 42(3) (…), or a bank account set up on terms providing equivalent guarantees on the payments out of the funds</w:t>
      </w:r>
      <w:r>
        <w:rPr>
          <w:sz w:val="20"/>
        </w:rPr>
        <w:t>.</w:t>
      </w:r>
    </w:p>
  </w:footnote>
  <w:footnote w:id="22">
    <w:p w:rsidR="00390337" w:rsidRPr="0006288A" w:rsidRDefault="00390337" w:rsidP="009B05F7">
      <w:pPr>
        <w:spacing w:after="120"/>
      </w:pPr>
      <w:r>
        <w:rPr>
          <w:rStyle w:val="FootnoteReference"/>
        </w:rPr>
        <w:footnoteRef/>
      </w:r>
      <w:r>
        <w:t xml:space="preserve"> </w:t>
      </w:r>
      <w:r w:rsidRPr="0006288A">
        <w:rPr>
          <w:sz w:val="20"/>
        </w:rPr>
        <w:t xml:space="preserve">For ease of reference the GBER </w:t>
      </w:r>
      <w:r>
        <w:rPr>
          <w:sz w:val="20"/>
        </w:rPr>
        <w:t xml:space="preserve">also </w:t>
      </w:r>
      <w:r w:rsidRPr="0006288A">
        <w:rPr>
          <w:sz w:val="20"/>
        </w:rPr>
        <w:t xml:space="preserve">provides definitions: </w:t>
      </w:r>
      <w:r w:rsidRPr="00573420">
        <w:rPr>
          <w:sz w:val="20"/>
        </w:rPr>
        <w:t>Article 2 (74) GBER ‘</w:t>
      </w:r>
      <w:r w:rsidRPr="0006288A">
        <w:rPr>
          <w:i/>
          <w:sz w:val="20"/>
        </w:rPr>
        <w:t>equity investment’ means the provision of capital to an undertaking, invested directly or indirectly in return for the ownership of a corresponding share of that undertaking</w:t>
      </w:r>
      <w:r w:rsidRPr="00573420">
        <w:rPr>
          <w:sz w:val="20"/>
        </w:rPr>
        <w:t>;</w:t>
      </w:r>
      <w:r>
        <w:rPr>
          <w:sz w:val="20"/>
        </w:rPr>
        <w:t xml:space="preserve"> </w:t>
      </w:r>
      <w:r w:rsidRPr="00573420">
        <w:rPr>
          <w:sz w:val="20"/>
        </w:rPr>
        <w:t>Article 2(77) GBER "</w:t>
      </w:r>
      <w:r w:rsidRPr="0006288A">
        <w:rPr>
          <w:i/>
          <w:sz w:val="20"/>
        </w:rPr>
        <w:t>follow-on investment’ means additional risk finance investment in a company subsequent to one or more previous risk finance investment rounds</w:t>
      </w:r>
      <w:r>
        <w:rPr>
          <w:sz w:val="20"/>
        </w:rPr>
        <w:t>.</w:t>
      </w:r>
    </w:p>
  </w:footnote>
  <w:footnote w:id="23">
    <w:p w:rsidR="00390337" w:rsidRPr="000178D1" w:rsidRDefault="00390337" w:rsidP="009B05F7">
      <w:pPr>
        <w:spacing w:after="120"/>
      </w:pPr>
      <w:r>
        <w:rPr>
          <w:rStyle w:val="FootnoteReference"/>
        </w:rPr>
        <w:footnoteRef/>
      </w:r>
      <w:r>
        <w:t xml:space="preserve"> </w:t>
      </w:r>
      <w:r>
        <w:rPr>
          <w:sz w:val="20"/>
        </w:rPr>
        <w:t>As provided for in Article 2(26)</w:t>
      </w:r>
      <w:r w:rsidRPr="000178D1">
        <w:rPr>
          <w:sz w:val="20"/>
        </w:rPr>
        <w:t xml:space="preserve"> CPR an escrow account means a bank account covered by a written agreement between a managing authority or an intermediate body and the body implementing a financial instrument (…), set up specifically to hold funds to be paid out after the eligibility period, exclusively for the purposes provided for in point (c) of Article 42(1), Article 42(2), Article 42(3) (…), or a bank account set up on terms providing equivalent guarantees on the payments out of the funds.</w:t>
      </w:r>
    </w:p>
  </w:footnote>
  <w:footnote w:id="24">
    <w:p w:rsidR="00390337" w:rsidRPr="001424F0" w:rsidRDefault="00390337" w:rsidP="00746C6C">
      <w:pPr>
        <w:pStyle w:val="FootnoteText"/>
        <w:autoSpaceDE w:val="0"/>
        <w:autoSpaceDN w:val="0"/>
        <w:adjustRightInd w:val="0"/>
        <w:spacing w:after="120"/>
        <w:ind w:left="0" w:firstLine="0"/>
      </w:pPr>
      <w:r>
        <w:rPr>
          <w:rStyle w:val="FootnoteReference"/>
        </w:rPr>
        <w:footnoteRef/>
      </w:r>
      <w:r>
        <w:t xml:space="preserve"> It should be noted that </w:t>
      </w:r>
      <w:r w:rsidRPr="001424F0">
        <w:t>there are significant limitations on the possibility of using ESI Funds to provide support</w:t>
      </w:r>
      <w:r w:rsidRPr="00DB35B2">
        <w:t xml:space="preserve"> </w:t>
      </w:r>
      <w:r>
        <w:t xml:space="preserve">to </w:t>
      </w:r>
      <w:r w:rsidRPr="001424F0">
        <w:t xml:space="preserve">large enterprises stemming from Fund-specific rules and from </w:t>
      </w:r>
      <w:r>
        <w:t>State aid</w:t>
      </w:r>
      <w:r w:rsidRPr="001424F0">
        <w:t xml:space="preserve"> rules</w:t>
      </w:r>
      <w:r>
        <w:t>. For example, support to large enterprises is limited in the ERDF Regulation (articles 3(1)(b) and 5) to thematic objectives 1 (RDI) and 4 (low carbon economy).</w:t>
      </w:r>
    </w:p>
  </w:footnote>
  <w:footnote w:id="25">
    <w:p w:rsidR="00390337" w:rsidRPr="00E63F56" w:rsidRDefault="00390337" w:rsidP="00746C6C">
      <w:pPr>
        <w:pStyle w:val="Default"/>
        <w:spacing w:after="120"/>
        <w:jc w:val="both"/>
      </w:pPr>
      <w:r>
        <w:rPr>
          <w:rStyle w:val="FootnoteReference"/>
        </w:rPr>
        <w:footnoteRef/>
      </w:r>
      <w:r>
        <w:t xml:space="preserve"> </w:t>
      </w:r>
      <w:r w:rsidRPr="003E06D5">
        <w:rPr>
          <w:rFonts w:ascii="Times New Roman" w:hAnsi="Times New Roman" w:cs="Times New Roman"/>
          <w:i/>
          <w:sz w:val="20"/>
          <w:szCs w:val="20"/>
        </w:rPr>
        <w:t>de minimis</w:t>
      </w:r>
      <w:r w:rsidRPr="003E06D5">
        <w:rPr>
          <w:rFonts w:ascii="Times New Roman" w:hAnsi="Times New Roman" w:cs="Times New Roman"/>
          <w:sz w:val="20"/>
          <w:szCs w:val="20"/>
        </w:rPr>
        <w:t xml:space="preserve">, different categories of aid under GBER (depending on the objective of the </w:t>
      </w:r>
      <w:r w:rsidRPr="003E06D5">
        <w:rPr>
          <w:rFonts w:ascii="Times New Roman" w:eastAsia="Calibri" w:hAnsi="Times New Roman" w:cs="Times New Roman"/>
          <w:sz w:val="20"/>
          <w:szCs w:val="20"/>
        </w:rPr>
        <w:t xml:space="preserve">financial </w:t>
      </w:r>
      <w:r w:rsidRPr="003E06D5">
        <w:rPr>
          <w:rFonts w:ascii="Times New Roman" w:hAnsi="Times New Roman" w:cs="Times New Roman"/>
          <w:color w:val="auto"/>
          <w:sz w:val="20"/>
          <w:szCs w:val="20"/>
          <w:lang w:eastAsia="en-US"/>
        </w:rPr>
        <w:t xml:space="preserve">instrument), </w:t>
      </w:r>
      <w:r w:rsidRPr="003E06D5">
        <w:rPr>
          <w:rFonts w:ascii="Times New Roman" w:hAnsi="Times New Roman" w:cs="Times New Roman"/>
          <w:color w:val="auto"/>
          <w:sz w:val="20"/>
          <w:szCs w:val="20"/>
        </w:rPr>
        <w:t xml:space="preserve">Guidelines on </w:t>
      </w:r>
      <w:r>
        <w:rPr>
          <w:rFonts w:ascii="Times New Roman" w:hAnsi="Times New Roman" w:cs="Times New Roman"/>
          <w:color w:val="auto"/>
          <w:sz w:val="20"/>
          <w:szCs w:val="20"/>
        </w:rPr>
        <w:t>State aid</w:t>
      </w:r>
      <w:r w:rsidRPr="003E06D5">
        <w:rPr>
          <w:rFonts w:ascii="Times New Roman" w:hAnsi="Times New Roman" w:cs="Times New Roman"/>
          <w:color w:val="auto"/>
          <w:sz w:val="20"/>
          <w:szCs w:val="20"/>
        </w:rPr>
        <w:t xml:space="preserve"> to promote risk finance investments</w:t>
      </w:r>
      <w:r w:rsidRPr="003E06D5">
        <w:rPr>
          <w:rFonts w:ascii="Times New Roman" w:hAnsi="Times New Roman" w:cs="Times New Roman"/>
          <w:sz w:val="20"/>
          <w:szCs w:val="20"/>
        </w:rPr>
        <w:t xml:space="preserve">. For example, if the financial instrument is setup under the Regional investment aid measure foreseen in the GBER, then, in accordance with the provisions of GBER (Article 14(5) of GBER) the investment supported through a financial instrument </w:t>
      </w:r>
      <w:r>
        <w:rPr>
          <w:rFonts w:ascii="Times New Roman" w:hAnsi="Times New Roman" w:cs="Times New Roman"/>
          <w:sz w:val="20"/>
          <w:szCs w:val="20"/>
        </w:rPr>
        <w:t>is</w:t>
      </w:r>
      <w:r w:rsidRPr="003E06D5">
        <w:rPr>
          <w:rFonts w:ascii="Times New Roman" w:hAnsi="Times New Roman" w:cs="Times New Roman"/>
          <w:sz w:val="20"/>
          <w:szCs w:val="20"/>
        </w:rPr>
        <w:t xml:space="preserve"> maintained</w:t>
      </w:r>
      <w:r>
        <w:rPr>
          <w:rFonts w:ascii="Times New Roman" w:hAnsi="Times New Roman" w:cs="Times New Roman"/>
          <w:sz w:val="20"/>
          <w:szCs w:val="20"/>
        </w:rPr>
        <w:t xml:space="preserve"> </w:t>
      </w:r>
      <w:r w:rsidRPr="003E06D5">
        <w:rPr>
          <w:rFonts w:ascii="Times New Roman" w:hAnsi="Times New Roman" w:cs="Times New Roman"/>
          <w:sz w:val="20"/>
          <w:szCs w:val="20"/>
        </w:rPr>
        <w:t xml:space="preserve"> in the recipient area for at least five years, or three years in the case of SMEs, after the completion of investment. </w:t>
      </w:r>
    </w:p>
  </w:footnote>
  <w:footnote w:id="26">
    <w:p w:rsidR="00390337" w:rsidRPr="008A7ED3" w:rsidRDefault="00390337" w:rsidP="003C68A8">
      <w:pPr>
        <w:pStyle w:val="FootnoteText"/>
        <w:ind w:left="0" w:firstLine="0"/>
      </w:pPr>
      <w:r>
        <w:rPr>
          <w:rStyle w:val="FootnoteReference"/>
        </w:rPr>
        <w:footnoteRef/>
      </w:r>
      <w:r>
        <w:t xml:space="preserve"> </w:t>
      </w:r>
      <w:r w:rsidRPr="008A7ED3">
        <w:t xml:space="preserve">Please note that </w:t>
      </w:r>
      <w:r>
        <w:t xml:space="preserve">usually </w:t>
      </w:r>
      <w:r w:rsidRPr="008A7ED3">
        <w:t xml:space="preserve">the </w:t>
      </w:r>
      <w:r>
        <w:t>completion of the investment takes place in a shorter time frame then the actual maturity of the loan.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337" w:rsidRDefault="00390337" w:rsidP="00390337">
    <w:pPr>
      <w:pStyle w:val="Header"/>
    </w:pPr>
    <w:r w:rsidRPr="00390337">
      <w:rPr>
        <w:rFonts w:ascii="Arial" w:hAnsi="Arial" w:cs="Arial"/>
        <w:sz w:val="20"/>
      </w:rPr>
      <w:t>EGESIF_16-0006-00</w:t>
    </w:r>
    <w:r>
      <w:rPr>
        <w:rFonts w:ascii="Arial" w:hAnsi="Arial" w:cs="Arial"/>
        <w:sz w:val="20"/>
      </w:rPr>
      <w:br/>
      <w:t>18/04/2016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3591DA9"/>
    <w:multiLevelType w:val="multilevel"/>
    <w:tmpl w:val="80CCB9EA"/>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870FA2"/>
    <w:multiLevelType w:val="hybridMultilevel"/>
    <w:tmpl w:val="A1EEB0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CCF1F9F"/>
    <w:multiLevelType w:val="hybridMultilevel"/>
    <w:tmpl w:val="A64E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F234272"/>
    <w:multiLevelType w:val="hybridMultilevel"/>
    <w:tmpl w:val="F6527428"/>
    <w:lvl w:ilvl="0" w:tplc="FE3C04BA">
      <w:start w:val="1"/>
      <w:numFmt w:val="lowerRoman"/>
      <w:lvlText w:val="(%1)"/>
      <w:lvlJc w:val="left"/>
      <w:pPr>
        <w:ind w:left="720" w:hanging="720"/>
      </w:pPr>
      <w:rPr>
        <w:rFonts w:hint="default"/>
      </w:rPr>
    </w:lvl>
    <w:lvl w:ilvl="1" w:tplc="C4628E4E">
      <w:start w:val="1"/>
      <w:numFmt w:val="bullet"/>
      <w:lvlText w:val=""/>
      <w:lvlJc w:val="left"/>
      <w:pPr>
        <w:ind w:left="1080" w:hanging="360"/>
      </w:pPr>
      <w:rPr>
        <w:rFonts w:ascii="Symbol" w:hAnsi="Symbol"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3C856C8B"/>
    <w:multiLevelType w:val="hybridMultilevel"/>
    <w:tmpl w:val="DB2A706A"/>
    <w:lvl w:ilvl="0" w:tplc="57A0F84C">
      <w:start w:val="1"/>
      <w:numFmt w:val="bullet"/>
      <w:pStyle w:val="ListBullet10"/>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D125FC"/>
    <w:multiLevelType w:val="hybridMultilevel"/>
    <w:tmpl w:val="E4E6CB32"/>
    <w:lvl w:ilvl="0" w:tplc="446EC2FC">
      <w:numFmt w:val="bullet"/>
      <w:lvlText w:val="-"/>
      <w:lvlJc w:val="left"/>
      <w:pPr>
        <w:ind w:left="720" w:hanging="360"/>
      </w:pPr>
      <w:rPr>
        <w:rFonts w:ascii="Cambria" w:eastAsia="Times New Roman" w:hAnsi="Cambri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FCC0BF0"/>
    <w:multiLevelType w:val="hybridMultilevel"/>
    <w:tmpl w:val="2AA8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C473CB6"/>
    <w:multiLevelType w:val="hybridMultilevel"/>
    <w:tmpl w:val="9C82B2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nsid w:val="7FEF52F0"/>
    <w:multiLevelType w:val="hybridMultilevel"/>
    <w:tmpl w:val="F7EA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1"/>
  </w:num>
  <w:num w:numId="5">
    <w:abstractNumId w:val="10"/>
  </w:num>
  <w:num w:numId="6">
    <w:abstractNumId w:val="7"/>
  </w:num>
  <w:num w:numId="7">
    <w:abstractNumId w:val="6"/>
  </w:num>
  <w:num w:numId="8">
    <w:abstractNumId w:val="20"/>
  </w:num>
  <w:num w:numId="9">
    <w:abstractNumId w:val="22"/>
  </w:num>
  <w:num w:numId="10">
    <w:abstractNumId w:val="21"/>
  </w:num>
  <w:num w:numId="11">
    <w:abstractNumId w:val="24"/>
  </w:num>
  <w:num w:numId="12">
    <w:abstractNumId w:val="9"/>
  </w:num>
  <w:num w:numId="13">
    <w:abstractNumId w:val="13"/>
  </w:num>
  <w:num w:numId="14">
    <w:abstractNumId w:val="16"/>
  </w:num>
  <w:num w:numId="15">
    <w:abstractNumId w:val="14"/>
  </w:num>
  <w:num w:numId="16">
    <w:abstractNumId w:val="4"/>
  </w:num>
  <w:num w:numId="17">
    <w:abstractNumId w:val="17"/>
  </w:num>
  <w:num w:numId="18">
    <w:abstractNumId w:val="12"/>
  </w:num>
  <w:num w:numId="19">
    <w:abstractNumId w:val="2"/>
  </w:num>
  <w:num w:numId="20">
    <w:abstractNumId w:val="3"/>
  </w:num>
  <w:num w:numId="21">
    <w:abstractNumId w:val="5"/>
  </w:num>
  <w:num w:numId="22">
    <w:abstractNumId w:val="18"/>
  </w:num>
  <w:num w:numId="23">
    <w:abstractNumId w:val="23"/>
  </w:num>
  <w:num w:numId="24">
    <w:abstractNumId w:val="15"/>
  </w:num>
  <w:num w:numId="25">
    <w:abstractNumId w:val="8"/>
  </w:num>
  <w:num w:numId="26">
    <w:abstractNumId w:val="2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T"/>
  </w:docVars>
  <w:rsids>
    <w:rsidRoot w:val="004C3E24"/>
    <w:rsid w:val="00002E83"/>
    <w:rsid w:val="00004634"/>
    <w:rsid w:val="00006BD5"/>
    <w:rsid w:val="00010DE6"/>
    <w:rsid w:val="00011AE8"/>
    <w:rsid w:val="0001457C"/>
    <w:rsid w:val="000147BD"/>
    <w:rsid w:val="00014FEE"/>
    <w:rsid w:val="0001573E"/>
    <w:rsid w:val="00015DB1"/>
    <w:rsid w:val="00017110"/>
    <w:rsid w:val="000178D1"/>
    <w:rsid w:val="00017E16"/>
    <w:rsid w:val="00017E88"/>
    <w:rsid w:val="000203FB"/>
    <w:rsid w:val="000215BF"/>
    <w:rsid w:val="00023CD4"/>
    <w:rsid w:val="000271D8"/>
    <w:rsid w:val="00027CF7"/>
    <w:rsid w:val="0003306F"/>
    <w:rsid w:val="0003495E"/>
    <w:rsid w:val="00034B44"/>
    <w:rsid w:val="00036EED"/>
    <w:rsid w:val="00037D84"/>
    <w:rsid w:val="000404BF"/>
    <w:rsid w:val="00044A3E"/>
    <w:rsid w:val="00046804"/>
    <w:rsid w:val="00046F63"/>
    <w:rsid w:val="0004722D"/>
    <w:rsid w:val="00047243"/>
    <w:rsid w:val="000573CC"/>
    <w:rsid w:val="000601AE"/>
    <w:rsid w:val="0006091C"/>
    <w:rsid w:val="0006288A"/>
    <w:rsid w:val="00063951"/>
    <w:rsid w:val="000642A1"/>
    <w:rsid w:val="000667A3"/>
    <w:rsid w:val="000674C9"/>
    <w:rsid w:val="00067F82"/>
    <w:rsid w:val="000724B0"/>
    <w:rsid w:val="00073660"/>
    <w:rsid w:val="000737AF"/>
    <w:rsid w:val="00073AD0"/>
    <w:rsid w:val="00076FD8"/>
    <w:rsid w:val="0008014B"/>
    <w:rsid w:val="00080ACE"/>
    <w:rsid w:val="00081258"/>
    <w:rsid w:val="000828CD"/>
    <w:rsid w:val="00084970"/>
    <w:rsid w:val="000854F3"/>
    <w:rsid w:val="000872CF"/>
    <w:rsid w:val="00090169"/>
    <w:rsid w:val="0009054C"/>
    <w:rsid w:val="00092C41"/>
    <w:rsid w:val="000939F9"/>
    <w:rsid w:val="00094A91"/>
    <w:rsid w:val="0009532E"/>
    <w:rsid w:val="00097299"/>
    <w:rsid w:val="000A0110"/>
    <w:rsid w:val="000A0A2A"/>
    <w:rsid w:val="000A2EC2"/>
    <w:rsid w:val="000A4442"/>
    <w:rsid w:val="000A57F7"/>
    <w:rsid w:val="000A7ED5"/>
    <w:rsid w:val="000B1B38"/>
    <w:rsid w:val="000B5380"/>
    <w:rsid w:val="000B72D0"/>
    <w:rsid w:val="000B744D"/>
    <w:rsid w:val="000B7D52"/>
    <w:rsid w:val="000C0A96"/>
    <w:rsid w:val="000C37E7"/>
    <w:rsid w:val="000C6C61"/>
    <w:rsid w:val="000D0059"/>
    <w:rsid w:val="000D24F6"/>
    <w:rsid w:val="000D25CD"/>
    <w:rsid w:val="000D2BF8"/>
    <w:rsid w:val="000D3825"/>
    <w:rsid w:val="000D3992"/>
    <w:rsid w:val="000D4579"/>
    <w:rsid w:val="000D4882"/>
    <w:rsid w:val="000D709B"/>
    <w:rsid w:val="000E0EFB"/>
    <w:rsid w:val="000E3268"/>
    <w:rsid w:val="000E3510"/>
    <w:rsid w:val="000E37B4"/>
    <w:rsid w:val="000E4105"/>
    <w:rsid w:val="000E49E0"/>
    <w:rsid w:val="000E4FF2"/>
    <w:rsid w:val="000E526C"/>
    <w:rsid w:val="000F0745"/>
    <w:rsid w:val="000F5281"/>
    <w:rsid w:val="000F6CE3"/>
    <w:rsid w:val="000F76BC"/>
    <w:rsid w:val="000F7F95"/>
    <w:rsid w:val="00103EB0"/>
    <w:rsid w:val="0011146A"/>
    <w:rsid w:val="00113E37"/>
    <w:rsid w:val="0011455A"/>
    <w:rsid w:val="001146A2"/>
    <w:rsid w:val="00114D0D"/>
    <w:rsid w:val="00114FB1"/>
    <w:rsid w:val="0012208F"/>
    <w:rsid w:val="00122B3C"/>
    <w:rsid w:val="00123DAB"/>
    <w:rsid w:val="00123E6F"/>
    <w:rsid w:val="001252B3"/>
    <w:rsid w:val="0012563A"/>
    <w:rsid w:val="00126C05"/>
    <w:rsid w:val="00127B14"/>
    <w:rsid w:val="00134942"/>
    <w:rsid w:val="00134CE1"/>
    <w:rsid w:val="001360A7"/>
    <w:rsid w:val="0013610E"/>
    <w:rsid w:val="00136350"/>
    <w:rsid w:val="001374AD"/>
    <w:rsid w:val="0013752F"/>
    <w:rsid w:val="00140A60"/>
    <w:rsid w:val="001423ED"/>
    <w:rsid w:val="001424F0"/>
    <w:rsid w:val="001430AE"/>
    <w:rsid w:val="00143334"/>
    <w:rsid w:val="001449A0"/>
    <w:rsid w:val="00146925"/>
    <w:rsid w:val="00146A26"/>
    <w:rsid w:val="001566DC"/>
    <w:rsid w:val="001605D7"/>
    <w:rsid w:val="00160C4A"/>
    <w:rsid w:val="001620B1"/>
    <w:rsid w:val="001629A5"/>
    <w:rsid w:val="00162E3F"/>
    <w:rsid w:val="001637B0"/>
    <w:rsid w:val="00163AA8"/>
    <w:rsid w:val="0016406B"/>
    <w:rsid w:val="00165320"/>
    <w:rsid w:val="00166DBB"/>
    <w:rsid w:val="001703D3"/>
    <w:rsid w:val="00173E24"/>
    <w:rsid w:val="00174942"/>
    <w:rsid w:val="00175EFD"/>
    <w:rsid w:val="00182773"/>
    <w:rsid w:val="00183979"/>
    <w:rsid w:val="00184ED3"/>
    <w:rsid w:val="001876D9"/>
    <w:rsid w:val="001876E0"/>
    <w:rsid w:val="00190F95"/>
    <w:rsid w:val="001915AF"/>
    <w:rsid w:val="00192A22"/>
    <w:rsid w:val="001935C5"/>
    <w:rsid w:val="00194E49"/>
    <w:rsid w:val="001951E1"/>
    <w:rsid w:val="00195BBC"/>
    <w:rsid w:val="001A0552"/>
    <w:rsid w:val="001A1686"/>
    <w:rsid w:val="001A1CBD"/>
    <w:rsid w:val="001A5048"/>
    <w:rsid w:val="001A66B7"/>
    <w:rsid w:val="001A7538"/>
    <w:rsid w:val="001B0E23"/>
    <w:rsid w:val="001B270D"/>
    <w:rsid w:val="001B313C"/>
    <w:rsid w:val="001B4263"/>
    <w:rsid w:val="001C012D"/>
    <w:rsid w:val="001C01AF"/>
    <w:rsid w:val="001C1B1F"/>
    <w:rsid w:val="001C29AD"/>
    <w:rsid w:val="001C2EF0"/>
    <w:rsid w:val="001C3A91"/>
    <w:rsid w:val="001C44DD"/>
    <w:rsid w:val="001C47F3"/>
    <w:rsid w:val="001C4B98"/>
    <w:rsid w:val="001C4C85"/>
    <w:rsid w:val="001C6589"/>
    <w:rsid w:val="001C703E"/>
    <w:rsid w:val="001D1BD3"/>
    <w:rsid w:val="001D2445"/>
    <w:rsid w:val="001D25C7"/>
    <w:rsid w:val="001D38B0"/>
    <w:rsid w:val="001D6203"/>
    <w:rsid w:val="001E08F8"/>
    <w:rsid w:val="001E37D7"/>
    <w:rsid w:val="001E3B94"/>
    <w:rsid w:val="001E4B8A"/>
    <w:rsid w:val="001E561B"/>
    <w:rsid w:val="001E7166"/>
    <w:rsid w:val="001E728C"/>
    <w:rsid w:val="001E7D23"/>
    <w:rsid w:val="001F17BB"/>
    <w:rsid w:val="001F4665"/>
    <w:rsid w:val="0020135D"/>
    <w:rsid w:val="00201710"/>
    <w:rsid w:val="00202FBB"/>
    <w:rsid w:val="0020335B"/>
    <w:rsid w:val="00204B29"/>
    <w:rsid w:val="0020655E"/>
    <w:rsid w:val="002069C7"/>
    <w:rsid w:val="0021045E"/>
    <w:rsid w:val="00212E8F"/>
    <w:rsid w:val="00214F0B"/>
    <w:rsid w:val="00217B37"/>
    <w:rsid w:val="002204BA"/>
    <w:rsid w:val="00223D44"/>
    <w:rsid w:val="00224070"/>
    <w:rsid w:val="00225B58"/>
    <w:rsid w:val="00226CB1"/>
    <w:rsid w:val="00227B03"/>
    <w:rsid w:val="00230C04"/>
    <w:rsid w:val="0023270E"/>
    <w:rsid w:val="00232FDB"/>
    <w:rsid w:val="00233430"/>
    <w:rsid w:val="00234FA7"/>
    <w:rsid w:val="002373D7"/>
    <w:rsid w:val="00246D0B"/>
    <w:rsid w:val="002506A9"/>
    <w:rsid w:val="002518FD"/>
    <w:rsid w:val="00251B9B"/>
    <w:rsid w:val="00252176"/>
    <w:rsid w:val="0025371D"/>
    <w:rsid w:val="00253B47"/>
    <w:rsid w:val="002617D4"/>
    <w:rsid w:val="00262A10"/>
    <w:rsid w:val="002646D7"/>
    <w:rsid w:val="00264786"/>
    <w:rsid w:val="00265C46"/>
    <w:rsid w:val="00265E3F"/>
    <w:rsid w:val="00266A0F"/>
    <w:rsid w:val="00273F33"/>
    <w:rsid w:val="00275F42"/>
    <w:rsid w:val="0028098F"/>
    <w:rsid w:val="00282ACA"/>
    <w:rsid w:val="0028388E"/>
    <w:rsid w:val="00283CE2"/>
    <w:rsid w:val="0028587B"/>
    <w:rsid w:val="00286041"/>
    <w:rsid w:val="00287B5B"/>
    <w:rsid w:val="00293E23"/>
    <w:rsid w:val="00294BA6"/>
    <w:rsid w:val="002A1395"/>
    <w:rsid w:val="002A2CBF"/>
    <w:rsid w:val="002A2EDE"/>
    <w:rsid w:val="002A3A98"/>
    <w:rsid w:val="002A4D38"/>
    <w:rsid w:val="002A5DD9"/>
    <w:rsid w:val="002A6A17"/>
    <w:rsid w:val="002A7CB7"/>
    <w:rsid w:val="002A7E89"/>
    <w:rsid w:val="002B08C4"/>
    <w:rsid w:val="002B15E2"/>
    <w:rsid w:val="002B1CB7"/>
    <w:rsid w:val="002B21F0"/>
    <w:rsid w:val="002B27AD"/>
    <w:rsid w:val="002B3218"/>
    <w:rsid w:val="002B3CD0"/>
    <w:rsid w:val="002B4014"/>
    <w:rsid w:val="002B6BC7"/>
    <w:rsid w:val="002B711C"/>
    <w:rsid w:val="002B7339"/>
    <w:rsid w:val="002C0794"/>
    <w:rsid w:val="002C141D"/>
    <w:rsid w:val="002C278D"/>
    <w:rsid w:val="002C281E"/>
    <w:rsid w:val="002C3E30"/>
    <w:rsid w:val="002C64B0"/>
    <w:rsid w:val="002C7B5B"/>
    <w:rsid w:val="002D043A"/>
    <w:rsid w:val="002D2FAB"/>
    <w:rsid w:val="002D46F9"/>
    <w:rsid w:val="002D6627"/>
    <w:rsid w:val="002D6D7D"/>
    <w:rsid w:val="002D7EFC"/>
    <w:rsid w:val="002E031D"/>
    <w:rsid w:val="002E3BFF"/>
    <w:rsid w:val="002E6E9A"/>
    <w:rsid w:val="002E7214"/>
    <w:rsid w:val="002E7ACE"/>
    <w:rsid w:val="002E7B44"/>
    <w:rsid w:val="002F6FD6"/>
    <w:rsid w:val="003003D1"/>
    <w:rsid w:val="00306402"/>
    <w:rsid w:val="00306674"/>
    <w:rsid w:val="003066EF"/>
    <w:rsid w:val="003101C0"/>
    <w:rsid w:val="00310442"/>
    <w:rsid w:val="00311658"/>
    <w:rsid w:val="00313D90"/>
    <w:rsid w:val="0032097E"/>
    <w:rsid w:val="0032135E"/>
    <w:rsid w:val="0032182B"/>
    <w:rsid w:val="003226A0"/>
    <w:rsid w:val="00324471"/>
    <w:rsid w:val="00330BA7"/>
    <w:rsid w:val="00330C3B"/>
    <w:rsid w:val="00330CEE"/>
    <w:rsid w:val="003316CA"/>
    <w:rsid w:val="00331B8D"/>
    <w:rsid w:val="00331FC8"/>
    <w:rsid w:val="00333711"/>
    <w:rsid w:val="003342B0"/>
    <w:rsid w:val="00335CF1"/>
    <w:rsid w:val="003365B5"/>
    <w:rsid w:val="00337EB2"/>
    <w:rsid w:val="00340BB7"/>
    <w:rsid w:val="00340F74"/>
    <w:rsid w:val="003413D3"/>
    <w:rsid w:val="003439E4"/>
    <w:rsid w:val="00344280"/>
    <w:rsid w:val="00346323"/>
    <w:rsid w:val="003502AC"/>
    <w:rsid w:val="003528FD"/>
    <w:rsid w:val="00352F66"/>
    <w:rsid w:val="003531E8"/>
    <w:rsid w:val="0035420D"/>
    <w:rsid w:val="00356C71"/>
    <w:rsid w:val="003573A8"/>
    <w:rsid w:val="00360082"/>
    <w:rsid w:val="0036011D"/>
    <w:rsid w:val="00360EE0"/>
    <w:rsid w:val="00362E68"/>
    <w:rsid w:val="00363C57"/>
    <w:rsid w:val="003640D0"/>
    <w:rsid w:val="00367623"/>
    <w:rsid w:val="0037113A"/>
    <w:rsid w:val="003711C6"/>
    <w:rsid w:val="0037124E"/>
    <w:rsid w:val="0037184A"/>
    <w:rsid w:val="003718D3"/>
    <w:rsid w:val="00373BE7"/>
    <w:rsid w:val="00374038"/>
    <w:rsid w:val="00377133"/>
    <w:rsid w:val="00377155"/>
    <w:rsid w:val="00380D09"/>
    <w:rsid w:val="003833C2"/>
    <w:rsid w:val="00383B16"/>
    <w:rsid w:val="0038453B"/>
    <w:rsid w:val="00386605"/>
    <w:rsid w:val="00386F87"/>
    <w:rsid w:val="003876D7"/>
    <w:rsid w:val="00390337"/>
    <w:rsid w:val="00390AED"/>
    <w:rsid w:val="00390B36"/>
    <w:rsid w:val="00392A77"/>
    <w:rsid w:val="00393888"/>
    <w:rsid w:val="003947C1"/>
    <w:rsid w:val="00394E62"/>
    <w:rsid w:val="003964FD"/>
    <w:rsid w:val="0039659F"/>
    <w:rsid w:val="0039732E"/>
    <w:rsid w:val="003973D9"/>
    <w:rsid w:val="00397F0A"/>
    <w:rsid w:val="003A0BFA"/>
    <w:rsid w:val="003A1CD9"/>
    <w:rsid w:val="003A2392"/>
    <w:rsid w:val="003A2CD9"/>
    <w:rsid w:val="003A5103"/>
    <w:rsid w:val="003A6800"/>
    <w:rsid w:val="003A7197"/>
    <w:rsid w:val="003A79C8"/>
    <w:rsid w:val="003B3B7A"/>
    <w:rsid w:val="003B4A5A"/>
    <w:rsid w:val="003B4E79"/>
    <w:rsid w:val="003B66DA"/>
    <w:rsid w:val="003B6C31"/>
    <w:rsid w:val="003B7E5E"/>
    <w:rsid w:val="003C290D"/>
    <w:rsid w:val="003C2D1C"/>
    <w:rsid w:val="003C3116"/>
    <w:rsid w:val="003C32E4"/>
    <w:rsid w:val="003C5AC4"/>
    <w:rsid w:val="003C68A8"/>
    <w:rsid w:val="003C6D87"/>
    <w:rsid w:val="003C7465"/>
    <w:rsid w:val="003C799C"/>
    <w:rsid w:val="003C7DE8"/>
    <w:rsid w:val="003D0C79"/>
    <w:rsid w:val="003D2B86"/>
    <w:rsid w:val="003E06D5"/>
    <w:rsid w:val="003E14BD"/>
    <w:rsid w:val="003E3026"/>
    <w:rsid w:val="003E39EE"/>
    <w:rsid w:val="003E5F81"/>
    <w:rsid w:val="003E701D"/>
    <w:rsid w:val="003E783D"/>
    <w:rsid w:val="003F0232"/>
    <w:rsid w:val="003F09C4"/>
    <w:rsid w:val="003F0C8F"/>
    <w:rsid w:val="003F176D"/>
    <w:rsid w:val="003F2862"/>
    <w:rsid w:val="003F31A4"/>
    <w:rsid w:val="003F407A"/>
    <w:rsid w:val="003F58B7"/>
    <w:rsid w:val="00400B01"/>
    <w:rsid w:val="00401BE6"/>
    <w:rsid w:val="00402849"/>
    <w:rsid w:val="004038D6"/>
    <w:rsid w:val="00403C15"/>
    <w:rsid w:val="00406413"/>
    <w:rsid w:val="0040738D"/>
    <w:rsid w:val="00407C2B"/>
    <w:rsid w:val="00410C86"/>
    <w:rsid w:val="004110EF"/>
    <w:rsid w:val="004116FF"/>
    <w:rsid w:val="004125F2"/>
    <w:rsid w:val="00413E57"/>
    <w:rsid w:val="0041452E"/>
    <w:rsid w:val="004151AF"/>
    <w:rsid w:val="00417618"/>
    <w:rsid w:val="00417C68"/>
    <w:rsid w:val="0042186A"/>
    <w:rsid w:val="004236C9"/>
    <w:rsid w:val="00423EE4"/>
    <w:rsid w:val="004253B1"/>
    <w:rsid w:val="00426320"/>
    <w:rsid w:val="00426676"/>
    <w:rsid w:val="004270EC"/>
    <w:rsid w:val="00431885"/>
    <w:rsid w:val="00434F15"/>
    <w:rsid w:val="004355E4"/>
    <w:rsid w:val="004373EC"/>
    <w:rsid w:val="00441460"/>
    <w:rsid w:val="00441584"/>
    <w:rsid w:val="00441A1C"/>
    <w:rsid w:val="00441A89"/>
    <w:rsid w:val="00442E83"/>
    <w:rsid w:val="00443080"/>
    <w:rsid w:val="004442F4"/>
    <w:rsid w:val="004446F3"/>
    <w:rsid w:val="00444AC2"/>
    <w:rsid w:val="00444D59"/>
    <w:rsid w:val="00445B75"/>
    <w:rsid w:val="00450247"/>
    <w:rsid w:val="00450BEB"/>
    <w:rsid w:val="00450C16"/>
    <w:rsid w:val="004525B9"/>
    <w:rsid w:val="0045351F"/>
    <w:rsid w:val="00454CC4"/>
    <w:rsid w:val="004579F7"/>
    <w:rsid w:val="00460296"/>
    <w:rsid w:val="004614BF"/>
    <w:rsid w:val="00461EEB"/>
    <w:rsid w:val="00465C4D"/>
    <w:rsid w:val="004709F0"/>
    <w:rsid w:val="00470E52"/>
    <w:rsid w:val="00472205"/>
    <w:rsid w:val="0047284F"/>
    <w:rsid w:val="00472E31"/>
    <w:rsid w:val="004734D7"/>
    <w:rsid w:val="00473FA3"/>
    <w:rsid w:val="0047488D"/>
    <w:rsid w:val="00474E05"/>
    <w:rsid w:val="004763B9"/>
    <w:rsid w:val="00476B1B"/>
    <w:rsid w:val="00477524"/>
    <w:rsid w:val="00477BD6"/>
    <w:rsid w:val="0048356E"/>
    <w:rsid w:val="004854DE"/>
    <w:rsid w:val="00486412"/>
    <w:rsid w:val="0048734F"/>
    <w:rsid w:val="00487861"/>
    <w:rsid w:val="00491563"/>
    <w:rsid w:val="0049459D"/>
    <w:rsid w:val="004946AC"/>
    <w:rsid w:val="00494DA8"/>
    <w:rsid w:val="004971CC"/>
    <w:rsid w:val="00497C8F"/>
    <w:rsid w:val="004A1885"/>
    <w:rsid w:val="004A44AF"/>
    <w:rsid w:val="004B0E8B"/>
    <w:rsid w:val="004B190E"/>
    <w:rsid w:val="004B198D"/>
    <w:rsid w:val="004B1B31"/>
    <w:rsid w:val="004B268C"/>
    <w:rsid w:val="004B27E3"/>
    <w:rsid w:val="004B3003"/>
    <w:rsid w:val="004B374F"/>
    <w:rsid w:val="004B4AAE"/>
    <w:rsid w:val="004B5180"/>
    <w:rsid w:val="004B6F7B"/>
    <w:rsid w:val="004B7509"/>
    <w:rsid w:val="004B7BA2"/>
    <w:rsid w:val="004C1284"/>
    <w:rsid w:val="004C261C"/>
    <w:rsid w:val="004C27F6"/>
    <w:rsid w:val="004C310B"/>
    <w:rsid w:val="004C3E24"/>
    <w:rsid w:val="004C4A78"/>
    <w:rsid w:val="004C4C67"/>
    <w:rsid w:val="004C643B"/>
    <w:rsid w:val="004C69E5"/>
    <w:rsid w:val="004C72D0"/>
    <w:rsid w:val="004C78F7"/>
    <w:rsid w:val="004D031C"/>
    <w:rsid w:val="004D1E18"/>
    <w:rsid w:val="004D7408"/>
    <w:rsid w:val="004E0A46"/>
    <w:rsid w:val="004E0F8C"/>
    <w:rsid w:val="004E2485"/>
    <w:rsid w:val="004E259A"/>
    <w:rsid w:val="004E3BD2"/>
    <w:rsid w:val="004E3C90"/>
    <w:rsid w:val="004E610B"/>
    <w:rsid w:val="004E7E06"/>
    <w:rsid w:val="004F0732"/>
    <w:rsid w:val="004F0DF7"/>
    <w:rsid w:val="004F4855"/>
    <w:rsid w:val="004F4C10"/>
    <w:rsid w:val="004F52C1"/>
    <w:rsid w:val="004F5E30"/>
    <w:rsid w:val="004F5FA4"/>
    <w:rsid w:val="004F5FAD"/>
    <w:rsid w:val="004F776D"/>
    <w:rsid w:val="005037A3"/>
    <w:rsid w:val="005049C5"/>
    <w:rsid w:val="00510284"/>
    <w:rsid w:val="00511789"/>
    <w:rsid w:val="005126EF"/>
    <w:rsid w:val="005172FA"/>
    <w:rsid w:val="00520452"/>
    <w:rsid w:val="005233C5"/>
    <w:rsid w:val="005233EF"/>
    <w:rsid w:val="00524A08"/>
    <w:rsid w:val="0052639F"/>
    <w:rsid w:val="00527097"/>
    <w:rsid w:val="00527F66"/>
    <w:rsid w:val="00531CAD"/>
    <w:rsid w:val="00532FD9"/>
    <w:rsid w:val="00533180"/>
    <w:rsid w:val="00533983"/>
    <w:rsid w:val="00534750"/>
    <w:rsid w:val="005353F0"/>
    <w:rsid w:val="0053646F"/>
    <w:rsid w:val="00536ED4"/>
    <w:rsid w:val="0053700B"/>
    <w:rsid w:val="005378B0"/>
    <w:rsid w:val="00537A03"/>
    <w:rsid w:val="00543339"/>
    <w:rsid w:val="005442DC"/>
    <w:rsid w:val="00546915"/>
    <w:rsid w:val="0055132A"/>
    <w:rsid w:val="00551B45"/>
    <w:rsid w:val="00552178"/>
    <w:rsid w:val="0055378F"/>
    <w:rsid w:val="00562097"/>
    <w:rsid w:val="00562CB6"/>
    <w:rsid w:val="00563B4D"/>
    <w:rsid w:val="00567806"/>
    <w:rsid w:val="00571C39"/>
    <w:rsid w:val="005727A7"/>
    <w:rsid w:val="00572D51"/>
    <w:rsid w:val="00573420"/>
    <w:rsid w:val="00576758"/>
    <w:rsid w:val="00577641"/>
    <w:rsid w:val="00581D3D"/>
    <w:rsid w:val="00582F3F"/>
    <w:rsid w:val="005831FA"/>
    <w:rsid w:val="005848DE"/>
    <w:rsid w:val="00585747"/>
    <w:rsid w:val="0058794C"/>
    <w:rsid w:val="00587AD4"/>
    <w:rsid w:val="00587E62"/>
    <w:rsid w:val="00590840"/>
    <w:rsid w:val="00595CC9"/>
    <w:rsid w:val="00597D3A"/>
    <w:rsid w:val="005A1B2B"/>
    <w:rsid w:val="005A2A7B"/>
    <w:rsid w:val="005A2F13"/>
    <w:rsid w:val="005A38C3"/>
    <w:rsid w:val="005A55A9"/>
    <w:rsid w:val="005A6171"/>
    <w:rsid w:val="005A63F0"/>
    <w:rsid w:val="005A655B"/>
    <w:rsid w:val="005A737C"/>
    <w:rsid w:val="005A7B56"/>
    <w:rsid w:val="005A7D64"/>
    <w:rsid w:val="005B0CCF"/>
    <w:rsid w:val="005B5D2D"/>
    <w:rsid w:val="005B68D7"/>
    <w:rsid w:val="005C021E"/>
    <w:rsid w:val="005C134C"/>
    <w:rsid w:val="005C1423"/>
    <w:rsid w:val="005C2E27"/>
    <w:rsid w:val="005C3F0B"/>
    <w:rsid w:val="005C5A5A"/>
    <w:rsid w:val="005D3A52"/>
    <w:rsid w:val="005D3EBE"/>
    <w:rsid w:val="005D490C"/>
    <w:rsid w:val="005D5889"/>
    <w:rsid w:val="005D7074"/>
    <w:rsid w:val="005D74B1"/>
    <w:rsid w:val="005D797B"/>
    <w:rsid w:val="005D7CA4"/>
    <w:rsid w:val="005E0219"/>
    <w:rsid w:val="005E0343"/>
    <w:rsid w:val="005E2067"/>
    <w:rsid w:val="005E42CE"/>
    <w:rsid w:val="005E43EA"/>
    <w:rsid w:val="005E4C50"/>
    <w:rsid w:val="005F295C"/>
    <w:rsid w:val="005F2A1F"/>
    <w:rsid w:val="005F45AE"/>
    <w:rsid w:val="005F57AF"/>
    <w:rsid w:val="005F6353"/>
    <w:rsid w:val="00606692"/>
    <w:rsid w:val="00606708"/>
    <w:rsid w:val="00606F86"/>
    <w:rsid w:val="00607D43"/>
    <w:rsid w:val="006100FE"/>
    <w:rsid w:val="00610CBE"/>
    <w:rsid w:val="00611435"/>
    <w:rsid w:val="00613D2F"/>
    <w:rsid w:val="00613DC1"/>
    <w:rsid w:val="006142F4"/>
    <w:rsid w:val="00614463"/>
    <w:rsid w:val="00614D4D"/>
    <w:rsid w:val="006159CA"/>
    <w:rsid w:val="00616DFA"/>
    <w:rsid w:val="006226A1"/>
    <w:rsid w:val="006236CD"/>
    <w:rsid w:val="0062560C"/>
    <w:rsid w:val="00630674"/>
    <w:rsid w:val="00637060"/>
    <w:rsid w:val="00637485"/>
    <w:rsid w:val="00640429"/>
    <w:rsid w:val="0064104F"/>
    <w:rsid w:val="00641EC6"/>
    <w:rsid w:val="00642AC6"/>
    <w:rsid w:val="00643343"/>
    <w:rsid w:val="006443CE"/>
    <w:rsid w:val="00645779"/>
    <w:rsid w:val="00647356"/>
    <w:rsid w:val="0065090B"/>
    <w:rsid w:val="006525FC"/>
    <w:rsid w:val="00652B90"/>
    <w:rsid w:val="00652CF0"/>
    <w:rsid w:val="00653813"/>
    <w:rsid w:val="00653B00"/>
    <w:rsid w:val="00654482"/>
    <w:rsid w:val="00654B50"/>
    <w:rsid w:val="006551F3"/>
    <w:rsid w:val="006558A5"/>
    <w:rsid w:val="00656D92"/>
    <w:rsid w:val="006570D8"/>
    <w:rsid w:val="006607B8"/>
    <w:rsid w:val="00661D00"/>
    <w:rsid w:val="00662019"/>
    <w:rsid w:val="006621EF"/>
    <w:rsid w:val="00662321"/>
    <w:rsid w:val="006628B8"/>
    <w:rsid w:val="006645FB"/>
    <w:rsid w:val="00664CF6"/>
    <w:rsid w:val="00666118"/>
    <w:rsid w:val="00670DDF"/>
    <w:rsid w:val="006716E5"/>
    <w:rsid w:val="006716FD"/>
    <w:rsid w:val="006723FE"/>
    <w:rsid w:val="00673298"/>
    <w:rsid w:val="006732CF"/>
    <w:rsid w:val="00681987"/>
    <w:rsid w:val="006819E3"/>
    <w:rsid w:val="0068287D"/>
    <w:rsid w:val="00682A99"/>
    <w:rsid w:val="006830C3"/>
    <w:rsid w:val="006844D7"/>
    <w:rsid w:val="00687086"/>
    <w:rsid w:val="006875D6"/>
    <w:rsid w:val="0069344E"/>
    <w:rsid w:val="00694206"/>
    <w:rsid w:val="00694F55"/>
    <w:rsid w:val="006A0668"/>
    <w:rsid w:val="006A1D95"/>
    <w:rsid w:val="006A3499"/>
    <w:rsid w:val="006A4AD3"/>
    <w:rsid w:val="006A4FDB"/>
    <w:rsid w:val="006B0347"/>
    <w:rsid w:val="006B098C"/>
    <w:rsid w:val="006B1382"/>
    <w:rsid w:val="006B2AE5"/>
    <w:rsid w:val="006B4E54"/>
    <w:rsid w:val="006B5B1A"/>
    <w:rsid w:val="006B5DBF"/>
    <w:rsid w:val="006C14E4"/>
    <w:rsid w:val="006C18F8"/>
    <w:rsid w:val="006C1E03"/>
    <w:rsid w:val="006C22CF"/>
    <w:rsid w:val="006C4580"/>
    <w:rsid w:val="006D1155"/>
    <w:rsid w:val="006D219B"/>
    <w:rsid w:val="006D3190"/>
    <w:rsid w:val="006D465B"/>
    <w:rsid w:val="006D521B"/>
    <w:rsid w:val="006D6B4F"/>
    <w:rsid w:val="006E0AB8"/>
    <w:rsid w:val="006E1DF0"/>
    <w:rsid w:val="006E2F92"/>
    <w:rsid w:val="006E4742"/>
    <w:rsid w:val="006E58EE"/>
    <w:rsid w:val="006E7468"/>
    <w:rsid w:val="006F13CE"/>
    <w:rsid w:val="006F41DB"/>
    <w:rsid w:val="006F54F1"/>
    <w:rsid w:val="00701FFD"/>
    <w:rsid w:val="00703D59"/>
    <w:rsid w:val="0070449C"/>
    <w:rsid w:val="007062EF"/>
    <w:rsid w:val="00707BFF"/>
    <w:rsid w:val="00711ECB"/>
    <w:rsid w:val="00713B7E"/>
    <w:rsid w:val="00715155"/>
    <w:rsid w:val="0071521A"/>
    <w:rsid w:val="00715A8C"/>
    <w:rsid w:val="00717280"/>
    <w:rsid w:val="00717B7C"/>
    <w:rsid w:val="0072094B"/>
    <w:rsid w:val="0072324E"/>
    <w:rsid w:val="0072497F"/>
    <w:rsid w:val="00727F6D"/>
    <w:rsid w:val="00731DA3"/>
    <w:rsid w:val="007441AE"/>
    <w:rsid w:val="00744EE2"/>
    <w:rsid w:val="0074544F"/>
    <w:rsid w:val="00746109"/>
    <w:rsid w:val="00746C6C"/>
    <w:rsid w:val="0075046C"/>
    <w:rsid w:val="00750CBD"/>
    <w:rsid w:val="0075227D"/>
    <w:rsid w:val="007539ED"/>
    <w:rsid w:val="0075488B"/>
    <w:rsid w:val="007554E1"/>
    <w:rsid w:val="00756FF0"/>
    <w:rsid w:val="0075741C"/>
    <w:rsid w:val="00757D70"/>
    <w:rsid w:val="00757ECD"/>
    <w:rsid w:val="00760C90"/>
    <w:rsid w:val="00760CF4"/>
    <w:rsid w:val="007626D1"/>
    <w:rsid w:val="00762881"/>
    <w:rsid w:val="0076400B"/>
    <w:rsid w:val="00764912"/>
    <w:rsid w:val="00764FC9"/>
    <w:rsid w:val="00765252"/>
    <w:rsid w:val="0076590A"/>
    <w:rsid w:val="00771205"/>
    <w:rsid w:val="00773391"/>
    <w:rsid w:val="007738F4"/>
    <w:rsid w:val="007742D8"/>
    <w:rsid w:val="00776664"/>
    <w:rsid w:val="00776935"/>
    <w:rsid w:val="00781700"/>
    <w:rsid w:val="007831A6"/>
    <w:rsid w:val="00786592"/>
    <w:rsid w:val="0078740A"/>
    <w:rsid w:val="00790D86"/>
    <w:rsid w:val="00791C75"/>
    <w:rsid w:val="0079414D"/>
    <w:rsid w:val="007952D8"/>
    <w:rsid w:val="007979E4"/>
    <w:rsid w:val="00797CCB"/>
    <w:rsid w:val="007A1AF8"/>
    <w:rsid w:val="007A2D0D"/>
    <w:rsid w:val="007A31A7"/>
    <w:rsid w:val="007A3477"/>
    <w:rsid w:val="007A3B51"/>
    <w:rsid w:val="007A3C02"/>
    <w:rsid w:val="007A4966"/>
    <w:rsid w:val="007A694F"/>
    <w:rsid w:val="007B3DB6"/>
    <w:rsid w:val="007B59F0"/>
    <w:rsid w:val="007B5FEA"/>
    <w:rsid w:val="007C0E27"/>
    <w:rsid w:val="007C2F35"/>
    <w:rsid w:val="007C5EBA"/>
    <w:rsid w:val="007C7C1B"/>
    <w:rsid w:val="007D072E"/>
    <w:rsid w:val="007D1314"/>
    <w:rsid w:val="007D2D7C"/>
    <w:rsid w:val="007D6020"/>
    <w:rsid w:val="007D7A55"/>
    <w:rsid w:val="007E0624"/>
    <w:rsid w:val="007E249C"/>
    <w:rsid w:val="007E2A56"/>
    <w:rsid w:val="007E555A"/>
    <w:rsid w:val="007E5FFC"/>
    <w:rsid w:val="007E6342"/>
    <w:rsid w:val="007F0BA8"/>
    <w:rsid w:val="007F1415"/>
    <w:rsid w:val="007F21C9"/>
    <w:rsid w:val="007F2921"/>
    <w:rsid w:val="007F45F5"/>
    <w:rsid w:val="007F4C3C"/>
    <w:rsid w:val="007F7070"/>
    <w:rsid w:val="007F7C98"/>
    <w:rsid w:val="007F7E7C"/>
    <w:rsid w:val="00802929"/>
    <w:rsid w:val="008037EC"/>
    <w:rsid w:val="00804A04"/>
    <w:rsid w:val="00810D00"/>
    <w:rsid w:val="00810DD2"/>
    <w:rsid w:val="0081339F"/>
    <w:rsid w:val="00813E4F"/>
    <w:rsid w:val="00814141"/>
    <w:rsid w:val="00814F67"/>
    <w:rsid w:val="00815958"/>
    <w:rsid w:val="008163C9"/>
    <w:rsid w:val="00816F9A"/>
    <w:rsid w:val="00817567"/>
    <w:rsid w:val="00821896"/>
    <w:rsid w:val="0082294E"/>
    <w:rsid w:val="00822D37"/>
    <w:rsid w:val="008244B2"/>
    <w:rsid w:val="008251D0"/>
    <w:rsid w:val="0082616E"/>
    <w:rsid w:val="00831796"/>
    <w:rsid w:val="00832342"/>
    <w:rsid w:val="00833668"/>
    <w:rsid w:val="008349A4"/>
    <w:rsid w:val="00834F25"/>
    <w:rsid w:val="00836948"/>
    <w:rsid w:val="00836D7A"/>
    <w:rsid w:val="008405D9"/>
    <w:rsid w:val="00844A9C"/>
    <w:rsid w:val="0084522D"/>
    <w:rsid w:val="008459E1"/>
    <w:rsid w:val="008465F9"/>
    <w:rsid w:val="00847209"/>
    <w:rsid w:val="00847A63"/>
    <w:rsid w:val="0085095E"/>
    <w:rsid w:val="00851A61"/>
    <w:rsid w:val="00851CF2"/>
    <w:rsid w:val="008527FF"/>
    <w:rsid w:val="008564D6"/>
    <w:rsid w:val="00857EF6"/>
    <w:rsid w:val="00861C03"/>
    <w:rsid w:val="00862536"/>
    <w:rsid w:val="00862866"/>
    <w:rsid w:val="00863243"/>
    <w:rsid w:val="008640C6"/>
    <w:rsid w:val="0086484A"/>
    <w:rsid w:val="00865AC6"/>
    <w:rsid w:val="00866C45"/>
    <w:rsid w:val="008700E3"/>
    <w:rsid w:val="008736F4"/>
    <w:rsid w:val="00874B16"/>
    <w:rsid w:val="008760F5"/>
    <w:rsid w:val="00877139"/>
    <w:rsid w:val="0088459E"/>
    <w:rsid w:val="0088490F"/>
    <w:rsid w:val="008859FC"/>
    <w:rsid w:val="00887007"/>
    <w:rsid w:val="00890FCB"/>
    <w:rsid w:val="008939BF"/>
    <w:rsid w:val="00894617"/>
    <w:rsid w:val="00894BD4"/>
    <w:rsid w:val="008A02DA"/>
    <w:rsid w:val="008A0C05"/>
    <w:rsid w:val="008A2189"/>
    <w:rsid w:val="008A2253"/>
    <w:rsid w:val="008A3078"/>
    <w:rsid w:val="008A45DB"/>
    <w:rsid w:val="008A55BA"/>
    <w:rsid w:val="008A5EDB"/>
    <w:rsid w:val="008A7ED3"/>
    <w:rsid w:val="008B0F0F"/>
    <w:rsid w:val="008B11B4"/>
    <w:rsid w:val="008B518D"/>
    <w:rsid w:val="008B52C8"/>
    <w:rsid w:val="008C2F5F"/>
    <w:rsid w:val="008C3983"/>
    <w:rsid w:val="008C69C4"/>
    <w:rsid w:val="008D6EA4"/>
    <w:rsid w:val="008D7FCB"/>
    <w:rsid w:val="008E0D97"/>
    <w:rsid w:val="008E1D95"/>
    <w:rsid w:val="008E4C1B"/>
    <w:rsid w:val="008E662B"/>
    <w:rsid w:val="008E7BE1"/>
    <w:rsid w:val="008F2E89"/>
    <w:rsid w:val="008F484C"/>
    <w:rsid w:val="008F5A6A"/>
    <w:rsid w:val="008F7FED"/>
    <w:rsid w:val="00901513"/>
    <w:rsid w:val="00903053"/>
    <w:rsid w:val="00905BD5"/>
    <w:rsid w:val="00905E8F"/>
    <w:rsid w:val="00907233"/>
    <w:rsid w:val="009079F2"/>
    <w:rsid w:val="00910BEF"/>
    <w:rsid w:val="00912DB9"/>
    <w:rsid w:val="00913907"/>
    <w:rsid w:val="00913FC3"/>
    <w:rsid w:val="009158C2"/>
    <w:rsid w:val="00916370"/>
    <w:rsid w:val="00916FF4"/>
    <w:rsid w:val="0091717E"/>
    <w:rsid w:val="00921744"/>
    <w:rsid w:val="00922A87"/>
    <w:rsid w:val="00922CF0"/>
    <w:rsid w:val="00922EA1"/>
    <w:rsid w:val="00923205"/>
    <w:rsid w:val="009235A0"/>
    <w:rsid w:val="009239FC"/>
    <w:rsid w:val="00925153"/>
    <w:rsid w:val="00926484"/>
    <w:rsid w:val="00927242"/>
    <w:rsid w:val="00930422"/>
    <w:rsid w:val="00932DFD"/>
    <w:rsid w:val="00933703"/>
    <w:rsid w:val="00933DF7"/>
    <w:rsid w:val="009342E6"/>
    <w:rsid w:val="00934509"/>
    <w:rsid w:val="009349F2"/>
    <w:rsid w:val="009402DC"/>
    <w:rsid w:val="00941014"/>
    <w:rsid w:val="00941136"/>
    <w:rsid w:val="00941B72"/>
    <w:rsid w:val="00942E91"/>
    <w:rsid w:val="00942F49"/>
    <w:rsid w:val="00944C64"/>
    <w:rsid w:val="009455DA"/>
    <w:rsid w:val="009457FF"/>
    <w:rsid w:val="00946113"/>
    <w:rsid w:val="00946595"/>
    <w:rsid w:val="0095116F"/>
    <w:rsid w:val="00953DA9"/>
    <w:rsid w:val="00954191"/>
    <w:rsid w:val="0095433D"/>
    <w:rsid w:val="0095488B"/>
    <w:rsid w:val="009577B9"/>
    <w:rsid w:val="00957912"/>
    <w:rsid w:val="009604F6"/>
    <w:rsid w:val="009609A0"/>
    <w:rsid w:val="00963A65"/>
    <w:rsid w:val="009674B6"/>
    <w:rsid w:val="00971BF4"/>
    <w:rsid w:val="00973083"/>
    <w:rsid w:val="00974221"/>
    <w:rsid w:val="00974569"/>
    <w:rsid w:val="00974DFE"/>
    <w:rsid w:val="00975C0E"/>
    <w:rsid w:val="0097769D"/>
    <w:rsid w:val="00977900"/>
    <w:rsid w:val="00980D77"/>
    <w:rsid w:val="00981C3D"/>
    <w:rsid w:val="00982011"/>
    <w:rsid w:val="00982641"/>
    <w:rsid w:val="009836D3"/>
    <w:rsid w:val="00984587"/>
    <w:rsid w:val="00984BAE"/>
    <w:rsid w:val="00985EB1"/>
    <w:rsid w:val="0098619F"/>
    <w:rsid w:val="00986A41"/>
    <w:rsid w:val="00990EE2"/>
    <w:rsid w:val="00992EC2"/>
    <w:rsid w:val="00993ADC"/>
    <w:rsid w:val="00994208"/>
    <w:rsid w:val="00994BF7"/>
    <w:rsid w:val="00995C77"/>
    <w:rsid w:val="00995CD4"/>
    <w:rsid w:val="009A2D39"/>
    <w:rsid w:val="009A3F7F"/>
    <w:rsid w:val="009A6121"/>
    <w:rsid w:val="009B05F7"/>
    <w:rsid w:val="009B06D0"/>
    <w:rsid w:val="009B0E2E"/>
    <w:rsid w:val="009B1263"/>
    <w:rsid w:val="009B546D"/>
    <w:rsid w:val="009C1E64"/>
    <w:rsid w:val="009C3173"/>
    <w:rsid w:val="009C3C00"/>
    <w:rsid w:val="009C5ED2"/>
    <w:rsid w:val="009C5F3D"/>
    <w:rsid w:val="009C5F9A"/>
    <w:rsid w:val="009C76BF"/>
    <w:rsid w:val="009D0241"/>
    <w:rsid w:val="009D27F3"/>
    <w:rsid w:val="009D54B3"/>
    <w:rsid w:val="009D5DEC"/>
    <w:rsid w:val="009D5FA9"/>
    <w:rsid w:val="009D7991"/>
    <w:rsid w:val="009E0741"/>
    <w:rsid w:val="009E4092"/>
    <w:rsid w:val="009E7070"/>
    <w:rsid w:val="009F21E9"/>
    <w:rsid w:val="009F443E"/>
    <w:rsid w:val="009F6EF8"/>
    <w:rsid w:val="009F6FF8"/>
    <w:rsid w:val="009F750F"/>
    <w:rsid w:val="00A039B6"/>
    <w:rsid w:val="00A06FD5"/>
    <w:rsid w:val="00A117E5"/>
    <w:rsid w:val="00A11B2C"/>
    <w:rsid w:val="00A11EC5"/>
    <w:rsid w:val="00A13D76"/>
    <w:rsid w:val="00A1504A"/>
    <w:rsid w:val="00A1519A"/>
    <w:rsid w:val="00A1524C"/>
    <w:rsid w:val="00A170D9"/>
    <w:rsid w:val="00A171BE"/>
    <w:rsid w:val="00A208DE"/>
    <w:rsid w:val="00A211BB"/>
    <w:rsid w:val="00A23E38"/>
    <w:rsid w:val="00A250DC"/>
    <w:rsid w:val="00A251E4"/>
    <w:rsid w:val="00A30B4F"/>
    <w:rsid w:val="00A30EBF"/>
    <w:rsid w:val="00A30EF0"/>
    <w:rsid w:val="00A312BA"/>
    <w:rsid w:val="00A331F0"/>
    <w:rsid w:val="00A33407"/>
    <w:rsid w:val="00A35706"/>
    <w:rsid w:val="00A35B20"/>
    <w:rsid w:val="00A3663A"/>
    <w:rsid w:val="00A378EF"/>
    <w:rsid w:val="00A400E4"/>
    <w:rsid w:val="00A403B4"/>
    <w:rsid w:val="00A40E60"/>
    <w:rsid w:val="00A41621"/>
    <w:rsid w:val="00A42D4F"/>
    <w:rsid w:val="00A43655"/>
    <w:rsid w:val="00A446A7"/>
    <w:rsid w:val="00A4568C"/>
    <w:rsid w:val="00A459DE"/>
    <w:rsid w:val="00A46B81"/>
    <w:rsid w:val="00A47866"/>
    <w:rsid w:val="00A5146C"/>
    <w:rsid w:val="00A51A73"/>
    <w:rsid w:val="00A51F56"/>
    <w:rsid w:val="00A531C8"/>
    <w:rsid w:val="00A55F10"/>
    <w:rsid w:val="00A5606F"/>
    <w:rsid w:val="00A56D6C"/>
    <w:rsid w:val="00A600AC"/>
    <w:rsid w:val="00A607BB"/>
    <w:rsid w:val="00A61B11"/>
    <w:rsid w:val="00A62A1B"/>
    <w:rsid w:val="00A64792"/>
    <w:rsid w:val="00A667D5"/>
    <w:rsid w:val="00A72FF6"/>
    <w:rsid w:val="00A73E92"/>
    <w:rsid w:val="00A74BFE"/>
    <w:rsid w:val="00A76860"/>
    <w:rsid w:val="00A77593"/>
    <w:rsid w:val="00A80356"/>
    <w:rsid w:val="00A80715"/>
    <w:rsid w:val="00A82FE5"/>
    <w:rsid w:val="00A83C55"/>
    <w:rsid w:val="00A849E5"/>
    <w:rsid w:val="00A85717"/>
    <w:rsid w:val="00A85F55"/>
    <w:rsid w:val="00A864D1"/>
    <w:rsid w:val="00A87AF7"/>
    <w:rsid w:val="00A9074E"/>
    <w:rsid w:val="00A91F61"/>
    <w:rsid w:val="00A92A54"/>
    <w:rsid w:val="00A94CAA"/>
    <w:rsid w:val="00A95958"/>
    <w:rsid w:val="00A95C9C"/>
    <w:rsid w:val="00AA057B"/>
    <w:rsid w:val="00AA33C7"/>
    <w:rsid w:val="00AA60D6"/>
    <w:rsid w:val="00AA68EB"/>
    <w:rsid w:val="00AB30C9"/>
    <w:rsid w:val="00AB3AB2"/>
    <w:rsid w:val="00AB43B0"/>
    <w:rsid w:val="00AB4B35"/>
    <w:rsid w:val="00AB6E95"/>
    <w:rsid w:val="00AB753F"/>
    <w:rsid w:val="00AC1406"/>
    <w:rsid w:val="00AC1581"/>
    <w:rsid w:val="00AC2938"/>
    <w:rsid w:val="00AC2F2A"/>
    <w:rsid w:val="00AC3467"/>
    <w:rsid w:val="00AC66B3"/>
    <w:rsid w:val="00AC6D36"/>
    <w:rsid w:val="00AC7429"/>
    <w:rsid w:val="00AD2072"/>
    <w:rsid w:val="00AD2962"/>
    <w:rsid w:val="00AD736E"/>
    <w:rsid w:val="00AE0B1B"/>
    <w:rsid w:val="00AE1D03"/>
    <w:rsid w:val="00AE2391"/>
    <w:rsid w:val="00AE5D63"/>
    <w:rsid w:val="00AE711B"/>
    <w:rsid w:val="00AE74CE"/>
    <w:rsid w:val="00AF146C"/>
    <w:rsid w:val="00AF454A"/>
    <w:rsid w:val="00AF4D16"/>
    <w:rsid w:val="00AF60A1"/>
    <w:rsid w:val="00AF6204"/>
    <w:rsid w:val="00AF7147"/>
    <w:rsid w:val="00AF784C"/>
    <w:rsid w:val="00B009E8"/>
    <w:rsid w:val="00B01149"/>
    <w:rsid w:val="00B01BBF"/>
    <w:rsid w:val="00B04BB7"/>
    <w:rsid w:val="00B072D1"/>
    <w:rsid w:val="00B1011F"/>
    <w:rsid w:val="00B10CBE"/>
    <w:rsid w:val="00B126D4"/>
    <w:rsid w:val="00B154C7"/>
    <w:rsid w:val="00B16AE7"/>
    <w:rsid w:val="00B1742A"/>
    <w:rsid w:val="00B204FC"/>
    <w:rsid w:val="00B21D98"/>
    <w:rsid w:val="00B2390A"/>
    <w:rsid w:val="00B23A63"/>
    <w:rsid w:val="00B241C6"/>
    <w:rsid w:val="00B309D8"/>
    <w:rsid w:val="00B33848"/>
    <w:rsid w:val="00B33D39"/>
    <w:rsid w:val="00B357A5"/>
    <w:rsid w:val="00B40767"/>
    <w:rsid w:val="00B44FD9"/>
    <w:rsid w:val="00B45E82"/>
    <w:rsid w:val="00B50A34"/>
    <w:rsid w:val="00B51508"/>
    <w:rsid w:val="00B51945"/>
    <w:rsid w:val="00B5379E"/>
    <w:rsid w:val="00B54E38"/>
    <w:rsid w:val="00B55A33"/>
    <w:rsid w:val="00B55A9A"/>
    <w:rsid w:val="00B5721B"/>
    <w:rsid w:val="00B621C5"/>
    <w:rsid w:val="00B6452C"/>
    <w:rsid w:val="00B656D7"/>
    <w:rsid w:val="00B65B9E"/>
    <w:rsid w:val="00B65BEB"/>
    <w:rsid w:val="00B65E0C"/>
    <w:rsid w:val="00B65E63"/>
    <w:rsid w:val="00B67A56"/>
    <w:rsid w:val="00B70B6E"/>
    <w:rsid w:val="00B7306D"/>
    <w:rsid w:val="00B7450B"/>
    <w:rsid w:val="00B74D54"/>
    <w:rsid w:val="00B74DF9"/>
    <w:rsid w:val="00B7581D"/>
    <w:rsid w:val="00B77791"/>
    <w:rsid w:val="00B81B05"/>
    <w:rsid w:val="00B82C17"/>
    <w:rsid w:val="00B83309"/>
    <w:rsid w:val="00B85B98"/>
    <w:rsid w:val="00B9394B"/>
    <w:rsid w:val="00B94B27"/>
    <w:rsid w:val="00B94BE9"/>
    <w:rsid w:val="00B97665"/>
    <w:rsid w:val="00BA0AF0"/>
    <w:rsid w:val="00BA138C"/>
    <w:rsid w:val="00BA3701"/>
    <w:rsid w:val="00BA3AA1"/>
    <w:rsid w:val="00BA66B0"/>
    <w:rsid w:val="00BA773B"/>
    <w:rsid w:val="00BA7B1A"/>
    <w:rsid w:val="00BA7D2E"/>
    <w:rsid w:val="00BB17D8"/>
    <w:rsid w:val="00BB2084"/>
    <w:rsid w:val="00BB211D"/>
    <w:rsid w:val="00BB567A"/>
    <w:rsid w:val="00BB591F"/>
    <w:rsid w:val="00BB5D70"/>
    <w:rsid w:val="00BB7B77"/>
    <w:rsid w:val="00BB7C07"/>
    <w:rsid w:val="00BC06ED"/>
    <w:rsid w:val="00BC0B49"/>
    <w:rsid w:val="00BC2C5C"/>
    <w:rsid w:val="00BC390D"/>
    <w:rsid w:val="00BC5E3D"/>
    <w:rsid w:val="00BC6FEC"/>
    <w:rsid w:val="00BD0EFF"/>
    <w:rsid w:val="00BD1CAF"/>
    <w:rsid w:val="00BD4A96"/>
    <w:rsid w:val="00BD5F80"/>
    <w:rsid w:val="00BE0462"/>
    <w:rsid w:val="00BE04E8"/>
    <w:rsid w:val="00BE0A23"/>
    <w:rsid w:val="00BE15DA"/>
    <w:rsid w:val="00BE1A2B"/>
    <w:rsid w:val="00BE5565"/>
    <w:rsid w:val="00BE5921"/>
    <w:rsid w:val="00BE63CB"/>
    <w:rsid w:val="00BE66C7"/>
    <w:rsid w:val="00BF069A"/>
    <w:rsid w:val="00BF093E"/>
    <w:rsid w:val="00BF11E6"/>
    <w:rsid w:val="00BF7459"/>
    <w:rsid w:val="00C017C0"/>
    <w:rsid w:val="00C044E1"/>
    <w:rsid w:val="00C04EEF"/>
    <w:rsid w:val="00C10C1F"/>
    <w:rsid w:val="00C11709"/>
    <w:rsid w:val="00C11F1D"/>
    <w:rsid w:val="00C1367D"/>
    <w:rsid w:val="00C16521"/>
    <w:rsid w:val="00C16A2B"/>
    <w:rsid w:val="00C173D1"/>
    <w:rsid w:val="00C17B1A"/>
    <w:rsid w:val="00C200EC"/>
    <w:rsid w:val="00C2090A"/>
    <w:rsid w:val="00C20E71"/>
    <w:rsid w:val="00C22938"/>
    <w:rsid w:val="00C240E9"/>
    <w:rsid w:val="00C25DF4"/>
    <w:rsid w:val="00C26EBB"/>
    <w:rsid w:val="00C274EE"/>
    <w:rsid w:val="00C31C62"/>
    <w:rsid w:val="00C324BB"/>
    <w:rsid w:val="00C33305"/>
    <w:rsid w:val="00C33C42"/>
    <w:rsid w:val="00C35527"/>
    <w:rsid w:val="00C3571A"/>
    <w:rsid w:val="00C35D45"/>
    <w:rsid w:val="00C36140"/>
    <w:rsid w:val="00C36215"/>
    <w:rsid w:val="00C37333"/>
    <w:rsid w:val="00C40A29"/>
    <w:rsid w:val="00C428E2"/>
    <w:rsid w:val="00C432B5"/>
    <w:rsid w:val="00C43882"/>
    <w:rsid w:val="00C477C6"/>
    <w:rsid w:val="00C500A1"/>
    <w:rsid w:val="00C508CC"/>
    <w:rsid w:val="00C54EB0"/>
    <w:rsid w:val="00C624BE"/>
    <w:rsid w:val="00C6343D"/>
    <w:rsid w:val="00C63D61"/>
    <w:rsid w:val="00C646AB"/>
    <w:rsid w:val="00C650C8"/>
    <w:rsid w:val="00C67155"/>
    <w:rsid w:val="00C67CA1"/>
    <w:rsid w:val="00C71608"/>
    <w:rsid w:val="00C7257B"/>
    <w:rsid w:val="00C73FD0"/>
    <w:rsid w:val="00C7405B"/>
    <w:rsid w:val="00C74329"/>
    <w:rsid w:val="00C750BD"/>
    <w:rsid w:val="00C776B7"/>
    <w:rsid w:val="00C82BE6"/>
    <w:rsid w:val="00C83685"/>
    <w:rsid w:val="00C838FC"/>
    <w:rsid w:val="00C84164"/>
    <w:rsid w:val="00C854E2"/>
    <w:rsid w:val="00C858B4"/>
    <w:rsid w:val="00C85B49"/>
    <w:rsid w:val="00C92B05"/>
    <w:rsid w:val="00C93F18"/>
    <w:rsid w:val="00C9485A"/>
    <w:rsid w:val="00CA0276"/>
    <w:rsid w:val="00CA0751"/>
    <w:rsid w:val="00CA1116"/>
    <w:rsid w:val="00CA4F3B"/>
    <w:rsid w:val="00CA5064"/>
    <w:rsid w:val="00CB357B"/>
    <w:rsid w:val="00CB3760"/>
    <w:rsid w:val="00CB4968"/>
    <w:rsid w:val="00CB64EA"/>
    <w:rsid w:val="00CB6C3B"/>
    <w:rsid w:val="00CB76CD"/>
    <w:rsid w:val="00CB7EC7"/>
    <w:rsid w:val="00CC157D"/>
    <w:rsid w:val="00CC19A4"/>
    <w:rsid w:val="00CC4C61"/>
    <w:rsid w:val="00CC53C3"/>
    <w:rsid w:val="00CC634F"/>
    <w:rsid w:val="00CC6576"/>
    <w:rsid w:val="00CC6DDE"/>
    <w:rsid w:val="00CD0573"/>
    <w:rsid w:val="00CD0DAB"/>
    <w:rsid w:val="00CD2E15"/>
    <w:rsid w:val="00CD5D8C"/>
    <w:rsid w:val="00CD67A0"/>
    <w:rsid w:val="00CE1CAD"/>
    <w:rsid w:val="00CE4702"/>
    <w:rsid w:val="00CE6874"/>
    <w:rsid w:val="00CE69E1"/>
    <w:rsid w:val="00CF0B6B"/>
    <w:rsid w:val="00CF13A7"/>
    <w:rsid w:val="00CF54EB"/>
    <w:rsid w:val="00CF6411"/>
    <w:rsid w:val="00CF6517"/>
    <w:rsid w:val="00CF76C7"/>
    <w:rsid w:val="00D015D1"/>
    <w:rsid w:val="00D03E8D"/>
    <w:rsid w:val="00D0683F"/>
    <w:rsid w:val="00D106E4"/>
    <w:rsid w:val="00D11C5F"/>
    <w:rsid w:val="00D1524F"/>
    <w:rsid w:val="00D1754C"/>
    <w:rsid w:val="00D179E7"/>
    <w:rsid w:val="00D20510"/>
    <w:rsid w:val="00D21302"/>
    <w:rsid w:val="00D21482"/>
    <w:rsid w:val="00D216F5"/>
    <w:rsid w:val="00D24A44"/>
    <w:rsid w:val="00D25879"/>
    <w:rsid w:val="00D26CED"/>
    <w:rsid w:val="00D27AA5"/>
    <w:rsid w:val="00D27BAE"/>
    <w:rsid w:val="00D303B2"/>
    <w:rsid w:val="00D316A2"/>
    <w:rsid w:val="00D31E74"/>
    <w:rsid w:val="00D3239D"/>
    <w:rsid w:val="00D32627"/>
    <w:rsid w:val="00D425A1"/>
    <w:rsid w:val="00D42791"/>
    <w:rsid w:val="00D46851"/>
    <w:rsid w:val="00D46DC1"/>
    <w:rsid w:val="00D51A71"/>
    <w:rsid w:val="00D54A16"/>
    <w:rsid w:val="00D559D8"/>
    <w:rsid w:val="00D55E7E"/>
    <w:rsid w:val="00D5616F"/>
    <w:rsid w:val="00D57B4B"/>
    <w:rsid w:val="00D627E0"/>
    <w:rsid w:val="00D63FC6"/>
    <w:rsid w:val="00D648A7"/>
    <w:rsid w:val="00D64F9B"/>
    <w:rsid w:val="00D65AEE"/>
    <w:rsid w:val="00D65D17"/>
    <w:rsid w:val="00D70D20"/>
    <w:rsid w:val="00D7134C"/>
    <w:rsid w:val="00D73B15"/>
    <w:rsid w:val="00D76B2A"/>
    <w:rsid w:val="00D7725D"/>
    <w:rsid w:val="00D80028"/>
    <w:rsid w:val="00D8361A"/>
    <w:rsid w:val="00D850CE"/>
    <w:rsid w:val="00D8742E"/>
    <w:rsid w:val="00D875E8"/>
    <w:rsid w:val="00D919EC"/>
    <w:rsid w:val="00D942F6"/>
    <w:rsid w:val="00D95226"/>
    <w:rsid w:val="00DA19DD"/>
    <w:rsid w:val="00DA1FBF"/>
    <w:rsid w:val="00DA7538"/>
    <w:rsid w:val="00DA7973"/>
    <w:rsid w:val="00DB3152"/>
    <w:rsid w:val="00DB35B2"/>
    <w:rsid w:val="00DB55DD"/>
    <w:rsid w:val="00DB59C9"/>
    <w:rsid w:val="00DB5B24"/>
    <w:rsid w:val="00DC04C9"/>
    <w:rsid w:val="00DC12AE"/>
    <w:rsid w:val="00DC1B3A"/>
    <w:rsid w:val="00DC527D"/>
    <w:rsid w:val="00DC537A"/>
    <w:rsid w:val="00DC5EC8"/>
    <w:rsid w:val="00DC6667"/>
    <w:rsid w:val="00DC67A1"/>
    <w:rsid w:val="00DC7525"/>
    <w:rsid w:val="00DC7ABD"/>
    <w:rsid w:val="00DD0670"/>
    <w:rsid w:val="00DD0C7F"/>
    <w:rsid w:val="00DD1277"/>
    <w:rsid w:val="00DD2842"/>
    <w:rsid w:val="00DD32F9"/>
    <w:rsid w:val="00DD75DD"/>
    <w:rsid w:val="00DD7E5A"/>
    <w:rsid w:val="00DE2234"/>
    <w:rsid w:val="00DE2F94"/>
    <w:rsid w:val="00DE3114"/>
    <w:rsid w:val="00DE357C"/>
    <w:rsid w:val="00DE419F"/>
    <w:rsid w:val="00DE590C"/>
    <w:rsid w:val="00DF205D"/>
    <w:rsid w:val="00DF22F7"/>
    <w:rsid w:val="00DF7E78"/>
    <w:rsid w:val="00E02A4D"/>
    <w:rsid w:val="00E02E3B"/>
    <w:rsid w:val="00E06CAC"/>
    <w:rsid w:val="00E13B9A"/>
    <w:rsid w:val="00E14B13"/>
    <w:rsid w:val="00E20A2B"/>
    <w:rsid w:val="00E23107"/>
    <w:rsid w:val="00E23E48"/>
    <w:rsid w:val="00E265B7"/>
    <w:rsid w:val="00E27785"/>
    <w:rsid w:val="00E31FC1"/>
    <w:rsid w:val="00E327D2"/>
    <w:rsid w:val="00E334AF"/>
    <w:rsid w:val="00E34C19"/>
    <w:rsid w:val="00E405AB"/>
    <w:rsid w:val="00E427CC"/>
    <w:rsid w:val="00E42D70"/>
    <w:rsid w:val="00E44056"/>
    <w:rsid w:val="00E466AD"/>
    <w:rsid w:val="00E479C2"/>
    <w:rsid w:val="00E51631"/>
    <w:rsid w:val="00E539D3"/>
    <w:rsid w:val="00E53B19"/>
    <w:rsid w:val="00E54BB0"/>
    <w:rsid w:val="00E562D0"/>
    <w:rsid w:val="00E57C08"/>
    <w:rsid w:val="00E57F9B"/>
    <w:rsid w:val="00E6160A"/>
    <w:rsid w:val="00E653A5"/>
    <w:rsid w:val="00E6693D"/>
    <w:rsid w:val="00E70516"/>
    <w:rsid w:val="00E718A9"/>
    <w:rsid w:val="00E72119"/>
    <w:rsid w:val="00E73FA8"/>
    <w:rsid w:val="00E76DD0"/>
    <w:rsid w:val="00E80D5A"/>
    <w:rsid w:val="00E81058"/>
    <w:rsid w:val="00E8235C"/>
    <w:rsid w:val="00E8544C"/>
    <w:rsid w:val="00E8793E"/>
    <w:rsid w:val="00E87B40"/>
    <w:rsid w:val="00E90FC2"/>
    <w:rsid w:val="00E91341"/>
    <w:rsid w:val="00E91D4E"/>
    <w:rsid w:val="00E926DD"/>
    <w:rsid w:val="00E92C58"/>
    <w:rsid w:val="00E92C77"/>
    <w:rsid w:val="00E937AB"/>
    <w:rsid w:val="00E94C04"/>
    <w:rsid w:val="00EA1B51"/>
    <w:rsid w:val="00EA1E1C"/>
    <w:rsid w:val="00EA1E6A"/>
    <w:rsid w:val="00EA3F39"/>
    <w:rsid w:val="00EA3FB5"/>
    <w:rsid w:val="00EA4A12"/>
    <w:rsid w:val="00EA7E6C"/>
    <w:rsid w:val="00EB1F68"/>
    <w:rsid w:val="00EB22FC"/>
    <w:rsid w:val="00EB2BFE"/>
    <w:rsid w:val="00EB457F"/>
    <w:rsid w:val="00EB4ED3"/>
    <w:rsid w:val="00EC2D35"/>
    <w:rsid w:val="00EC3B85"/>
    <w:rsid w:val="00EC4DF1"/>
    <w:rsid w:val="00EC680E"/>
    <w:rsid w:val="00EC6E51"/>
    <w:rsid w:val="00ED0EDB"/>
    <w:rsid w:val="00ED11D3"/>
    <w:rsid w:val="00ED22F8"/>
    <w:rsid w:val="00ED4B7F"/>
    <w:rsid w:val="00ED5DD6"/>
    <w:rsid w:val="00ED77E1"/>
    <w:rsid w:val="00EE0988"/>
    <w:rsid w:val="00EE0CA4"/>
    <w:rsid w:val="00EE20E6"/>
    <w:rsid w:val="00EE4E1E"/>
    <w:rsid w:val="00EF0D73"/>
    <w:rsid w:val="00EF2E2D"/>
    <w:rsid w:val="00EF3328"/>
    <w:rsid w:val="00EF4D43"/>
    <w:rsid w:val="00EF5AF3"/>
    <w:rsid w:val="00EF712D"/>
    <w:rsid w:val="00EF7BEB"/>
    <w:rsid w:val="00EF7D13"/>
    <w:rsid w:val="00F0114A"/>
    <w:rsid w:val="00F0313D"/>
    <w:rsid w:val="00F1009A"/>
    <w:rsid w:val="00F12A0D"/>
    <w:rsid w:val="00F12B7D"/>
    <w:rsid w:val="00F147D6"/>
    <w:rsid w:val="00F14952"/>
    <w:rsid w:val="00F22E4A"/>
    <w:rsid w:val="00F2426A"/>
    <w:rsid w:val="00F254CC"/>
    <w:rsid w:val="00F2699C"/>
    <w:rsid w:val="00F26DC7"/>
    <w:rsid w:val="00F31782"/>
    <w:rsid w:val="00F35114"/>
    <w:rsid w:val="00F361AD"/>
    <w:rsid w:val="00F372EA"/>
    <w:rsid w:val="00F377F4"/>
    <w:rsid w:val="00F37AA0"/>
    <w:rsid w:val="00F40FB5"/>
    <w:rsid w:val="00F41A82"/>
    <w:rsid w:val="00F424F0"/>
    <w:rsid w:val="00F42BA2"/>
    <w:rsid w:val="00F436EF"/>
    <w:rsid w:val="00F4719B"/>
    <w:rsid w:val="00F47735"/>
    <w:rsid w:val="00F506BE"/>
    <w:rsid w:val="00F5077E"/>
    <w:rsid w:val="00F50F68"/>
    <w:rsid w:val="00F51225"/>
    <w:rsid w:val="00F53021"/>
    <w:rsid w:val="00F54A15"/>
    <w:rsid w:val="00F54DB8"/>
    <w:rsid w:val="00F572A3"/>
    <w:rsid w:val="00F57A40"/>
    <w:rsid w:val="00F57FC7"/>
    <w:rsid w:val="00F62B6A"/>
    <w:rsid w:val="00F634BF"/>
    <w:rsid w:val="00F637D7"/>
    <w:rsid w:val="00F64ECB"/>
    <w:rsid w:val="00F651A9"/>
    <w:rsid w:val="00F65338"/>
    <w:rsid w:val="00F65888"/>
    <w:rsid w:val="00F65F0E"/>
    <w:rsid w:val="00F72102"/>
    <w:rsid w:val="00F72DEC"/>
    <w:rsid w:val="00F731E0"/>
    <w:rsid w:val="00F74AAB"/>
    <w:rsid w:val="00F76224"/>
    <w:rsid w:val="00F768A5"/>
    <w:rsid w:val="00F814B1"/>
    <w:rsid w:val="00F81E20"/>
    <w:rsid w:val="00F83288"/>
    <w:rsid w:val="00F85678"/>
    <w:rsid w:val="00F85D73"/>
    <w:rsid w:val="00F86784"/>
    <w:rsid w:val="00F90FED"/>
    <w:rsid w:val="00F91056"/>
    <w:rsid w:val="00F95710"/>
    <w:rsid w:val="00F963D3"/>
    <w:rsid w:val="00FA0647"/>
    <w:rsid w:val="00FA3F87"/>
    <w:rsid w:val="00FA4428"/>
    <w:rsid w:val="00FA635E"/>
    <w:rsid w:val="00FA767C"/>
    <w:rsid w:val="00FA7AD0"/>
    <w:rsid w:val="00FB0A42"/>
    <w:rsid w:val="00FB1A42"/>
    <w:rsid w:val="00FB1FC3"/>
    <w:rsid w:val="00FB4F37"/>
    <w:rsid w:val="00FB79EB"/>
    <w:rsid w:val="00FC13F3"/>
    <w:rsid w:val="00FD086A"/>
    <w:rsid w:val="00FD0AF2"/>
    <w:rsid w:val="00FD1928"/>
    <w:rsid w:val="00FD221F"/>
    <w:rsid w:val="00FD2283"/>
    <w:rsid w:val="00FD580A"/>
    <w:rsid w:val="00FD6527"/>
    <w:rsid w:val="00FD712E"/>
    <w:rsid w:val="00FE09AA"/>
    <w:rsid w:val="00FE1033"/>
    <w:rsid w:val="00FE16B8"/>
    <w:rsid w:val="00FE38CD"/>
    <w:rsid w:val="00FE3D7A"/>
    <w:rsid w:val="00FE41EC"/>
    <w:rsid w:val="00FE4B4C"/>
    <w:rsid w:val="00FE5A2B"/>
    <w:rsid w:val="00FE635B"/>
    <w:rsid w:val="00FE7C69"/>
    <w:rsid w:val="00FF02E2"/>
    <w:rsid w:val="00FF1445"/>
    <w:rsid w:val="00FF1E85"/>
    <w:rsid w:val="00FF3CE7"/>
    <w:rsid w:val="00FF6BC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bidi="ar-SA"/>
    </w:rPr>
  </w:style>
  <w:style w:type="paragraph" w:styleId="Heading1">
    <w:name w:val="heading 1"/>
    <w:basedOn w:val="Normal"/>
    <w:next w:val="Text1"/>
    <w:link w:val="Heading1Char"/>
    <w:autoRedefine/>
    <w:qFormat/>
    <w:rsid w:val="00282ACA"/>
    <w:pPr>
      <w:keepNext/>
      <w:numPr>
        <w:ilvl w:val="1"/>
        <w:numId w:val="19"/>
      </w:numPr>
      <w:spacing w:before="240"/>
      <w:outlineLvl w:val="0"/>
    </w:pPr>
    <w:rPr>
      <w:b/>
      <w:smallCaps/>
      <w:szCs w:val="24"/>
    </w:rPr>
  </w:style>
  <w:style w:type="paragraph" w:styleId="Heading2">
    <w:name w:val="heading 2"/>
    <w:basedOn w:val="Heading1"/>
    <w:next w:val="Text2"/>
    <w:link w:val="Heading2Char"/>
    <w:qFormat/>
    <w:rsid w:val="00282ACA"/>
    <w:pPr>
      <w:outlineLvl w:val="1"/>
    </w:p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rsid w:val="00F57FC7"/>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rsid w:val="00F57FC7"/>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82ACA"/>
    <w:rPr>
      <w:b/>
      <w:smallCaps/>
      <w:sz w:val="24"/>
      <w:szCs w:val="24"/>
      <w:lang w:eastAsia="en-US" w:bidi="ar-SA"/>
    </w:rPr>
  </w:style>
  <w:style w:type="character" w:customStyle="1" w:styleId="Heading2Char">
    <w:name w:val="Heading 2 Char"/>
    <w:link w:val="Heading2"/>
    <w:rsid w:val="00282ACA"/>
    <w:rPr>
      <w:b/>
      <w:smallCaps/>
      <w:sz w:val="24"/>
      <w:szCs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 w:type="paragraph" w:styleId="Revision">
    <w:name w:val="Revision"/>
    <w:hidden/>
    <w:uiPriority w:val="99"/>
    <w:semiHidden/>
    <w:rsid w:val="0098619F"/>
    <w:rPr>
      <w:sz w:val="24"/>
      <w:lang w:eastAsia="en-US" w:bidi="ar-SA"/>
    </w:rPr>
  </w:style>
  <w:style w:type="paragraph" w:customStyle="1" w:styleId="doc-ti">
    <w:name w:val="doc-ti"/>
    <w:basedOn w:val="Normal"/>
    <w:rsid w:val="006E1DF0"/>
    <w:pPr>
      <w:spacing w:before="100" w:beforeAutospacing="1" w:after="100" w:afterAutospacing="1"/>
      <w:jc w:val="left"/>
    </w:pPr>
    <w:rPr>
      <w:szCs w:val="24"/>
      <w:lang w:eastAsia="en-GB"/>
    </w:rPr>
  </w:style>
  <w:style w:type="character" w:styleId="Emphasis">
    <w:name w:val="Emphasis"/>
    <w:basedOn w:val="DefaultParagraphFont"/>
    <w:uiPriority w:val="20"/>
    <w:qFormat/>
    <w:rsid w:val="00AE74CE"/>
    <w:rPr>
      <w:rFonts w:ascii="Times New Roman" w:hAnsi="Times New Roman" w:cs="Times New Roman" w:hint="default"/>
      <w:i/>
      <w:iCs/>
    </w:rPr>
  </w:style>
  <w:style w:type="paragraph" w:styleId="NormalWeb">
    <w:name w:val="Normal (Web)"/>
    <w:basedOn w:val="Normal"/>
    <w:uiPriority w:val="99"/>
    <w:unhideWhenUsed/>
    <w:rsid w:val="00AE74CE"/>
    <w:pPr>
      <w:spacing w:before="100" w:beforeAutospacing="1" w:after="100" w:afterAutospacing="1"/>
      <w:jc w:val="left"/>
    </w:pPr>
    <w:rPr>
      <w:szCs w:val="24"/>
      <w:lang w:eastAsia="en-GB"/>
    </w:rPr>
  </w:style>
  <w:style w:type="paragraph" w:customStyle="1" w:styleId="entrada">
    <w:name w:val="entrada"/>
    <w:basedOn w:val="Normal"/>
    <w:uiPriority w:val="99"/>
    <w:semiHidden/>
    <w:rsid w:val="00AE74CE"/>
    <w:pPr>
      <w:spacing w:before="100" w:beforeAutospacing="1" w:after="100" w:afterAutospacing="1"/>
      <w:jc w:val="left"/>
    </w:pPr>
    <w:rPr>
      <w:szCs w:val="24"/>
      <w:lang w:eastAsia="en-GB"/>
    </w:rPr>
  </w:style>
  <w:style w:type="paragraph" w:customStyle="1" w:styleId="Default">
    <w:name w:val="Default"/>
    <w:rsid w:val="003718D3"/>
    <w:pPr>
      <w:autoSpaceDE w:val="0"/>
      <w:autoSpaceDN w:val="0"/>
      <w:adjustRightInd w:val="0"/>
    </w:pPr>
    <w:rPr>
      <w:rFonts w:ascii="EUAlbertina" w:hAnsi="EUAlbertina" w:cs="EUAlbertina"/>
      <w:color w:val="000000"/>
      <w:sz w:val="24"/>
      <w:szCs w:val="24"/>
      <w:lang w:bidi="ar-SA"/>
    </w:rPr>
  </w:style>
  <w:style w:type="paragraph" w:customStyle="1" w:styleId="CM12">
    <w:name w:val="CM1+2"/>
    <w:basedOn w:val="Default"/>
    <w:next w:val="Default"/>
    <w:uiPriority w:val="99"/>
    <w:rsid w:val="003718D3"/>
    <w:rPr>
      <w:rFonts w:cs="Times New Roman"/>
      <w:color w:val="auto"/>
    </w:rPr>
  </w:style>
  <w:style w:type="paragraph" w:customStyle="1" w:styleId="CM32">
    <w:name w:val="CM3+2"/>
    <w:basedOn w:val="Default"/>
    <w:next w:val="Default"/>
    <w:uiPriority w:val="99"/>
    <w:rsid w:val="003718D3"/>
    <w:rPr>
      <w:rFonts w:cs="Times New Roman"/>
      <w:color w:val="auto"/>
    </w:rPr>
  </w:style>
  <w:style w:type="paragraph" w:customStyle="1" w:styleId="CM42">
    <w:name w:val="CM4+2"/>
    <w:basedOn w:val="Default"/>
    <w:next w:val="Default"/>
    <w:uiPriority w:val="99"/>
    <w:rsid w:val="003718D3"/>
    <w:rPr>
      <w:rFonts w:cs="Times New Roman"/>
      <w:color w:val="auto"/>
    </w:rPr>
  </w:style>
  <w:style w:type="character" w:styleId="Strong">
    <w:name w:val="Strong"/>
    <w:basedOn w:val="DefaultParagraphFont"/>
    <w:uiPriority w:val="22"/>
    <w:qFormat/>
    <w:rsid w:val="00CE1CAD"/>
    <w:rPr>
      <w:b/>
      <w:bCs/>
    </w:rPr>
  </w:style>
  <w:style w:type="paragraph" w:customStyle="1" w:styleId="CM4">
    <w:name w:val="CM4"/>
    <w:basedOn w:val="Default"/>
    <w:next w:val="Default"/>
    <w:uiPriority w:val="99"/>
    <w:rsid w:val="0068287D"/>
    <w:rPr>
      <w:rFonts w:cs="Times New Roman"/>
      <w:color w:val="auto"/>
    </w:rPr>
  </w:style>
  <w:style w:type="paragraph" w:customStyle="1" w:styleId="point0">
    <w:name w:val="point0"/>
    <w:basedOn w:val="Normal"/>
    <w:rsid w:val="00C776B7"/>
    <w:pPr>
      <w:spacing w:before="100" w:beforeAutospacing="1" w:after="100" w:afterAutospacing="1"/>
      <w:jc w:val="left"/>
    </w:pPr>
    <w:rPr>
      <w:szCs w:val="24"/>
      <w:lang w:eastAsia="en-GB"/>
    </w:rPr>
  </w:style>
  <w:style w:type="paragraph" w:customStyle="1" w:styleId="cm10">
    <w:name w:val="cm1"/>
    <w:basedOn w:val="Normal"/>
    <w:rsid w:val="00E466AD"/>
    <w:pPr>
      <w:spacing w:before="100" w:beforeAutospacing="1" w:after="100" w:afterAutospacing="1"/>
      <w:jc w:val="left"/>
    </w:pPr>
    <w:rPr>
      <w:szCs w:val="24"/>
      <w:lang w:eastAsia="en-GB"/>
    </w:rPr>
  </w:style>
  <w:style w:type="character" w:customStyle="1" w:styleId="tocnumber">
    <w:name w:val="tocnumber"/>
    <w:basedOn w:val="DefaultParagraphFont"/>
    <w:rsid w:val="00C044E1"/>
  </w:style>
  <w:style w:type="character" w:customStyle="1" w:styleId="toctext">
    <w:name w:val="toctext"/>
    <w:basedOn w:val="DefaultParagraphFont"/>
    <w:rsid w:val="00C044E1"/>
  </w:style>
  <w:style w:type="character" w:customStyle="1" w:styleId="mw-headline">
    <w:name w:val="mw-headline"/>
    <w:basedOn w:val="DefaultParagraphFont"/>
    <w:rsid w:val="00C044E1"/>
  </w:style>
  <w:style w:type="character" w:customStyle="1" w:styleId="hvr">
    <w:name w:val="hvr"/>
    <w:basedOn w:val="DefaultParagraphFont"/>
    <w:rsid w:val="00662019"/>
  </w:style>
  <w:style w:type="character" w:customStyle="1" w:styleId="Corpsdutexte">
    <w:name w:val="Corps du texte_"/>
    <w:basedOn w:val="DefaultParagraphFont"/>
    <w:link w:val="Corpsdutexte1"/>
    <w:uiPriority w:val="99"/>
    <w:locked/>
    <w:rsid w:val="006443CE"/>
    <w:rPr>
      <w:rFonts w:ascii="Arial" w:hAnsi="Arial" w:cs="Arial"/>
      <w:sz w:val="21"/>
      <w:szCs w:val="21"/>
      <w:shd w:val="clear" w:color="auto" w:fill="FFFFFF"/>
    </w:rPr>
  </w:style>
  <w:style w:type="paragraph" w:customStyle="1" w:styleId="Corpsdutexte1">
    <w:name w:val="Corps du texte1"/>
    <w:basedOn w:val="Normal"/>
    <w:link w:val="Corpsdutexte"/>
    <w:uiPriority w:val="99"/>
    <w:rsid w:val="006443CE"/>
    <w:pPr>
      <w:widowControl w:val="0"/>
      <w:shd w:val="clear" w:color="auto" w:fill="FFFFFF"/>
      <w:spacing w:line="278" w:lineRule="exact"/>
      <w:ind w:hanging="280"/>
    </w:pPr>
    <w:rPr>
      <w:rFonts w:ascii="Arial" w:hAnsi="Arial" w:cs="Arial"/>
      <w:sz w:val="21"/>
      <w:szCs w:val="21"/>
      <w:lang w:eastAsia="en-GB" w:bidi="he-IL"/>
    </w:rPr>
  </w:style>
  <w:style w:type="character" w:customStyle="1" w:styleId="Corpsdutexte4">
    <w:name w:val="Corps du texte4"/>
    <w:basedOn w:val="Corpsdutexte"/>
    <w:uiPriority w:val="99"/>
    <w:rsid w:val="006443CE"/>
    <w:rPr>
      <w:rFonts w:ascii="Arial" w:hAnsi="Arial" w:cs="Arial"/>
      <w:sz w:val="21"/>
      <w:szCs w:val="21"/>
      <w:shd w:val="clear" w:color="auto" w:fill="FFFFFF"/>
    </w:rPr>
  </w:style>
  <w:style w:type="character" w:customStyle="1" w:styleId="Corpsdutexte11pt">
    <w:name w:val="Corps du texte + 11 pt"/>
    <w:aliases w:val="Gras"/>
    <w:basedOn w:val="Corpsdutexte"/>
    <w:uiPriority w:val="99"/>
    <w:rsid w:val="006443CE"/>
    <w:rPr>
      <w:rFonts w:ascii="Arial" w:hAnsi="Arial" w:cs="Arial"/>
      <w:b/>
      <w:bCs/>
      <w:sz w:val="22"/>
      <w:szCs w:val="22"/>
      <w:shd w:val="clear" w:color="auto" w:fill="FFFFFF"/>
    </w:rPr>
  </w:style>
  <w:style w:type="character" w:customStyle="1" w:styleId="Corpsdutexte11pt2">
    <w:name w:val="Corps du texte + 11 pt2"/>
    <w:aliases w:val="Gras2"/>
    <w:basedOn w:val="Corpsdutexte"/>
    <w:uiPriority w:val="99"/>
    <w:rsid w:val="006443CE"/>
    <w:rPr>
      <w:rFonts w:ascii="Arial" w:hAnsi="Arial" w:cs="Arial"/>
      <w:b/>
      <w:b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bidi="ar-SA"/>
    </w:rPr>
  </w:style>
  <w:style w:type="paragraph" w:styleId="Heading1">
    <w:name w:val="heading 1"/>
    <w:basedOn w:val="Normal"/>
    <w:next w:val="Text1"/>
    <w:link w:val="Heading1Char"/>
    <w:autoRedefine/>
    <w:qFormat/>
    <w:rsid w:val="00282ACA"/>
    <w:pPr>
      <w:keepNext/>
      <w:numPr>
        <w:ilvl w:val="1"/>
        <w:numId w:val="19"/>
      </w:numPr>
      <w:spacing w:before="240"/>
      <w:outlineLvl w:val="0"/>
    </w:pPr>
    <w:rPr>
      <w:b/>
      <w:smallCaps/>
      <w:szCs w:val="24"/>
    </w:rPr>
  </w:style>
  <w:style w:type="paragraph" w:styleId="Heading2">
    <w:name w:val="heading 2"/>
    <w:basedOn w:val="Heading1"/>
    <w:next w:val="Text2"/>
    <w:link w:val="Heading2Char"/>
    <w:qFormat/>
    <w:rsid w:val="00282ACA"/>
    <w:pPr>
      <w:outlineLvl w:val="1"/>
    </w:pPr>
  </w:style>
  <w:style w:type="paragraph" w:styleId="Heading3">
    <w:name w:val="heading 3"/>
    <w:basedOn w:val="Normal"/>
    <w:next w:val="Text3"/>
    <w:link w:val="Heading3Char"/>
    <w:qFormat/>
    <w:pPr>
      <w:keepNext/>
      <w:outlineLvl w:val="2"/>
    </w:pPr>
    <w:rPr>
      <w:i/>
    </w:rPr>
  </w:style>
  <w:style w:type="paragraph" w:styleId="Heading4">
    <w:name w:val="heading 4"/>
    <w:basedOn w:val="Normal"/>
    <w:next w:val="Text4"/>
    <w:qFormat/>
    <w:pPr>
      <w:keepNext/>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rsid w:val="00F57FC7"/>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bidi="ar-S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uiPriority w:val="99"/>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rsid w:val="00F57FC7"/>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C3E24"/>
    <w:rPr>
      <w:rFonts w:ascii="Arial" w:hAnsi="Arial"/>
      <w:sz w:val="16"/>
      <w:lang w:eastAsia="en-US"/>
    </w:rPr>
  </w:style>
  <w:style w:type="character" w:customStyle="1" w:styleId="DateChar">
    <w:name w:val="Date Char"/>
    <w:link w:val="Date"/>
    <w:uiPriority w:val="99"/>
    <w:rsid w:val="004C3E24"/>
    <w:rPr>
      <w:sz w:val="24"/>
      <w:lang w:eastAsia="en-US"/>
    </w:rPr>
  </w:style>
  <w:style w:type="character" w:customStyle="1" w:styleId="SignatureChar">
    <w:name w:val="Signature Char"/>
    <w:link w:val="Signature"/>
    <w:uiPriority w:val="99"/>
    <w:rsid w:val="004C3E24"/>
    <w:rPr>
      <w:sz w:val="24"/>
      <w:lang w:eastAsia="en-US"/>
    </w:rPr>
  </w:style>
  <w:style w:type="paragraph" w:customStyle="1" w:styleId="ZCom">
    <w:name w:val="Z_Com"/>
    <w:basedOn w:val="Normal"/>
    <w:next w:val="ZDGName"/>
    <w:uiPriority w:val="99"/>
    <w:rsid w:val="004C3E24"/>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4C3E24"/>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4C3E24"/>
    <w:rPr>
      <w:sz w:val="24"/>
      <w:lang w:eastAsia="en-US"/>
    </w:rPr>
  </w:style>
  <w:style w:type="character" w:styleId="CommentReference">
    <w:name w:val="annotation reference"/>
    <w:uiPriority w:val="99"/>
    <w:semiHidden/>
    <w:unhideWhenUsed/>
    <w:rsid w:val="006A4FDB"/>
    <w:rPr>
      <w:sz w:val="16"/>
      <w:szCs w:val="16"/>
    </w:rPr>
  </w:style>
  <w:style w:type="paragraph" w:styleId="CommentSubject">
    <w:name w:val="annotation subject"/>
    <w:basedOn w:val="CommentText"/>
    <w:next w:val="CommentText"/>
    <w:link w:val="CommentSubjectChar"/>
    <w:uiPriority w:val="99"/>
    <w:semiHidden/>
    <w:unhideWhenUsed/>
    <w:rsid w:val="006A4FDB"/>
    <w:rPr>
      <w:b/>
      <w:bCs/>
    </w:rPr>
  </w:style>
  <w:style w:type="character" w:customStyle="1" w:styleId="CommentTextChar">
    <w:name w:val="Comment Text Char"/>
    <w:link w:val="CommentText"/>
    <w:uiPriority w:val="99"/>
    <w:rsid w:val="006A4FDB"/>
    <w:rPr>
      <w:lang w:eastAsia="en-US"/>
    </w:rPr>
  </w:style>
  <w:style w:type="character" w:customStyle="1" w:styleId="CommentSubjectChar">
    <w:name w:val="Comment Subject Char"/>
    <w:link w:val="CommentSubject"/>
    <w:uiPriority w:val="99"/>
    <w:semiHidden/>
    <w:rsid w:val="006A4FDB"/>
    <w:rPr>
      <w:b/>
      <w:bCs/>
      <w:lang w:eastAsia="en-US"/>
    </w:rPr>
  </w:style>
  <w:style w:type="paragraph" w:styleId="BalloonText">
    <w:name w:val="Balloon Text"/>
    <w:basedOn w:val="Normal"/>
    <w:link w:val="BalloonTextChar"/>
    <w:uiPriority w:val="99"/>
    <w:semiHidden/>
    <w:unhideWhenUsed/>
    <w:rsid w:val="006A4FDB"/>
    <w:pPr>
      <w:spacing w:after="0"/>
    </w:pPr>
    <w:rPr>
      <w:rFonts w:ascii="Tahoma" w:hAnsi="Tahoma" w:cs="Tahoma"/>
      <w:sz w:val="16"/>
      <w:szCs w:val="16"/>
    </w:rPr>
  </w:style>
  <w:style w:type="character" w:customStyle="1" w:styleId="BalloonTextChar">
    <w:name w:val="Balloon Text Char"/>
    <w:link w:val="BalloonText"/>
    <w:uiPriority w:val="99"/>
    <w:semiHidden/>
    <w:rsid w:val="006A4FDB"/>
    <w:rPr>
      <w:rFonts w:ascii="Tahoma" w:hAnsi="Tahoma" w:cs="Tahoma"/>
      <w:sz w:val="16"/>
      <w:szCs w:val="16"/>
      <w:lang w:eastAsia="en-US"/>
    </w:rPr>
  </w:style>
  <w:style w:type="character" w:styleId="FootnoteReference">
    <w:name w:val="footnote reference"/>
    <w:aliases w:val="Footnote call,Footnote Reference Superscript,Footnote Refernece,BVI fnr,Fußnotenzeichen_Raxen,callout,Footnote Reference Number,SUPERS,Footnote symbol,Footnote reference number,Times 10 Point,Exposant 3 Point,Re,Footnote,Footnote sign"/>
    <w:uiPriority w:val="99"/>
    <w:unhideWhenUsed/>
    <w:rsid w:val="000D24F6"/>
    <w:rPr>
      <w:vertAlign w:val="superscript"/>
    </w:rPr>
  </w:style>
  <w:style w:type="character" w:styleId="Hyperlink">
    <w:name w:val="Hyperlink"/>
    <w:uiPriority w:val="99"/>
    <w:unhideWhenUsed/>
    <w:rsid w:val="00330C3B"/>
    <w:rPr>
      <w:color w:val="0000FF"/>
      <w:u w:val="single"/>
    </w:rPr>
  </w:style>
  <w:style w:type="paragraph" w:styleId="ListParagraph">
    <w:name w:val="List Paragraph"/>
    <w:basedOn w:val="Normal"/>
    <w:uiPriority w:val="34"/>
    <w:qFormat/>
    <w:rsid w:val="00330C3B"/>
    <w:pPr>
      <w:spacing w:after="0"/>
      <w:ind w:left="720"/>
      <w:jc w:val="left"/>
    </w:pPr>
    <w:rPr>
      <w:rFonts w:ascii="Calibri" w:eastAsia="PMingLiU" w:hAnsi="Calibri"/>
      <w:sz w:val="22"/>
      <w:szCs w:val="22"/>
    </w:rPr>
  </w:style>
  <w:style w:type="table" w:styleId="TableGrid">
    <w:name w:val="Table Grid"/>
    <w:basedOn w:val="TableNormal"/>
    <w:uiPriority w:val="59"/>
    <w:rsid w:val="00A2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82ACA"/>
    <w:rPr>
      <w:b/>
      <w:smallCaps/>
      <w:sz w:val="24"/>
      <w:szCs w:val="24"/>
      <w:lang w:eastAsia="en-US" w:bidi="ar-SA"/>
    </w:rPr>
  </w:style>
  <w:style w:type="character" w:customStyle="1" w:styleId="Heading2Char">
    <w:name w:val="Heading 2 Char"/>
    <w:link w:val="Heading2"/>
    <w:rsid w:val="00282ACA"/>
    <w:rPr>
      <w:b/>
      <w:smallCaps/>
      <w:sz w:val="24"/>
      <w:szCs w:val="24"/>
      <w:lang w:eastAsia="en-US" w:bidi="ar-SA"/>
    </w:rPr>
  </w:style>
  <w:style w:type="character" w:customStyle="1" w:styleId="Heading3Char">
    <w:name w:val="Heading 3 Char"/>
    <w:link w:val="Heading3"/>
    <w:rsid w:val="007831A6"/>
    <w:rPr>
      <w:i/>
      <w:sz w:val="24"/>
      <w:lang w:eastAsia="en-US" w:bidi="ar-SA"/>
    </w:rPr>
  </w:style>
  <w:style w:type="character" w:customStyle="1" w:styleId="FootnoteTextChar">
    <w:name w:val="Footnote Text Char"/>
    <w:link w:val="FootnoteText"/>
    <w:uiPriority w:val="99"/>
    <w:rsid w:val="007831A6"/>
    <w:rPr>
      <w:lang w:eastAsia="en-US"/>
    </w:rPr>
  </w:style>
  <w:style w:type="paragraph" w:customStyle="1" w:styleId="Titrearticle">
    <w:name w:val="Titre article"/>
    <w:basedOn w:val="Normal"/>
    <w:next w:val="Normal"/>
    <w:rsid w:val="007831A6"/>
    <w:pPr>
      <w:keepNext/>
      <w:spacing w:before="360" w:after="120"/>
      <w:jc w:val="center"/>
    </w:pPr>
    <w:rPr>
      <w:i/>
      <w:szCs w:val="24"/>
    </w:rPr>
  </w:style>
  <w:style w:type="character" w:customStyle="1" w:styleId="Text1Char">
    <w:name w:val="Text 1 Char"/>
    <w:link w:val="Text1"/>
    <w:locked/>
    <w:rsid w:val="007831A6"/>
    <w:rPr>
      <w:sz w:val="24"/>
      <w:lang w:eastAsia="en-US"/>
    </w:rPr>
  </w:style>
  <w:style w:type="paragraph" w:customStyle="1" w:styleId="CM1">
    <w:name w:val="CM1"/>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rsid w:val="002B7339"/>
    <w:pPr>
      <w:autoSpaceDE w:val="0"/>
      <w:autoSpaceDN w:val="0"/>
      <w:adjustRightInd w:val="0"/>
      <w:spacing w:after="0"/>
      <w:jc w:val="left"/>
    </w:pPr>
    <w:rPr>
      <w:rFonts w:ascii="EUAlbertina" w:hAnsi="EUAlbertina"/>
      <w:szCs w:val="24"/>
      <w:lang w:eastAsia="en-GB"/>
    </w:rPr>
  </w:style>
  <w:style w:type="character" w:customStyle="1" w:styleId="Corpsdutexte5">
    <w:name w:val="Corps du texte (5)_"/>
    <w:link w:val="Corpsdutexte50"/>
    <w:uiPriority w:val="99"/>
    <w:locked/>
    <w:rsid w:val="004D1E18"/>
    <w:rPr>
      <w:b/>
      <w:bCs/>
      <w:smallCaps/>
      <w:sz w:val="23"/>
      <w:szCs w:val="23"/>
      <w:shd w:val="clear" w:color="auto" w:fill="FFFFFF"/>
    </w:rPr>
  </w:style>
  <w:style w:type="paragraph" w:customStyle="1" w:styleId="Corpsdutexte50">
    <w:name w:val="Corps du texte (5)"/>
    <w:basedOn w:val="Normal"/>
    <w:link w:val="Corpsdutexte5"/>
    <w:uiPriority w:val="99"/>
    <w:rsid w:val="004D1E18"/>
    <w:pPr>
      <w:widowControl w:val="0"/>
      <w:shd w:val="clear" w:color="auto" w:fill="FFFFFF"/>
      <w:spacing w:after="300" w:line="240" w:lineRule="atLeast"/>
      <w:ind w:hanging="360"/>
    </w:pPr>
    <w:rPr>
      <w:b/>
      <w:bCs/>
      <w:smallCaps/>
      <w:sz w:val="23"/>
      <w:szCs w:val="23"/>
      <w:lang w:eastAsia="en-GB"/>
    </w:rPr>
  </w:style>
  <w:style w:type="character" w:customStyle="1" w:styleId="PlainTextChar">
    <w:name w:val="Plain Text Char"/>
    <w:link w:val="PlainText"/>
    <w:uiPriority w:val="99"/>
    <w:rsid w:val="000A57F7"/>
    <w:rPr>
      <w:rFonts w:ascii="Courier New" w:hAnsi="Courier New"/>
      <w:lang w:eastAsia="en-US"/>
    </w:rPr>
  </w:style>
  <w:style w:type="paragraph" w:customStyle="1" w:styleId="ListBullet10">
    <w:name w:val="List Bullet1"/>
    <w:basedOn w:val="ListParagraph"/>
    <w:link w:val="ListbulletChar"/>
    <w:qFormat/>
    <w:rsid w:val="000A57F7"/>
    <w:pPr>
      <w:numPr>
        <w:numId w:val="18"/>
      </w:numPr>
      <w:spacing w:line="240" w:lineRule="atLeast"/>
      <w:contextualSpacing/>
      <w:jc w:val="both"/>
    </w:pPr>
    <w:rPr>
      <w:rFonts w:ascii="Georgia" w:eastAsia="Times New Roman" w:hAnsi="Georgia"/>
      <w:sz w:val="20"/>
      <w:szCs w:val="24"/>
      <w:lang w:eastAsia="en-GB"/>
    </w:rPr>
  </w:style>
  <w:style w:type="character" w:customStyle="1" w:styleId="ListbulletChar">
    <w:name w:val="List bullet Char"/>
    <w:link w:val="ListBullet10"/>
    <w:rsid w:val="000A57F7"/>
    <w:rPr>
      <w:rFonts w:ascii="Georgia" w:hAnsi="Georgia"/>
      <w:szCs w:val="24"/>
      <w:lang w:bidi="ar-SA"/>
    </w:rPr>
  </w:style>
  <w:style w:type="paragraph" w:styleId="Revision">
    <w:name w:val="Revision"/>
    <w:hidden/>
    <w:uiPriority w:val="99"/>
    <w:semiHidden/>
    <w:rsid w:val="0098619F"/>
    <w:rPr>
      <w:sz w:val="24"/>
      <w:lang w:eastAsia="en-US" w:bidi="ar-SA"/>
    </w:rPr>
  </w:style>
  <w:style w:type="paragraph" w:customStyle="1" w:styleId="doc-ti">
    <w:name w:val="doc-ti"/>
    <w:basedOn w:val="Normal"/>
    <w:rsid w:val="006E1DF0"/>
    <w:pPr>
      <w:spacing w:before="100" w:beforeAutospacing="1" w:after="100" w:afterAutospacing="1"/>
      <w:jc w:val="left"/>
    </w:pPr>
    <w:rPr>
      <w:szCs w:val="24"/>
      <w:lang w:eastAsia="en-GB"/>
    </w:rPr>
  </w:style>
  <w:style w:type="character" w:styleId="Emphasis">
    <w:name w:val="Emphasis"/>
    <w:basedOn w:val="DefaultParagraphFont"/>
    <w:uiPriority w:val="20"/>
    <w:qFormat/>
    <w:rsid w:val="00AE74CE"/>
    <w:rPr>
      <w:rFonts w:ascii="Times New Roman" w:hAnsi="Times New Roman" w:cs="Times New Roman" w:hint="default"/>
      <w:i/>
      <w:iCs/>
    </w:rPr>
  </w:style>
  <w:style w:type="paragraph" w:styleId="NormalWeb">
    <w:name w:val="Normal (Web)"/>
    <w:basedOn w:val="Normal"/>
    <w:uiPriority w:val="99"/>
    <w:unhideWhenUsed/>
    <w:rsid w:val="00AE74CE"/>
    <w:pPr>
      <w:spacing w:before="100" w:beforeAutospacing="1" w:after="100" w:afterAutospacing="1"/>
      <w:jc w:val="left"/>
    </w:pPr>
    <w:rPr>
      <w:szCs w:val="24"/>
      <w:lang w:eastAsia="en-GB"/>
    </w:rPr>
  </w:style>
  <w:style w:type="paragraph" w:customStyle="1" w:styleId="entrada">
    <w:name w:val="entrada"/>
    <w:basedOn w:val="Normal"/>
    <w:uiPriority w:val="99"/>
    <w:semiHidden/>
    <w:rsid w:val="00AE74CE"/>
    <w:pPr>
      <w:spacing w:before="100" w:beforeAutospacing="1" w:after="100" w:afterAutospacing="1"/>
      <w:jc w:val="left"/>
    </w:pPr>
    <w:rPr>
      <w:szCs w:val="24"/>
      <w:lang w:eastAsia="en-GB"/>
    </w:rPr>
  </w:style>
  <w:style w:type="paragraph" w:customStyle="1" w:styleId="Default">
    <w:name w:val="Default"/>
    <w:rsid w:val="003718D3"/>
    <w:pPr>
      <w:autoSpaceDE w:val="0"/>
      <w:autoSpaceDN w:val="0"/>
      <w:adjustRightInd w:val="0"/>
    </w:pPr>
    <w:rPr>
      <w:rFonts w:ascii="EUAlbertina" w:hAnsi="EUAlbertina" w:cs="EUAlbertina"/>
      <w:color w:val="000000"/>
      <w:sz w:val="24"/>
      <w:szCs w:val="24"/>
      <w:lang w:bidi="ar-SA"/>
    </w:rPr>
  </w:style>
  <w:style w:type="paragraph" w:customStyle="1" w:styleId="CM12">
    <w:name w:val="CM1+2"/>
    <w:basedOn w:val="Default"/>
    <w:next w:val="Default"/>
    <w:uiPriority w:val="99"/>
    <w:rsid w:val="003718D3"/>
    <w:rPr>
      <w:rFonts w:cs="Times New Roman"/>
      <w:color w:val="auto"/>
    </w:rPr>
  </w:style>
  <w:style w:type="paragraph" w:customStyle="1" w:styleId="CM32">
    <w:name w:val="CM3+2"/>
    <w:basedOn w:val="Default"/>
    <w:next w:val="Default"/>
    <w:uiPriority w:val="99"/>
    <w:rsid w:val="003718D3"/>
    <w:rPr>
      <w:rFonts w:cs="Times New Roman"/>
      <w:color w:val="auto"/>
    </w:rPr>
  </w:style>
  <w:style w:type="paragraph" w:customStyle="1" w:styleId="CM42">
    <w:name w:val="CM4+2"/>
    <w:basedOn w:val="Default"/>
    <w:next w:val="Default"/>
    <w:uiPriority w:val="99"/>
    <w:rsid w:val="003718D3"/>
    <w:rPr>
      <w:rFonts w:cs="Times New Roman"/>
      <w:color w:val="auto"/>
    </w:rPr>
  </w:style>
  <w:style w:type="character" w:styleId="Strong">
    <w:name w:val="Strong"/>
    <w:basedOn w:val="DefaultParagraphFont"/>
    <w:uiPriority w:val="22"/>
    <w:qFormat/>
    <w:rsid w:val="00CE1CAD"/>
    <w:rPr>
      <w:b/>
      <w:bCs/>
    </w:rPr>
  </w:style>
  <w:style w:type="paragraph" w:customStyle="1" w:styleId="CM4">
    <w:name w:val="CM4"/>
    <w:basedOn w:val="Default"/>
    <w:next w:val="Default"/>
    <w:uiPriority w:val="99"/>
    <w:rsid w:val="0068287D"/>
    <w:rPr>
      <w:rFonts w:cs="Times New Roman"/>
      <w:color w:val="auto"/>
    </w:rPr>
  </w:style>
  <w:style w:type="paragraph" w:customStyle="1" w:styleId="point0">
    <w:name w:val="point0"/>
    <w:basedOn w:val="Normal"/>
    <w:rsid w:val="00C776B7"/>
    <w:pPr>
      <w:spacing w:before="100" w:beforeAutospacing="1" w:after="100" w:afterAutospacing="1"/>
      <w:jc w:val="left"/>
    </w:pPr>
    <w:rPr>
      <w:szCs w:val="24"/>
      <w:lang w:eastAsia="en-GB"/>
    </w:rPr>
  </w:style>
  <w:style w:type="paragraph" w:customStyle="1" w:styleId="cm10">
    <w:name w:val="cm1"/>
    <w:basedOn w:val="Normal"/>
    <w:rsid w:val="00E466AD"/>
    <w:pPr>
      <w:spacing w:before="100" w:beforeAutospacing="1" w:after="100" w:afterAutospacing="1"/>
      <w:jc w:val="left"/>
    </w:pPr>
    <w:rPr>
      <w:szCs w:val="24"/>
      <w:lang w:eastAsia="en-GB"/>
    </w:rPr>
  </w:style>
  <w:style w:type="character" w:customStyle="1" w:styleId="tocnumber">
    <w:name w:val="tocnumber"/>
    <w:basedOn w:val="DefaultParagraphFont"/>
    <w:rsid w:val="00C044E1"/>
  </w:style>
  <w:style w:type="character" w:customStyle="1" w:styleId="toctext">
    <w:name w:val="toctext"/>
    <w:basedOn w:val="DefaultParagraphFont"/>
    <w:rsid w:val="00C044E1"/>
  </w:style>
  <w:style w:type="character" w:customStyle="1" w:styleId="mw-headline">
    <w:name w:val="mw-headline"/>
    <w:basedOn w:val="DefaultParagraphFont"/>
    <w:rsid w:val="00C044E1"/>
  </w:style>
  <w:style w:type="character" w:customStyle="1" w:styleId="hvr">
    <w:name w:val="hvr"/>
    <w:basedOn w:val="DefaultParagraphFont"/>
    <w:rsid w:val="00662019"/>
  </w:style>
  <w:style w:type="character" w:customStyle="1" w:styleId="Corpsdutexte">
    <w:name w:val="Corps du texte_"/>
    <w:basedOn w:val="DefaultParagraphFont"/>
    <w:link w:val="Corpsdutexte1"/>
    <w:uiPriority w:val="99"/>
    <w:locked/>
    <w:rsid w:val="006443CE"/>
    <w:rPr>
      <w:rFonts w:ascii="Arial" w:hAnsi="Arial" w:cs="Arial"/>
      <w:sz w:val="21"/>
      <w:szCs w:val="21"/>
      <w:shd w:val="clear" w:color="auto" w:fill="FFFFFF"/>
    </w:rPr>
  </w:style>
  <w:style w:type="paragraph" w:customStyle="1" w:styleId="Corpsdutexte1">
    <w:name w:val="Corps du texte1"/>
    <w:basedOn w:val="Normal"/>
    <w:link w:val="Corpsdutexte"/>
    <w:uiPriority w:val="99"/>
    <w:rsid w:val="006443CE"/>
    <w:pPr>
      <w:widowControl w:val="0"/>
      <w:shd w:val="clear" w:color="auto" w:fill="FFFFFF"/>
      <w:spacing w:line="278" w:lineRule="exact"/>
      <w:ind w:hanging="280"/>
    </w:pPr>
    <w:rPr>
      <w:rFonts w:ascii="Arial" w:hAnsi="Arial" w:cs="Arial"/>
      <w:sz w:val="21"/>
      <w:szCs w:val="21"/>
      <w:lang w:eastAsia="en-GB" w:bidi="he-IL"/>
    </w:rPr>
  </w:style>
  <w:style w:type="character" w:customStyle="1" w:styleId="Corpsdutexte4">
    <w:name w:val="Corps du texte4"/>
    <w:basedOn w:val="Corpsdutexte"/>
    <w:uiPriority w:val="99"/>
    <w:rsid w:val="006443CE"/>
    <w:rPr>
      <w:rFonts w:ascii="Arial" w:hAnsi="Arial" w:cs="Arial"/>
      <w:sz w:val="21"/>
      <w:szCs w:val="21"/>
      <w:shd w:val="clear" w:color="auto" w:fill="FFFFFF"/>
    </w:rPr>
  </w:style>
  <w:style w:type="character" w:customStyle="1" w:styleId="Corpsdutexte11pt">
    <w:name w:val="Corps du texte + 11 pt"/>
    <w:aliases w:val="Gras"/>
    <w:basedOn w:val="Corpsdutexte"/>
    <w:uiPriority w:val="99"/>
    <w:rsid w:val="006443CE"/>
    <w:rPr>
      <w:rFonts w:ascii="Arial" w:hAnsi="Arial" w:cs="Arial"/>
      <w:b/>
      <w:bCs/>
      <w:sz w:val="22"/>
      <w:szCs w:val="22"/>
      <w:shd w:val="clear" w:color="auto" w:fill="FFFFFF"/>
    </w:rPr>
  </w:style>
  <w:style w:type="character" w:customStyle="1" w:styleId="Corpsdutexte11pt2">
    <w:name w:val="Corps du texte + 11 pt2"/>
    <w:aliases w:val="Gras2"/>
    <w:basedOn w:val="Corpsdutexte"/>
    <w:uiPriority w:val="99"/>
    <w:rsid w:val="006443CE"/>
    <w:rPr>
      <w:rFonts w:ascii="Arial" w:hAnsi="Arial" w:cs="Arial"/>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1521">
      <w:bodyDiv w:val="1"/>
      <w:marLeft w:val="0"/>
      <w:marRight w:val="0"/>
      <w:marTop w:val="0"/>
      <w:marBottom w:val="0"/>
      <w:divBdr>
        <w:top w:val="none" w:sz="0" w:space="0" w:color="auto"/>
        <w:left w:val="none" w:sz="0" w:space="0" w:color="auto"/>
        <w:bottom w:val="none" w:sz="0" w:space="0" w:color="auto"/>
        <w:right w:val="none" w:sz="0" w:space="0" w:color="auto"/>
      </w:divBdr>
    </w:div>
    <w:div w:id="37704474">
      <w:bodyDiv w:val="1"/>
      <w:marLeft w:val="0"/>
      <w:marRight w:val="0"/>
      <w:marTop w:val="0"/>
      <w:marBottom w:val="0"/>
      <w:divBdr>
        <w:top w:val="none" w:sz="0" w:space="0" w:color="auto"/>
        <w:left w:val="none" w:sz="0" w:space="0" w:color="auto"/>
        <w:bottom w:val="none" w:sz="0" w:space="0" w:color="auto"/>
        <w:right w:val="none" w:sz="0" w:space="0" w:color="auto"/>
      </w:divBdr>
    </w:div>
    <w:div w:id="43868899">
      <w:bodyDiv w:val="1"/>
      <w:marLeft w:val="0"/>
      <w:marRight w:val="0"/>
      <w:marTop w:val="0"/>
      <w:marBottom w:val="0"/>
      <w:divBdr>
        <w:top w:val="none" w:sz="0" w:space="0" w:color="auto"/>
        <w:left w:val="none" w:sz="0" w:space="0" w:color="auto"/>
        <w:bottom w:val="none" w:sz="0" w:space="0" w:color="auto"/>
        <w:right w:val="none" w:sz="0" w:space="0" w:color="auto"/>
      </w:divBdr>
    </w:div>
    <w:div w:id="134570419">
      <w:bodyDiv w:val="1"/>
      <w:marLeft w:val="0"/>
      <w:marRight w:val="0"/>
      <w:marTop w:val="0"/>
      <w:marBottom w:val="0"/>
      <w:divBdr>
        <w:top w:val="none" w:sz="0" w:space="0" w:color="auto"/>
        <w:left w:val="none" w:sz="0" w:space="0" w:color="auto"/>
        <w:bottom w:val="none" w:sz="0" w:space="0" w:color="auto"/>
        <w:right w:val="none" w:sz="0" w:space="0" w:color="auto"/>
      </w:divBdr>
    </w:div>
    <w:div w:id="163976755">
      <w:bodyDiv w:val="1"/>
      <w:marLeft w:val="0"/>
      <w:marRight w:val="0"/>
      <w:marTop w:val="0"/>
      <w:marBottom w:val="0"/>
      <w:divBdr>
        <w:top w:val="none" w:sz="0" w:space="0" w:color="auto"/>
        <w:left w:val="none" w:sz="0" w:space="0" w:color="auto"/>
        <w:bottom w:val="none" w:sz="0" w:space="0" w:color="auto"/>
        <w:right w:val="none" w:sz="0" w:space="0" w:color="auto"/>
      </w:divBdr>
    </w:div>
    <w:div w:id="173880816">
      <w:bodyDiv w:val="1"/>
      <w:marLeft w:val="0"/>
      <w:marRight w:val="0"/>
      <w:marTop w:val="0"/>
      <w:marBottom w:val="0"/>
      <w:divBdr>
        <w:top w:val="none" w:sz="0" w:space="0" w:color="auto"/>
        <w:left w:val="none" w:sz="0" w:space="0" w:color="auto"/>
        <w:bottom w:val="none" w:sz="0" w:space="0" w:color="auto"/>
        <w:right w:val="none" w:sz="0" w:space="0" w:color="auto"/>
      </w:divBdr>
    </w:div>
    <w:div w:id="192499792">
      <w:bodyDiv w:val="1"/>
      <w:marLeft w:val="0"/>
      <w:marRight w:val="0"/>
      <w:marTop w:val="0"/>
      <w:marBottom w:val="0"/>
      <w:divBdr>
        <w:top w:val="none" w:sz="0" w:space="0" w:color="auto"/>
        <w:left w:val="none" w:sz="0" w:space="0" w:color="auto"/>
        <w:bottom w:val="none" w:sz="0" w:space="0" w:color="auto"/>
        <w:right w:val="none" w:sz="0" w:space="0" w:color="auto"/>
      </w:divBdr>
    </w:div>
    <w:div w:id="195318536">
      <w:bodyDiv w:val="1"/>
      <w:marLeft w:val="0"/>
      <w:marRight w:val="0"/>
      <w:marTop w:val="0"/>
      <w:marBottom w:val="0"/>
      <w:divBdr>
        <w:top w:val="none" w:sz="0" w:space="0" w:color="auto"/>
        <w:left w:val="none" w:sz="0" w:space="0" w:color="auto"/>
        <w:bottom w:val="none" w:sz="0" w:space="0" w:color="auto"/>
        <w:right w:val="none" w:sz="0" w:space="0" w:color="auto"/>
      </w:divBdr>
    </w:div>
    <w:div w:id="245581544">
      <w:bodyDiv w:val="1"/>
      <w:marLeft w:val="0"/>
      <w:marRight w:val="0"/>
      <w:marTop w:val="0"/>
      <w:marBottom w:val="0"/>
      <w:divBdr>
        <w:top w:val="none" w:sz="0" w:space="0" w:color="auto"/>
        <w:left w:val="none" w:sz="0" w:space="0" w:color="auto"/>
        <w:bottom w:val="none" w:sz="0" w:space="0" w:color="auto"/>
        <w:right w:val="none" w:sz="0" w:space="0" w:color="auto"/>
      </w:divBdr>
    </w:div>
    <w:div w:id="248008907">
      <w:bodyDiv w:val="1"/>
      <w:marLeft w:val="0"/>
      <w:marRight w:val="0"/>
      <w:marTop w:val="0"/>
      <w:marBottom w:val="0"/>
      <w:divBdr>
        <w:top w:val="none" w:sz="0" w:space="0" w:color="auto"/>
        <w:left w:val="none" w:sz="0" w:space="0" w:color="auto"/>
        <w:bottom w:val="none" w:sz="0" w:space="0" w:color="auto"/>
        <w:right w:val="none" w:sz="0" w:space="0" w:color="auto"/>
      </w:divBdr>
    </w:div>
    <w:div w:id="272782948">
      <w:bodyDiv w:val="1"/>
      <w:marLeft w:val="0"/>
      <w:marRight w:val="0"/>
      <w:marTop w:val="0"/>
      <w:marBottom w:val="0"/>
      <w:divBdr>
        <w:top w:val="none" w:sz="0" w:space="0" w:color="auto"/>
        <w:left w:val="none" w:sz="0" w:space="0" w:color="auto"/>
        <w:bottom w:val="none" w:sz="0" w:space="0" w:color="auto"/>
        <w:right w:val="none" w:sz="0" w:space="0" w:color="auto"/>
      </w:divBdr>
    </w:div>
    <w:div w:id="273023150">
      <w:bodyDiv w:val="1"/>
      <w:marLeft w:val="0"/>
      <w:marRight w:val="0"/>
      <w:marTop w:val="0"/>
      <w:marBottom w:val="0"/>
      <w:divBdr>
        <w:top w:val="none" w:sz="0" w:space="0" w:color="auto"/>
        <w:left w:val="none" w:sz="0" w:space="0" w:color="auto"/>
        <w:bottom w:val="none" w:sz="0" w:space="0" w:color="auto"/>
        <w:right w:val="none" w:sz="0" w:space="0" w:color="auto"/>
      </w:divBdr>
    </w:div>
    <w:div w:id="287398169">
      <w:bodyDiv w:val="1"/>
      <w:marLeft w:val="0"/>
      <w:marRight w:val="0"/>
      <w:marTop w:val="0"/>
      <w:marBottom w:val="0"/>
      <w:divBdr>
        <w:top w:val="none" w:sz="0" w:space="0" w:color="auto"/>
        <w:left w:val="none" w:sz="0" w:space="0" w:color="auto"/>
        <w:bottom w:val="none" w:sz="0" w:space="0" w:color="auto"/>
        <w:right w:val="none" w:sz="0" w:space="0" w:color="auto"/>
      </w:divBdr>
    </w:div>
    <w:div w:id="293098298">
      <w:bodyDiv w:val="1"/>
      <w:marLeft w:val="0"/>
      <w:marRight w:val="0"/>
      <w:marTop w:val="0"/>
      <w:marBottom w:val="0"/>
      <w:divBdr>
        <w:top w:val="none" w:sz="0" w:space="0" w:color="auto"/>
        <w:left w:val="none" w:sz="0" w:space="0" w:color="auto"/>
        <w:bottom w:val="none" w:sz="0" w:space="0" w:color="auto"/>
        <w:right w:val="none" w:sz="0" w:space="0" w:color="auto"/>
      </w:divBdr>
    </w:div>
    <w:div w:id="324746174">
      <w:bodyDiv w:val="1"/>
      <w:marLeft w:val="0"/>
      <w:marRight w:val="0"/>
      <w:marTop w:val="0"/>
      <w:marBottom w:val="0"/>
      <w:divBdr>
        <w:top w:val="none" w:sz="0" w:space="0" w:color="auto"/>
        <w:left w:val="none" w:sz="0" w:space="0" w:color="auto"/>
        <w:bottom w:val="none" w:sz="0" w:space="0" w:color="auto"/>
        <w:right w:val="none" w:sz="0" w:space="0" w:color="auto"/>
      </w:divBdr>
    </w:div>
    <w:div w:id="385109122">
      <w:bodyDiv w:val="1"/>
      <w:marLeft w:val="0"/>
      <w:marRight w:val="0"/>
      <w:marTop w:val="0"/>
      <w:marBottom w:val="0"/>
      <w:divBdr>
        <w:top w:val="none" w:sz="0" w:space="0" w:color="auto"/>
        <w:left w:val="none" w:sz="0" w:space="0" w:color="auto"/>
        <w:bottom w:val="none" w:sz="0" w:space="0" w:color="auto"/>
        <w:right w:val="none" w:sz="0" w:space="0" w:color="auto"/>
      </w:divBdr>
    </w:div>
    <w:div w:id="389154935">
      <w:bodyDiv w:val="1"/>
      <w:marLeft w:val="0"/>
      <w:marRight w:val="0"/>
      <w:marTop w:val="0"/>
      <w:marBottom w:val="0"/>
      <w:divBdr>
        <w:top w:val="none" w:sz="0" w:space="0" w:color="auto"/>
        <w:left w:val="none" w:sz="0" w:space="0" w:color="auto"/>
        <w:bottom w:val="none" w:sz="0" w:space="0" w:color="auto"/>
        <w:right w:val="none" w:sz="0" w:space="0" w:color="auto"/>
      </w:divBdr>
    </w:div>
    <w:div w:id="409351051">
      <w:bodyDiv w:val="1"/>
      <w:marLeft w:val="0"/>
      <w:marRight w:val="0"/>
      <w:marTop w:val="0"/>
      <w:marBottom w:val="0"/>
      <w:divBdr>
        <w:top w:val="none" w:sz="0" w:space="0" w:color="auto"/>
        <w:left w:val="none" w:sz="0" w:space="0" w:color="auto"/>
        <w:bottom w:val="none" w:sz="0" w:space="0" w:color="auto"/>
        <w:right w:val="none" w:sz="0" w:space="0" w:color="auto"/>
      </w:divBdr>
    </w:div>
    <w:div w:id="415715017">
      <w:bodyDiv w:val="1"/>
      <w:marLeft w:val="0"/>
      <w:marRight w:val="0"/>
      <w:marTop w:val="0"/>
      <w:marBottom w:val="0"/>
      <w:divBdr>
        <w:top w:val="none" w:sz="0" w:space="0" w:color="auto"/>
        <w:left w:val="none" w:sz="0" w:space="0" w:color="auto"/>
        <w:bottom w:val="none" w:sz="0" w:space="0" w:color="auto"/>
        <w:right w:val="none" w:sz="0" w:space="0" w:color="auto"/>
      </w:divBdr>
    </w:div>
    <w:div w:id="421680139">
      <w:bodyDiv w:val="1"/>
      <w:marLeft w:val="0"/>
      <w:marRight w:val="0"/>
      <w:marTop w:val="0"/>
      <w:marBottom w:val="0"/>
      <w:divBdr>
        <w:top w:val="none" w:sz="0" w:space="0" w:color="auto"/>
        <w:left w:val="none" w:sz="0" w:space="0" w:color="auto"/>
        <w:bottom w:val="none" w:sz="0" w:space="0" w:color="auto"/>
        <w:right w:val="none" w:sz="0" w:space="0" w:color="auto"/>
      </w:divBdr>
    </w:div>
    <w:div w:id="481046480">
      <w:bodyDiv w:val="1"/>
      <w:marLeft w:val="0"/>
      <w:marRight w:val="0"/>
      <w:marTop w:val="0"/>
      <w:marBottom w:val="0"/>
      <w:divBdr>
        <w:top w:val="none" w:sz="0" w:space="0" w:color="auto"/>
        <w:left w:val="none" w:sz="0" w:space="0" w:color="auto"/>
        <w:bottom w:val="none" w:sz="0" w:space="0" w:color="auto"/>
        <w:right w:val="none" w:sz="0" w:space="0" w:color="auto"/>
      </w:divBdr>
    </w:div>
    <w:div w:id="493375278">
      <w:bodyDiv w:val="1"/>
      <w:marLeft w:val="0"/>
      <w:marRight w:val="0"/>
      <w:marTop w:val="0"/>
      <w:marBottom w:val="0"/>
      <w:divBdr>
        <w:top w:val="none" w:sz="0" w:space="0" w:color="auto"/>
        <w:left w:val="none" w:sz="0" w:space="0" w:color="auto"/>
        <w:bottom w:val="none" w:sz="0" w:space="0" w:color="auto"/>
        <w:right w:val="none" w:sz="0" w:space="0" w:color="auto"/>
      </w:divBdr>
      <w:divsChild>
        <w:div w:id="542323991">
          <w:marLeft w:val="0"/>
          <w:marRight w:val="0"/>
          <w:marTop w:val="0"/>
          <w:marBottom w:val="0"/>
          <w:divBdr>
            <w:top w:val="none" w:sz="0" w:space="0" w:color="auto"/>
            <w:left w:val="none" w:sz="0" w:space="0" w:color="auto"/>
            <w:bottom w:val="none" w:sz="0" w:space="0" w:color="auto"/>
            <w:right w:val="none" w:sz="0" w:space="0" w:color="auto"/>
          </w:divBdr>
          <w:divsChild>
            <w:div w:id="860240297">
              <w:marLeft w:val="0"/>
              <w:marRight w:val="0"/>
              <w:marTop w:val="0"/>
              <w:marBottom w:val="0"/>
              <w:divBdr>
                <w:top w:val="none" w:sz="0" w:space="0" w:color="auto"/>
                <w:left w:val="none" w:sz="0" w:space="0" w:color="auto"/>
                <w:bottom w:val="none" w:sz="0" w:space="0" w:color="auto"/>
                <w:right w:val="none" w:sz="0" w:space="0" w:color="auto"/>
              </w:divBdr>
              <w:divsChild>
                <w:div w:id="7717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386">
          <w:marLeft w:val="0"/>
          <w:marRight w:val="0"/>
          <w:marTop w:val="0"/>
          <w:marBottom w:val="0"/>
          <w:divBdr>
            <w:top w:val="none" w:sz="0" w:space="0" w:color="auto"/>
            <w:left w:val="none" w:sz="0" w:space="0" w:color="auto"/>
            <w:bottom w:val="none" w:sz="0" w:space="0" w:color="auto"/>
            <w:right w:val="none" w:sz="0" w:space="0" w:color="auto"/>
          </w:divBdr>
          <w:divsChild>
            <w:div w:id="2090809173">
              <w:marLeft w:val="0"/>
              <w:marRight w:val="0"/>
              <w:marTop w:val="0"/>
              <w:marBottom w:val="0"/>
              <w:divBdr>
                <w:top w:val="none" w:sz="0" w:space="0" w:color="auto"/>
                <w:left w:val="none" w:sz="0" w:space="0" w:color="auto"/>
                <w:bottom w:val="none" w:sz="0" w:space="0" w:color="auto"/>
                <w:right w:val="none" w:sz="0" w:space="0" w:color="auto"/>
              </w:divBdr>
              <w:divsChild>
                <w:div w:id="9998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2833">
      <w:bodyDiv w:val="1"/>
      <w:marLeft w:val="0"/>
      <w:marRight w:val="0"/>
      <w:marTop w:val="0"/>
      <w:marBottom w:val="0"/>
      <w:divBdr>
        <w:top w:val="none" w:sz="0" w:space="0" w:color="auto"/>
        <w:left w:val="none" w:sz="0" w:space="0" w:color="auto"/>
        <w:bottom w:val="none" w:sz="0" w:space="0" w:color="auto"/>
        <w:right w:val="none" w:sz="0" w:space="0" w:color="auto"/>
      </w:divBdr>
    </w:div>
    <w:div w:id="610670020">
      <w:bodyDiv w:val="1"/>
      <w:marLeft w:val="0"/>
      <w:marRight w:val="0"/>
      <w:marTop w:val="0"/>
      <w:marBottom w:val="0"/>
      <w:divBdr>
        <w:top w:val="none" w:sz="0" w:space="0" w:color="auto"/>
        <w:left w:val="none" w:sz="0" w:space="0" w:color="auto"/>
        <w:bottom w:val="none" w:sz="0" w:space="0" w:color="auto"/>
        <w:right w:val="none" w:sz="0" w:space="0" w:color="auto"/>
      </w:divBdr>
    </w:div>
    <w:div w:id="695734179">
      <w:bodyDiv w:val="1"/>
      <w:marLeft w:val="0"/>
      <w:marRight w:val="0"/>
      <w:marTop w:val="0"/>
      <w:marBottom w:val="0"/>
      <w:divBdr>
        <w:top w:val="none" w:sz="0" w:space="0" w:color="auto"/>
        <w:left w:val="none" w:sz="0" w:space="0" w:color="auto"/>
        <w:bottom w:val="none" w:sz="0" w:space="0" w:color="auto"/>
        <w:right w:val="none" w:sz="0" w:space="0" w:color="auto"/>
      </w:divBdr>
    </w:div>
    <w:div w:id="716390204">
      <w:bodyDiv w:val="1"/>
      <w:marLeft w:val="0"/>
      <w:marRight w:val="0"/>
      <w:marTop w:val="0"/>
      <w:marBottom w:val="0"/>
      <w:divBdr>
        <w:top w:val="none" w:sz="0" w:space="0" w:color="auto"/>
        <w:left w:val="none" w:sz="0" w:space="0" w:color="auto"/>
        <w:bottom w:val="none" w:sz="0" w:space="0" w:color="auto"/>
        <w:right w:val="none" w:sz="0" w:space="0" w:color="auto"/>
      </w:divBdr>
    </w:div>
    <w:div w:id="774834178">
      <w:bodyDiv w:val="1"/>
      <w:marLeft w:val="0"/>
      <w:marRight w:val="0"/>
      <w:marTop w:val="0"/>
      <w:marBottom w:val="0"/>
      <w:divBdr>
        <w:top w:val="none" w:sz="0" w:space="0" w:color="auto"/>
        <w:left w:val="none" w:sz="0" w:space="0" w:color="auto"/>
        <w:bottom w:val="none" w:sz="0" w:space="0" w:color="auto"/>
        <w:right w:val="none" w:sz="0" w:space="0" w:color="auto"/>
      </w:divBdr>
    </w:div>
    <w:div w:id="998002716">
      <w:bodyDiv w:val="1"/>
      <w:marLeft w:val="0"/>
      <w:marRight w:val="0"/>
      <w:marTop w:val="0"/>
      <w:marBottom w:val="0"/>
      <w:divBdr>
        <w:top w:val="none" w:sz="0" w:space="0" w:color="auto"/>
        <w:left w:val="none" w:sz="0" w:space="0" w:color="auto"/>
        <w:bottom w:val="none" w:sz="0" w:space="0" w:color="auto"/>
        <w:right w:val="none" w:sz="0" w:space="0" w:color="auto"/>
      </w:divBdr>
    </w:div>
    <w:div w:id="1017393138">
      <w:bodyDiv w:val="1"/>
      <w:marLeft w:val="0"/>
      <w:marRight w:val="0"/>
      <w:marTop w:val="0"/>
      <w:marBottom w:val="0"/>
      <w:divBdr>
        <w:top w:val="none" w:sz="0" w:space="0" w:color="auto"/>
        <w:left w:val="none" w:sz="0" w:space="0" w:color="auto"/>
        <w:bottom w:val="none" w:sz="0" w:space="0" w:color="auto"/>
        <w:right w:val="none" w:sz="0" w:space="0" w:color="auto"/>
      </w:divBdr>
    </w:div>
    <w:div w:id="1039622373">
      <w:bodyDiv w:val="1"/>
      <w:marLeft w:val="0"/>
      <w:marRight w:val="0"/>
      <w:marTop w:val="0"/>
      <w:marBottom w:val="0"/>
      <w:divBdr>
        <w:top w:val="none" w:sz="0" w:space="0" w:color="auto"/>
        <w:left w:val="none" w:sz="0" w:space="0" w:color="auto"/>
        <w:bottom w:val="none" w:sz="0" w:space="0" w:color="auto"/>
        <w:right w:val="none" w:sz="0" w:space="0" w:color="auto"/>
      </w:divBdr>
    </w:div>
    <w:div w:id="1044982426">
      <w:bodyDiv w:val="1"/>
      <w:marLeft w:val="0"/>
      <w:marRight w:val="0"/>
      <w:marTop w:val="0"/>
      <w:marBottom w:val="0"/>
      <w:divBdr>
        <w:top w:val="none" w:sz="0" w:space="0" w:color="auto"/>
        <w:left w:val="none" w:sz="0" w:space="0" w:color="auto"/>
        <w:bottom w:val="none" w:sz="0" w:space="0" w:color="auto"/>
        <w:right w:val="none" w:sz="0" w:space="0" w:color="auto"/>
      </w:divBdr>
    </w:div>
    <w:div w:id="1079907219">
      <w:bodyDiv w:val="1"/>
      <w:marLeft w:val="0"/>
      <w:marRight w:val="0"/>
      <w:marTop w:val="0"/>
      <w:marBottom w:val="0"/>
      <w:divBdr>
        <w:top w:val="none" w:sz="0" w:space="0" w:color="auto"/>
        <w:left w:val="none" w:sz="0" w:space="0" w:color="auto"/>
        <w:bottom w:val="none" w:sz="0" w:space="0" w:color="auto"/>
        <w:right w:val="none" w:sz="0" w:space="0" w:color="auto"/>
      </w:divBdr>
    </w:div>
    <w:div w:id="1150513789">
      <w:bodyDiv w:val="1"/>
      <w:marLeft w:val="0"/>
      <w:marRight w:val="0"/>
      <w:marTop w:val="0"/>
      <w:marBottom w:val="0"/>
      <w:divBdr>
        <w:top w:val="none" w:sz="0" w:space="0" w:color="auto"/>
        <w:left w:val="none" w:sz="0" w:space="0" w:color="auto"/>
        <w:bottom w:val="none" w:sz="0" w:space="0" w:color="auto"/>
        <w:right w:val="none" w:sz="0" w:space="0" w:color="auto"/>
      </w:divBdr>
    </w:div>
    <w:div w:id="1157843536">
      <w:bodyDiv w:val="1"/>
      <w:marLeft w:val="0"/>
      <w:marRight w:val="0"/>
      <w:marTop w:val="0"/>
      <w:marBottom w:val="0"/>
      <w:divBdr>
        <w:top w:val="none" w:sz="0" w:space="0" w:color="auto"/>
        <w:left w:val="none" w:sz="0" w:space="0" w:color="auto"/>
        <w:bottom w:val="none" w:sz="0" w:space="0" w:color="auto"/>
        <w:right w:val="none" w:sz="0" w:space="0" w:color="auto"/>
      </w:divBdr>
    </w:div>
    <w:div w:id="1160341359">
      <w:bodyDiv w:val="1"/>
      <w:marLeft w:val="0"/>
      <w:marRight w:val="0"/>
      <w:marTop w:val="0"/>
      <w:marBottom w:val="0"/>
      <w:divBdr>
        <w:top w:val="none" w:sz="0" w:space="0" w:color="auto"/>
        <w:left w:val="none" w:sz="0" w:space="0" w:color="auto"/>
        <w:bottom w:val="none" w:sz="0" w:space="0" w:color="auto"/>
        <w:right w:val="none" w:sz="0" w:space="0" w:color="auto"/>
      </w:divBdr>
    </w:div>
    <w:div w:id="1171067239">
      <w:bodyDiv w:val="1"/>
      <w:marLeft w:val="0"/>
      <w:marRight w:val="0"/>
      <w:marTop w:val="0"/>
      <w:marBottom w:val="0"/>
      <w:divBdr>
        <w:top w:val="none" w:sz="0" w:space="0" w:color="auto"/>
        <w:left w:val="none" w:sz="0" w:space="0" w:color="auto"/>
        <w:bottom w:val="none" w:sz="0" w:space="0" w:color="auto"/>
        <w:right w:val="none" w:sz="0" w:space="0" w:color="auto"/>
      </w:divBdr>
    </w:div>
    <w:div w:id="1212763267">
      <w:bodyDiv w:val="1"/>
      <w:marLeft w:val="0"/>
      <w:marRight w:val="0"/>
      <w:marTop w:val="0"/>
      <w:marBottom w:val="0"/>
      <w:divBdr>
        <w:top w:val="none" w:sz="0" w:space="0" w:color="auto"/>
        <w:left w:val="none" w:sz="0" w:space="0" w:color="auto"/>
        <w:bottom w:val="none" w:sz="0" w:space="0" w:color="auto"/>
        <w:right w:val="none" w:sz="0" w:space="0" w:color="auto"/>
      </w:divBdr>
      <w:divsChild>
        <w:div w:id="590166649">
          <w:marLeft w:val="0"/>
          <w:marRight w:val="0"/>
          <w:marTop w:val="0"/>
          <w:marBottom w:val="0"/>
          <w:divBdr>
            <w:top w:val="none" w:sz="0" w:space="0" w:color="auto"/>
            <w:left w:val="none" w:sz="0" w:space="0" w:color="auto"/>
            <w:bottom w:val="none" w:sz="0" w:space="0" w:color="auto"/>
            <w:right w:val="none" w:sz="0" w:space="0" w:color="auto"/>
          </w:divBdr>
          <w:divsChild>
            <w:div w:id="641347398">
              <w:marLeft w:val="0"/>
              <w:marRight w:val="0"/>
              <w:marTop w:val="0"/>
              <w:marBottom w:val="0"/>
              <w:divBdr>
                <w:top w:val="none" w:sz="0" w:space="0" w:color="auto"/>
                <w:left w:val="none" w:sz="0" w:space="0" w:color="auto"/>
                <w:bottom w:val="none" w:sz="0" w:space="0" w:color="auto"/>
                <w:right w:val="none" w:sz="0" w:space="0" w:color="auto"/>
              </w:divBdr>
              <w:divsChild>
                <w:div w:id="12491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5631">
          <w:marLeft w:val="0"/>
          <w:marRight w:val="0"/>
          <w:marTop w:val="0"/>
          <w:marBottom w:val="0"/>
          <w:divBdr>
            <w:top w:val="none" w:sz="0" w:space="0" w:color="auto"/>
            <w:left w:val="none" w:sz="0" w:space="0" w:color="auto"/>
            <w:bottom w:val="none" w:sz="0" w:space="0" w:color="auto"/>
            <w:right w:val="none" w:sz="0" w:space="0" w:color="auto"/>
          </w:divBdr>
          <w:divsChild>
            <w:div w:id="1739397742">
              <w:marLeft w:val="0"/>
              <w:marRight w:val="0"/>
              <w:marTop w:val="0"/>
              <w:marBottom w:val="0"/>
              <w:divBdr>
                <w:top w:val="none" w:sz="0" w:space="0" w:color="auto"/>
                <w:left w:val="none" w:sz="0" w:space="0" w:color="auto"/>
                <w:bottom w:val="none" w:sz="0" w:space="0" w:color="auto"/>
                <w:right w:val="none" w:sz="0" w:space="0" w:color="auto"/>
              </w:divBdr>
              <w:divsChild>
                <w:div w:id="11234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0113">
      <w:bodyDiv w:val="1"/>
      <w:marLeft w:val="0"/>
      <w:marRight w:val="0"/>
      <w:marTop w:val="0"/>
      <w:marBottom w:val="0"/>
      <w:divBdr>
        <w:top w:val="none" w:sz="0" w:space="0" w:color="auto"/>
        <w:left w:val="none" w:sz="0" w:space="0" w:color="auto"/>
        <w:bottom w:val="none" w:sz="0" w:space="0" w:color="auto"/>
        <w:right w:val="none" w:sz="0" w:space="0" w:color="auto"/>
      </w:divBdr>
    </w:div>
    <w:div w:id="1279026215">
      <w:bodyDiv w:val="1"/>
      <w:marLeft w:val="0"/>
      <w:marRight w:val="0"/>
      <w:marTop w:val="0"/>
      <w:marBottom w:val="0"/>
      <w:divBdr>
        <w:top w:val="none" w:sz="0" w:space="0" w:color="auto"/>
        <w:left w:val="none" w:sz="0" w:space="0" w:color="auto"/>
        <w:bottom w:val="none" w:sz="0" w:space="0" w:color="auto"/>
        <w:right w:val="none" w:sz="0" w:space="0" w:color="auto"/>
      </w:divBdr>
    </w:div>
    <w:div w:id="1326129417">
      <w:bodyDiv w:val="1"/>
      <w:marLeft w:val="0"/>
      <w:marRight w:val="0"/>
      <w:marTop w:val="0"/>
      <w:marBottom w:val="0"/>
      <w:divBdr>
        <w:top w:val="none" w:sz="0" w:space="0" w:color="auto"/>
        <w:left w:val="none" w:sz="0" w:space="0" w:color="auto"/>
        <w:bottom w:val="none" w:sz="0" w:space="0" w:color="auto"/>
        <w:right w:val="none" w:sz="0" w:space="0" w:color="auto"/>
      </w:divBdr>
    </w:div>
    <w:div w:id="1328552186">
      <w:bodyDiv w:val="1"/>
      <w:marLeft w:val="0"/>
      <w:marRight w:val="0"/>
      <w:marTop w:val="0"/>
      <w:marBottom w:val="0"/>
      <w:divBdr>
        <w:top w:val="none" w:sz="0" w:space="0" w:color="auto"/>
        <w:left w:val="none" w:sz="0" w:space="0" w:color="auto"/>
        <w:bottom w:val="none" w:sz="0" w:space="0" w:color="auto"/>
        <w:right w:val="none" w:sz="0" w:space="0" w:color="auto"/>
      </w:divBdr>
    </w:div>
    <w:div w:id="1521310193">
      <w:bodyDiv w:val="1"/>
      <w:marLeft w:val="0"/>
      <w:marRight w:val="0"/>
      <w:marTop w:val="0"/>
      <w:marBottom w:val="0"/>
      <w:divBdr>
        <w:top w:val="none" w:sz="0" w:space="0" w:color="auto"/>
        <w:left w:val="none" w:sz="0" w:space="0" w:color="auto"/>
        <w:bottom w:val="none" w:sz="0" w:space="0" w:color="auto"/>
        <w:right w:val="none" w:sz="0" w:space="0" w:color="auto"/>
      </w:divBdr>
    </w:div>
    <w:div w:id="1636138360">
      <w:bodyDiv w:val="1"/>
      <w:marLeft w:val="0"/>
      <w:marRight w:val="0"/>
      <w:marTop w:val="0"/>
      <w:marBottom w:val="0"/>
      <w:divBdr>
        <w:top w:val="none" w:sz="0" w:space="0" w:color="auto"/>
        <w:left w:val="none" w:sz="0" w:space="0" w:color="auto"/>
        <w:bottom w:val="none" w:sz="0" w:space="0" w:color="auto"/>
        <w:right w:val="none" w:sz="0" w:space="0" w:color="auto"/>
      </w:divBdr>
    </w:div>
    <w:div w:id="1660304979">
      <w:bodyDiv w:val="1"/>
      <w:marLeft w:val="0"/>
      <w:marRight w:val="0"/>
      <w:marTop w:val="0"/>
      <w:marBottom w:val="0"/>
      <w:divBdr>
        <w:top w:val="none" w:sz="0" w:space="0" w:color="auto"/>
        <w:left w:val="none" w:sz="0" w:space="0" w:color="auto"/>
        <w:bottom w:val="none" w:sz="0" w:space="0" w:color="auto"/>
        <w:right w:val="none" w:sz="0" w:space="0" w:color="auto"/>
      </w:divBdr>
    </w:div>
    <w:div w:id="1713846568">
      <w:bodyDiv w:val="1"/>
      <w:marLeft w:val="0"/>
      <w:marRight w:val="0"/>
      <w:marTop w:val="0"/>
      <w:marBottom w:val="0"/>
      <w:divBdr>
        <w:top w:val="none" w:sz="0" w:space="0" w:color="auto"/>
        <w:left w:val="none" w:sz="0" w:space="0" w:color="auto"/>
        <w:bottom w:val="none" w:sz="0" w:space="0" w:color="auto"/>
        <w:right w:val="none" w:sz="0" w:space="0" w:color="auto"/>
      </w:divBdr>
    </w:div>
    <w:div w:id="1916041242">
      <w:bodyDiv w:val="1"/>
      <w:marLeft w:val="0"/>
      <w:marRight w:val="0"/>
      <w:marTop w:val="0"/>
      <w:marBottom w:val="0"/>
      <w:divBdr>
        <w:top w:val="none" w:sz="0" w:space="0" w:color="auto"/>
        <w:left w:val="none" w:sz="0" w:space="0" w:color="auto"/>
        <w:bottom w:val="none" w:sz="0" w:space="0" w:color="auto"/>
        <w:right w:val="none" w:sz="0" w:space="0" w:color="auto"/>
      </w:divBdr>
      <w:divsChild>
        <w:div w:id="881403338">
          <w:marLeft w:val="0"/>
          <w:marRight w:val="0"/>
          <w:marTop w:val="0"/>
          <w:marBottom w:val="0"/>
          <w:divBdr>
            <w:top w:val="none" w:sz="0" w:space="0" w:color="auto"/>
            <w:left w:val="none" w:sz="0" w:space="0" w:color="auto"/>
            <w:bottom w:val="none" w:sz="0" w:space="0" w:color="auto"/>
            <w:right w:val="none" w:sz="0" w:space="0" w:color="auto"/>
          </w:divBdr>
          <w:divsChild>
            <w:div w:id="1070537438">
              <w:marLeft w:val="0"/>
              <w:marRight w:val="0"/>
              <w:marTop w:val="0"/>
              <w:marBottom w:val="0"/>
              <w:divBdr>
                <w:top w:val="none" w:sz="0" w:space="0" w:color="auto"/>
                <w:left w:val="none" w:sz="0" w:space="0" w:color="auto"/>
                <w:bottom w:val="none" w:sz="0" w:space="0" w:color="auto"/>
                <w:right w:val="none" w:sz="0" w:space="0" w:color="auto"/>
              </w:divBdr>
            </w:div>
          </w:divsChild>
        </w:div>
        <w:div w:id="1028607225">
          <w:marLeft w:val="0"/>
          <w:marRight w:val="0"/>
          <w:marTop w:val="0"/>
          <w:marBottom w:val="0"/>
          <w:divBdr>
            <w:top w:val="none" w:sz="0" w:space="0" w:color="auto"/>
            <w:left w:val="none" w:sz="0" w:space="0" w:color="auto"/>
            <w:bottom w:val="none" w:sz="0" w:space="0" w:color="auto"/>
            <w:right w:val="none" w:sz="0" w:space="0" w:color="auto"/>
          </w:divBdr>
        </w:div>
        <w:div w:id="241456921">
          <w:marLeft w:val="0"/>
          <w:marRight w:val="0"/>
          <w:marTop w:val="0"/>
          <w:marBottom w:val="0"/>
          <w:divBdr>
            <w:top w:val="none" w:sz="0" w:space="0" w:color="auto"/>
            <w:left w:val="none" w:sz="0" w:space="0" w:color="auto"/>
            <w:bottom w:val="none" w:sz="0" w:space="0" w:color="auto"/>
            <w:right w:val="none" w:sz="0" w:space="0" w:color="auto"/>
          </w:divBdr>
        </w:div>
      </w:divsChild>
    </w:div>
    <w:div w:id="1918131025">
      <w:bodyDiv w:val="1"/>
      <w:marLeft w:val="0"/>
      <w:marRight w:val="0"/>
      <w:marTop w:val="0"/>
      <w:marBottom w:val="0"/>
      <w:divBdr>
        <w:top w:val="none" w:sz="0" w:space="0" w:color="auto"/>
        <w:left w:val="none" w:sz="0" w:space="0" w:color="auto"/>
        <w:bottom w:val="none" w:sz="0" w:space="0" w:color="auto"/>
        <w:right w:val="none" w:sz="0" w:space="0" w:color="auto"/>
      </w:divBdr>
    </w:div>
    <w:div w:id="1927879056">
      <w:bodyDiv w:val="1"/>
      <w:marLeft w:val="0"/>
      <w:marRight w:val="0"/>
      <w:marTop w:val="0"/>
      <w:marBottom w:val="0"/>
      <w:divBdr>
        <w:top w:val="none" w:sz="0" w:space="0" w:color="auto"/>
        <w:left w:val="none" w:sz="0" w:space="0" w:color="auto"/>
        <w:bottom w:val="none" w:sz="0" w:space="0" w:color="auto"/>
        <w:right w:val="none" w:sz="0" w:space="0" w:color="auto"/>
      </w:divBdr>
    </w:div>
    <w:div w:id="2018920471">
      <w:bodyDiv w:val="1"/>
      <w:marLeft w:val="0"/>
      <w:marRight w:val="0"/>
      <w:marTop w:val="0"/>
      <w:marBottom w:val="0"/>
      <w:divBdr>
        <w:top w:val="none" w:sz="0" w:space="0" w:color="auto"/>
        <w:left w:val="none" w:sz="0" w:space="0" w:color="auto"/>
        <w:bottom w:val="none" w:sz="0" w:space="0" w:color="auto"/>
        <w:right w:val="none" w:sz="0" w:space="0" w:color="auto"/>
      </w:divBdr>
    </w:div>
    <w:div w:id="2074308168">
      <w:bodyDiv w:val="1"/>
      <w:marLeft w:val="0"/>
      <w:marRight w:val="0"/>
      <w:marTop w:val="0"/>
      <w:marBottom w:val="0"/>
      <w:divBdr>
        <w:top w:val="none" w:sz="0" w:space="0" w:color="auto"/>
        <w:left w:val="none" w:sz="0" w:space="0" w:color="auto"/>
        <w:bottom w:val="none" w:sz="0" w:space="0" w:color="auto"/>
        <w:right w:val="none" w:sz="0" w:space="0" w:color="auto"/>
      </w:divBdr>
    </w:div>
    <w:div w:id="2075004656">
      <w:bodyDiv w:val="1"/>
      <w:marLeft w:val="0"/>
      <w:marRight w:val="0"/>
      <w:marTop w:val="0"/>
      <w:marBottom w:val="0"/>
      <w:divBdr>
        <w:top w:val="none" w:sz="0" w:space="0" w:color="auto"/>
        <w:left w:val="none" w:sz="0" w:space="0" w:color="auto"/>
        <w:bottom w:val="none" w:sz="0" w:space="0" w:color="auto"/>
        <w:right w:val="none" w:sz="0" w:space="0" w:color="auto"/>
      </w:divBdr>
    </w:div>
    <w:div w:id="20900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i-compass.eu/publication/ec-regulatory-guidance/ec-regulatory-guidance-guidance-member-states-article-41-cpr%E2%80%93" TargetMode="External"/><Relationship Id="rId7" Type="http://schemas.openxmlformats.org/officeDocument/2006/relationships/hyperlink" Target="https://www.fi-compass.eu/publication/ec-regulatory-guidance/european-structural-and-investment-funds-guidance-member-states" TargetMode="External"/><Relationship Id="rId2" Type="http://schemas.openxmlformats.org/officeDocument/2006/relationships/hyperlink" Target="https://www.fi-compass.eu/publication/ec-regulatory-guidance/ec-regulatory-guidance-guidance-member-states" TargetMode="External"/><Relationship Id="rId1" Type="http://schemas.openxmlformats.org/officeDocument/2006/relationships/hyperlink" Target="https://www.fi-compass.eu/publication/ec-regulatory-guidance/ec-regulatory-guidance-guidance-member-states-article-41-cpr%E2%80%93" TargetMode="External"/><Relationship Id="rId6" Type="http://schemas.openxmlformats.org/officeDocument/2006/relationships/hyperlink" Target="https://www.fi-compass.eu/publication/ec-regulatory-guidance-guidance-member-states-article-374-cpr-support-enterprisesworking" TargetMode="External"/><Relationship Id="rId5" Type="http://schemas.openxmlformats.org/officeDocument/2006/relationships/hyperlink" Target="https://www.fi-compass.eu/publication/ec-regulatory-guidance-guidance-member-states-article-374-cpr-support-enterprisesworking" TargetMode="External"/><Relationship Id="rId4" Type="http://schemas.openxmlformats.org/officeDocument/2006/relationships/hyperlink" Target="https://www.fi-compass.eu/publication/brochures-factsheets/financial-instrument-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A2FA-B3C0-4AF8-A60D-4192E92F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35</TotalTime>
  <Pages>30</Pages>
  <Words>12522</Words>
  <Characters>69489</Characters>
  <Application>Microsoft Office Word</Application>
  <DocSecurity>0</DocSecurity>
  <PresentationFormat>Microsoft Word 14.0</PresentationFormat>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dc:creator>
  <cp:keywords>EL4</cp:keywords>
  <cp:lastModifiedBy>BERARD-DELAY Cecile (REGIO)</cp:lastModifiedBy>
  <cp:revision>10</cp:revision>
  <cp:lastPrinted>2016-03-10T14:18:00Z</cp:lastPrinted>
  <dcterms:created xsi:type="dcterms:W3CDTF">2016-04-14T16:36:00Z</dcterms:created>
  <dcterms:modified xsi:type="dcterms:W3CDTF">2016-04-18T07:44:00Z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Gabriella Fesus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