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30" w:rsidRDefault="006B6430" w:rsidP="006B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6B6430">
        <w:rPr>
          <w:b/>
          <w:lang w:val="en-GB"/>
        </w:rPr>
        <w:t xml:space="preserve">Commission’s reply to the questions from the Czech Republic on ex-ante </w:t>
      </w:r>
      <w:proofErr w:type="spellStart"/>
      <w:r w:rsidRPr="006B6430">
        <w:rPr>
          <w:b/>
          <w:lang w:val="en-GB"/>
        </w:rPr>
        <w:t>conditionalities</w:t>
      </w:r>
      <w:proofErr w:type="spellEnd"/>
      <w:r w:rsidRPr="006B6430">
        <w:rPr>
          <w:b/>
          <w:lang w:val="en-GB"/>
        </w:rPr>
        <w:t xml:space="preserve">, </w:t>
      </w:r>
      <w:r w:rsidR="00786117">
        <w:rPr>
          <w:b/>
          <w:lang w:val="en-GB"/>
        </w:rPr>
        <w:t>22</w:t>
      </w:r>
      <w:r w:rsidRPr="006B6430">
        <w:rPr>
          <w:b/>
          <w:lang w:val="en-GB"/>
        </w:rPr>
        <w:t>/7/13</w:t>
      </w:r>
    </w:p>
    <w:p w:rsidR="006B6430" w:rsidRPr="006B6430" w:rsidRDefault="006B6430" w:rsidP="006B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 w:rsidRPr="006B6430">
        <w:rPr>
          <w:b/>
          <w:lang w:val="en-GB"/>
        </w:rPr>
        <w:t xml:space="preserve"> </w:t>
      </w:r>
    </w:p>
    <w:p w:rsidR="006B6430" w:rsidRDefault="006B6430" w:rsidP="00FD031C">
      <w:pPr>
        <w:rPr>
          <w:lang w:val="en-GB"/>
        </w:rPr>
      </w:pPr>
    </w:p>
    <w:p w:rsidR="004238A5" w:rsidRPr="00BE7066" w:rsidRDefault="004238A5" w:rsidP="00FD031C">
      <w:pPr>
        <w:rPr>
          <w:lang w:val="en-GB"/>
        </w:rPr>
      </w:pPr>
    </w:p>
    <w:p w:rsidR="00FE7472" w:rsidRPr="002428CE" w:rsidRDefault="00B04EC9" w:rsidP="00B001AF">
      <w:pPr>
        <w:pStyle w:val="ListParagraph"/>
        <w:numPr>
          <w:ilvl w:val="0"/>
          <w:numId w:val="2"/>
        </w:numPr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How </w:t>
      </w:r>
      <w:r w:rsidR="005637EC" w:rsidRPr="002428CE">
        <w:rPr>
          <w:rFonts w:ascii="Times New Roman" w:hAnsi="Times New Roman" w:cs="Times New Roman"/>
          <w:lang w:val="en-GB"/>
        </w:rPr>
        <w:t>will the EC assess</w:t>
      </w:r>
      <w:r w:rsidR="00BE7066" w:rsidRPr="002428CE">
        <w:rPr>
          <w:rFonts w:ascii="Times New Roman" w:hAnsi="Times New Roman" w:cs="Times New Roman"/>
          <w:lang w:val="en-GB"/>
        </w:rPr>
        <w:t xml:space="preserve"> </w:t>
      </w:r>
      <w:r w:rsidR="004238A5" w:rsidRPr="002428CE">
        <w:rPr>
          <w:rFonts w:ascii="Times New Roman" w:hAnsi="Times New Roman" w:cs="Times New Roman"/>
          <w:lang w:val="en-GB"/>
        </w:rPr>
        <w:t xml:space="preserve"> the ex-ante </w:t>
      </w:r>
      <w:proofErr w:type="spellStart"/>
      <w:r w:rsidR="004238A5" w:rsidRPr="002428CE">
        <w:rPr>
          <w:rFonts w:ascii="Times New Roman" w:hAnsi="Times New Roman" w:cs="Times New Roman"/>
          <w:lang w:val="en-GB"/>
        </w:rPr>
        <w:t>conditiona</w:t>
      </w:r>
      <w:r w:rsidR="00BD5D03" w:rsidRPr="002428CE">
        <w:rPr>
          <w:rFonts w:ascii="Times New Roman" w:hAnsi="Times New Roman" w:cs="Times New Roman"/>
          <w:lang w:val="en-GB"/>
        </w:rPr>
        <w:t>lities</w:t>
      </w:r>
      <w:proofErr w:type="spellEnd"/>
      <w:r w:rsidRPr="002428CE">
        <w:rPr>
          <w:rFonts w:ascii="Times New Roman" w:hAnsi="Times New Roman" w:cs="Times New Roman"/>
          <w:lang w:val="en-GB"/>
        </w:rPr>
        <w:t xml:space="preserve"> in case that</w:t>
      </w:r>
      <w:r w:rsidR="00281856" w:rsidRPr="002428CE">
        <w:rPr>
          <w:rFonts w:ascii="Times New Roman" w:hAnsi="Times New Roman" w:cs="Times New Roman"/>
          <w:lang w:val="en-GB"/>
        </w:rPr>
        <w:t xml:space="preserve"> infring</w:t>
      </w:r>
      <w:r w:rsidR="008844DF" w:rsidRPr="002428CE">
        <w:rPr>
          <w:rFonts w:ascii="Times New Roman" w:hAnsi="Times New Roman" w:cs="Times New Roman"/>
          <w:lang w:val="en-GB"/>
        </w:rPr>
        <w:t>e</w:t>
      </w:r>
      <w:r w:rsidR="00281856" w:rsidRPr="002428CE">
        <w:rPr>
          <w:rFonts w:ascii="Times New Roman" w:hAnsi="Times New Roman" w:cs="Times New Roman"/>
          <w:lang w:val="en-GB"/>
        </w:rPr>
        <w:t xml:space="preserve">ment proceedings </w:t>
      </w:r>
      <w:r w:rsidRPr="002428CE">
        <w:rPr>
          <w:rFonts w:ascii="Times New Roman" w:hAnsi="Times New Roman" w:cs="Times New Roman"/>
          <w:lang w:val="en-GB"/>
        </w:rPr>
        <w:t>have</w:t>
      </w:r>
      <w:r w:rsidR="008844DF" w:rsidRPr="002428CE">
        <w:rPr>
          <w:rFonts w:ascii="Times New Roman" w:hAnsi="Times New Roman" w:cs="Times New Roman"/>
          <w:lang w:val="en-GB"/>
        </w:rPr>
        <w:t xml:space="preserve"> already</w:t>
      </w:r>
      <w:r w:rsidRPr="002428CE">
        <w:rPr>
          <w:rFonts w:ascii="Times New Roman" w:hAnsi="Times New Roman" w:cs="Times New Roman"/>
          <w:lang w:val="en-GB"/>
        </w:rPr>
        <w:t xml:space="preserve"> been opened by the Co</w:t>
      </w:r>
      <w:r w:rsidR="00BE7066" w:rsidRPr="002428CE">
        <w:rPr>
          <w:rFonts w:ascii="Times New Roman" w:hAnsi="Times New Roman" w:cs="Times New Roman"/>
          <w:lang w:val="en-GB"/>
        </w:rPr>
        <w:t>m</w:t>
      </w:r>
      <w:r w:rsidRPr="002428CE">
        <w:rPr>
          <w:rFonts w:ascii="Times New Roman" w:hAnsi="Times New Roman" w:cs="Times New Roman"/>
          <w:lang w:val="en-GB"/>
        </w:rPr>
        <w:t>mission</w:t>
      </w:r>
      <w:r w:rsidR="00A47259" w:rsidRPr="002428CE">
        <w:rPr>
          <w:rFonts w:ascii="Times New Roman" w:hAnsi="Times New Roman" w:cs="Times New Roman"/>
          <w:lang w:val="en-GB"/>
        </w:rPr>
        <w:t>:</w:t>
      </w:r>
    </w:p>
    <w:p w:rsidR="00B001AF" w:rsidRPr="002428CE" w:rsidRDefault="00B001AF" w:rsidP="00B001AF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BD5D03" w:rsidRPr="002428CE" w:rsidRDefault="00B001AF" w:rsidP="00B001AF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     - Will</w:t>
      </w:r>
      <w:r w:rsidR="00BE7066" w:rsidRPr="002428CE">
        <w:rPr>
          <w:rFonts w:ascii="Times New Roman" w:hAnsi="Times New Roman" w:cs="Times New Roman"/>
          <w:lang w:val="en-GB"/>
        </w:rPr>
        <w:t xml:space="preserve"> the concrete phase of the proceeding </w:t>
      </w:r>
      <w:r w:rsidR="006421E2" w:rsidRPr="002428CE">
        <w:rPr>
          <w:rFonts w:ascii="Times New Roman" w:hAnsi="Times New Roman" w:cs="Times New Roman"/>
          <w:lang w:val="en-GB"/>
        </w:rPr>
        <w:t xml:space="preserve">(formal notice, reasoned opinion) </w:t>
      </w:r>
      <w:r w:rsidR="00BE7066" w:rsidRPr="002428CE">
        <w:rPr>
          <w:rFonts w:ascii="Times New Roman" w:hAnsi="Times New Roman" w:cs="Times New Roman"/>
          <w:lang w:val="en-GB"/>
        </w:rPr>
        <w:t xml:space="preserve">be taken into consideration when assessing </w:t>
      </w:r>
      <w:r w:rsidR="00BD5D03" w:rsidRPr="002428CE">
        <w:rPr>
          <w:rFonts w:ascii="Times New Roman" w:hAnsi="Times New Roman" w:cs="Times New Roman"/>
          <w:lang w:val="en-GB"/>
        </w:rPr>
        <w:t>the ex-ante conditionality</w:t>
      </w:r>
      <w:r w:rsidRPr="002428CE">
        <w:rPr>
          <w:rFonts w:ascii="Times New Roman" w:hAnsi="Times New Roman" w:cs="Times New Roman"/>
          <w:lang w:val="en-GB"/>
        </w:rPr>
        <w:t>?</w:t>
      </w:r>
    </w:p>
    <w:p w:rsidR="004238A5" w:rsidRPr="002428CE" w:rsidRDefault="00B001AF" w:rsidP="00B001AF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     - Will </w:t>
      </w:r>
      <w:r w:rsidR="00FE7472" w:rsidRPr="002428CE">
        <w:rPr>
          <w:rFonts w:ascii="Times New Roman" w:hAnsi="Times New Roman" w:cs="Times New Roman"/>
          <w:lang w:val="en-GB"/>
        </w:rPr>
        <w:t>the Commis</w:t>
      </w:r>
      <w:r w:rsidR="00BE7066" w:rsidRPr="002428CE">
        <w:rPr>
          <w:rFonts w:ascii="Times New Roman" w:hAnsi="Times New Roman" w:cs="Times New Roman"/>
          <w:lang w:val="en-GB"/>
        </w:rPr>
        <w:t>s</w:t>
      </w:r>
      <w:r w:rsidR="00FE7472" w:rsidRPr="002428CE">
        <w:rPr>
          <w:rFonts w:ascii="Times New Roman" w:hAnsi="Times New Roman" w:cs="Times New Roman"/>
          <w:lang w:val="en-GB"/>
        </w:rPr>
        <w:t>ion always asses</w:t>
      </w:r>
      <w:r w:rsidR="005637EC" w:rsidRPr="002428CE">
        <w:rPr>
          <w:rFonts w:ascii="Times New Roman" w:hAnsi="Times New Roman" w:cs="Times New Roman"/>
          <w:lang w:val="en-GB"/>
        </w:rPr>
        <w:t>s</w:t>
      </w:r>
      <w:r w:rsidR="00FE7472" w:rsidRPr="002428CE">
        <w:rPr>
          <w:rFonts w:ascii="Times New Roman" w:hAnsi="Times New Roman" w:cs="Times New Roman"/>
          <w:lang w:val="en-GB"/>
        </w:rPr>
        <w:t xml:space="preserve"> each case individually depending on the </w:t>
      </w:r>
      <w:r w:rsidR="00DC0924" w:rsidRPr="002428CE">
        <w:rPr>
          <w:rFonts w:ascii="Times New Roman" w:hAnsi="Times New Roman" w:cs="Times New Roman"/>
          <w:lang w:val="en-GB"/>
        </w:rPr>
        <w:t>subjec</w:t>
      </w:r>
      <w:r w:rsidR="00FE7472" w:rsidRPr="002428CE">
        <w:rPr>
          <w:rFonts w:ascii="Times New Roman" w:hAnsi="Times New Roman" w:cs="Times New Roman"/>
          <w:lang w:val="en-GB"/>
        </w:rPr>
        <w:t>t</w:t>
      </w:r>
      <w:r w:rsidR="00252C3F" w:rsidRPr="002428CE">
        <w:rPr>
          <w:rFonts w:ascii="Times New Roman" w:hAnsi="Times New Roman" w:cs="Times New Roman"/>
          <w:lang w:val="en-GB"/>
        </w:rPr>
        <w:t xml:space="preserve"> or the </w:t>
      </w:r>
      <w:r w:rsidR="00FE7472" w:rsidRPr="002428CE">
        <w:rPr>
          <w:rFonts w:ascii="Times New Roman" w:hAnsi="Times New Roman" w:cs="Times New Roman"/>
          <w:lang w:val="en-GB"/>
        </w:rPr>
        <w:t>phase</w:t>
      </w:r>
      <w:r w:rsidR="00252C3F" w:rsidRPr="002428CE">
        <w:rPr>
          <w:rFonts w:ascii="Times New Roman" w:hAnsi="Times New Roman" w:cs="Times New Roman"/>
          <w:lang w:val="en-GB"/>
        </w:rPr>
        <w:t xml:space="preserve"> of the </w:t>
      </w:r>
      <w:proofErr w:type="gramStart"/>
      <w:r w:rsidR="00252C3F" w:rsidRPr="002428CE">
        <w:rPr>
          <w:rFonts w:ascii="Times New Roman" w:hAnsi="Times New Roman" w:cs="Times New Roman"/>
          <w:lang w:val="en-GB"/>
        </w:rPr>
        <w:t>proceedings.</w:t>
      </w:r>
      <w:proofErr w:type="gramEnd"/>
    </w:p>
    <w:p w:rsidR="006B6430" w:rsidRPr="002428CE" w:rsidRDefault="006B6430" w:rsidP="00B001AF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6B6430" w:rsidRPr="002428CE" w:rsidRDefault="006B6430" w:rsidP="006B6430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u w:val="single"/>
          <w:lang w:val="en-GB"/>
        </w:rPr>
        <w:t>COM reply:</w:t>
      </w:r>
      <w:r w:rsidRPr="002428CE">
        <w:rPr>
          <w:rFonts w:ascii="Times New Roman" w:hAnsi="Times New Roman" w:cs="Times New Roman"/>
          <w:lang w:val="en-GB"/>
        </w:rPr>
        <w:t xml:space="preserve"> The infringements proceedings will only be taken into consideration </w:t>
      </w:r>
      <w:r w:rsidR="00EF63EA" w:rsidRPr="002428CE">
        <w:rPr>
          <w:rFonts w:ascii="Times New Roman" w:hAnsi="Times New Roman" w:cs="Times New Roman"/>
          <w:lang w:val="en-GB"/>
        </w:rPr>
        <w:t xml:space="preserve">by the Commission </w:t>
      </w:r>
      <w:r w:rsidRPr="002428CE">
        <w:rPr>
          <w:rFonts w:ascii="Times New Roman" w:hAnsi="Times New Roman" w:cs="Times New Roman"/>
          <w:lang w:val="en-GB"/>
        </w:rPr>
        <w:t>when</w:t>
      </w:r>
      <w:r w:rsidR="00EF63EA" w:rsidRPr="002428CE">
        <w:rPr>
          <w:rFonts w:ascii="Times New Roman" w:hAnsi="Times New Roman" w:cs="Times New Roman"/>
          <w:lang w:val="en-GB"/>
        </w:rPr>
        <w:t xml:space="preserve"> assessing the information provided by MS in the PA and programmes on fulfilment of ex ante </w:t>
      </w:r>
      <w:proofErr w:type="spellStart"/>
      <w:r w:rsidR="00EF63EA" w:rsidRPr="002428CE">
        <w:rPr>
          <w:rFonts w:ascii="Times New Roman" w:hAnsi="Times New Roman" w:cs="Times New Roman"/>
          <w:lang w:val="en-GB"/>
        </w:rPr>
        <w:t>conditionalities</w:t>
      </w:r>
      <w:proofErr w:type="spellEnd"/>
      <w:r w:rsidR="00EF63EA" w:rsidRPr="002428CE">
        <w:rPr>
          <w:rFonts w:ascii="Times New Roman" w:hAnsi="Times New Roman" w:cs="Times New Roman"/>
          <w:lang w:val="en-GB"/>
        </w:rPr>
        <w:t xml:space="preserve"> when they are directly linked to the criteria for fulfilment as set out in Annex V CPR. This will be assessed case-by case basis.    </w:t>
      </w:r>
      <w:r w:rsidRPr="002428CE">
        <w:rPr>
          <w:rFonts w:ascii="Times New Roman" w:hAnsi="Times New Roman" w:cs="Times New Roman"/>
          <w:lang w:val="en-GB"/>
        </w:rPr>
        <w:t xml:space="preserve">  </w:t>
      </w:r>
    </w:p>
    <w:p w:rsidR="00252C3F" w:rsidRPr="002428CE" w:rsidRDefault="00252C3F" w:rsidP="00B001AF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252C3F" w:rsidRPr="002428CE" w:rsidRDefault="00252C3F" w:rsidP="00B001AF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914CCF" w:rsidRPr="002428CE" w:rsidRDefault="00BD5D03" w:rsidP="00914CCF">
      <w:pPr>
        <w:pStyle w:val="ListParagraph"/>
        <w:numPr>
          <w:ilvl w:val="0"/>
          <w:numId w:val="2"/>
        </w:numPr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>We would appreciate</w:t>
      </w:r>
      <w:r w:rsidR="00F450D1" w:rsidRPr="002428CE">
        <w:rPr>
          <w:rFonts w:ascii="Times New Roman" w:hAnsi="Times New Roman" w:cs="Times New Roman"/>
          <w:lang w:val="en-GB"/>
        </w:rPr>
        <w:t>,</w:t>
      </w:r>
      <w:r w:rsidRPr="002428CE">
        <w:rPr>
          <w:rFonts w:ascii="Times New Roman" w:hAnsi="Times New Roman" w:cs="Times New Roman"/>
          <w:lang w:val="en-GB"/>
        </w:rPr>
        <w:t xml:space="preserve"> if we could </w:t>
      </w:r>
      <w:r w:rsidR="005637EC" w:rsidRPr="002428CE">
        <w:rPr>
          <w:rFonts w:ascii="Times New Roman" w:hAnsi="Times New Roman" w:cs="Times New Roman"/>
          <w:lang w:val="en-GB"/>
        </w:rPr>
        <w:t xml:space="preserve">obtain </w:t>
      </w:r>
      <w:r w:rsidRPr="002428CE">
        <w:rPr>
          <w:rFonts w:ascii="Times New Roman" w:hAnsi="Times New Roman" w:cs="Times New Roman"/>
          <w:lang w:val="en-GB"/>
        </w:rPr>
        <w:t xml:space="preserve"> further guidance on the methodology</w:t>
      </w:r>
      <w:r w:rsidR="005637EC" w:rsidRPr="002428CE">
        <w:rPr>
          <w:rFonts w:ascii="Times New Roman" w:hAnsi="Times New Roman" w:cs="Times New Roman"/>
          <w:lang w:val="en-GB"/>
        </w:rPr>
        <w:t xml:space="preserve">, </w:t>
      </w:r>
      <w:r w:rsidRPr="002428CE">
        <w:rPr>
          <w:rFonts w:ascii="Times New Roman" w:hAnsi="Times New Roman" w:cs="Times New Roman"/>
          <w:lang w:val="en-GB"/>
        </w:rPr>
        <w:t xml:space="preserve">that shall be used </w:t>
      </w:r>
      <w:r w:rsidR="00F450D1" w:rsidRPr="002428CE">
        <w:rPr>
          <w:rFonts w:ascii="Times New Roman" w:hAnsi="Times New Roman" w:cs="Times New Roman"/>
          <w:lang w:val="en-GB"/>
        </w:rPr>
        <w:br/>
        <w:t xml:space="preserve">for the ex-ante </w:t>
      </w:r>
      <w:proofErr w:type="spellStart"/>
      <w:r w:rsidR="00F450D1" w:rsidRPr="002428CE">
        <w:rPr>
          <w:rFonts w:ascii="Times New Roman" w:hAnsi="Times New Roman" w:cs="Times New Roman"/>
          <w:lang w:val="en-GB"/>
        </w:rPr>
        <w:t>conditionalities</w:t>
      </w:r>
      <w:proofErr w:type="spellEnd"/>
      <w:r w:rsidR="00F450D1" w:rsidRPr="002428CE">
        <w:rPr>
          <w:rFonts w:ascii="Times New Roman" w:hAnsi="Times New Roman" w:cs="Times New Roman"/>
          <w:lang w:val="en-GB"/>
        </w:rPr>
        <w:t>:</w:t>
      </w:r>
      <w:r w:rsidRPr="002428CE">
        <w:rPr>
          <w:rFonts w:ascii="Times New Roman" w:hAnsi="Times New Roman" w:cs="Times New Roman"/>
          <w:lang w:val="en-GB"/>
        </w:rPr>
        <w:t xml:space="preserve"> Thematic objective 3.1., Enhancing </w:t>
      </w:r>
      <w:r w:rsidR="006F547E" w:rsidRPr="002428CE">
        <w:rPr>
          <w:rFonts w:ascii="Times New Roman" w:hAnsi="Times New Roman" w:cs="Times New Roman"/>
          <w:lang w:val="en-GB"/>
        </w:rPr>
        <w:br/>
      </w:r>
      <w:r w:rsidRPr="002428CE">
        <w:rPr>
          <w:rFonts w:ascii="Times New Roman" w:hAnsi="Times New Roman" w:cs="Times New Roman"/>
          <w:lang w:val="en-GB"/>
        </w:rPr>
        <w:t xml:space="preserve">the competiveness of small and medium-sized enterprises, and the Thematic objective 8.2., Promoting employment and supporting labour mobility,  criterion – measures to reduce the time to set up businesses and the costs, in order to properly fulfil these ex-ante </w:t>
      </w:r>
      <w:proofErr w:type="spellStart"/>
      <w:r w:rsidRPr="002428CE">
        <w:rPr>
          <w:rFonts w:ascii="Times New Roman" w:hAnsi="Times New Roman" w:cs="Times New Roman"/>
          <w:lang w:val="en-GB"/>
        </w:rPr>
        <w:t>conditionalities</w:t>
      </w:r>
      <w:proofErr w:type="spellEnd"/>
      <w:r w:rsidRPr="002428CE">
        <w:rPr>
          <w:rFonts w:ascii="Times New Roman" w:hAnsi="Times New Roman" w:cs="Times New Roman"/>
          <w:lang w:val="en-GB"/>
        </w:rPr>
        <w:t xml:space="preserve"> (</w:t>
      </w:r>
      <w:r w:rsidR="005637EC" w:rsidRPr="002428CE">
        <w:rPr>
          <w:rFonts w:ascii="Times New Roman" w:hAnsi="Times New Roman" w:cs="Times New Roman"/>
          <w:lang w:val="en-GB"/>
        </w:rPr>
        <w:t>e.g.</w:t>
      </w:r>
      <w:r w:rsidRPr="002428CE">
        <w:rPr>
          <w:rFonts w:ascii="Times New Roman" w:hAnsi="Times New Roman" w:cs="Times New Roman"/>
          <w:lang w:val="en-GB"/>
        </w:rPr>
        <w:t>to be more precise, which fees are included under the amount of € 100 that is defined / required as a maximum amount for setting up a business</w:t>
      </w:r>
      <w:r w:rsidR="00F450D1" w:rsidRPr="002428CE">
        <w:rPr>
          <w:rFonts w:ascii="Times New Roman" w:hAnsi="Times New Roman" w:cs="Times New Roman"/>
          <w:lang w:val="en-GB"/>
        </w:rPr>
        <w:t>, and how exactly is the time to setup business calculated</w:t>
      </w:r>
      <w:r w:rsidR="00DA3655" w:rsidRPr="002428CE">
        <w:rPr>
          <w:rFonts w:ascii="Times New Roman" w:hAnsi="Times New Roman" w:cs="Times New Roman"/>
          <w:lang w:val="en-GB"/>
        </w:rPr>
        <w:t xml:space="preserve">). </w:t>
      </w:r>
      <w:r w:rsidRPr="002428CE">
        <w:rPr>
          <w:rFonts w:ascii="Times New Roman" w:hAnsi="Times New Roman" w:cs="Times New Roman"/>
          <w:lang w:val="en-GB"/>
        </w:rPr>
        <w:t xml:space="preserve">   </w:t>
      </w:r>
    </w:p>
    <w:p w:rsidR="00D07A66" w:rsidRPr="002428CE" w:rsidRDefault="00BD5D03" w:rsidP="00D07A66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The Ministry of Justice and the Ministry of Industry and Trade have made a significant progress concerning this issue, namely by the adoption of the </w:t>
      </w:r>
      <w:r w:rsidR="00914CCF" w:rsidRPr="002428CE">
        <w:rPr>
          <w:rFonts w:ascii="Times New Roman" w:hAnsi="Times New Roman" w:cs="Times New Roman"/>
          <w:lang w:val="en-GB"/>
        </w:rPr>
        <w:t>new Act on Business</w:t>
      </w:r>
      <w:r w:rsidR="00B001AF" w:rsidRPr="002428CE">
        <w:rPr>
          <w:rFonts w:ascii="Times New Roman" w:hAnsi="Times New Roman" w:cs="Times New Roman"/>
          <w:lang w:val="en-GB"/>
        </w:rPr>
        <w:t xml:space="preserve"> </w:t>
      </w:r>
      <w:r w:rsidRPr="002428CE">
        <w:rPr>
          <w:rFonts w:ascii="Times New Roman" w:hAnsi="Times New Roman" w:cs="Times New Roman"/>
          <w:lang w:val="en-GB"/>
        </w:rPr>
        <w:t xml:space="preserve">Corporations </w:t>
      </w:r>
      <w:r w:rsidR="006F547E" w:rsidRPr="002428CE">
        <w:rPr>
          <w:rFonts w:ascii="Times New Roman" w:hAnsi="Times New Roman" w:cs="Times New Roman"/>
          <w:lang w:val="en-GB"/>
        </w:rPr>
        <w:br/>
      </w:r>
      <w:r w:rsidRPr="002428CE">
        <w:rPr>
          <w:rFonts w:ascii="Times New Roman" w:hAnsi="Times New Roman" w:cs="Times New Roman"/>
          <w:lang w:val="en-GB"/>
        </w:rPr>
        <w:t xml:space="preserve">or the amendment to the Trade Licensing Act, but it still  remains unclear </w:t>
      </w:r>
      <w:r w:rsidR="00B001AF" w:rsidRPr="002428CE">
        <w:rPr>
          <w:rFonts w:ascii="Times New Roman" w:hAnsi="Times New Roman" w:cs="Times New Roman"/>
          <w:lang w:val="en-GB"/>
        </w:rPr>
        <w:t xml:space="preserve"> </w:t>
      </w:r>
      <w:r w:rsidRPr="002428CE">
        <w:rPr>
          <w:rFonts w:ascii="Times New Roman" w:hAnsi="Times New Roman" w:cs="Times New Roman"/>
          <w:lang w:val="en-GB"/>
        </w:rPr>
        <w:t xml:space="preserve">what methodology </w:t>
      </w:r>
      <w:r w:rsidR="006F547E" w:rsidRPr="002428CE">
        <w:rPr>
          <w:rFonts w:ascii="Times New Roman" w:hAnsi="Times New Roman" w:cs="Times New Roman"/>
          <w:lang w:val="en-GB"/>
        </w:rPr>
        <w:br/>
      </w:r>
      <w:r w:rsidRPr="002428CE">
        <w:rPr>
          <w:rFonts w:ascii="Times New Roman" w:hAnsi="Times New Roman" w:cs="Times New Roman"/>
          <w:lang w:val="en-GB"/>
        </w:rPr>
        <w:t>and calculation</w:t>
      </w:r>
      <w:r w:rsidR="00F450D1" w:rsidRPr="002428CE">
        <w:rPr>
          <w:rFonts w:ascii="Times New Roman" w:hAnsi="Times New Roman" w:cs="Times New Roman"/>
          <w:lang w:val="en-GB"/>
        </w:rPr>
        <w:t>s</w:t>
      </w:r>
      <w:r w:rsidRPr="002428CE">
        <w:rPr>
          <w:rFonts w:ascii="Times New Roman" w:hAnsi="Times New Roman" w:cs="Times New Roman"/>
          <w:lang w:val="en-GB"/>
        </w:rPr>
        <w:t xml:space="preserve"> are behind the identification of the original values. The </w:t>
      </w:r>
      <w:r w:rsidR="00914CCF" w:rsidRPr="002428CE">
        <w:rPr>
          <w:rFonts w:ascii="Times New Roman" w:hAnsi="Times New Roman" w:cs="Times New Roman"/>
          <w:lang w:val="en-GB"/>
        </w:rPr>
        <w:t xml:space="preserve"> </w:t>
      </w:r>
      <w:r w:rsidRPr="002428CE">
        <w:rPr>
          <w:rFonts w:ascii="Times New Roman" w:hAnsi="Times New Roman" w:cs="Times New Roman"/>
          <w:lang w:val="en-GB"/>
        </w:rPr>
        <w:t xml:space="preserve">Council Conclusions on the Review of the „Small Business Act“ for Europe, as adopted by </w:t>
      </w:r>
      <w:r w:rsidR="00914CCF" w:rsidRPr="002428CE">
        <w:rPr>
          <w:rFonts w:ascii="Times New Roman" w:hAnsi="Times New Roman" w:cs="Times New Roman"/>
          <w:lang w:val="en-GB"/>
        </w:rPr>
        <w:t xml:space="preserve"> </w:t>
      </w:r>
      <w:r w:rsidRPr="002428CE">
        <w:rPr>
          <w:rFonts w:ascii="Times New Roman" w:hAnsi="Times New Roman" w:cs="Times New Roman"/>
          <w:lang w:val="en-GB"/>
        </w:rPr>
        <w:t xml:space="preserve">the Council (Competiveness) on 30 May 2011, just stated the amount and days, but without any further explanations. (The OECD is probably using a different methodology, because the data concerning this issue and regarding </w:t>
      </w:r>
      <w:r w:rsidR="00547C4F" w:rsidRPr="002428CE">
        <w:rPr>
          <w:rFonts w:ascii="Times New Roman" w:hAnsi="Times New Roman" w:cs="Times New Roman"/>
          <w:lang w:val="en-GB"/>
        </w:rPr>
        <w:br/>
      </w:r>
      <w:r w:rsidRPr="002428CE">
        <w:rPr>
          <w:rFonts w:ascii="Times New Roman" w:hAnsi="Times New Roman" w:cs="Times New Roman"/>
          <w:lang w:val="en-GB"/>
        </w:rPr>
        <w:t xml:space="preserve">the Czech Republic differs from the data published by the European Commission).  </w:t>
      </w:r>
    </w:p>
    <w:p w:rsidR="00DA3655" w:rsidRPr="002428CE" w:rsidRDefault="00DA3655" w:rsidP="00D07A66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786117" w:rsidRPr="002428CE" w:rsidRDefault="00DA3655" w:rsidP="00DA3655">
      <w:pPr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u w:val="single"/>
          <w:lang w:val="en-GB"/>
        </w:rPr>
        <w:t>COM reply</w:t>
      </w:r>
      <w:r w:rsidRPr="002428CE">
        <w:rPr>
          <w:rFonts w:ascii="Times New Roman" w:hAnsi="Times New Roman" w:cs="Times New Roman"/>
          <w:lang w:val="en-GB"/>
        </w:rPr>
        <w:t>: Please see below the methodology used to calculate the time and cost to start a business:</w:t>
      </w:r>
    </w:p>
    <w:p w:rsidR="00DA3655" w:rsidRDefault="00B87A44" w:rsidP="00DA3655">
      <w:pPr>
        <w:rPr>
          <w:rFonts w:ascii="Times New Roman" w:hAnsi="Times New Roman" w:cs="Times New Roman"/>
          <w:lang w:val="en-GB"/>
        </w:rPr>
      </w:pPr>
      <w:hyperlink r:id="rId6" w:history="1">
        <w:r w:rsidR="00DA3655" w:rsidRPr="002428CE">
          <w:rPr>
            <w:rStyle w:val="Hyperlink"/>
            <w:rFonts w:ascii="Times New Roman" w:hAnsi="Times New Roman" w:cs="Times New Roman"/>
            <w:color w:val="auto"/>
            <w:lang w:val="en-GB"/>
          </w:rPr>
          <w:t>http://ec.europa.eu/enterprise/policies/sme/files/support_measures/start-ups/sec_2007_129_en.pdf</w:t>
        </w:r>
      </w:hyperlink>
      <w:r w:rsidR="00786117">
        <w:rPr>
          <w:rFonts w:ascii="Times New Roman" w:hAnsi="Times New Roman" w:cs="Times New Roman"/>
          <w:lang w:val="en-GB"/>
        </w:rPr>
        <w:t>,</w:t>
      </w:r>
    </w:p>
    <w:p w:rsidR="00786117" w:rsidRPr="002428CE" w:rsidRDefault="00786117" w:rsidP="00DA3655">
      <w:pPr>
        <w:rPr>
          <w:rFonts w:ascii="Times New Roman" w:hAnsi="Times New Roman" w:cs="Times New Roman"/>
          <w:lang w:val="en-GB"/>
        </w:rPr>
      </w:pPr>
    </w:p>
    <w:p w:rsidR="00786117" w:rsidRPr="002428CE" w:rsidRDefault="00DA3655" w:rsidP="00DA3655">
      <w:pPr>
        <w:rPr>
          <w:rFonts w:ascii="Times New Roman" w:hAnsi="Times New Roman" w:cs="Times New Roman"/>
          <w:lang w:val="en-GB"/>
        </w:rPr>
      </w:pPr>
      <w:proofErr w:type="gramStart"/>
      <w:r w:rsidRPr="002428CE">
        <w:rPr>
          <w:rFonts w:ascii="Times New Roman" w:hAnsi="Times New Roman" w:cs="Times New Roman"/>
          <w:lang w:val="en-GB"/>
        </w:rPr>
        <w:t>as</w:t>
      </w:r>
      <w:proofErr w:type="gramEnd"/>
      <w:r w:rsidRPr="002428CE">
        <w:rPr>
          <w:rFonts w:ascii="Times New Roman" w:hAnsi="Times New Roman" w:cs="Times New Roman"/>
          <w:lang w:val="en-GB"/>
        </w:rPr>
        <w:t xml:space="preserve"> well as the most recent results for EU's member states:</w:t>
      </w:r>
      <w:r w:rsidR="00786117">
        <w:rPr>
          <w:rFonts w:ascii="Times New Roman" w:hAnsi="Times New Roman" w:cs="Times New Roman"/>
          <w:lang w:val="en-GB"/>
        </w:rPr>
        <w:t xml:space="preserve"> </w:t>
      </w:r>
    </w:p>
    <w:p w:rsidR="00DA3655" w:rsidRDefault="00B87A44" w:rsidP="00DA3655">
      <w:pPr>
        <w:rPr>
          <w:rFonts w:ascii="Times New Roman" w:hAnsi="Times New Roman" w:cs="Times New Roman"/>
          <w:lang w:val="en-GB"/>
        </w:rPr>
      </w:pPr>
      <w:hyperlink r:id="rId7" w:history="1">
        <w:r w:rsidR="00DA3655" w:rsidRPr="002428CE">
          <w:rPr>
            <w:rStyle w:val="Hyperlink"/>
            <w:rFonts w:ascii="Times New Roman" w:hAnsi="Times New Roman" w:cs="Times New Roman"/>
            <w:color w:val="auto"/>
            <w:lang w:val="en-GB"/>
          </w:rPr>
          <w:t>http://ec.europa.eu/enterprise/policies/sme/files/support_measures/start-ups/sec_2007_129_en.pdf</w:t>
        </w:r>
      </w:hyperlink>
    </w:p>
    <w:p w:rsidR="00786117" w:rsidRPr="002428CE" w:rsidRDefault="00786117" w:rsidP="00DA3655">
      <w:pPr>
        <w:rPr>
          <w:rFonts w:ascii="Times New Roman" w:hAnsi="Times New Roman" w:cs="Times New Roman"/>
          <w:lang w:val="en-GB"/>
        </w:rPr>
      </w:pPr>
    </w:p>
    <w:p w:rsidR="00DA3655" w:rsidRDefault="00DA3655" w:rsidP="00DA3655">
      <w:pPr>
        <w:rPr>
          <w:rFonts w:ascii="Times New Roman" w:hAnsi="Times New Roman" w:cs="Times New Roman"/>
          <w:lang w:val="en-GB"/>
        </w:rPr>
      </w:pPr>
      <w:proofErr w:type="gramStart"/>
      <w:r w:rsidRPr="002428CE">
        <w:rPr>
          <w:rFonts w:ascii="Times New Roman" w:hAnsi="Times New Roman" w:cs="Times New Roman"/>
          <w:lang w:val="en-GB"/>
        </w:rPr>
        <w:t>and</w:t>
      </w:r>
      <w:proofErr w:type="gramEnd"/>
      <w:r w:rsidRPr="002428CE">
        <w:rPr>
          <w:rFonts w:ascii="Times New Roman" w:hAnsi="Times New Roman" w:cs="Times New Roman"/>
          <w:lang w:val="en-GB"/>
        </w:rPr>
        <w:t xml:space="preserve"> more general information in start-up procedures:</w:t>
      </w:r>
    </w:p>
    <w:p w:rsidR="00786117" w:rsidRPr="002428CE" w:rsidRDefault="00786117" w:rsidP="00DA3655">
      <w:pPr>
        <w:rPr>
          <w:rFonts w:ascii="Times New Roman" w:hAnsi="Times New Roman" w:cs="Times New Roman"/>
          <w:lang w:val="en-GB"/>
        </w:rPr>
      </w:pPr>
    </w:p>
    <w:p w:rsidR="00DA3655" w:rsidRDefault="00B87A44" w:rsidP="00DA3655">
      <w:pPr>
        <w:rPr>
          <w:rFonts w:ascii="Times New Roman" w:hAnsi="Times New Roman" w:cs="Times New Roman"/>
          <w:lang w:val="en-GB"/>
        </w:rPr>
      </w:pPr>
      <w:hyperlink r:id="rId8" w:history="1">
        <w:r w:rsidR="00DA3655" w:rsidRPr="002428CE">
          <w:rPr>
            <w:rStyle w:val="Hyperlink"/>
            <w:rFonts w:ascii="Times New Roman" w:hAnsi="Times New Roman" w:cs="Times New Roman"/>
            <w:color w:val="auto"/>
            <w:lang w:val="en-GB"/>
          </w:rPr>
          <w:t>http://ec.europa.eu/enterprise/policies/sme/business-environment/start-up-procedures/index_en.htm</w:t>
        </w:r>
      </w:hyperlink>
      <w:r w:rsidR="002428CE">
        <w:rPr>
          <w:rFonts w:ascii="Times New Roman" w:hAnsi="Times New Roman" w:cs="Times New Roman"/>
          <w:lang w:val="en-GB"/>
        </w:rPr>
        <w:t>.</w:t>
      </w:r>
    </w:p>
    <w:p w:rsidR="00786117" w:rsidRPr="002428CE" w:rsidRDefault="00786117" w:rsidP="00DA3655">
      <w:pPr>
        <w:rPr>
          <w:rFonts w:ascii="Times New Roman" w:hAnsi="Times New Roman" w:cs="Times New Roman"/>
          <w:lang w:val="en-GB"/>
        </w:rPr>
      </w:pPr>
    </w:p>
    <w:p w:rsidR="00DA3655" w:rsidRPr="002428CE" w:rsidRDefault="00DA3655" w:rsidP="00DA3655">
      <w:pPr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>As regards licensing procedures, DG ENTR has commissioned a study on this (see the link to the final report):</w:t>
      </w:r>
    </w:p>
    <w:p w:rsidR="007B42B5" w:rsidRDefault="00B87A44" w:rsidP="007B42B5">
      <w:pPr>
        <w:rPr>
          <w:color w:val="1F497D"/>
          <w:lang w:val="en-GB"/>
        </w:rPr>
      </w:pPr>
      <w:hyperlink r:id="rId9" w:history="1">
        <w:r w:rsidR="007B42B5">
          <w:rPr>
            <w:rStyle w:val="Hyperlink"/>
            <w:lang w:val="en-GB"/>
          </w:rPr>
          <w:t>http://ec.europa.eu/enterprise/policies/sme/business-environment/start-up-procedures/index_en.htm</w:t>
        </w:r>
      </w:hyperlink>
    </w:p>
    <w:p w:rsidR="00DA3655" w:rsidRPr="002428CE" w:rsidRDefault="00DA3655" w:rsidP="00D07A66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D07A66" w:rsidRPr="002428CE" w:rsidRDefault="00D07A66" w:rsidP="00D07A66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547C4F" w:rsidRPr="002428CE" w:rsidRDefault="00D07A66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>3)</w:t>
      </w:r>
      <w:r w:rsidR="00547C4F" w:rsidRPr="002428CE">
        <w:rPr>
          <w:rFonts w:ascii="Times New Roman" w:hAnsi="Times New Roman" w:cs="Times New Roman"/>
          <w:lang w:val="en-GB"/>
        </w:rPr>
        <w:t xml:space="preserve"> </w:t>
      </w:r>
      <w:r w:rsidR="00FD031C" w:rsidRPr="002428CE">
        <w:rPr>
          <w:rFonts w:ascii="Times New Roman" w:hAnsi="Times New Roman" w:cs="Times New Roman"/>
          <w:lang w:val="en-GB"/>
        </w:rPr>
        <w:t>We would like</w:t>
      </w:r>
      <w:r w:rsidR="00547C4F" w:rsidRPr="002428CE">
        <w:rPr>
          <w:rFonts w:ascii="Times New Roman" w:hAnsi="Times New Roman" w:cs="Times New Roman"/>
          <w:lang w:val="en-GB"/>
        </w:rPr>
        <w:t xml:space="preserve"> also</w:t>
      </w:r>
      <w:r w:rsidR="00FD031C" w:rsidRPr="002428CE">
        <w:rPr>
          <w:rFonts w:ascii="Times New Roman" w:hAnsi="Times New Roman" w:cs="Times New Roman"/>
          <w:lang w:val="en-GB"/>
        </w:rPr>
        <w:t xml:space="preserve"> to raise a question regarding the fulfilment </w:t>
      </w:r>
      <w:r w:rsidR="00547C4F" w:rsidRPr="002428CE">
        <w:rPr>
          <w:rFonts w:ascii="Times New Roman" w:hAnsi="Times New Roman" w:cs="Times New Roman"/>
          <w:lang w:val="en-GB"/>
        </w:rPr>
        <w:t xml:space="preserve">of the ex ante conditionality  </w:t>
      </w:r>
    </w:p>
    <w:p w:rsidR="00664135" w:rsidRPr="002428CE" w:rsidRDefault="00547C4F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>TC</w:t>
      </w:r>
      <w:r w:rsidR="00FD031C" w:rsidRPr="002428CE">
        <w:rPr>
          <w:rFonts w:ascii="Times New Roman" w:hAnsi="Times New Roman" w:cs="Times New Roman"/>
          <w:lang w:val="en-GB"/>
        </w:rPr>
        <w:t xml:space="preserve"> 5</w:t>
      </w:r>
      <w:bookmarkStart w:id="0" w:name="_Toc331086027"/>
      <w:r w:rsidR="00FD031C" w:rsidRPr="002428CE">
        <w:rPr>
          <w:rFonts w:ascii="Times New Roman" w:eastAsia="Times New Roman" w:hAnsi="Times New Roman" w:cs="Times New Roman"/>
          <w:lang w:val="en-GB"/>
        </w:rPr>
        <w:t xml:space="preserve"> </w:t>
      </w:r>
      <w:r w:rsidRPr="002428CE">
        <w:rPr>
          <w:rFonts w:ascii="Times New Roman" w:eastAsia="Times New Roman" w:hAnsi="Times New Roman" w:cs="Times New Roman"/>
          <w:lang w:val="en-GB"/>
        </w:rPr>
        <w:t>“</w:t>
      </w:r>
      <w:r w:rsidR="00FD031C" w:rsidRPr="002428CE">
        <w:rPr>
          <w:rFonts w:ascii="Times New Roman" w:eastAsia="Times New Roman" w:hAnsi="Times New Roman" w:cs="Times New Roman"/>
          <w:lang w:val="en-GB"/>
        </w:rPr>
        <w:t>Risk prevention and management</w:t>
      </w:r>
      <w:bookmarkEnd w:id="0"/>
      <w:r w:rsidRPr="002428CE">
        <w:rPr>
          <w:rFonts w:ascii="Times New Roman" w:eastAsia="Times New Roman" w:hAnsi="Times New Roman" w:cs="Times New Roman"/>
          <w:lang w:val="en-GB"/>
        </w:rPr>
        <w:t>”</w:t>
      </w:r>
      <w:r w:rsidR="00914CCF" w:rsidRPr="002428CE">
        <w:rPr>
          <w:rFonts w:ascii="Times New Roman" w:hAnsi="Times New Roman" w:cs="Times New Roman"/>
        </w:rPr>
        <w:t xml:space="preserve"> </w:t>
      </w:r>
      <w:r w:rsidR="00914CCF" w:rsidRPr="002428CE">
        <w:rPr>
          <w:rFonts w:ascii="Times New Roman" w:hAnsi="Times New Roman" w:cs="Times New Roman"/>
          <w:lang w:val="en-GB"/>
        </w:rPr>
        <w:t>w</w:t>
      </w:r>
      <w:r w:rsidR="00FD031C" w:rsidRPr="002428CE">
        <w:rPr>
          <w:rFonts w:ascii="Times New Roman" w:hAnsi="Times New Roman" w:cs="Times New Roman"/>
          <w:lang w:val="en-GB"/>
        </w:rPr>
        <w:t>ith regar</w:t>
      </w:r>
      <w:r w:rsidR="00664135" w:rsidRPr="002428CE">
        <w:rPr>
          <w:rFonts w:ascii="Times New Roman" w:hAnsi="Times New Roman" w:cs="Times New Roman"/>
          <w:lang w:val="en-GB"/>
        </w:rPr>
        <w:t>ds to the following conditions:</w:t>
      </w:r>
    </w:p>
    <w:p w:rsidR="00664135" w:rsidRPr="002428CE" w:rsidRDefault="00664135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664135" w:rsidRPr="002428CE" w:rsidRDefault="00FD031C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- </w:t>
      </w:r>
      <w:proofErr w:type="gramStart"/>
      <w:r w:rsidRPr="002428CE">
        <w:rPr>
          <w:rFonts w:ascii="Times New Roman" w:hAnsi="Times New Roman" w:cs="Times New Roman"/>
          <w:lang w:val="en-GB"/>
        </w:rPr>
        <w:t>a</w:t>
      </w:r>
      <w:proofErr w:type="gramEnd"/>
      <w:r w:rsidRPr="002428CE">
        <w:rPr>
          <w:rFonts w:ascii="Times New Roman" w:hAnsi="Times New Roman" w:cs="Times New Roman"/>
          <w:lang w:val="en-GB"/>
        </w:rPr>
        <w:t xml:space="preserve"> national or regional risk assessment with the following elements shall be in place: </w:t>
      </w:r>
    </w:p>
    <w:p w:rsidR="00664135" w:rsidRPr="002428CE" w:rsidRDefault="00664135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664135" w:rsidRPr="002428CE" w:rsidRDefault="00FD031C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- description of the process, methodology, methods and non-sensitive data used for risk assessment as well as of the risk-based criteria for the prioritisation of investment;  description of single-risk </w:t>
      </w:r>
      <w:r w:rsidR="006F547E" w:rsidRPr="002428CE">
        <w:rPr>
          <w:rFonts w:ascii="Times New Roman" w:hAnsi="Times New Roman" w:cs="Times New Roman"/>
          <w:lang w:val="en-GB"/>
        </w:rPr>
        <w:br/>
      </w:r>
      <w:r w:rsidRPr="002428CE">
        <w:rPr>
          <w:rFonts w:ascii="Times New Roman" w:hAnsi="Times New Roman" w:cs="Times New Roman"/>
          <w:lang w:val="en-GB"/>
        </w:rPr>
        <w:t>and multi-risk scenarios;</w:t>
      </w:r>
    </w:p>
    <w:p w:rsidR="00664135" w:rsidRPr="002428CE" w:rsidRDefault="00664135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664135" w:rsidRPr="002428CE" w:rsidRDefault="00FD031C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>What the nature of the documents should be?</w:t>
      </w:r>
      <w:r w:rsidR="00914CCF" w:rsidRPr="002428CE">
        <w:rPr>
          <w:rFonts w:ascii="Times New Roman" w:hAnsi="Times New Roman" w:cs="Times New Roman"/>
          <w:lang w:val="en-GB"/>
        </w:rPr>
        <w:t xml:space="preserve"> </w:t>
      </w:r>
      <w:r w:rsidRPr="002428CE">
        <w:rPr>
          <w:rFonts w:ascii="Times New Roman" w:hAnsi="Times New Roman" w:cs="Times New Roman"/>
          <w:lang w:val="en-GB"/>
        </w:rPr>
        <w:t>Is it possible to consider documents such as yearl</w:t>
      </w:r>
      <w:r w:rsidR="00547C4F" w:rsidRPr="002428CE">
        <w:rPr>
          <w:rFonts w:ascii="Times New Roman" w:hAnsi="Times New Roman" w:cs="Times New Roman"/>
          <w:lang w:val="en-GB"/>
        </w:rPr>
        <w:t>y status reports, resolutions (</w:t>
      </w:r>
      <w:r w:rsidRPr="002428CE">
        <w:rPr>
          <w:rFonts w:ascii="Times New Roman" w:hAnsi="Times New Roman" w:cs="Times New Roman"/>
          <w:lang w:val="en-GB"/>
        </w:rPr>
        <w:t>governmental), internal acts of the Ministry of Interior or of the Fire Rescue Service o the CZ as sufficient for fulfilling the above mentioned parts of the</w:t>
      </w:r>
      <w:r w:rsidR="00547C4F" w:rsidRPr="002428CE">
        <w:rPr>
          <w:rFonts w:ascii="Times New Roman" w:hAnsi="Times New Roman" w:cs="Times New Roman"/>
          <w:lang w:val="en-GB"/>
        </w:rPr>
        <w:t xml:space="preserve"> ex ante conditionality</w:t>
      </w:r>
      <w:r w:rsidRPr="002428CE">
        <w:rPr>
          <w:rFonts w:ascii="Times New Roman" w:hAnsi="Times New Roman" w:cs="Times New Roman"/>
          <w:lang w:val="en-GB"/>
        </w:rPr>
        <w:t>? Do they have to cover the whole programming period? Does it have to cover national as well as regional levels</w:t>
      </w:r>
      <w:r w:rsidR="00393947" w:rsidRPr="002428CE">
        <w:rPr>
          <w:rFonts w:ascii="Times New Roman" w:hAnsi="Times New Roman" w:cs="Times New Roman"/>
          <w:lang w:val="en-GB"/>
        </w:rPr>
        <w:t>?</w:t>
      </w:r>
    </w:p>
    <w:p w:rsidR="00664135" w:rsidRPr="002428CE" w:rsidRDefault="00664135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7D45BA" w:rsidRPr="002428CE" w:rsidRDefault="00BC3B42" w:rsidP="00BC3B42">
      <w:pPr>
        <w:rPr>
          <w:rFonts w:ascii="Times New Roman" w:hAnsi="Times New Roman" w:cs="Times New Roman"/>
        </w:rPr>
      </w:pPr>
      <w:r w:rsidRPr="002428CE">
        <w:rPr>
          <w:rFonts w:ascii="Times New Roman" w:hAnsi="Times New Roman" w:cs="Times New Roman"/>
          <w:u w:val="single"/>
          <w:lang w:val="en-GB"/>
        </w:rPr>
        <w:t>COM reply</w:t>
      </w:r>
      <w:r w:rsidRPr="002428CE">
        <w:rPr>
          <w:rFonts w:ascii="Times New Roman" w:hAnsi="Times New Roman" w:cs="Times New Roman"/>
          <w:lang w:val="en-GB"/>
        </w:rPr>
        <w:t>:  The required document on national or regional risk assessment should cover the entire programming period. It should cover national or regional levels depending on the coverage of the specific programme</w:t>
      </w:r>
      <w:r w:rsidR="007D45BA" w:rsidRPr="002428CE">
        <w:rPr>
          <w:rFonts w:ascii="Times New Roman" w:hAnsi="Times New Roman" w:cs="Times New Roman"/>
          <w:lang w:val="en-GB"/>
        </w:rPr>
        <w:t xml:space="preserve">, taking into account subsidiarity of MS competences in this area. </w:t>
      </w:r>
      <w:r w:rsidRPr="002428CE">
        <w:rPr>
          <w:rFonts w:ascii="Times New Roman" w:hAnsi="Times New Roman" w:cs="Times New Roman"/>
          <w:lang w:val="en-GB"/>
        </w:rPr>
        <w:t xml:space="preserve"> </w:t>
      </w:r>
      <w:r w:rsidR="007D45BA" w:rsidRPr="002428CE">
        <w:rPr>
          <w:rFonts w:ascii="Times New Roman" w:hAnsi="Times New Roman" w:cs="Times New Roman"/>
          <w:lang w:val="en-GB"/>
        </w:rPr>
        <w:t xml:space="preserve">It is possible to use the existing relevant documents, however a consistency between those needs to be ensured. </w:t>
      </w:r>
    </w:p>
    <w:p w:rsidR="00BC3B42" w:rsidRPr="002428CE" w:rsidRDefault="00BC3B42" w:rsidP="00BC3B42">
      <w:pPr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See the link to </w:t>
      </w:r>
      <w:r w:rsidR="007D45BA" w:rsidRPr="002428CE">
        <w:rPr>
          <w:rFonts w:ascii="Times New Roman" w:hAnsi="Times New Roman" w:cs="Times New Roman"/>
          <w:lang w:val="en-GB"/>
        </w:rPr>
        <w:t>“risk</w:t>
      </w:r>
      <w:r w:rsidRPr="002428CE">
        <w:rPr>
          <w:rFonts w:ascii="Times New Roman" w:hAnsi="Times New Roman" w:cs="Times New Roman"/>
          <w:lang w:val="en-GB"/>
        </w:rPr>
        <w:t xml:space="preserve"> assessment </w:t>
      </w:r>
      <w:proofErr w:type="gramStart"/>
      <w:r w:rsidRPr="002428CE">
        <w:rPr>
          <w:rFonts w:ascii="Times New Roman" w:hAnsi="Times New Roman" w:cs="Times New Roman"/>
          <w:lang w:val="en-GB"/>
        </w:rPr>
        <w:t>guidelines "</w:t>
      </w:r>
      <w:proofErr w:type="gramEnd"/>
      <w:r w:rsidRPr="002428CE">
        <w:rPr>
          <w:rFonts w:ascii="Times New Roman" w:hAnsi="Times New Roman" w:cs="Times New Roman"/>
          <w:lang w:val="en-GB"/>
        </w:rPr>
        <w:t xml:space="preserve"> published by the Commission:  </w:t>
      </w:r>
    </w:p>
    <w:p w:rsidR="00BC3B42" w:rsidRPr="002428CE" w:rsidRDefault="00B87A44" w:rsidP="00BC3B42">
      <w:pPr>
        <w:rPr>
          <w:rFonts w:ascii="Times New Roman" w:hAnsi="Times New Roman" w:cs="Times New Roman"/>
          <w:lang w:val="en-GB"/>
        </w:rPr>
      </w:pPr>
      <w:hyperlink r:id="rId10" w:history="1">
        <w:r w:rsidR="00BC3B42" w:rsidRPr="002428CE">
          <w:rPr>
            <w:rStyle w:val="Hyperlink"/>
            <w:rFonts w:ascii="Times New Roman" w:hAnsi="Times New Roman" w:cs="Times New Roman"/>
            <w:color w:val="auto"/>
            <w:lang w:val="en-GB"/>
          </w:rPr>
          <w:t>http://register.consilium.europa.eu/pdf/en/10/st17/st17833.en10.pdf</w:t>
        </w:r>
      </w:hyperlink>
    </w:p>
    <w:p w:rsidR="00BC3B42" w:rsidRPr="002428CE" w:rsidRDefault="00BC3B42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 </w:t>
      </w:r>
    </w:p>
    <w:p w:rsidR="00BC3B42" w:rsidRPr="002428CE" w:rsidRDefault="00BC3B42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 </w:t>
      </w:r>
    </w:p>
    <w:p w:rsidR="006F547E" w:rsidRPr="002428CE" w:rsidRDefault="00D07A66" w:rsidP="006F547E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  <w:r w:rsidRPr="002428CE">
        <w:rPr>
          <w:rFonts w:ascii="Times New Roman" w:hAnsi="Times New Roman" w:cs="Times New Roman"/>
          <w:lang w:val="en-GB"/>
        </w:rPr>
        <w:t xml:space="preserve">4) </w:t>
      </w:r>
      <w:r w:rsidR="007D39FB" w:rsidRPr="002428CE">
        <w:rPr>
          <w:rFonts w:ascii="Times New Roman" w:hAnsi="Times New Roman" w:cs="Times New Roman"/>
          <w:lang w:val="en-GB"/>
        </w:rPr>
        <w:t xml:space="preserve"> </w:t>
      </w:r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We would </w:t>
      </w:r>
      <w:r w:rsidR="0073017B" w:rsidRPr="002428CE">
        <w:rPr>
          <w:rFonts w:ascii="Times New Roman" w:eastAsia="Times New Roman" w:hAnsi="Times New Roman" w:cs="Times New Roman"/>
          <w:lang w:eastAsia="cs-CZ"/>
        </w:rPr>
        <w:t>like to ask</w:t>
      </w:r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for information on what provisions </w:t>
      </w:r>
      <w:r w:rsidR="0073017B" w:rsidRPr="002428CE">
        <w:rPr>
          <w:rFonts w:ascii="Times New Roman" w:eastAsia="Times New Roman" w:hAnsi="Times New Roman" w:cs="Times New Roman"/>
          <w:lang w:eastAsia="cs-CZ"/>
        </w:rPr>
        <w:t>EC</w:t>
      </w:r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believe</w:t>
      </w:r>
      <w:r w:rsidR="00547C4F" w:rsidRPr="002428CE">
        <w:rPr>
          <w:rFonts w:ascii="Times New Roman" w:eastAsia="Times New Roman" w:hAnsi="Times New Roman" w:cs="Times New Roman"/>
          <w:lang w:eastAsia="cs-CZ"/>
        </w:rPr>
        <w:t>,</w:t>
      </w:r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that the collection of personal and sensitive data in relation to the regulation</w:t>
      </w:r>
      <w:r w:rsidR="0073017B" w:rsidRPr="002428CE">
        <w:rPr>
          <w:rFonts w:ascii="Times New Roman" w:eastAsia="Times New Roman" w:hAnsi="Times New Roman" w:cs="Times New Roman"/>
          <w:lang w:eastAsia="cs-CZ"/>
        </w:rPr>
        <w:t xml:space="preserve"> is</w:t>
      </w:r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possible.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whether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it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is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possible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r w:rsidR="006F547E" w:rsidRPr="002428CE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Commission to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perform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some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steps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solve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problem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see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, eg,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specific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modification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A6FE4" w:rsidRPr="002428CE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="003A6FE4" w:rsidRPr="002428CE">
        <w:rPr>
          <w:rFonts w:ascii="Times New Roman" w:eastAsia="Times New Roman" w:hAnsi="Times New Roman" w:cs="Times New Roman"/>
          <w:lang w:eastAsia="cs-CZ"/>
        </w:rPr>
        <w:t xml:space="preserve"> model EAFRD regulation, where the collection of personal data specifically anchored see Article 92a)</w:t>
      </w:r>
      <w:r w:rsidR="0073017B" w:rsidRPr="002428CE">
        <w:rPr>
          <w:rFonts w:ascii="Times New Roman" w:eastAsia="Times New Roman" w:hAnsi="Times New Roman" w:cs="Times New Roman"/>
          <w:lang w:eastAsia="cs-CZ"/>
        </w:rPr>
        <w:t xml:space="preserve">  </w:t>
      </w:r>
      <w:r w:rsidR="006F547E" w:rsidRPr="002428CE">
        <w:rPr>
          <w:rFonts w:ascii="Times New Roman" w:eastAsia="Times New Roman" w:hAnsi="Times New Roman" w:cs="Times New Roman"/>
          <w:lang w:eastAsia="cs-CZ"/>
        </w:rPr>
        <w:br/>
      </w:r>
      <w:r w:rsidR="00547C4F" w:rsidRPr="002428CE">
        <w:rPr>
          <w:rFonts w:ascii="Times New Roman" w:eastAsia="Times New Roman" w:hAnsi="Times New Roman" w:cs="Times New Roman"/>
          <w:lang w:eastAsia="cs-CZ"/>
        </w:rPr>
        <w:t>i</w:t>
      </w:r>
      <w:r w:rsidR="0073017B" w:rsidRPr="002428CE">
        <w:rPr>
          <w:rFonts w:ascii="Times New Roman" w:eastAsia="Times New Roman" w:hAnsi="Times New Roman" w:cs="Times New Roman"/>
          <w:lang w:eastAsia="cs-CZ"/>
        </w:rPr>
        <w:t xml:space="preserve">n order </w:t>
      </w:r>
      <w:r w:rsidR="0073017B" w:rsidRPr="002428CE">
        <w:rPr>
          <w:rFonts w:ascii="Times New Roman" w:hAnsi="Times New Roman" w:cs="Times New Roman"/>
          <w:lang w:val="en-GB"/>
        </w:rPr>
        <w:t>to meet the requirements of the general ex-ante conditionality</w:t>
      </w:r>
      <w:r w:rsidR="00456BB9" w:rsidRPr="002428CE">
        <w:rPr>
          <w:rFonts w:ascii="Times New Roman" w:hAnsi="Times New Roman" w:cs="Times New Roman"/>
          <w:lang w:val="en-GB"/>
        </w:rPr>
        <w:t xml:space="preserve"> no. 7 “</w:t>
      </w:r>
      <w:r w:rsidR="0073017B" w:rsidRPr="002428CE">
        <w:rPr>
          <w:rFonts w:ascii="Times New Roman" w:hAnsi="Times New Roman" w:cs="Times New Roman"/>
          <w:lang w:val="en-GB"/>
        </w:rPr>
        <w:t xml:space="preserve">Statistical systems </w:t>
      </w:r>
      <w:r w:rsidR="006F547E" w:rsidRPr="002428CE">
        <w:rPr>
          <w:rFonts w:ascii="Times New Roman" w:hAnsi="Times New Roman" w:cs="Times New Roman"/>
          <w:lang w:val="en-GB"/>
        </w:rPr>
        <w:br/>
      </w:r>
      <w:r w:rsidR="0073017B" w:rsidRPr="002428CE">
        <w:rPr>
          <w:rFonts w:ascii="Times New Roman" w:hAnsi="Times New Roman" w:cs="Times New Roman"/>
          <w:lang w:val="en-GB"/>
        </w:rPr>
        <w:t>and result indicators</w:t>
      </w:r>
      <w:r w:rsidR="00456BB9" w:rsidRPr="002428CE">
        <w:rPr>
          <w:rFonts w:ascii="Times New Roman" w:hAnsi="Times New Roman" w:cs="Times New Roman"/>
          <w:lang w:val="en-GB"/>
        </w:rPr>
        <w:t>”</w:t>
      </w:r>
      <w:r w:rsidR="006F547E" w:rsidRPr="002428CE">
        <w:rPr>
          <w:rFonts w:ascii="Times New Roman" w:hAnsi="Times New Roman" w:cs="Times New Roman"/>
          <w:lang w:val="en-GB"/>
        </w:rPr>
        <w:t xml:space="preserve"> (</w:t>
      </w:r>
      <w:r w:rsidR="006F547E" w:rsidRPr="002428CE">
        <w:rPr>
          <w:rFonts w:ascii="Times New Roman" w:eastAsia="Times New Roman" w:hAnsi="Times New Roman" w:cs="Times New Roman"/>
          <w:lang w:eastAsia="cs-CZ"/>
        </w:rPr>
        <w:t>to ensure the collection and evaluation of micro participating interventions”</w:t>
      </w:r>
      <w:r w:rsidR="006F547E" w:rsidRPr="002428CE">
        <w:rPr>
          <w:rFonts w:ascii="Times New Roman" w:eastAsia="Times New Roman" w:hAnsi="Times New Roman" w:cs="Times New Roman"/>
          <w:lang w:eastAsia="cs-CZ"/>
        </w:rPr>
        <w:br/>
        <w:t xml:space="preserve"> - see Guidance document for programming Period 2014-2020 Monitoring and Evaluation</w:t>
      </w:r>
      <w:r w:rsidR="006F547E" w:rsidRPr="002428CE">
        <w:rPr>
          <w:rFonts w:ascii="Times New Roman" w:eastAsia="Times New Roman" w:hAnsi="Times New Roman" w:cs="Times New Roman"/>
          <w:lang w:eastAsia="cs-CZ"/>
        </w:rPr>
        <w:br/>
        <w:t xml:space="preserve"> of European Cohesion Policy, European Social Fund) . </w:t>
      </w:r>
    </w:p>
    <w:p w:rsidR="003A6FE4" w:rsidRPr="002428CE" w:rsidRDefault="003A6FE4" w:rsidP="00664135">
      <w:pPr>
        <w:pStyle w:val="ListParagraph"/>
        <w:ind w:left="0"/>
        <w:contextualSpacing w:val="0"/>
        <w:rPr>
          <w:rFonts w:ascii="Times New Roman" w:hAnsi="Times New Roman" w:cs="Times New Roman"/>
        </w:rPr>
      </w:pPr>
    </w:p>
    <w:p w:rsidR="005F6698" w:rsidRPr="002428CE" w:rsidRDefault="005F6698" w:rsidP="007D39FB">
      <w:pPr>
        <w:pStyle w:val="ListParagraph"/>
        <w:ind w:left="0"/>
        <w:contextualSpacing w:val="0"/>
        <w:rPr>
          <w:rStyle w:val="hps"/>
          <w:rFonts w:ascii="Times New Roman" w:hAnsi="Times New Roman" w:cs="Times New Roman"/>
        </w:rPr>
      </w:pPr>
      <w:proofErr w:type="spellStart"/>
      <w:r w:rsidRPr="002428CE">
        <w:rPr>
          <w:rStyle w:val="hps"/>
          <w:rFonts w:ascii="Times New Roman" w:hAnsi="Times New Roman" w:cs="Times New Roman"/>
        </w:rPr>
        <w:t>According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to </w:t>
      </w:r>
      <w:proofErr w:type="spellStart"/>
      <w:r w:rsidRPr="002428CE">
        <w:rPr>
          <w:rStyle w:val="hps"/>
          <w:rFonts w:ascii="Times New Roman" w:hAnsi="Times New Roman" w:cs="Times New Roman"/>
        </w:rPr>
        <w:t>the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r w:rsidRPr="002428CE">
        <w:rPr>
          <w:rStyle w:val="hps"/>
          <w:rFonts w:ascii="Times New Roman" w:hAnsi="Times New Roman" w:cs="Times New Roman"/>
        </w:rPr>
        <w:t>Office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for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Personal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Data </w:t>
      </w:r>
      <w:proofErr w:type="spellStart"/>
      <w:r w:rsidRPr="002428CE">
        <w:rPr>
          <w:rStyle w:val="hps"/>
          <w:rFonts w:ascii="Times New Roman" w:hAnsi="Times New Roman" w:cs="Times New Roman"/>
        </w:rPr>
        <w:t>Protection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, </w:t>
      </w:r>
      <w:r w:rsidR="00FD531D" w:rsidRPr="002428CE">
        <w:rPr>
          <w:rStyle w:val="hps"/>
          <w:rFonts w:ascii="Times New Roman" w:hAnsi="Times New Roman" w:cs="Times New Roman"/>
        </w:rPr>
        <w:t>ESF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Regulation</w:t>
      </w:r>
      <w:proofErr w:type="spellEnd"/>
      <w:r w:rsidR="00FD531D"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="00FD531D" w:rsidRPr="002428CE">
        <w:rPr>
          <w:rStyle w:val="hps"/>
          <w:rFonts w:ascii="Times New Roman" w:hAnsi="Times New Roman" w:cs="Times New Roman"/>
        </w:rPr>
        <w:t>Proposal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only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lays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down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r w:rsidR="00243185" w:rsidRPr="002428CE">
        <w:rPr>
          <w:rFonts w:ascii="Times New Roman" w:hAnsi="Times New Roman" w:cs="Times New Roman"/>
        </w:rPr>
        <w:br/>
      </w:r>
      <w:proofErr w:type="spellStart"/>
      <w:r w:rsidRPr="002428CE">
        <w:rPr>
          <w:rStyle w:val="hps"/>
          <w:rFonts w:ascii="Times New Roman" w:hAnsi="Times New Roman" w:cs="Times New Roman"/>
        </w:rPr>
        <w:t>an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obligation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to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communicate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summary</w:t>
      </w:r>
      <w:proofErr w:type="spellEnd"/>
      <w:r w:rsidRPr="002428CE">
        <w:rPr>
          <w:rFonts w:ascii="Times New Roman" w:hAnsi="Times New Roman" w:cs="Times New Roman"/>
        </w:rPr>
        <w:t xml:space="preserve">, not </w:t>
      </w:r>
      <w:proofErr w:type="spellStart"/>
      <w:r w:rsidRPr="002428CE">
        <w:rPr>
          <w:rStyle w:val="hps"/>
          <w:rFonts w:ascii="Times New Roman" w:hAnsi="Times New Roman" w:cs="Times New Roman"/>
        </w:rPr>
        <w:t>personal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or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sensitive</w:t>
      </w:r>
      <w:r w:rsidRPr="002428CE">
        <w:rPr>
          <w:rFonts w:ascii="Times New Roman" w:hAnsi="Times New Roman" w:cs="Times New Roman"/>
        </w:rPr>
        <w:t xml:space="preserve"> </w:t>
      </w:r>
      <w:r w:rsidRPr="002428CE">
        <w:rPr>
          <w:rStyle w:val="hps"/>
          <w:rFonts w:ascii="Times New Roman" w:hAnsi="Times New Roman" w:cs="Times New Roman"/>
        </w:rPr>
        <w:t>data</w:t>
      </w:r>
      <w:r w:rsidRPr="002428CE">
        <w:rPr>
          <w:rFonts w:ascii="Times New Roman" w:hAnsi="Times New Roman" w:cs="Times New Roman"/>
        </w:rPr>
        <w:t xml:space="preserve">, </w:t>
      </w:r>
      <w:r w:rsidRPr="002428CE">
        <w:rPr>
          <w:rStyle w:val="hps"/>
          <w:rFonts w:ascii="Times New Roman" w:hAnsi="Times New Roman" w:cs="Times New Roman"/>
        </w:rPr>
        <w:t>and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therefore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regulation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is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not a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sufficient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legal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basis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for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access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r w:rsidRPr="002428CE">
        <w:rPr>
          <w:rStyle w:val="hps"/>
          <w:rFonts w:ascii="Times New Roman" w:hAnsi="Times New Roman" w:cs="Times New Roman"/>
        </w:rPr>
        <w:t xml:space="preserve">to </w:t>
      </w:r>
      <w:proofErr w:type="spellStart"/>
      <w:r w:rsidRPr="002428CE">
        <w:rPr>
          <w:rStyle w:val="hps"/>
          <w:rFonts w:ascii="Times New Roman" w:hAnsi="Times New Roman" w:cs="Times New Roman"/>
        </w:rPr>
        <w:t>registers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and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processing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of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such data</w:t>
      </w:r>
      <w:r w:rsidR="007D39FB" w:rsidRPr="002428CE">
        <w:rPr>
          <w:rStyle w:val="hps"/>
          <w:rFonts w:ascii="Times New Roman" w:hAnsi="Times New Roman" w:cs="Times New Roman"/>
        </w:rPr>
        <w:t>,</w:t>
      </w:r>
      <w:r w:rsidR="007D39FB" w:rsidRPr="002428CE">
        <w:rPr>
          <w:rFonts w:ascii="Times New Roman" w:eastAsia="Times New Roman" w:hAnsi="Times New Roman" w:cs="Times New Roman"/>
          <w:lang w:eastAsia="cs-CZ"/>
        </w:rPr>
        <w:t xml:space="preserve"> since the regulation only requires sending aggregated data to the SFC. This is in relation to national legislation obstacle</w:t>
      </w:r>
      <w:r w:rsidR="00243185" w:rsidRPr="002428CE">
        <w:rPr>
          <w:rFonts w:ascii="Times New Roman" w:eastAsia="Times New Roman" w:hAnsi="Times New Roman" w:cs="Times New Roman"/>
          <w:lang w:eastAsia="cs-CZ"/>
        </w:rPr>
        <w:br/>
      </w:r>
      <w:r w:rsidR="007D39FB" w:rsidRPr="002428CE">
        <w:rPr>
          <w:rFonts w:ascii="Times New Roman" w:eastAsia="Times New Roman" w:hAnsi="Times New Roman" w:cs="Times New Roman"/>
          <w:lang w:eastAsia="cs-CZ"/>
        </w:rPr>
        <w:t xml:space="preserve"> to the collection of personal and sensitive data and the fundamental obstacle to setting monitoring implementation and results of interventions. 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However</w:t>
      </w:r>
      <w:proofErr w:type="spellEnd"/>
      <w:r w:rsidRPr="002428CE">
        <w:rPr>
          <w:rStyle w:val="hps"/>
          <w:rFonts w:ascii="Times New Roman" w:hAnsi="Times New Roman" w:cs="Times New Roman"/>
        </w:rPr>
        <w:t>,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without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sufficient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authorization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to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access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r w:rsidRPr="002428CE">
        <w:rPr>
          <w:rStyle w:val="hps"/>
          <w:rFonts w:ascii="Times New Roman" w:hAnsi="Times New Roman" w:cs="Times New Roman"/>
        </w:rPr>
        <w:t xml:space="preserve">and </w:t>
      </w:r>
      <w:proofErr w:type="spellStart"/>
      <w:r w:rsidRPr="002428CE">
        <w:rPr>
          <w:rStyle w:val="hps"/>
          <w:rFonts w:ascii="Times New Roman" w:hAnsi="Times New Roman" w:cs="Times New Roman"/>
        </w:rPr>
        <w:t>process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relevant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data </w:t>
      </w:r>
      <w:proofErr w:type="spellStart"/>
      <w:r w:rsidRPr="002428CE">
        <w:rPr>
          <w:rStyle w:val="hps"/>
          <w:rFonts w:ascii="Times New Roman" w:hAnsi="Times New Roman" w:cs="Times New Roman"/>
        </w:rPr>
        <w:t>the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managing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authorities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r w:rsidRPr="002428CE">
        <w:rPr>
          <w:rStyle w:val="hps"/>
          <w:rFonts w:ascii="Times New Roman" w:hAnsi="Times New Roman" w:cs="Times New Roman"/>
        </w:rPr>
        <w:t>are not</w:t>
      </w:r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able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to </w:t>
      </w:r>
      <w:proofErr w:type="spellStart"/>
      <w:r w:rsidRPr="002428CE">
        <w:rPr>
          <w:rStyle w:val="hps"/>
          <w:rFonts w:ascii="Times New Roman" w:hAnsi="Times New Roman" w:cs="Times New Roman"/>
        </w:rPr>
        <w:t>guarantee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the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fulfillment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of</w:t>
      </w:r>
      <w:proofErr w:type="spellEnd"/>
      <w:r w:rsidRPr="002428CE">
        <w:rPr>
          <w:rFonts w:ascii="Times New Roman" w:hAnsi="Times New Roman" w:cs="Times New Roman"/>
        </w:rPr>
        <w:t xml:space="preserve"> </w:t>
      </w:r>
      <w:proofErr w:type="spellStart"/>
      <w:r w:rsidRPr="002428CE">
        <w:rPr>
          <w:rStyle w:val="hps"/>
          <w:rFonts w:ascii="Times New Roman" w:hAnsi="Times New Roman" w:cs="Times New Roman"/>
        </w:rPr>
        <w:t>this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 ex-ante </w:t>
      </w:r>
      <w:proofErr w:type="spellStart"/>
      <w:r w:rsidRPr="002428CE">
        <w:rPr>
          <w:rStyle w:val="hps"/>
          <w:rFonts w:ascii="Times New Roman" w:hAnsi="Times New Roman" w:cs="Times New Roman"/>
        </w:rPr>
        <w:t>conditionality</w:t>
      </w:r>
      <w:proofErr w:type="spellEnd"/>
      <w:r w:rsidRPr="002428CE">
        <w:rPr>
          <w:rStyle w:val="hps"/>
          <w:rFonts w:ascii="Times New Roman" w:hAnsi="Times New Roman" w:cs="Times New Roman"/>
        </w:rPr>
        <w:t>.</w:t>
      </w:r>
    </w:p>
    <w:p w:rsidR="00B613FF" w:rsidRPr="002428CE" w:rsidRDefault="00B613FF" w:rsidP="007D39FB">
      <w:pPr>
        <w:pStyle w:val="ListParagraph"/>
        <w:ind w:left="0"/>
        <w:contextualSpacing w:val="0"/>
        <w:rPr>
          <w:rStyle w:val="hps"/>
          <w:rFonts w:ascii="Times New Roman" w:hAnsi="Times New Roman" w:cs="Times New Roman"/>
        </w:rPr>
      </w:pPr>
    </w:p>
    <w:p w:rsidR="00B613FF" w:rsidRPr="002428CE" w:rsidRDefault="00B613FF" w:rsidP="00B613FF">
      <w:pPr>
        <w:rPr>
          <w:rFonts w:ascii="Times New Roman" w:hAnsi="Times New Roman" w:cs="Times New Roman"/>
          <w:lang w:val="en-GB" w:eastAsia="de-DE"/>
        </w:rPr>
      </w:pPr>
      <w:r w:rsidRPr="002428CE">
        <w:rPr>
          <w:rStyle w:val="hps"/>
          <w:rFonts w:ascii="Times New Roman" w:hAnsi="Times New Roman" w:cs="Times New Roman"/>
          <w:u w:val="single"/>
        </w:rPr>
        <w:t xml:space="preserve">COM </w:t>
      </w:r>
      <w:proofErr w:type="spellStart"/>
      <w:r w:rsidRPr="002428CE">
        <w:rPr>
          <w:rStyle w:val="hps"/>
          <w:rFonts w:ascii="Times New Roman" w:hAnsi="Times New Roman" w:cs="Times New Roman"/>
          <w:u w:val="single"/>
        </w:rPr>
        <w:t>reply</w:t>
      </w:r>
      <w:proofErr w:type="spellEnd"/>
      <w:r w:rsidRPr="002428CE">
        <w:rPr>
          <w:rStyle w:val="hps"/>
          <w:rFonts w:ascii="Times New Roman" w:hAnsi="Times New Roman" w:cs="Times New Roman"/>
        </w:rPr>
        <w:t xml:space="preserve">: </w:t>
      </w:r>
      <w:r w:rsidR="0086295A" w:rsidRPr="002428CE">
        <w:rPr>
          <w:rStyle w:val="hps"/>
          <w:rFonts w:ascii="Times New Roman" w:hAnsi="Times New Roman" w:cs="Times New Roman"/>
        </w:rPr>
        <w:t xml:space="preserve"> </w:t>
      </w:r>
      <w:r w:rsidR="002428CE" w:rsidRPr="002428CE">
        <w:rPr>
          <w:rFonts w:ascii="Times New Roman" w:hAnsi="Times New Roman" w:cs="Times New Roman"/>
          <w:lang w:val="en-GB"/>
        </w:rPr>
        <w:t>In line with “</w:t>
      </w:r>
      <w:r w:rsidRPr="002428CE">
        <w:rPr>
          <w:rFonts w:ascii="Times New Roman" w:hAnsi="Times New Roman" w:cs="Times New Roman"/>
          <w:lang w:val="en-GB"/>
        </w:rPr>
        <w:t>Programming Period 2014-2020  Monitoring and Evaluation of European Cohesion Policy European Social Fund Guidance document - Draft – of 9 January 2013</w:t>
      </w:r>
      <w:r w:rsidR="002428CE">
        <w:rPr>
          <w:rFonts w:ascii="Times New Roman" w:hAnsi="Times New Roman" w:cs="Times New Roman"/>
          <w:lang w:val="en-GB"/>
        </w:rPr>
        <w:t>”</w:t>
      </w:r>
      <w:r w:rsidR="002428CE" w:rsidRPr="002428CE">
        <w:rPr>
          <w:rFonts w:ascii="Times New Roman" w:hAnsi="Times New Roman" w:cs="Times New Roman"/>
          <w:lang w:val="en-GB"/>
        </w:rPr>
        <w:t>, t</w:t>
      </w:r>
      <w:r w:rsidRPr="002428CE">
        <w:rPr>
          <w:rFonts w:ascii="Times New Roman" w:hAnsi="Times New Roman" w:cs="Times New Roman"/>
          <w:lang w:val="en-GB" w:eastAsia="de-DE"/>
        </w:rPr>
        <w:t xml:space="preserve">he Commission does not require </w:t>
      </w:r>
      <w:r w:rsidR="002428CE">
        <w:rPr>
          <w:rFonts w:ascii="Times New Roman" w:hAnsi="Times New Roman" w:cs="Times New Roman"/>
          <w:lang w:val="en-GB" w:eastAsia="de-DE"/>
        </w:rPr>
        <w:t xml:space="preserve">to </w:t>
      </w:r>
      <w:r w:rsidRPr="002428CE">
        <w:rPr>
          <w:rFonts w:ascii="Times New Roman" w:hAnsi="Times New Roman" w:cs="Times New Roman"/>
          <w:lang w:val="en-GB" w:eastAsia="de-DE"/>
        </w:rPr>
        <w:t>receive the micro data but solely aggregated data sets of ESF and match funded operations.</w:t>
      </w:r>
    </w:p>
    <w:p w:rsidR="00786117" w:rsidRPr="00AB0790" w:rsidRDefault="00786117" w:rsidP="00B613FF">
      <w:pPr>
        <w:rPr>
          <w:rFonts w:ascii="Times New Roman" w:hAnsi="Times New Roman" w:cs="Times New Roman"/>
          <w:lang w:val="en-GB"/>
        </w:rPr>
      </w:pPr>
    </w:p>
    <w:p w:rsidR="00B613FF" w:rsidRPr="00AB0790" w:rsidRDefault="00B613FF" w:rsidP="00B613FF">
      <w:pPr>
        <w:rPr>
          <w:rFonts w:ascii="Times New Roman" w:hAnsi="Times New Roman" w:cs="Times New Roman"/>
          <w:lang w:val="en-GB"/>
        </w:rPr>
      </w:pPr>
      <w:r w:rsidRPr="00AB0790">
        <w:rPr>
          <w:rFonts w:ascii="Times New Roman" w:hAnsi="Times New Roman" w:cs="Times New Roman"/>
          <w:lang w:val="en-GB"/>
        </w:rPr>
        <w:t xml:space="preserve">The legal basis for recording and storing data on individual participants </w:t>
      </w:r>
      <w:r w:rsidR="00786117" w:rsidRPr="00AB0790">
        <w:rPr>
          <w:rFonts w:ascii="Times New Roman" w:hAnsi="Times New Roman" w:cs="Times New Roman"/>
          <w:lang w:val="en-GB"/>
        </w:rPr>
        <w:t>is set out in</w:t>
      </w:r>
      <w:r w:rsidRPr="00AB0790">
        <w:rPr>
          <w:rFonts w:ascii="Times New Roman" w:hAnsi="Times New Roman" w:cs="Times New Roman"/>
          <w:lang w:val="en-GB"/>
        </w:rPr>
        <w:t xml:space="preserve"> the CPR provisions in art. 114</w:t>
      </w:r>
      <w:r w:rsidR="00786117" w:rsidRPr="00AB0790">
        <w:rPr>
          <w:rFonts w:ascii="Times New Roman" w:hAnsi="Times New Roman" w:cs="Times New Roman"/>
          <w:lang w:val="en-GB"/>
        </w:rPr>
        <w:t xml:space="preserve">.2, according to which the managing authority shall establish a system to record and store in computerised from data on each operation necessary for monitoring, evaluation, financial management, verification and audit, including data on individual participants in operations, where applicable.  </w:t>
      </w:r>
      <w:r w:rsidRPr="00AB0790">
        <w:rPr>
          <w:rFonts w:ascii="Times New Roman" w:hAnsi="Times New Roman" w:cs="Times New Roman"/>
          <w:lang w:val="en-GB"/>
        </w:rPr>
        <w:t xml:space="preserve"> </w:t>
      </w:r>
    </w:p>
    <w:p w:rsidR="00B613FF" w:rsidRPr="00AB0790" w:rsidRDefault="00B613FF" w:rsidP="007D39FB">
      <w:pPr>
        <w:pStyle w:val="ListParagraph"/>
        <w:ind w:left="0"/>
        <w:contextualSpacing w:val="0"/>
        <w:rPr>
          <w:rStyle w:val="hps"/>
          <w:rFonts w:ascii="Times New Roman" w:hAnsi="Times New Roman" w:cs="Times New Roman"/>
          <w:lang w:val="en-GB"/>
        </w:rPr>
      </w:pPr>
    </w:p>
    <w:p w:rsidR="00A546B6" w:rsidRPr="00AB0790" w:rsidRDefault="00A546B6" w:rsidP="007D39FB">
      <w:pPr>
        <w:pStyle w:val="ListParagraph"/>
        <w:ind w:left="0"/>
        <w:contextualSpacing w:val="0"/>
        <w:rPr>
          <w:rStyle w:val="hps"/>
          <w:rFonts w:ascii="Times New Roman" w:hAnsi="Times New Roman" w:cs="Times New Roman"/>
          <w:lang w:val="en-GB"/>
        </w:rPr>
      </w:pPr>
      <w:r w:rsidRPr="00AB0790">
        <w:rPr>
          <w:rStyle w:val="hps"/>
          <w:rFonts w:ascii="Times New Roman" w:hAnsi="Times New Roman" w:cs="Times New Roman"/>
          <w:lang w:val="en-GB"/>
        </w:rPr>
        <w:t xml:space="preserve">The Commission intends to introduce further safeguards for the protection of personal data in secondary legislation to be adopted based on Article 114(8) CPR.  </w:t>
      </w:r>
    </w:p>
    <w:p w:rsidR="005F6698" w:rsidRPr="00AB0790" w:rsidRDefault="005F6698" w:rsidP="00664135">
      <w:pPr>
        <w:pStyle w:val="ListParagraph"/>
        <w:ind w:left="0"/>
        <w:contextualSpacing w:val="0"/>
        <w:rPr>
          <w:rFonts w:ascii="Times New Roman" w:hAnsi="Times New Roman" w:cs="Times New Roman"/>
          <w:lang w:val="en-GB"/>
        </w:rPr>
      </w:pPr>
    </w:p>
    <w:p w:rsidR="00393947" w:rsidRPr="00AB0790" w:rsidRDefault="00393947" w:rsidP="00B001AF">
      <w:pPr>
        <w:pStyle w:val="ListParagraph"/>
        <w:keepNext/>
        <w:widowControl w:val="0"/>
        <w:ind w:left="0"/>
        <w:contextualSpacing w:val="0"/>
        <w:rPr>
          <w:rFonts w:ascii="Times New Roman" w:hAnsi="Times New Roman" w:cs="Times New Roman"/>
        </w:rPr>
      </w:pPr>
    </w:p>
    <w:p w:rsidR="008F54E5" w:rsidRPr="002428CE" w:rsidRDefault="008F54E5" w:rsidP="008F54E5">
      <w:pPr>
        <w:pStyle w:val="ListParagraph"/>
        <w:rPr>
          <w:lang w:val="en-GB"/>
        </w:rPr>
      </w:pPr>
      <w:bookmarkStart w:id="1" w:name="_GoBack"/>
      <w:bookmarkEnd w:id="1"/>
    </w:p>
    <w:sectPr w:rsidR="008F54E5" w:rsidRPr="002428CE" w:rsidSect="0026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7D41"/>
    <w:multiLevelType w:val="hybridMultilevel"/>
    <w:tmpl w:val="C3CCF018"/>
    <w:lvl w:ilvl="0" w:tplc="C576D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275BD"/>
    <w:multiLevelType w:val="hybridMultilevel"/>
    <w:tmpl w:val="DE2E318E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465DA"/>
    <w:rsid w:val="00072641"/>
    <w:rsid w:val="000C551B"/>
    <w:rsid w:val="001030ED"/>
    <w:rsid w:val="00123E53"/>
    <w:rsid w:val="0013521D"/>
    <w:rsid w:val="001465DA"/>
    <w:rsid w:val="00193AF2"/>
    <w:rsid w:val="001D6A01"/>
    <w:rsid w:val="0021656E"/>
    <w:rsid w:val="002428CE"/>
    <w:rsid w:val="00243185"/>
    <w:rsid w:val="00252C3F"/>
    <w:rsid w:val="00260320"/>
    <w:rsid w:val="00281856"/>
    <w:rsid w:val="002E5B8B"/>
    <w:rsid w:val="002F353B"/>
    <w:rsid w:val="00332B54"/>
    <w:rsid w:val="00376AB5"/>
    <w:rsid w:val="00392AF4"/>
    <w:rsid w:val="00393947"/>
    <w:rsid w:val="00397B29"/>
    <w:rsid w:val="003A1242"/>
    <w:rsid w:val="003A6FE4"/>
    <w:rsid w:val="004238A5"/>
    <w:rsid w:val="00426514"/>
    <w:rsid w:val="00456BB9"/>
    <w:rsid w:val="00500007"/>
    <w:rsid w:val="0050494D"/>
    <w:rsid w:val="0050654D"/>
    <w:rsid w:val="00547C4F"/>
    <w:rsid w:val="00557D37"/>
    <w:rsid w:val="005637EC"/>
    <w:rsid w:val="005A5394"/>
    <w:rsid w:val="005F6698"/>
    <w:rsid w:val="006421E2"/>
    <w:rsid w:val="00664135"/>
    <w:rsid w:val="006B6430"/>
    <w:rsid w:val="006F2F87"/>
    <w:rsid w:val="006F547E"/>
    <w:rsid w:val="00722498"/>
    <w:rsid w:val="0073017B"/>
    <w:rsid w:val="00751F5A"/>
    <w:rsid w:val="00786117"/>
    <w:rsid w:val="007B42B5"/>
    <w:rsid w:val="007D39FB"/>
    <w:rsid w:val="007D45BA"/>
    <w:rsid w:val="0086295A"/>
    <w:rsid w:val="008844DF"/>
    <w:rsid w:val="008C6D13"/>
    <w:rsid w:val="008F54E5"/>
    <w:rsid w:val="00914CCF"/>
    <w:rsid w:val="00916217"/>
    <w:rsid w:val="00966F15"/>
    <w:rsid w:val="009843FF"/>
    <w:rsid w:val="009F546E"/>
    <w:rsid w:val="00A47259"/>
    <w:rsid w:val="00A546B6"/>
    <w:rsid w:val="00A62B07"/>
    <w:rsid w:val="00AB0790"/>
    <w:rsid w:val="00B001AF"/>
    <w:rsid w:val="00B04EC9"/>
    <w:rsid w:val="00B613FF"/>
    <w:rsid w:val="00B87A44"/>
    <w:rsid w:val="00BC024F"/>
    <w:rsid w:val="00BC3B42"/>
    <w:rsid w:val="00BD5D03"/>
    <w:rsid w:val="00BE6D83"/>
    <w:rsid w:val="00BE7066"/>
    <w:rsid w:val="00C61ED5"/>
    <w:rsid w:val="00C821CD"/>
    <w:rsid w:val="00D07A66"/>
    <w:rsid w:val="00DA3655"/>
    <w:rsid w:val="00DC0924"/>
    <w:rsid w:val="00E20A0C"/>
    <w:rsid w:val="00E54BF4"/>
    <w:rsid w:val="00E63061"/>
    <w:rsid w:val="00EE303B"/>
    <w:rsid w:val="00EF63EA"/>
    <w:rsid w:val="00F427D0"/>
    <w:rsid w:val="00F450D1"/>
    <w:rsid w:val="00FD031C"/>
    <w:rsid w:val="00FD531D"/>
    <w:rsid w:val="00FE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7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0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0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6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07A66"/>
  </w:style>
  <w:style w:type="character" w:styleId="Hyperlink">
    <w:name w:val="Hyperlink"/>
    <w:basedOn w:val="DefaultParagraphFont"/>
    <w:uiPriority w:val="99"/>
    <w:unhideWhenUsed/>
    <w:rsid w:val="00DA36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B42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B613FF"/>
    <w:pPr>
      <w:autoSpaceDE w:val="0"/>
      <w:autoSpaceDN w:val="0"/>
      <w:jc w:val="left"/>
    </w:pPr>
    <w:rPr>
      <w:rFonts w:ascii="Times New Roman" w:hAnsi="Times New Roman" w:cs="Times New Roman"/>
      <w:color w:val="00000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4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7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0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0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06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07A66"/>
  </w:style>
  <w:style w:type="character" w:styleId="Hyperlink">
    <w:name w:val="Hyperlink"/>
    <w:basedOn w:val="DefaultParagraphFont"/>
    <w:uiPriority w:val="99"/>
    <w:unhideWhenUsed/>
    <w:rsid w:val="00DA36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B42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B613FF"/>
    <w:pPr>
      <w:autoSpaceDE w:val="0"/>
      <w:autoSpaceDN w:val="0"/>
      <w:jc w:val="left"/>
    </w:pPr>
    <w:rPr>
      <w:rFonts w:ascii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5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2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76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36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16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87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4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8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5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139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4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26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664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27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0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917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2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nterprise/policies/sme/business-environment/start-up-procedures/index_e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.europa.eu/enterprise/policies/sme/files/support_measures/start-ups/sec_2007_129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enterprise/policies/sme/files/support_measures/start-ups/sec_2007_129_en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gister.consilium.europa.eu/pdf/en/10/st17/st17833.en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nterprise/policies/sme/business-environment/start-up-procedures/index_en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1065</Words>
  <Characters>6274</Characters>
  <Application>Microsoft Office Word</Application>
  <DocSecurity>0</DocSecurity>
  <Lines>123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Pravdová</dc:creator>
  <cp:lastModifiedBy>TEPLANSKY Marek (REGIO)</cp:lastModifiedBy>
  <cp:revision>5</cp:revision>
  <cp:lastPrinted>2013-07-22T11:00:00Z</cp:lastPrinted>
  <dcterms:created xsi:type="dcterms:W3CDTF">2013-07-22T11:18:00Z</dcterms:created>
  <dcterms:modified xsi:type="dcterms:W3CDTF">2013-07-23T10:32:00Z</dcterms:modified>
</cp:coreProperties>
</file>