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BFA" w:rsidRPr="0089341D" w:rsidRDefault="005D4BFA" w:rsidP="00E904F1">
      <w:pPr>
        <w:spacing w:after="120"/>
        <w:jc w:val="center"/>
        <w:rPr>
          <w:rFonts w:ascii="Arial" w:hAnsi="Arial" w:cs="Arial"/>
          <w:b/>
          <w:bCs/>
          <w:smallCaps/>
          <w:sz w:val="20"/>
          <w:szCs w:val="20"/>
        </w:rPr>
      </w:pPr>
      <w:r w:rsidRPr="00CA34CF">
        <w:rPr>
          <w:rFonts w:ascii="Arial" w:hAnsi="Arial" w:cs="Arial"/>
          <w:b/>
          <w:bCs/>
          <w:smallCaps/>
          <w:sz w:val="20"/>
          <w:szCs w:val="20"/>
        </w:rPr>
        <w:t>Územní dimenze</w:t>
      </w:r>
    </w:p>
    <w:p w:rsidR="005D4BFA" w:rsidRDefault="005D4BFA" w:rsidP="00E904F1">
      <w:pPr>
        <w:spacing w:after="120"/>
        <w:jc w:val="center"/>
        <w:rPr>
          <w:rFonts w:ascii="Arial" w:hAnsi="Arial" w:cs="Arial"/>
          <w:b/>
          <w:bCs/>
          <w:smallCaps/>
          <w:sz w:val="20"/>
          <w:szCs w:val="20"/>
        </w:rPr>
      </w:pPr>
      <w:r w:rsidRPr="00CA34CF">
        <w:rPr>
          <w:rFonts w:ascii="Arial" w:hAnsi="Arial" w:cs="Arial"/>
          <w:b/>
          <w:bCs/>
          <w:smallCaps/>
          <w:sz w:val="20"/>
          <w:szCs w:val="20"/>
        </w:rPr>
        <w:t>v</w:t>
      </w:r>
      <w:r>
        <w:rPr>
          <w:rFonts w:ascii="Arial" w:hAnsi="Arial" w:cs="Arial"/>
          <w:b/>
          <w:bCs/>
          <w:smallCaps/>
          <w:sz w:val="20"/>
          <w:szCs w:val="20"/>
        </w:rPr>
        <w:t> </w:t>
      </w:r>
      <w:r w:rsidRPr="00CA34CF">
        <w:rPr>
          <w:rFonts w:ascii="Arial" w:hAnsi="Arial" w:cs="Arial"/>
          <w:b/>
          <w:bCs/>
          <w:smallCaps/>
          <w:sz w:val="20"/>
          <w:szCs w:val="20"/>
        </w:rPr>
        <w:t>intervencích fondů</w:t>
      </w:r>
      <w:r>
        <w:rPr>
          <w:rFonts w:ascii="Arial" w:hAnsi="Arial" w:cs="Arial"/>
          <w:b/>
          <w:bCs/>
          <w:smallCaps/>
          <w:sz w:val="20"/>
          <w:szCs w:val="20"/>
        </w:rPr>
        <w:t xml:space="preserve"> SSR</w:t>
      </w:r>
    </w:p>
    <w:p w:rsidR="005D4BFA" w:rsidRPr="0089341D" w:rsidRDefault="005D4BFA" w:rsidP="00E904F1">
      <w:pPr>
        <w:spacing w:after="120"/>
        <w:jc w:val="center"/>
        <w:rPr>
          <w:rFonts w:ascii="Arial" w:hAnsi="Arial" w:cs="Arial"/>
          <w:b/>
          <w:bCs/>
          <w:smallCaps/>
          <w:sz w:val="20"/>
          <w:szCs w:val="20"/>
        </w:rPr>
      </w:pPr>
      <w:r>
        <w:rPr>
          <w:rFonts w:ascii="Arial" w:hAnsi="Arial" w:cs="Arial"/>
          <w:b/>
          <w:bCs/>
          <w:smallCaps/>
          <w:sz w:val="20"/>
          <w:szCs w:val="20"/>
        </w:rPr>
        <w:t>_________________________________________________________________________________</w:t>
      </w:r>
    </w:p>
    <w:p w:rsidR="005D4BFA" w:rsidRDefault="005D4BFA">
      <w:pPr>
        <w:spacing w:after="120"/>
        <w:jc w:val="both"/>
        <w:rPr>
          <w:rFonts w:ascii="Arial" w:hAnsi="Arial" w:cs="Arial"/>
          <w:sz w:val="20"/>
          <w:szCs w:val="20"/>
        </w:rPr>
      </w:pPr>
      <w:r>
        <w:rPr>
          <w:rFonts w:ascii="Arial" w:hAnsi="Arial" w:cs="Arial"/>
          <w:b/>
          <w:bCs/>
          <w:smallCaps/>
          <w:sz w:val="20"/>
          <w:szCs w:val="20"/>
        </w:rPr>
        <w:t>Obsah</w:t>
      </w:r>
    </w:p>
    <w:p w:rsidR="005D4BFA" w:rsidRDefault="005D4BFA">
      <w:pPr>
        <w:spacing w:after="120"/>
        <w:jc w:val="both"/>
        <w:rPr>
          <w:rFonts w:ascii="Arial" w:hAnsi="Arial" w:cs="Arial"/>
          <w:sz w:val="20"/>
          <w:szCs w:val="20"/>
        </w:rPr>
      </w:pPr>
      <w:r w:rsidRPr="00E904F1">
        <w:rPr>
          <w:rFonts w:ascii="Arial" w:hAnsi="Arial" w:cs="Arial"/>
          <w:sz w:val="20"/>
          <w:szCs w:val="20"/>
        </w:rPr>
        <w:t xml:space="preserve">Tento podklad se zabývá </w:t>
      </w:r>
      <w:r>
        <w:rPr>
          <w:rFonts w:ascii="Arial" w:hAnsi="Arial" w:cs="Arial"/>
          <w:sz w:val="20"/>
          <w:szCs w:val="20"/>
        </w:rPr>
        <w:t>problematikou územní dimenze (ÚD) a jejího nastavení do programového období 2014 – 2020 a primárně slouží pro účely jednání MMR s regionálními partnery a řídicími orgány</w:t>
      </w:r>
      <w:r w:rsidR="00512641">
        <w:rPr>
          <w:rFonts w:ascii="Arial" w:hAnsi="Arial" w:cs="Arial"/>
          <w:sz w:val="20"/>
          <w:szCs w:val="20"/>
        </w:rPr>
        <w:t xml:space="preserve"> (ŘO)</w:t>
      </w:r>
      <w:r>
        <w:rPr>
          <w:rFonts w:ascii="Arial" w:hAnsi="Arial" w:cs="Arial"/>
          <w:sz w:val="20"/>
          <w:szCs w:val="20"/>
        </w:rPr>
        <w:t xml:space="preserve">.  </w:t>
      </w:r>
    </w:p>
    <w:p w:rsidR="005D4BFA" w:rsidRDefault="005D4BFA">
      <w:pPr>
        <w:spacing w:after="120"/>
        <w:jc w:val="both"/>
        <w:rPr>
          <w:rFonts w:ascii="Arial" w:hAnsi="Arial" w:cs="Arial"/>
          <w:sz w:val="20"/>
          <w:szCs w:val="20"/>
        </w:rPr>
      </w:pPr>
      <w:r>
        <w:rPr>
          <w:rFonts w:ascii="Arial" w:hAnsi="Arial" w:cs="Arial"/>
          <w:sz w:val="20"/>
          <w:szCs w:val="20"/>
        </w:rPr>
        <w:t>V  materiálu jsou zmíněna základní východiska konceptu ÚD z hlediska (i) legislativního rámce (</w:t>
      </w:r>
      <w:proofErr w:type="spellStart"/>
      <w:r>
        <w:rPr>
          <w:rFonts w:ascii="Arial" w:hAnsi="Arial" w:cs="Arial"/>
          <w:sz w:val="20"/>
          <w:szCs w:val="20"/>
        </w:rPr>
        <w:t>ii</w:t>
      </w:r>
      <w:proofErr w:type="spellEnd"/>
      <w:r>
        <w:rPr>
          <w:rFonts w:ascii="Arial" w:hAnsi="Arial" w:cs="Arial"/>
          <w:sz w:val="20"/>
          <w:szCs w:val="20"/>
        </w:rPr>
        <w:t>) vazeb na strategii Evropa 2020, (</w:t>
      </w:r>
      <w:proofErr w:type="spellStart"/>
      <w:r>
        <w:rPr>
          <w:rFonts w:ascii="Arial" w:hAnsi="Arial" w:cs="Arial"/>
          <w:sz w:val="20"/>
          <w:szCs w:val="20"/>
        </w:rPr>
        <w:t>iii</w:t>
      </w:r>
      <w:proofErr w:type="spellEnd"/>
      <w:r>
        <w:rPr>
          <w:rFonts w:ascii="Arial" w:hAnsi="Arial" w:cs="Arial"/>
          <w:sz w:val="20"/>
          <w:szCs w:val="20"/>
        </w:rPr>
        <w:t>) územní dimenze v podmínkách ČR</w:t>
      </w:r>
      <w:r w:rsidR="000B26F7">
        <w:rPr>
          <w:rFonts w:ascii="Arial" w:hAnsi="Arial" w:cs="Arial"/>
          <w:sz w:val="20"/>
          <w:szCs w:val="20"/>
        </w:rPr>
        <w:t>, (</w:t>
      </w:r>
      <w:proofErr w:type="spellStart"/>
      <w:r w:rsidR="000B26F7">
        <w:rPr>
          <w:rFonts w:ascii="Arial" w:hAnsi="Arial" w:cs="Arial"/>
          <w:sz w:val="20"/>
          <w:szCs w:val="20"/>
        </w:rPr>
        <w:t>iv</w:t>
      </w:r>
      <w:proofErr w:type="spellEnd"/>
      <w:r w:rsidR="000B26F7">
        <w:rPr>
          <w:rFonts w:ascii="Arial" w:hAnsi="Arial" w:cs="Arial"/>
          <w:sz w:val="20"/>
          <w:szCs w:val="20"/>
        </w:rPr>
        <w:t>) nastavených termínů tvorby programového období 2014+,</w:t>
      </w:r>
      <w:r>
        <w:rPr>
          <w:rFonts w:ascii="Arial" w:hAnsi="Arial" w:cs="Arial"/>
          <w:sz w:val="20"/>
          <w:szCs w:val="20"/>
        </w:rPr>
        <w:t xml:space="preserve"> a (v) existujících nástrojů.  </w:t>
      </w:r>
    </w:p>
    <w:p w:rsidR="005D4BFA" w:rsidRDefault="005D4BFA">
      <w:pPr>
        <w:spacing w:after="120"/>
        <w:jc w:val="both"/>
        <w:rPr>
          <w:rFonts w:ascii="Arial" w:hAnsi="Arial" w:cs="Arial"/>
          <w:b/>
          <w:bCs/>
          <w:sz w:val="20"/>
          <w:szCs w:val="20"/>
        </w:rPr>
      </w:pPr>
      <w:r w:rsidRPr="00CA34CF">
        <w:rPr>
          <w:rFonts w:ascii="Arial" w:hAnsi="Arial" w:cs="Arial"/>
          <w:b/>
          <w:bCs/>
          <w:sz w:val="20"/>
          <w:szCs w:val="20"/>
        </w:rPr>
        <w:t>Strategický a legislativní rámec</w:t>
      </w:r>
    </w:p>
    <w:p w:rsidR="005D4BFA" w:rsidRDefault="005D4BFA">
      <w:pPr>
        <w:spacing w:after="120"/>
        <w:jc w:val="both"/>
        <w:rPr>
          <w:rFonts w:ascii="Arial" w:hAnsi="Arial" w:cs="Arial"/>
          <w:sz w:val="20"/>
          <w:szCs w:val="20"/>
        </w:rPr>
      </w:pPr>
      <w:r w:rsidRPr="00CA34CF">
        <w:rPr>
          <w:rFonts w:ascii="Arial" w:hAnsi="Arial" w:cs="Arial"/>
          <w:sz w:val="20"/>
          <w:szCs w:val="20"/>
        </w:rPr>
        <w:t>Výrazné zohlednění územní dimenze je jedním z</w:t>
      </w:r>
      <w:r>
        <w:rPr>
          <w:rFonts w:ascii="Arial" w:hAnsi="Arial" w:cs="Arial"/>
          <w:sz w:val="20"/>
          <w:szCs w:val="20"/>
        </w:rPr>
        <w:t> </w:t>
      </w:r>
      <w:r w:rsidRPr="00CA34CF">
        <w:rPr>
          <w:rFonts w:ascii="Arial" w:hAnsi="Arial" w:cs="Arial"/>
          <w:sz w:val="20"/>
          <w:szCs w:val="20"/>
        </w:rPr>
        <w:t>nových či nově pojatých prvků při nastavování intervencí fondů</w:t>
      </w:r>
      <w:r>
        <w:rPr>
          <w:rFonts w:ascii="Arial" w:hAnsi="Arial" w:cs="Arial"/>
          <w:sz w:val="20"/>
          <w:szCs w:val="20"/>
        </w:rPr>
        <w:t xml:space="preserve"> SSR</w:t>
      </w:r>
      <w:r w:rsidRPr="00CA34CF">
        <w:rPr>
          <w:rFonts w:ascii="Arial" w:hAnsi="Arial" w:cs="Arial"/>
          <w:sz w:val="20"/>
          <w:szCs w:val="20"/>
        </w:rPr>
        <w:t>. Souvisí to se zařazením územní dimenze do původní politiky hospodářské a sociální soudržnosti v</w:t>
      </w:r>
      <w:r>
        <w:rPr>
          <w:rFonts w:ascii="Arial" w:hAnsi="Arial" w:cs="Arial"/>
          <w:sz w:val="20"/>
          <w:szCs w:val="20"/>
        </w:rPr>
        <w:t> </w:t>
      </w:r>
      <w:r w:rsidRPr="00CA34CF">
        <w:rPr>
          <w:rFonts w:ascii="Arial" w:hAnsi="Arial" w:cs="Arial"/>
          <w:sz w:val="20"/>
          <w:szCs w:val="20"/>
        </w:rPr>
        <w:t xml:space="preserve">Lisabonské smlouvě. </w:t>
      </w:r>
    </w:p>
    <w:p w:rsidR="005D4BFA" w:rsidRDefault="005D4BFA">
      <w:pPr>
        <w:spacing w:after="120"/>
        <w:jc w:val="both"/>
        <w:rPr>
          <w:rFonts w:ascii="Arial" w:hAnsi="Arial" w:cs="Arial"/>
          <w:b/>
          <w:bCs/>
          <w:sz w:val="20"/>
          <w:szCs w:val="20"/>
        </w:rPr>
      </w:pPr>
      <w:r w:rsidRPr="00CA34CF">
        <w:rPr>
          <w:rFonts w:ascii="Arial" w:hAnsi="Arial" w:cs="Arial"/>
          <w:b/>
          <w:bCs/>
          <w:sz w:val="20"/>
          <w:szCs w:val="20"/>
        </w:rPr>
        <w:t>Vazba na strategii E</w:t>
      </w:r>
      <w:r>
        <w:rPr>
          <w:rFonts w:ascii="Arial" w:hAnsi="Arial" w:cs="Arial"/>
          <w:b/>
          <w:bCs/>
          <w:sz w:val="20"/>
          <w:szCs w:val="20"/>
        </w:rPr>
        <w:t>vropa</w:t>
      </w:r>
      <w:r w:rsidRPr="00CA34CF">
        <w:rPr>
          <w:rFonts w:ascii="Arial" w:hAnsi="Arial" w:cs="Arial"/>
          <w:b/>
          <w:bCs/>
          <w:sz w:val="20"/>
          <w:szCs w:val="20"/>
        </w:rPr>
        <w:t xml:space="preserve"> 2020 a s</w:t>
      </w:r>
      <w:r>
        <w:rPr>
          <w:rFonts w:ascii="Arial" w:hAnsi="Arial" w:cs="Arial"/>
          <w:b/>
          <w:bCs/>
          <w:sz w:val="20"/>
          <w:szCs w:val="20"/>
        </w:rPr>
        <w:t> </w:t>
      </w:r>
      <w:r w:rsidRPr="00CA34CF">
        <w:rPr>
          <w:rFonts w:ascii="Arial" w:hAnsi="Arial" w:cs="Arial"/>
          <w:b/>
          <w:bCs/>
          <w:sz w:val="20"/>
          <w:szCs w:val="20"/>
        </w:rPr>
        <w:t>tím související věcná omezenost intervencí</w:t>
      </w:r>
    </w:p>
    <w:p w:rsidR="005D4BFA" w:rsidRDefault="005D4BFA">
      <w:pPr>
        <w:spacing w:after="120"/>
        <w:jc w:val="both"/>
        <w:rPr>
          <w:rFonts w:ascii="Arial" w:hAnsi="Arial" w:cs="Arial"/>
          <w:b/>
          <w:bCs/>
          <w:sz w:val="20"/>
          <w:szCs w:val="20"/>
        </w:rPr>
      </w:pPr>
      <w:r w:rsidRPr="00CA34CF">
        <w:rPr>
          <w:rFonts w:ascii="Arial" w:hAnsi="Arial" w:cs="Arial"/>
          <w:sz w:val="20"/>
          <w:szCs w:val="20"/>
        </w:rPr>
        <w:t>Další klíčovou změnou v</w:t>
      </w:r>
      <w:r>
        <w:rPr>
          <w:rFonts w:ascii="Arial" w:hAnsi="Arial" w:cs="Arial"/>
          <w:sz w:val="20"/>
          <w:szCs w:val="20"/>
        </w:rPr>
        <w:t> </w:t>
      </w:r>
      <w:r w:rsidRPr="00CA34CF">
        <w:rPr>
          <w:rFonts w:ascii="Arial" w:hAnsi="Arial" w:cs="Arial"/>
          <w:sz w:val="20"/>
          <w:szCs w:val="20"/>
        </w:rPr>
        <w:t xml:space="preserve">implementaci této politiky je 100% svázání intervencí fondů </w:t>
      </w:r>
      <w:r>
        <w:rPr>
          <w:rFonts w:ascii="Arial" w:hAnsi="Arial" w:cs="Arial"/>
          <w:sz w:val="20"/>
          <w:szCs w:val="20"/>
        </w:rPr>
        <w:t xml:space="preserve">SSR </w:t>
      </w:r>
      <w:r w:rsidRPr="00CA34CF">
        <w:rPr>
          <w:rFonts w:ascii="Arial" w:hAnsi="Arial" w:cs="Arial"/>
          <w:sz w:val="20"/>
          <w:szCs w:val="20"/>
        </w:rPr>
        <w:t>s</w:t>
      </w:r>
      <w:r>
        <w:rPr>
          <w:rFonts w:ascii="Arial" w:hAnsi="Arial" w:cs="Arial"/>
          <w:sz w:val="20"/>
          <w:szCs w:val="20"/>
        </w:rPr>
        <w:t> </w:t>
      </w:r>
      <w:r w:rsidRPr="00CA34CF">
        <w:rPr>
          <w:rFonts w:ascii="Arial" w:hAnsi="Arial" w:cs="Arial"/>
          <w:sz w:val="20"/>
          <w:szCs w:val="20"/>
        </w:rPr>
        <w:t>naplňováním cílů strategie Evropa 2020 a jejím národním promítnutím ve formě Národního programu reforem (NPR). Tato vazba se projevuje povinností identifikovat všechny způsobilé aktivity mezi 11 tematickými cíli (dle čl. 9 obecného nařízení), na ně vázanými investičními prioritami, příp. prioritami Unie pro PRV a OP Rybářství v</w:t>
      </w:r>
      <w:r>
        <w:rPr>
          <w:rFonts w:ascii="Arial" w:hAnsi="Arial" w:cs="Arial"/>
          <w:sz w:val="20"/>
          <w:szCs w:val="20"/>
        </w:rPr>
        <w:t> </w:t>
      </w:r>
      <w:r w:rsidRPr="00CA34CF">
        <w:rPr>
          <w:rFonts w:ascii="Arial" w:hAnsi="Arial" w:cs="Arial"/>
          <w:sz w:val="20"/>
          <w:szCs w:val="20"/>
        </w:rPr>
        <w:t>rámci struktury programů</w:t>
      </w:r>
      <w:r>
        <w:rPr>
          <w:rFonts w:ascii="Arial" w:hAnsi="Arial" w:cs="Arial"/>
          <w:sz w:val="20"/>
          <w:szCs w:val="20"/>
        </w:rPr>
        <w:t>.</w:t>
      </w:r>
      <w:r w:rsidRPr="00CA34CF">
        <w:rPr>
          <w:rFonts w:ascii="Arial" w:hAnsi="Arial" w:cs="Arial"/>
          <w:sz w:val="20"/>
          <w:szCs w:val="20"/>
        </w:rPr>
        <w:t xml:space="preserve"> Klíčové rovněž je, že mezi zmiňovanými 11 tematickými cíli chybí cíl územně založený. Z</w:t>
      </w:r>
      <w:r>
        <w:rPr>
          <w:rFonts w:ascii="Arial" w:hAnsi="Arial" w:cs="Arial"/>
          <w:sz w:val="20"/>
          <w:szCs w:val="20"/>
        </w:rPr>
        <w:t> </w:t>
      </w:r>
      <w:r w:rsidRPr="00CA34CF">
        <w:rPr>
          <w:rFonts w:ascii="Arial" w:hAnsi="Arial" w:cs="Arial"/>
          <w:sz w:val="20"/>
          <w:szCs w:val="20"/>
        </w:rPr>
        <w:t>toho plyne potřeba sladit celkový rámec politiky, jenž je nově soustředěn na růst konkurenceschopnosti, zaměstnanosti a začleňování s potřebami subjektů z</w:t>
      </w:r>
      <w:r>
        <w:rPr>
          <w:rFonts w:ascii="Arial" w:hAnsi="Arial" w:cs="Arial"/>
          <w:sz w:val="20"/>
          <w:szCs w:val="20"/>
        </w:rPr>
        <w:t> </w:t>
      </w:r>
      <w:r w:rsidRPr="00CA34CF">
        <w:rPr>
          <w:rFonts w:ascii="Arial" w:hAnsi="Arial" w:cs="Arial"/>
          <w:sz w:val="20"/>
          <w:szCs w:val="20"/>
        </w:rPr>
        <w:t xml:space="preserve">území </w:t>
      </w:r>
      <w:r>
        <w:rPr>
          <w:rFonts w:ascii="Arial" w:hAnsi="Arial" w:cs="Arial"/>
          <w:sz w:val="20"/>
          <w:szCs w:val="20"/>
        </w:rPr>
        <w:t>–</w:t>
      </w:r>
      <w:r w:rsidRPr="00CA34CF">
        <w:rPr>
          <w:rFonts w:ascii="Arial" w:hAnsi="Arial" w:cs="Arial"/>
          <w:sz w:val="20"/>
          <w:szCs w:val="20"/>
        </w:rPr>
        <w:t xml:space="preserve"> krajů, měst a obcí, tj. nebude možné podporovat aktivity označené EK za nezpůsobilé či hraniční v</w:t>
      </w:r>
      <w:r>
        <w:rPr>
          <w:rFonts w:ascii="Arial" w:hAnsi="Arial" w:cs="Arial"/>
          <w:sz w:val="20"/>
          <w:szCs w:val="20"/>
        </w:rPr>
        <w:t> </w:t>
      </w:r>
      <w:r w:rsidRPr="00CA34CF">
        <w:rPr>
          <w:rFonts w:ascii="Arial" w:hAnsi="Arial" w:cs="Arial"/>
          <w:sz w:val="20"/>
          <w:szCs w:val="20"/>
        </w:rPr>
        <w:t xml:space="preserve">Pozičním dokumentu případně bude zapotřebí vytvořit dostatečné silnou argumentaci pro případné výjimky. </w:t>
      </w:r>
    </w:p>
    <w:p w:rsidR="005D4BFA" w:rsidRDefault="005D4BFA">
      <w:pPr>
        <w:spacing w:after="120"/>
        <w:jc w:val="both"/>
        <w:rPr>
          <w:rFonts w:ascii="Arial" w:hAnsi="Arial" w:cs="Arial"/>
          <w:b/>
          <w:bCs/>
          <w:sz w:val="20"/>
          <w:szCs w:val="20"/>
        </w:rPr>
      </w:pPr>
      <w:r w:rsidRPr="00CA34CF">
        <w:rPr>
          <w:rFonts w:ascii="Arial" w:hAnsi="Arial" w:cs="Arial"/>
          <w:b/>
          <w:bCs/>
          <w:sz w:val="20"/>
          <w:szCs w:val="20"/>
        </w:rPr>
        <w:t>Limity dané tematickou koncentrací</w:t>
      </w:r>
    </w:p>
    <w:p w:rsidR="005D4BFA" w:rsidRDefault="005D4BFA">
      <w:pPr>
        <w:spacing w:after="120"/>
        <w:jc w:val="both"/>
        <w:rPr>
          <w:rFonts w:ascii="Arial" w:hAnsi="Arial" w:cs="Arial"/>
          <w:sz w:val="20"/>
          <w:szCs w:val="20"/>
        </w:rPr>
      </w:pPr>
      <w:r w:rsidRPr="00CA34CF">
        <w:rPr>
          <w:rFonts w:ascii="Arial" w:hAnsi="Arial" w:cs="Arial"/>
          <w:sz w:val="20"/>
          <w:szCs w:val="20"/>
        </w:rPr>
        <w:t>Z</w:t>
      </w:r>
      <w:r>
        <w:rPr>
          <w:rFonts w:ascii="Arial" w:hAnsi="Arial" w:cs="Arial"/>
          <w:sz w:val="20"/>
          <w:szCs w:val="20"/>
        </w:rPr>
        <w:t> </w:t>
      </w:r>
      <w:r w:rsidRPr="00CA34CF">
        <w:rPr>
          <w:rFonts w:ascii="Arial" w:hAnsi="Arial" w:cs="Arial"/>
          <w:sz w:val="20"/>
          <w:szCs w:val="20"/>
        </w:rPr>
        <w:t>výše uvedeného vyplývá potřeba shody a konkrétního definování  priorit/potřeb se subjekty zodpovědnými za rozvoj území (kraje, města a obce). V</w:t>
      </w:r>
      <w:r>
        <w:rPr>
          <w:rFonts w:ascii="Arial" w:hAnsi="Arial" w:cs="Arial"/>
          <w:sz w:val="20"/>
          <w:szCs w:val="20"/>
        </w:rPr>
        <w:t> </w:t>
      </w:r>
      <w:r w:rsidRPr="00CA34CF">
        <w:rPr>
          <w:rFonts w:ascii="Arial" w:hAnsi="Arial" w:cs="Arial"/>
          <w:sz w:val="20"/>
          <w:szCs w:val="20"/>
        </w:rPr>
        <w:t>tomto ohledu MMR trvá na respektování principu tematické koncentrace. Výsledkem by mělo být definování hlavních cílů a potřeb pro jednotlivé typy území. Ve vztahu k</w:t>
      </w:r>
      <w:r>
        <w:rPr>
          <w:rFonts w:ascii="Arial" w:hAnsi="Arial" w:cs="Arial"/>
          <w:sz w:val="20"/>
          <w:szCs w:val="20"/>
        </w:rPr>
        <w:t> </w:t>
      </w:r>
      <w:r w:rsidRPr="00CA34CF">
        <w:rPr>
          <w:rFonts w:ascii="Arial" w:hAnsi="Arial" w:cs="Arial"/>
          <w:sz w:val="20"/>
          <w:szCs w:val="20"/>
        </w:rPr>
        <w:t>subjektům v</w:t>
      </w:r>
      <w:r>
        <w:rPr>
          <w:rFonts w:ascii="Arial" w:hAnsi="Arial" w:cs="Arial"/>
          <w:sz w:val="20"/>
          <w:szCs w:val="20"/>
        </w:rPr>
        <w:t> </w:t>
      </w:r>
      <w:r w:rsidRPr="00CA34CF">
        <w:rPr>
          <w:rFonts w:ascii="Arial" w:hAnsi="Arial" w:cs="Arial"/>
          <w:sz w:val="20"/>
          <w:szCs w:val="20"/>
        </w:rPr>
        <w:t>území to znamená buď strategii zajištění požadovaných minimálních procentních podílů intervencemi bez explicitní územní dimenze</w:t>
      </w:r>
      <w:r>
        <w:rPr>
          <w:rFonts w:ascii="Arial" w:hAnsi="Arial" w:cs="Arial"/>
          <w:sz w:val="20"/>
          <w:szCs w:val="20"/>
        </w:rPr>
        <w:t>,</w:t>
      </w:r>
      <w:r w:rsidRPr="00CA34CF">
        <w:rPr>
          <w:rFonts w:ascii="Arial" w:hAnsi="Arial" w:cs="Arial"/>
          <w:sz w:val="20"/>
          <w:szCs w:val="20"/>
        </w:rPr>
        <w:t xml:space="preserve"> nebo snahu o zvýšení podílu územně specifických intervencí v</w:t>
      </w:r>
      <w:r>
        <w:rPr>
          <w:rFonts w:ascii="Arial" w:hAnsi="Arial" w:cs="Arial"/>
          <w:sz w:val="20"/>
          <w:szCs w:val="20"/>
        </w:rPr>
        <w:t> </w:t>
      </w:r>
      <w:r w:rsidRPr="00CA34CF">
        <w:rPr>
          <w:rFonts w:ascii="Arial" w:hAnsi="Arial" w:cs="Arial"/>
          <w:sz w:val="20"/>
          <w:szCs w:val="20"/>
        </w:rPr>
        <w:t>rámci minimálních požadovaných podílů</w:t>
      </w:r>
      <w:r>
        <w:rPr>
          <w:rFonts w:ascii="Arial" w:hAnsi="Arial" w:cs="Arial"/>
          <w:sz w:val="20"/>
          <w:szCs w:val="20"/>
        </w:rPr>
        <w:t>, a to ve vazbě na věcný obsah programů</w:t>
      </w:r>
      <w:r w:rsidRPr="00CA34CF">
        <w:rPr>
          <w:rFonts w:ascii="Arial" w:hAnsi="Arial" w:cs="Arial"/>
          <w:sz w:val="20"/>
          <w:szCs w:val="20"/>
        </w:rPr>
        <w:t>. Řešením může být také vhodná kombinace obou přístupů.</w:t>
      </w:r>
    </w:p>
    <w:p w:rsidR="005D4BFA" w:rsidRDefault="005D4BFA">
      <w:pPr>
        <w:spacing w:after="120"/>
        <w:jc w:val="both"/>
        <w:rPr>
          <w:rFonts w:ascii="Arial" w:hAnsi="Arial" w:cs="Arial"/>
          <w:b/>
          <w:bCs/>
          <w:sz w:val="20"/>
          <w:szCs w:val="20"/>
        </w:rPr>
      </w:pPr>
      <w:r w:rsidRPr="00CA34CF">
        <w:rPr>
          <w:rFonts w:ascii="Arial" w:hAnsi="Arial" w:cs="Arial"/>
          <w:b/>
          <w:bCs/>
          <w:sz w:val="20"/>
          <w:szCs w:val="20"/>
        </w:rPr>
        <w:t>Územní dimenze v</w:t>
      </w:r>
      <w:r>
        <w:rPr>
          <w:rFonts w:ascii="Arial" w:hAnsi="Arial" w:cs="Arial"/>
          <w:b/>
          <w:bCs/>
          <w:sz w:val="20"/>
          <w:szCs w:val="20"/>
        </w:rPr>
        <w:t> </w:t>
      </w:r>
      <w:r w:rsidRPr="00CA34CF">
        <w:rPr>
          <w:rFonts w:ascii="Arial" w:hAnsi="Arial" w:cs="Arial"/>
          <w:b/>
          <w:bCs/>
          <w:sz w:val="20"/>
          <w:szCs w:val="20"/>
        </w:rPr>
        <w:t>ČR = město a venkov</w:t>
      </w:r>
    </w:p>
    <w:p w:rsidR="005D4BFA" w:rsidRDefault="005D4BFA">
      <w:pPr>
        <w:spacing w:after="120"/>
        <w:jc w:val="both"/>
        <w:rPr>
          <w:rFonts w:ascii="Arial" w:hAnsi="Arial" w:cs="Arial"/>
          <w:sz w:val="20"/>
          <w:szCs w:val="20"/>
        </w:rPr>
      </w:pPr>
      <w:r w:rsidRPr="00CA34CF">
        <w:rPr>
          <w:rFonts w:ascii="Arial" w:hAnsi="Arial" w:cs="Arial"/>
          <w:sz w:val="20"/>
          <w:szCs w:val="20"/>
        </w:rPr>
        <w:t>S</w:t>
      </w:r>
      <w:r>
        <w:rPr>
          <w:rFonts w:ascii="Arial" w:hAnsi="Arial" w:cs="Arial"/>
          <w:sz w:val="20"/>
          <w:szCs w:val="20"/>
        </w:rPr>
        <w:t> </w:t>
      </w:r>
      <w:r w:rsidRPr="00CA34CF">
        <w:rPr>
          <w:rFonts w:ascii="Arial" w:hAnsi="Arial" w:cs="Arial"/>
          <w:sz w:val="20"/>
          <w:szCs w:val="20"/>
        </w:rPr>
        <w:t>ohledem na dikci nařízení a specifický systém osídlení ČR jsou v</w:t>
      </w:r>
      <w:r>
        <w:rPr>
          <w:rFonts w:ascii="Arial" w:hAnsi="Arial" w:cs="Arial"/>
          <w:sz w:val="20"/>
          <w:szCs w:val="20"/>
        </w:rPr>
        <w:t> </w:t>
      </w:r>
      <w:r w:rsidRPr="00CA34CF">
        <w:rPr>
          <w:rFonts w:ascii="Arial" w:hAnsi="Arial" w:cs="Arial"/>
          <w:sz w:val="20"/>
          <w:szCs w:val="20"/>
        </w:rPr>
        <w:t xml:space="preserve">podstatě dány dva základní typy území ČR </w:t>
      </w:r>
      <w:r>
        <w:rPr>
          <w:rFonts w:ascii="Arial" w:hAnsi="Arial" w:cs="Arial"/>
          <w:sz w:val="20"/>
          <w:szCs w:val="20"/>
        </w:rPr>
        <w:t>–</w:t>
      </w:r>
      <w:r w:rsidRPr="00CA34CF">
        <w:rPr>
          <w:rFonts w:ascii="Arial" w:hAnsi="Arial" w:cs="Arial"/>
          <w:sz w:val="20"/>
          <w:szCs w:val="20"/>
        </w:rPr>
        <w:t xml:space="preserve"> město a venkov. </w:t>
      </w:r>
    </w:p>
    <w:p w:rsidR="005D4BFA" w:rsidRDefault="005D4BFA">
      <w:pPr>
        <w:spacing w:after="120"/>
        <w:jc w:val="both"/>
        <w:rPr>
          <w:rFonts w:ascii="Arial" w:hAnsi="Arial" w:cs="Arial"/>
          <w:sz w:val="20"/>
          <w:szCs w:val="20"/>
        </w:rPr>
      </w:pPr>
      <w:r w:rsidRPr="00CA34CF">
        <w:rPr>
          <w:rFonts w:ascii="Arial" w:hAnsi="Arial" w:cs="Arial"/>
          <w:sz w:val="20"/>
          <w:szCs w:val="20"/>
        </w:rPr>
        <w:t>Přínosy urbánních území pro rozvoj a konkurenceschopnost jsou zcela neoddiskutovatelné a jsou dostatečně reflektovány v</w:t>
      </w:r>
      <w:r>
        <w:rPr>
          <w:rFonts w:ascii="Arial" w:hAnsi="Arial" w:cs="Arial"/>
          <w:sz w:val="20"/>
          <w:szCs w:val="20"/>
        </w:rPr>
        <w:t> </w:t>
      </w:r>
      <w:r w:rsidRPr="00CA34CF">
        <w:rPr>
          <w:rFonts w:ascii="Arial" w:hAnsi="Arial" w:cs="Arial"/>
          <w:sz w:val="20"/>
          <w:szCs w:val="20"/>
        </w:rPr>
        <w:t>navrhované evropské legislativě. Venkov požívá privilegium specifické politiky zaměřené na jeho rozvoj. Neexistuj</w:t>
      </w:r>
      <w:r>
        <w:rPr>
          <w:rFonts w:ascii="Arial" w:hAnsi="Arial" w:cs="Arial"/>
          <w:sz w:val="20"/>
          <w:szCs w:val="20"/>
        </w:rPr>
        <w:t>e</w:t>
      </w:r>
      <w:r w:rsidRPr="00CA34CF">
        <w:rPr>
          <w:rFonts w:ascii="Arial" w:hAnsi="Arial" w:cs="Arial"/>
          <w:sz w:val="20"/>
          <w:szCs w:val="20"/>
        </w:rPr>
        <w:t xml:space="preserve"> přesné definice měst a venkova, lépe řečeno je problémem mezi mnohými najít tu jedinou správnou, a proto </w:t>
      </w:r>
      <w:r>
        <w:rPr>
          <w:rFonts w:ascii="Arial" w:hAnsi="Arial" w:cs="Arial"/>
          <w:sz w:val="20"/>
          <w:szCs w:val="20"/>
        </w:rPr>
        <w:t xml:space="preserve">byla navržena </w:t>
      </w:r>
      <w:r w:rsidRPr="00CA34CF">
        <w:rPr>
          <w:rFonts w:ascii="Arial" w:hAnsi="Arial" w:cs="Arial"/>
          <w:sz w:val="20"/>
          <w:szCs w:val="20"/>
        </w:rPr>
        <w:t>strukturovanější typologi</w:t>
      </w:r>
      <w:r>
        <w:rPr>
          <w:rFonts w:ascii="Arial" w:hAnsi="Arial" w:cs="Arial"/>
          <w:sz w:val="20"/>
          <w:szCs w:val="20"/>
        </w:rPr>
        <w:t>e</w:t>
      </w:r>
      <w:r w:rsidRPr="00CA34CF">
        <w:rPr>
          <w:rFonts w:ascii="Arial" w:hAnsi="Arial" w:cs="Arial"/>
          <w:sz w:val="20"/>
          <w:szCs w:val="20"/>
        </w:rPr>
        <w:t xml:space="preserve"> území</w:t>
      </w:r>
      <w:r>
        <w:rPr>
          <w:rFonts w:ascii="Arial" w:hAnsi="Arial" w:cs="Arial"/>
          <w:sz w:val="20"/>
          <w:szCs w:val="20"/>
        </w:rPr>
        <w:t xml:space="preserve"> (viz níže)</w:t>
      </w:r>
      <w:r w:rsidRPr="00CA34CF">
        <w:rPr>
          <w:rFonts w:ascii="Arial" w:hAnsi="Arial" w:cs="Arial"/>
          <w:sz w:val="20"/>
          <w:szCs w:val="20"/>
        </w:rPr>
        <w:t>.</w:t>
      </w:r>
    </w:p>
    <w:p w:rsidR="005D4BFA" w:rsidRDefault="005D4BFA">
      <w:pPr>
        <w:spacing w:after="120"/>
        <w:jc w:val="both"/>
        <w:rPr>
          <w:rFonts w:ascii="Arial" w:hAnsi="Arial" w:cs="Arial"/>
          <w:b/>
          <w:bCs/>
          <w:sz w:val="20"/>
          <w:szCs w:val="20"/>
        </w:rPr>
      </w:pPr>
      <w:r w:rsidRPr="00CA34CF">
        <w:rPr>
          <w:rFonts w:ascii="Arial" w:hAnsi="Arial" w:cs="Arial"/>
          <w:b/>
          <w:bCs/>
          <w:sz w:val="20"/>
          <w:szCs w:val="20"/>
        </w:rPr>
        <w:t>Vazba na S</w:t>
      </w:r>
      <w:r w:rsidRPr="00E904F1">
        <w:rPr>
          <w:rFonts w:ascii="Arial" w:hAnsi="Arial" w:cs="Arial"/>
          <w:b/>
          <w:bCs/>
          <w:sz w:val="20"/>
          <w:szCs w:val="20"/>
        </w:rPr>
        <w:t xml:space="preserve">trategii regionálního rozvoje ČR 2014 – 2020 </w:t>
      </w:r>
    </w:p>
    <w:p w:rsidR="005D4BFA" w:rsidRDefault="005D4BFA">
      <w:pPr>
        <w:spacing w:after="120"/>
        <w:jc w:val="both"/>
        <w:rPr>
          <w:rFonts w:ascii="Arial" w:hAnsi="Arial" w:cs="Arial"/>
          <w:sz w:val="20"/>
          <w:szCs w:val="20"/>
        </w:rPr>
      </w:pPr>
      <w:r w:rsidRPr="00CA34CF">
        <w:rPr>
          <w:rFonts w:ascii="Arial" w:hAnsi="Arial" w:cs="Arial"/>
          <w:sz w:val="20"/>
          <w:szCs w:val="20"/>
        </w:rPr>
        <w:t xml:space="preserve">Dne 15. 5. 2013 schválila vláda ČR (usnesením č. 344) návrh Strategie regionálního rozvoje ČR 2014 </w:t>
      </w:r>
      <w:r>
        <w:rPr>
          <w:rFonts w:ascii="Arial" w:hAnsi="Arial" w:cs="Arial"/>
          <w:sz w:val="20"/>
          <w:szCs w:val="20"/>
        </w:rPr>
        <w:t>–</w:t>
      </w:r>
      <w:r w:rsidRPr="00CA34CF">
        <w:rPr>
          <w:rFonts w:ascii="Arial" w:hAnsi="Arial" w:cs="Arial"/>
          <w:sz w:val="20"/>
          <w:szCs w:val="20"/>
        </w:rPr>
        <w:t xml:space="preserve"> 2020 (SRR). Z</w:t>
      </w:r>
      <w:r>
        <w:rPr>
          <w:rFonts w:ascii="Arial" w:hAnsi="Arial" w:cs="Arial"/>
          <w:sz w:val="20"/>
          <w:szCs w:val="20"/>
        </w:rPr>
        <w:t> </w:t>
      </w:r>
      <w:r w:rsidRPr="00CA34CF">
        <w:rPr>
          <w:rFonts w:ascii="Arial" w:hAnsi="Arial" w:cs="Arial"/>
          <w:sz w:val="20"/>
          <w:szCs w:val="20"/>
        </w:rPr>
        <w:t xml:space="preserve">pohledu zejména cílů regionální politiky ČR obsahuje dokument základní vymezení </w:t>
      </w:r>
      <w:r w:rsidRPr="00CA34CF">
        <w:rPr>
          <w:rFonts w:ascii="Arial" w:hAnsi="Arial" w:cs="Arial"/>
          <w:sz w:val="20"/>
          <w:szCs w:val="20"/>
        </w:rPr>
        <w:lastRenderedPageBreak/>
        <w:t>územní dimenze (ÚD) a navrhuje její promítnutí do přípravy programov</w:t>
      </w:r>
      <w:r>
        <w:rPr>
          <w:rFonts w:ascii="Arial" w:hAnsi="Arial" w:cs="Arial"/>
          <w:sz w:val="20"/>
          <w:szCs w:val="20"/>
        </w:rPr>
        <w:t>ého</w:t>
      </w:r>
      <w:r w:rsidRPr="00CA34CF">
        <w:rPr>
          <w:rFonts w:ascii="Arial" w:hAnsi="Arial" w:cs="Arial"/>
          <w:sz w:val="20"/>
          <w:szCs w:val="20"/>
        </w:rPr>
        <w:t xml:space="preserve"> období 2014</w:t>
      </w:r>
      <w:r>
        <w:rPr>
          <w:rFonts w:ascii="Arial" w:hAnsi="Arial" w:cs="Arial"/>
          <w:sz w:val="20"/>
          <w:szCs w:val="20"/>
        </w:rPr>
        <w:t>-2020</w:t>
      </w:r>
      <w:r w:rsidRPr="00CA34CF">
        <w:rPr>
          <w:rFonts w:ascii="Arial" w:hAnsi="Arial" w:cs="Arial"/>
          <w:sz w:val="20"/>
          <w:szCs w:val="20"/>
        </w:rPr>
        <w:t xml:space="preserve"> několika způsoby. </w:t>
      </w:r>
    </w:p>
    <w:p w:rsidR="005D4BFA" w:rsidRDefault="005D4BFA">
      <w:pPr>
        <w:spacing w:after="120"/>
        <w:jc w:val="both"/>
        <w:rPr>
          <w:rFonts w:ascii="Arial" w:hAnsi="Arial" w:cs="Arial"/>
          <w:sz w:val="20"/>
          <w:szCs w:val="20"/>
        </w:rPr>
      </w:pPr>
      <w:r w:rsidRPr="00CA34CF">
        <w:rPr>
          <w:rFonts w:ascii="Arial" w:hAnsi="Arial" w:cs="Arial"/>
          <w:sz w:val="20"/>
          <w:szCs w:val="20"/>
        </w:rPr>
        <w:t>V</w:t>
      </w:r>
      <w:r>
        <w:rPr>
          <w:rFonts w:ascii="Arial" w:hAnsi="Arial" w:cs="Arial"/>
          <w:sz w:val="20"/>
          <w:szCs w:val="20"/>
        </w:rPr>
        <w:t> </w:t>
      </w:r>
      <w:r w:rsidRPr="00CA34CF">
        <w:rPr>
          <w:rFonts w:ascii="Arial" w:hAnsi="Arial" w:cs="Arial"/>
          <w:sz w:val="20"/>
          <w:szCs w:val="20"/>
        </w:rPr>
        <w:t xml:space="preserve">prvé řadě se jedná o využití typologie území </w:t>
      </w:r>
      <w:r w:rsidRPr="00CA34CF">
        <w:rPr>
          <w:rFonts w:ascii="Arial" w:hAnsi="Arial" w:cs="Arial"/>
          <w:i/>
          <w:iCs/>
          <w:sz w:val="20"/>
          <w:szCs w:val="20"/>
        </w:rPr>
        <w:t>(1. rozvojové oblasti, 2. stabilizovaná území, 3. periferní území</w:t>
      </w:r>
      <w:r>
        <w:rPr>
          <w:rFonts w:ascii="Arial" w:hAnsi="Arial" w:cs="Arial"/>
          <w:i/>
          <w:iCs/>
          <w:sz w:val="20"/>
          <w:szCs w:val="20"/>
        </w:rPr>
        <w:t>) a státem podporovaných regionů (</w:t>
      </w:r>
      <w:r w:rsidRPr="00CA34CF">
        <w:rPr>
          <w:rFonts w:ascii="Arial" w:hAnsi="Arial" w:cs="Arial"/>
          <w:i/>
          <w:iCs/>
          <w:sz w:val="20"/>
          <w:szCs w:val="20"/>
        </w:rPr>
        <w:t xml:space="preserve">hospodářsky problémové </w:t>
      </w:r>
      <w:proofErr w:type="spellStart"/>
      <w:proofErr w:type="gramStart"/>
      <w:r w:rsidRPr="00CA34CF">
        <w:rPr>
          <w:rFonts w:ascii="Arial" w:hAnsi="Arial" w:cs="Arial"/>
          <w:i/>
          <w:iCs/>
          <w:sz w:val="20"/>
          <w:szCs w:val="20"/>
        </w:rPr>
        <w:t>regiony,sociálně</w:t>
      </w:r>
      <w:proofErr w:type="spellEnd"/>
      <w:proofErr w:type="gramEnd"/>
      <w:r w:rsidRPr="00CA34CF">
        <w:rPr>
          <w:rFonts w:ascii="Arial" w:hAnsi="Arial" w:cs="Arial"/>
          <w:i/>
          <w:iCs/>
          <w:sz w:val="20"/>
          <w:szCs w:val="20"/>
        </w:rPr>
        <w:t xml:space="preserve"> znevýhodněné oblasti</w:t>
      </w:r>
      <w:r>
        <w:rPr>
          <w:rFonts w:ascii="Arial" w:hAnsi="Arial" w:cs="Arial"/>
          <w:i/>
          <w:iCs/>
          <w:sz w:val="20"/>
          <w:szCs w:val="20"/>
        </w:rPr>
        <w:t>, bývalé vojenské újezdy</w:t>
      </w:r>
      <w:r w:rsidRPr="00CA34CF">
        <w:rPr>
          <w:rFonts w:ascii="Arial" w:hAnsi="Arial" w:cs="Arial"/>
          <w:i/>
          <w:iCs/>
          <w:sz w:val="20"/>
          <w:szCs w:val="20"/>
        </w:rPr>
        <w:t>)</w:t>
      </w:r>
      <w:r w:rsidRPr="00CA34CF">
        <w:rPr>
          <w:rFonts w:ascii="Arial" w:hAnsi="Arial" w:cs="Arial"/>
          <w:sz w:val="20"/>
          <w:szCs w:val="20"/>
        </w:rPr>
        <w:t xml:space="preserve"> pro definování územního zaměření budoucích priorit obsažených v</w:t>
      </w:r>
      <w:r>
        <w:rPr>
          <w:rFonts w:ascii="Arial" w:hAnsi="Arial" w:cs="Arial"/>
          <w:sz w:val="20"/>
          <w:szCs w:val="20"/>
        </w:rPr>
        <w:t> </w:t>
      </w:r>
      <w:r w:rsidRPr="00CA34CF">
        <w:rPr>
          <w:rFonts w:ascii="Arial" w:hAnsi="Arial" w:cs="Arial"/>
          <w:sz w:val="20"/>
          <w:szCs w:val="20"/>
        </w:rPr>
        <w:t xml:space="preserve">návrzích programů. Typologie </w:t>
      </w:r>
      <w:r>
        <w:rPr>
          <w:rFonts w:ascii="Arial" w:hAnsi="Arial" w:cs="Arial"/>
          <w:sz w:val="20"/>
          <w:szCs w:val="20"/>
        </w:rPr>
        <w:t xml:space="preserve">a vymezení státem podporovaných regionů </w:t>
      </w:r>
      <w:r w:rsidRPr="00CA34CF">
        <w:rPr>
          <w:rFonts w:ascii="Arial" w:hAnsi="Arial" w:cs="Arial"/>
          <w:sz w:val="20"/>
          <w:szCs w:val="20"/>
        </w:rPr>
        <w:t>nepředstavuj</w:t>
      </w:r>
      <w:r>
        <w:rPr>
          <w:rFonts w:ascii="Arial" w:hAnsi="Arial" w:cs="Arial"/>
          <w:sz w:val="20"/>
          <w:szCs w:val="20"/>
        </w:rPr>
        <w:t>í</w:t>
      </w:r>
      <w:r w:rsidRPr="00CA34CF">
        <w:rPr>
          <w:rFonts w:ascii="Arial" w:hAnsi="Arial" w:cs="Arial"/>
          <w:sz w:val="20"/>
          <w:szCs w:val="20"/>
        </w:rPr>
        <w:t xml:space="preserve"> jediné územní hledisko, podle kterého budou členěny programy fondů</w:t>
      </w:r>
      <w:r>
        <w:rPr>
          <w:rFonts w:ascii="Arial" w:hAnsi="Arial" w:cs="Arial"/>
          <w:sz w:val="20"/>
          <w:szCs w:val="20"/>
        </w:rPr>
        <w:t xml:space="preserve"> SSR</w:t>
      </w:r>
      <w:r w:rsidRPr="00CA34CF">
        <w:rPr>
          <w:rFonts w:ascii="Arial" w:hAnsi="Arial" w:cs="Arial"/>
          <w:sz w:val="20"/>
          <w:szCs w:val="20"/>
        </w:rPr>
        <w:t>. V</w:t>
      </w:r>
      <w:r>
        <w:rPr>
          <w:rFonts w:ascii="Arial" w:hAnsi="Arial" w:cs="Arial"/>
          <w:sz w:val="20"/>
          <w:szCs w:val="20"/>
        </w:rPr>
        <w:t> </w:t>
      </w:r>
      <w:r w:rsidRPr="00CA34CF">
        <w:rPr>
          <w:rFonts w:ascii="Arial" w:hAnsi="Arial" w:cs="Arial"/>
          <w:sz w:val="20"/>
          <w:szCs w:val="20"/>
        </w:rPr>
        <w:t>řadě případů bud</w:t>
      </w:r>
      <w:r>
        <w:rPr>
          <w:rFonts w:ascii="Arial" w:hAnsi="Arial" w:cs="Arial"/>
          <w:sz w:val="20"/>
          <w:szCs w:val="20"/>
        </w:rPr>
        <w:t>e</w:t>
      </w:r>
      <w:r w:rsidRPr="00CA34CF">
        <w:rPr>
          <w:rFonts w:ascii="Arial" w:hAnsi="Arial" w:cs="Arial"/>
          <w:sz w:val="20"/>
          <w:szCs w:val="20"/>
        </w:rPr>
        <w:t xml:space="preserve"> možné a žádoucí rozhodnout o územním zaměření intervencí programů podle jiných kvalitativních kritérií (konkrétní pro příslušný resort) či územní hledisko neaplikovat (např. v</w:t>
      </w:r>
      <w:r>
        <w:rPr>
          <w:rFonts w:ascii="Arial" w:hAnsi="Arial" w:cs="Arial"/>
          <w:sz w:val="20"/>
          <w:szCs w:val="20"/>
        </w:rPr>
        <w:t> </w:t>
      </w:r>
      <w:r w:rsidRPr="00CA34CF">
        <w:rPr>
          <w:rFonts w:ascii="Arial" w:hAnsi="Arial" w:cs="Arial"/>
          <w:sz w:val="20"/>
          <w:szCs w:val="20"/>
        </w:rPr>
        <w:t xml:space="preserve">případě plošné podpory na celé území ČR).  </w:t>
      </w:r>
    </w:p>
    <w:p w:rsidR="005D4BFA" w:rsidRDefault="005D4BFA">
      <w:pPr>
        <w:spacing w:after="120"/>
        <w:jc w:val="both"/>
        <w:rPr>
          <w:rFonts w:ascii="Arial" w:hAnsi="Arial" w:cs="Arial"/>
          <w:sz w:val="20"/>
          <w:szCs w:val="20"/>
        </w:rPr>
      </w:pPr>
      <w:r w:rsidRPr="00CA34CF">
        <w:rPr>
          <w:rFonts w:ascii="Arial" w:hAnsi="Arial" w:cs="Arial"/>
          <w:sz w:val="20"/>
          <w:szCs w:val="20"/>
        </w:rPr>
        <w:t>Za druhé, z</w:t>
      </w:r>
      <w:r>
        <w:rPr>
          <w:rFonts w:ascii="Arial" w:hAnsi="Arial" w:cs="Arial"/>
          <w:sz w:val="20"/>
          <w:szCs w:val="20"/>
        </w:rPr>
        <w:t> </w:t>
      </w:r>
      <w:r w:rsidRPr="00CA34CF">
        <w:rPr>
          <w:rFonts w:ascii="Arial" w:hAnsi="Arial" w:cs="Arial"/>
          <w:sz w:val="20"/>
          <w:szCs w:val="20"/>
        </w:rPr>
        <w:t xml:space="preserve">pohledu implementace SRR obsahuje indikativní návrh řešení využití integrovaných přístupů tj. integrované nástroje a typ území pro jejich aplikaci. </w:t>
      </w:r>
    </w:p>
    <w:p w:rsidR="005D4BFA" w:rsidRDefault="005D4BFA">
      <w:pPr>
        <w:spacing w:after="120"/>
        <w:jc w:val="both"/>
        <w:rPr>
          <w:rFonts w:ascii="Arial" w:hAnsi="Arial" w:cs="Arial"/>
          <w:sz w:val="20"/>
          <w:szCs w:val="20"/>
        </w:rPr>
      </w:pPr>
      <w:r w:rsidRPr="00CA34CF">
        <w:rPr>
          <w:rFonts w:ascii="Arial" w:hAnsi="Arial" w:cs="Arial"/>
          <w:sz w:val="20"/>
          <w:szCs w:val="20"/>
        </w:rPr>
        <w:t>Z</w:t>
      </w:r>
      <w:r>
        <w:rPr>
          <w:rFonts w:ascii="Arial" w:hAnsi="Arial" w:cs="Arial"/>
          <w:sz w:val="20"/>
          <w:szCs w:val="20"/>
        </w:rPr>
        <w:t> </w:t>
      </w:r>
      <w:r w:rsidRPr="00CA34CF">
        <w:rPr>
          <w:rFonts w:ascii="Arial" w:hAnsi="Arial" w:cs="Arial"/>
          <w:sz w:val="20"/>
          <w:szCs w:val="20"/>
        </w:rPr>
        <w:t xml:space="preserve">pohledu ÚD a pro účely podpory </w:t>
      </w:r>
      <w:r>
        <w:rPr>
          <w:rFonts w:ascii="Arial" w:hAnsi="Arial" w:cs="Arial"/>
          <w:sz w:val="20"/>
          <w:szCs w:val="20"/>
        </w:rPr>
        <w:t xml:space="preserve">v programovém období </w:t>
      </w:r>
      <w:r w:rsidRPr="00CA34CF">
        <w:rPr>
          <w:rFonts w:ascii="Arial" w:hAnsi="Arial" w:cs="Arial"/>
          <w:sz w:val="20"/>
          <w:szCs w:val="20"/>
        </w:rPr>
        <w:t>2014</w:t>
      </w:r>
      <w:r>
        <w:rPr>
          <w:rFonts w:ascii="Arial" w:hAnsi="Arial" w:cs="Arial"/>
          <w:sz w:val="20"/>
          <w:szCs w:val="20"/>
        </w:rPr>
        <w:t>-2020</w:t>
      </w:r>
      <w:r w:rsidRPr="00CA34CF">
        <w:rPr>
          <w:rFonts w:ascii="Arial" w:hAnsi="Arial" w:cs="Arial"/>
          <w:sz w:val="20"/>
          <w:szCs w:val="20"/>
        </w:rPr>
        <w:t xml:space="preserve"> zahrnuje SRR třetí rovinu </w:t>
      </w:r>
      <w:r>
        <w:rPr>
          <w:rFonts w:ascii="Arial" w:hAnsi="Arial" w:cs="Arial"/>
          <w:sz w:val="20"/>
          <w:szCs w:val="20"/>
        </w:rPr>
        <w:t xml:space="preserve">- </w:t>
      </w:r>
      <w:r w:rsidRPr="00CA34CF">
        <w:rPr>
          <w:rFonts w:ascii="Arial" w:hAnsi="Arial" w:cs="Arial"/>
          <w:sz w:val="20"/>
          <w:szCs w:val="20"/>
        </w:rPr>
        <w:t>indikativní průmět navržených opatření SRR z</w:t>
      </w:r>
      <w:r>
        <w:rPr>
          <w:rFonts w:ascii="Arial" w:hAnsi="Arial" w:cs="Arial"/>
          <w:sz w:val="20"/>
          <w:szCs w:val="20"/>
        </w:rPr>
        <w:t> </w:t>
      </w:r>
      <w:r w:rsidRPr="00CA34CF">
        <w:rPr>
          <w:rFonts w:ascii="Arial" w:hAnsi="Arial" w:cs="Arial"/>
          <w:sz w:val="20"/>
          <w:szCs w:val="20"/>
        </w:rPr>
        <w:t xml:space="preserve">hlediska rozvojových záměrů měst a obcí podle jejich územní „příslušnosti“ na (i) rozvojová území </w:t>
      </w:r>
      <w:r>
        <w:rPr>
          <w:rFonts w:ascii="Arial" w:hAnsi="Arial" w:cs="Arial"/>
          <w:sz w:val="20"/>
          <w:szCs w:val="20"/>
        </w:rPr>
        <w:t>–</w:t>
      </w:r>
      <w:r w:rsidRPr="00CA34CF">
        <w:rPr>
          <w:rFonts w:ascii="Arial" w:hAnsi="Arial" w:cs="Arial"/>
          <w:sz w:val="20"/>
          <w:szCs w:val="20"/>
        </w:rPr>
        <w:t xml:space="preserve"> metropolitní oblast/největší sídelní aglomerace, (</w:t>
      </w:r>
      <w:proofErr w:type="spellStart"/>
      <w:r w:rsidRPr="00CA34CF">
        <w:rPr>
          <w:rFonts w:ascii="Arial" w:hAnsi="Arial" w:cs="Arial"/>
          <w:sz w:val="20"/>
          <w:szCs w:val="20"/>
        </w:rPr>
        <w:t>ii</w:t>
      </w:r>
      <w:proofErr w:type="spellEnd"/>
      <w:r w:rsidRPr="00CA34CF">
        <w:rPr>
          <w:rFonts w:ascii="Arial" w:hAnsi="Arial" w:cs="Arial"/>
          <w:sz w:val="20"/>
          <w:szCs w:val="20"/>
        </w:rPr>
        <w:t xml:space="preserve">) rozvojová území </w:t>
      </w:r>
      <w:r>
        <w:rPr>
          <w:rFonts w:ascii="Arial" w:hAnsi="Arial" w:cs="Arial"/>
          <w:sz w:val="20"/>
          <w:szCs w:val="20"/>
        </w:rPr>
        <w:t>–</w:t>
      </w:r>
      <w:r w:rsidRPr="00CA34CF">
        <w:rPr>
          <w:rFonts w:ascii="Arial" w:hAnsi="Arial" w:cs="Arial"/>
          <w:sz w:val="20"/>
          <w:szCs w:val="20"/>
        </w:rPr>
        <w:t xml:space="preserve"> ostatní sídelní aglomerace/regionální centra a jejich zázemí, (</w:t>
      </w:r>
      <w:proofErr w:type="spellStart"/>
      <w:r w:rsidRPr="00CA34CF">
        <w:rPr>
          <w:rFonts w:ascii="Arial" w:hAnsi="Arial" w:cs="Arial"/>
          <w:sz w:val="20"/>
          <w:szCs w:val="20"/>
        </w:rPr>
        <w:t>iii</w:t>
      </w:r>
      <w:proofErr w:type="spellEnd"/>
      <w:r w:rsidRPr="00CA34CF">
        <w:rPr>
          <w:rFonts w:ascii="Arial" w:hAnsi="Arial" w:cs="Arial"/>
          <w:sz w:val="20"/>
          <w:szCs w:val="20"/>
        </w:rPr>
        <w:t>) stabilizovaná území a (</w:t>
      </w:r>
      <w:proofErr w:type="spellStart"/>
      <w:r w:rsidRPr="00CA34CF">
        <w:rPr>
          <w:rFonts w:ascii="Arial" w:hAnsi="Arial" w:cs="Arial"/>
          <w:sz w:val="20"/>
          <w:szCs w:val="20"/>
        </w:rPr>
        <w:t>iv</w:t>
      </w:r>
      <w:proofErr w:type="spellEnd"/>
      <w:r w:rsidRPr="00CA34CF">
        <w:rPr>
          <w:rFonts w:ascii="Arial" w:hAnsi="Arial" w:cs="Arial"/>
          <w:sz w:val="20"/>
          <w:szCs w:val="20"/>
        </w:rPr>
        <w:t>) periferní území</w:t>
      </w:r>
      <w:r w:rsidR="000B26F7">
        <w:rPr>
          <w:rFonts w:ascii="Arial" w:hAnsi="Arial" w:cs="Arial"/>
          <w:sz w:val="20"/>
          <w:szCs w:val="20"/>
        </w:rPr>
        <w:t>.</w:t>
      </w:r>
      <w:r>
        <w:rPr>
          <w:rFonts w:ascii="Arial" w:hAnsi="Arial" w:cs="Arial"/>
          <w:sz w:val="20"/>
          <w:szCs w:val="20"/>
        </w:rPr>
        <w:t xml:space="preserve"> </w:t>
      </w:r>
    </w:p>
    <w:p w:rsidR="005D4BFA" w:rsidRDefault="005D4BFA">
      <w:pPr>
        <w:spacing w:after="120"/>
        <w:jc w:val="both"/>
        <w:rPr>
          <w:rFonts w:ascii="Arial" w:hAnsi="Arial" w:cs="Arial"/>
          <w:b/>
          <w:bCs/>
          <w:sz w:val="20"/>
          <w:szCs w:val="20"/>
        </w:rPr>
      </w:pPr>
      <w:r w:rsidRPr="00CA34CF">
        <w:rPr>
          <w:rFonts w:ascii="Arial" w:hAnsi="Arial" w:cs="Arial"/>
          <w:b/>
          <w:bCs/>
          <w:sz w:val="20"/>
          <w:szCs w:val="20"/>
        </w:rPr>
        <w:t>Možné varianty stanovení podílu územní dimenze v programech</w:t>
      </w:r>
    </w:p>
    <w:p w:rsidR="005D4BFA" w:rsidRDefault="005D4BFA">
      <w:pPr>
        <w:spacing w:after="120"/>
        <w:jc w:val="both"/>
        <w:rPr>
          <w:rFonts w:ascii="Arial" w:hAnsi="Arial" w:cs="Arial"/>
          <w:sz w:val="20"/>
          <w:szCs w:val="20"/>
        </w:rPr>
      </w:pPr>
      <w:r w:rsidRPr="00CA34CF">
        <w:rPr>
          <w:rFonts w:ascii="Arial" w:hAnsi="Arial" w:cs="Arial"/>
          <w:sz w:val="20"/>
          <w:szCs w:val="20"/>
        </w:rPr>
        <w:t>Jak již bylo výše uvedeno, v</w:t>
      </w:r>
      <w:r>
        <w:rPr>
          <w:rFonts w:ascii="Arial" w:hAnsi="Arial" w:cs="Arial"/>
          <w:sz w:val="20"/>
          <w:szCs w:val="20"/>
        </w:rPr>
        <w:t> </w:t>
      </w:r>
      <w:r w:rsidRPr="00CA34CF">
        <w:rPr>
          <w:rFonts w:ascii="Arial" w:hAnsi="Arial" w:cs="Arial"/>
          <w:sz w:val="20"/>
          <w:szCs w:val="20"/>
        </w:rPr>
        <w:t>zásadě není možné konstruovat programy na územním principu. Přesto musí být při implementaci programů respektován požadavek na naplnění územní dimenze. MMR dlouhodobě prosazuje princip „hokejka“, který popisuje různou míru uplatnění územní dimenze ve všech stanovených programech. Specifický je v</w:t>
      </w:r>
      <w:r>
        <w:rPr>
          <w:rFonts w:ascii="Arial" w:hAnsi="Arial" w:cs="Arial"/>
          <w:sz w:val="20"/>
          <w:szCs w:val="20"/>
        </w:rPr>
        <w:t> </w:t>
      </w:r>
      <w:r w:rsidRPr="00CA34CF">
        <w:rPr>
          <w:rFonts w:ascii="Arial" w:hAnsi="Arial" w:cs="Arial"/>
          <w:sz w:val="20"/>
          <w:szCs w:val="20"/>
        </w:rPr>
        <w:t xml:space="preserve">tomto ohledu jen OP Praha </w:t>
      </w:r>
      <w:r>
        <w:rPr>
          <w:rFonts w:ascii="Arial" w:hAnsi="Arial" w:cs="Arial"/>
          <w:sz w:val="20"/>
          <w:szCs w:val="20"/>
        </w:rPr>
        <w:t>–</w:t>
      </w:r>
      <w:r w:rsidRPr="00CA34CF">
        <w:rPr>
          <w:rFonts w:ascii="Arial" w:hAnsi="Arial" w:cs="Arial"/>
          <w:sz w:val="20"/>
          <w:szCs w:val="20"/>
        </w:rPr>
        <w:t xml:space="preserve"> pól růstu. Všechny ostatní tematické programy, včetně PRV a OP Rybářství se budou vyznačovat určitým podílem územně specifických intervencí. Škála bude poměrně široká o</w:t>
      </w:r>
      <w:r>
        <w:rPr>
          <w:rFonts w:ascii="Arial" w:hAnsi="Arial" w:cs="Arial"/>
          <w:sz w:val="20"/>
          <w:szCs w:val="20"/>
        </w:rPr>
        <w:t>d</w:t>
      </w:r>
      <w:r w:rsidRPr="00CA34CF">
        <w:rPr>
          <w:rFonts w:ascii="Arial" w:hAnsi="Arial" w:cs="Arial"/>
          <w:sz w:val="20"/>
          <w:szCs w:val="20"/>
        </w:rPr>
        <w:t xml:space="preserve"> patrně málo </w:t>
      </w:r>
      <w:proofErr w:type="spellStart"/>
      <w:r w:rsidRPr="00CA34CF">
        <w:rPr>
          <w:rFonts w:ascii="Arial" w:hAnsi="Arial" w:cs="Arial"/>
          <w:sz w:val="20"/>
          <w:szCs w:val="20"/>
        </w:rPr>
        <w:t>regionalizovaného</w:t>
      </w:r>
      <w:proofErr w:type="spellEnd"/>
      <w:r w:rsidRPr="00CA34CF">
        <w:rPr>
          <w:rFonts w:ascii="Arial" w:hAnsi="Arial" w:cs="Arial"/>
          <w:sz w:val="20"/>
          <w:szCs w:val="20"/>
        </w:rPr>
        <w:t xml:space="preserve"> OP Doprava až po IROP, kde bude územní složka hrát klíčovou roli. V</w:t>
      </w:r>
      <w:r>
        <w:rPr>
          <w:rFonts w:ascii="Arial" w:hAnsi="Arial" w:cs="Arial"/>
          <w:sz w:val="20"/>
          <w:szCs w:val="20"/>
        </w:rPr>
        <w:t> </w:t>
      </w:r>
      <w:r w:rsidRPr="00CA34CF">
        <w:rPr>
          <w:rFonts w:ascii="Arial" w:hAnsi="Arial" w:cs="Arial"/>
          <w:sz w:val="20"/>
          <w:szCs w:val="20"/>
        </w:rPr>
        <w:t>teoretickém případě, který patrně nebude v</w:t>
      </w:r>
      <w:r>
        <w:rPr>
          <w:rFonts w:ascii="Arial" w:hAnsi="Arial" w:cs="Arial"/>
          <w:sz w:val="20"/>
          <w:szCs w:val="20"/>
        </w:rPr>
        <w:t> </w:t>
      </w:r>
      <w:r w:rsidRPr="00CA34CF">
        <w:rPr>
          <w:rFonts w:ascii="Arial" w:hAnsi="Arial" w:cs="Arial"/>
          <w:sz w:val="20"/>
          <w:szCs w:val="20"/>
        </w:rPr>
        <w:t>ČR realizován, ani to nevyplývá z</w:t>
      </w:r>
      <w:r>
        <w:rPr>
          <w:rFonts w:ascii="Arial" w:hAnsi="Arial" w:cs="Arial"/>
          <w:sz w:val="20"/>
          <w:szCs w:val="20"/>
        </w:rPr>
        <w:t> </w:t>
      </w:r>
      <w:r w:rsidRPr="00CA34CF">
        <w:rPr>
          <w:rFonts w:ascii="Arial" w:hAnsi="Arial" w:cs="Arial"/>
          <w:sz w:val="20"/>
          <w:szCs w:val="20"/>
        </w:rPr>
        <w:t>předložených prvních verzí programů na MMR, je možné, aby prioritní osa či priorita odpovídala nějakému konkrétnímu regionu. V</w:t>
      </w:r>
      <w:r>
        <w:rPr>
          <w:rFonts w:ascii="Arial" w:hAnsi="Arial" w:cs="Arial"/>
          <w:sz w:val="20"/>
          <w:szCs w:val="20"/>
        </w:rPr>
        <w:t> </w:t>
      </w:r>
      <w:r w:rsidRPr="00CA34CF">
        <w:rPr>
          <w:rFonts w:ascii="Arial" w:hAnsi="Arial" w:cs="Arial"/>
          <w:sz w:val="20"/>
          <w:szCs w:val="20"/>
        </w:rPr>
        <w:t>případě ČR, kde by musela být každá tematicky založená prioritní osa znásobena počtem krajů (x 13) se takovéto řešení nejeví jako implementovatelné.</w:t>
      </w:r>
    </w:p>
    <w:p w:rsidR="005D4BFA" w:rsidRDefault="005D4BFA">
      <w:pPr>
        <w:spacing w:after="120"/>
        <w:jc w:val="both"/>
        <w:rPr>
          <w:rFonts w:ascii="Arial" w:hAnsi="Arial" w:cs="Arial"/>
          <w:sz w:val="20"/>
          <w:szCs w:val="20"/>
        </w:rPr>
      </w:pPr>
      <w:r w:rsidRPr="00CA34CF">
        <w:rPr>
          <w:rFonts w:ascii="Arial" w:hAnsi="Arial" w:cs="Arial"/>
          <w:sz w:val="20"/>
          <w:szCs w:val="20"/>
        </w:rPr>
        <w:t xml:space="preserve">Princip „hokejky“ je možno vidět i pod úrovní programů </w:t>
      </w:r>
      <w:r>
        <w:rPr>
          <w:rFonts w:ascii="Arial" w:hAnsi="Arial" w:cs="Arial"/>
          <w:sz w:val="20"/>
          <w:szCs w:val="20"/>
        </w:rPr>
        <w:t>–</w:t>
      </w:r>
      <w:r w:rsidRPr="00CA34CF">
        <w:rPr>
          <w:rFonts w:ascii="Arial" w:hAnsi="Arial" w:cs="Arial"/>
          <w:sz w:val="20"/>
          <w:szCs w:val="20"/>
        </w:rPr>
        <w:t xml:space="preserve"> v</w:t>
      </w:r>
      <w:r>
        <w:rPr>
          <w:rFonts w:ascii="Arial" w:hAnsi="Arial" w:cs="Arial"/>
          <w:sz w:val="20"/>
          <w:szCs w:val="20"/>
        </w:rPr>
        <w:t> </w:t>
      </w:r>
      <w:r w:rsidRPr="00CA34CF">
        <w:rPr>
          <w:rFonts w:ascii="Arial" w:hAnsi="Arial" w:cs="Arial"/>
          <w:sz w:val="20"/>
          <w:szCs w:val="20"/>
        </w:rPr>
        <w:t xml:space="preserve">jejich prioritních osách či prioritách. Uvnitř programů budou existovat některé prioritní osy či priority, které se nebudou vyznačovat jakoukoli územní dimenzí, budou územně nečleněné. Jiné prioritní osy či priority však budou dále vnitřně členěny podle územních segmentů. Budou tak obsahovat složku „národní“ a složku </w:t>
      </w:r>
      <w:r w:rsidR="000B26F7">
        <w:rPr>
          <w:rFonts w:ascii="Arial" w:hAnsi="Arial" w:cs="Arial"/>
          <w:sz w:val="20"/>
          <w:szCs w:val="20"/>
        </w:rPr>
        <w:t>„</w:t>
      </w:r>
      <w:r w:rsidRPr="00CA34CF">
        <w:rPr>
          <w:rFonts w:ascii="Arial" w:hAnsi="Arial" w:cs="Arial"/>
          <w:sz w:val="20"/>
          <w:szCs w:val="20"/>
        </w:rPr>
        <w:t>regionální</w:t>
      </w:r>
      <w:r w:rsidR="000B26F7">
        <w:rPr>
          <w:rFonts w:ascii="Arial" w:hAnsi="Arial" w:cs="Arial"/>
          <w:sz w:val="20"/>
          <w:szCs w:val="20"/>
        </w:rPr>
        <w:t>“</w:t>
      </w:r>
      <w:r w:rsidRPr="00E904F1">
        <w:rPr>
          <w:rFonts w:ascii="Arial" w:hAnsi="Arial" w:cs="Arial"/>
          <w:sz w:val="20"/>
          <w:szCs w:val="20"/>
        </w:rPr>
        <w:t xml:space="preserve"> (bližší popis viz </w:t>
      </w:r>
      <w:r>
        <w:rPr>
          <w:rFonts w:ascii="Arial" w:hAnsi="Arial" w:cs="Arial"/>
          <w:sz w:val="20"/>
          <w:szCs w:val="20"/>
        </w:rPr>
        <w:t>schéma Územní dimenze ve struktuře programu a níže</w:t>
      </w:r>
      <w:r w:rsidRPr="00E904F1">
        <w:rPr>
          <w:rFonts w:ascii="Arial" w:hAnsi="Arial" w:cs="Arial"/>
          <w:sz w:val="20"/>
          <w:szCs w:val="20"/>
        </w:rPr>
        <w:t>)</w:t>
      </w:r>
      <w:r w:rsidRPr="00CA34CF">
        <w:rPr>
          <w:rFonts w:ascii="Arial" w:hAnsi="Arial" w:cs="Arial"/>
          <w:sz w:val="20"/>
          <w:szCs w:val="20"/>
        </w:rPr>
        <w:t xml:space="preserve">. Ta se může dále členit nejčastěji podle uživatele, nástrojů implementace či na jiném principu </w:t>
      </w:r>
      <w:r w:rsidR="000B26F7">
        <w:rPr>
          <w:rFonts w:ascii="Arial" w:hAnsi="Arial" w:cs="Arial"/>
          <w:sz w:val="20"/>
          <w:szCs w:val="20"/>
        </w:rPr>
        <w:t xml:space="preserve">- </w:t>
      </w:r>
      <w:r w:rsidRPr="00CA34CF">
        <w:rPr>
          <w:rFonts w:ascii="Arial" w:hAnsi="Arial" w:cs="Arial"/>
          <w:sz w:val="20"/>
          <w:szCs w:val="20"/>
        </w:rPr>
        <w:t xml:space="preserve"> případné intervence krajů, měst a obcí, intervence Integrovaných územních investic (ITI), zvláštních ITI pro naplnění požadavku 5% alokace </w:t>
      </w:r>
      <w:r>
        <w:rPr>
          <w:rFonts w:ascii="Arial" w:hAnsi="Arial" w:cs="Arial"/>
          <w:sz w:val="20"/>
          <w:szCs w:val="20"/>
        </w:rPr>
        <w:t>EFRR</w:t>
      </w:r>
      <w:r w:rsidRPr="00CA34CF">
        <w:rPr>
          <w:rFonts w:ascii="Arial" w:hAnsi="Arial" w:cs="Arial"/>
          <w:sz w:val="20"/>
          <w:szCs w:val="20"/>
        </w:rPr>
        <w:t xml:space="preserve"> na udržitelný městský rozvoj, vyčleněny mohou být intervence určené na komunitně vedený místní rozvoj (CLLD), intervence pro případné integrované plány rozvoje území (IPRÚ), svazky území (</w:t>
      </w:r>
      <w:r>
        <w:rPr>
          <w:rFonts w:ascii="Arial" w:hAnsi="Arial" w:cs="Arial"/>
          <w:sz w:val="20"/>
          <w:szCs w:val="20"/>
        </w:rPr>
        <w:t xml:space="preserve">s. o. </w:t>
      </w:r>
      <w:r w:rsidRPr="00CA34CF">
        <w:rPr>
          <w:rFonts w:ascii="Arial" w:hAnsi="Arial" w:cs="Arial"/>
          <w:sz w:val="20"/>
          <w:szCs w:val="20"/>
        </w:rPr>
        <w:t>ORP), územně definované Společné akční plány (JAP) či jiné územně založené způsoby členění. MMR bude trvat na tom, aby v</w:t>
      </w:r>
      <w:r>
        <w:rPr>
          <w:rFonts w:ascii="Arial" w:hAnsi="Arial" w:cs="Arial"/>
          <w:sz w:val="20"/>
          <w:szCs w:val="20"/>
        </w:rPr>
        <w:t> </w:t>
      </w:r>
      <w:r w:rsidRPr="00CA34CF">
        <w:rPr>
          <w:rFonts w:ascii="Arial" w:hAnsi="Arial" w:cs="Arial"/>
          <w:sz w:val="20"/>
          <w:szCs w:val="20"/>
        </w:rPr>
        <w:t>rámci programu již nedocházelo k</w:t>
      </w:r>
      <w:r>
        <w:rPr>
          <w:rFonts w:ascii="Arial" w:hAnsi="Arial" w:cs="Arial"/>
          <w:sz w:val="20"/>
          <w:szCs w:val="20"/>
        </w:rPr>
        <w:t> </w:t>
      </w:r>
      <w:r w:rsidRPr="00CA34CF">
        <w:rPr>
          <w:rFonts w:ascii="Arial" w:hAnsi="Arial" w:cs="Arial"/>
          <w:sz w:val="20"/>
          <w:szCs w:val="20"/>
        </w:rPr>
        <w:t>dalšímu členění. Podíly konkrétních územních celků mohou být s</w:t>
      </w:r>
      <w:r>
        <w:rPr>
          <w:rFonts w:ascii="Arial" w:hAnsi="Arial" w:cs="Arial"/>
          <w:sz w:val="20"/>
          <w:szCs w:val="20"/>
        </w:rPr>
        <w:t> </w:t>
      </w:r>
      <w:r w:rsidRPr="00CA34CF">
        <w:rPr>
          <w:rFonts w:ascii="Arial" w:hAnsi="Arial" w:cs="Arial"/>
          <w:sz w:val="20"/>
          <w:szCs w:val="20"/>
        </w:rPr>
        <w:t>řídicím orgánem programu definovány, avšak nikoli v</w:t>
      </w:r>
      <w:r>
        <w:rPr>
          <w:rFonts w:ascii="Arial" w:hAnsi="Arial" w:cs="Arial"/>
          <w:sz w:val="20"/>
          <w:szCs w:val="20"/>
        </w:rPr>
        <w:t> rámci programového dokumentu, kde k tomu není dán ze strany EK prostor</w:t>
      </w:r>
      <w:r w:rsidRPr="00CA34CF">
        <w:rPr>
          <w:rFonts w:ascii="Arial" w:hAnsi="Arial" w:cs="Arial"/>
          <w:sz w:val="20"/>
          <w:szCs w:val="20"/>
        </w:rPr>
        <w:t xml:space="preserve">. </w:t>
      </w:r>
    </w:p>
    <w:p w:rsidR="005D4BFA" w:rsidRDefault="005D4BFA">
      <w:pPr>
        <w:spacing w:after="120"/>
        <w:jc w:val="both"/>
        <w:rPr>
          <w:rFonts w:ascii="Arial" w:hAnsi="Arial" w:cs="Arial"/>
          <w:sz w:val="20"/>
          <w:szCs w:val="20"/>
        </w:rPr>
      </w:pPr>
      <w:r>
        <w:rPr>
          <w:rFonts w:ascii="Arial" w:hAnsi="Arial" w:cs="Arial"/>
          <w:sz w:val="20"/>
          <w:szCs w:val="20"/>
        </w:rPr>
        <w:t>Řídicí orgány budou muset s </w:t>
      </w:r>
      <w:r w:rsidRPr="00CA34CF">
        <w:rPr>
          <w:rFonts w:ascii="Arial" w:hAnsi="Arial" w:cs="Arial"/>
          <w:sz w:val="20"/>
          <w:szCs w:val="20"/>
        </w:rPr>
        <w:t>MMR a relevantními územními partnery spolupracovat na uváženém rozdělení územní dimenze dle modelu popsaného v</w:t>
      </w:r>
      <w:r>
        <w:rPr>
          <w:rFonts w:ascii="Arial" w:hAnsi="Arial" w:cs="Arial"/>
          <w:sz w:val="20"/>
          <w:szCs w:val="20"/>
        </w:rPr>
        <w:t> </w:t>
      </w:r>
      <w:r w:rsidRPr="00CA34CF">
        <w:rPr>
          <w:rFonts w:ascii="Arial" w:hAnsi="Arial" w:cs="Arial"/>
          <w:sz w:val="20"/>
          <w:szCs w:val="20"/>
        </w:rPr>
        <w:t>předcházejícím odstavci. Stejně jako v</w:t>
      </w:r>
      <w:r>
        <w:rPr>
          <w:rFonts w:ascii="Arial" w:hAnsi="Arial" w:cs="Arial"/>
          <w:sz w:val="20"/>
          <w:szCs w:val="20"/>
        </w:rPr>
        <w:t> </w:t>
      </w:r>
      <w:r w:rsidRPr="00CA34CF">
        <w:rPr>
          <w:rFonts w:ascii="Arial" w:hAnsi="Arial" w:cs="Arial"/>
          <w:sz w:val="20"/>
          <w:szCs w:val="20"/>
        </w:rPr>
        <w:t>hierarchicky vyšším případě stanovení finanční alokace na programy a jejich prioritní osy či priority budou zohledněny specifické územní problémy, potřeby a potenciál předmětných území či implementačních nástrojů (v</w:t>
      </w:r>
      <w:r>
        <w:rPr>
          <w:rFonts w:ascii="Arial" w:hAnsi="Arial" w:cs="Arial"/>
          <w:sz w:val="20"/>
          <w:szCs w:val="20"/>
        </w:rPr>
        <w:t> </w:t>
      </w:r>
      <w:r w:rsidRPr="00CA34CF">
        <w:rPr>
          <w:rFonts w:ascii="Arial" w:hAnsi="Arial" w:cs="Arial"/>
          <w:sz w:val="20"/>
          <w:szCs w:val="20"/>
        </w:rPr>
        <w:t>případě ITI, CLLD, IPRÚ, eventuálně JAP).</w:t>
      </w:r>
    </w:p>
    <w:p w:rsidR="00B87BEB" w:rsidRDefault="00B87BEB">
      <w:pPr>
        <w:spacing w:after="120"/>
        <w:jc w:val="both"/>
        <w:rPr>
          <w:rFonts w:ascii="Arial" w:hAnsi="Arial" w:cs="Arial"/>
          <w:b/>
          <w:bCs/>
          <w:sz w:val="20"/>
          <w:szCs w:val="20"/>
        </w:rPr>
      </w:pPr>
    </w:p>
    <w:p w:rsidR="005D4BFA" w:rsidRDefault="005D4BFA">
      <w:pPr>
        <w:spacing w:after="120"/>
        <w:jc w:val="both"/>
        <w:rPr>
          <w:rFonts w:ascii="Arial" w:hAnsi="Arial" w:cs="Arial"/>
          <w:b/>
          <w:bCs/>
          <w:sz w:val="20"/>
          <w:szCs w:val="20"/>
        </w:rPr>
      </w:pPr>
      <w:r w:rsidRPr="00CA34CF">
        <w:rPr>
          <w:rFonts w:ascii="Arial" w:hAnsi="Arial" w:cs="Arial"/>
          <w:b/>
          <w:bCs/>
          <w:sz w:val="20"/>
          <w:szCs w:val="20"/>
        </w:rPr>
        <w:lastRenderedPageBreak/>
        <w:t>Uplatnění územní dimenze v</w:t>
      </w:r>
      <w:r>
        <w:rPr>
          <w:rFonts w:ascii="Arial" w:hAnsi="Arial" w:cs="Arial"/>
          <w:b/>
          <w:bCs/>
          <w:sz w:val="20"/>
          <w:szCs w:val="20"/>
        </w:rPr>
        <w:t> </w:t>
      </w:r>
      <w:r w:rsidRPr="00CA34CF">
        <w:rPr>
          <w:rFonts w:ascii="Arial" w:hAnsi="Arial" w:cs="Arial"/>
          <w:b/>
          <w:bCs/>
          <w:sz w:val="20"/>
          <w:szCs w:val="20"/>
        </w:rPr>
        <w:t>implementaci</w:t>
      </w:r>
    </w:p>
    <w:p w:rsidR="005D4BFA" w:rsidRPr="00A75124" w:rsidRDefault="005D4BFA" w:rsidP="00A75124">
      <w:pPr>
        <w:spacing w:after="120"/>
        <w:jc w:val="both"/>
        <w:rPr>
          <w:rFonts w:ascii="Arial" w:hAnsi="Arial" w:cs="Arial"/>
          <w:sz w:val="20"/>
          <w:szCs w:val="20"/>
        </w:rPr>
      </w:pPr>
      <w:r w:rsidRPr="00CA34CF">
        <w:rPr>
          <w:rFonts w:ascii="Arial" w:hAnsi="Arial" w:cs="Arial"/>
          <w:sz w:val="20"/>
          <w:szCs w:val="20"/>
        </w:rPr>
        <w:t xml:space="preserve">Prosazení územní dimenze umožňuje reflektovat specifické územní problémy, potřeby, regionální rozdíly i potenciál území. Vychází se z identifikace daného typu území, na který se soustředí specifická podpora cíleně zaměřená na mobilizaci potenciálu a využití dostupných zdrojů. </w:t>
      </w:r>
      <w:r w:rsidRPr="00A75124">
        <w:rPr>
          <w:rFonts w:ascii="Arial" w:hAnsi="Arial" w:cs="Arial"/>
          <w:sz w:val="20"/>
          <w:szCs w:val="20"/>
        </w:rPr>
        <w:t xml:space="preserve">Podstatou uplatnění územní dimenze je, aby zejména regionálně zaměřený program a tam kde je to možné i tematické programy nebyly koncipovány pouze s plošným zaměřením, ale aby reflektovaly specifické regionální potřeby či regionální rozdíly. </w:t>
      </w:r>
    </w:p>
    <w:p w:rsidR="005D4BFA" w:rsidRPr="00A75124" w:rsidRDefault="005D4BFA" w:rsidP="00A75124">
      <w:pPr>
        <w:spacing w:after="120"/>
        <w:jc w:val="both"/>
        <w:rPr>
          <w:rFonts w:ascii="Arial" w:hAnsi="Arial" w:cs="Arial"/>
          <w:sz w:val="20"/>
          <w:szCs w:val="20"/>
        </w:rPr>
      </w:pPr>
      <w:r w:rsidRPr="00A75124">
        <w:rPr>
          <w:rFonts w:ascii="Arial" w:hAnsi="Arial" w:cs="Arial"/>
          <w:sz w:val="20"/>
          <w:szCs w:val="20"/>
        </w:rPr>
        <w:t xml:space="preserve">Ty je možné prvotně odvozovat z typologie území (vycházející ze schválené Strategie regionálního rozvoje ČR 2014 - 2020), dále pak ze vzájemných vazeb území či jiných kvalitativních územních kritérií/analýz (resortní, krajské, municipální atp.). </w:t>
      </w:r>
    </w:p>
    <w:p w:rsidR="005D4BFA" w:rsidRDefault="005D4BFA">
      <w:pPr>
        <w:spacing w:after="120"/>
        <w:jc w:val="both"/>
        <w:rPr>
          <w:rFonts w:ascii="Arial" w:hAnsi="Arial" w:cs="Arial"/>
          <w:sz w:val="20"/>
          <w:szCs w:val="20"/>
        </w:rPr>
      </w:pPr>
      <w:r w:rsidRPr="00CA34CF">
        <w:rPr>
          <w:rFonts w:ascii="Arial" w:hAnsi="Arial" w:cs="Arial"/>
          <w:sz w:val="20"/>
          <w:szCs w:val="20"/>
        </w:rPr>
        <w:t>V</w:t>
      </w:r>
      <w:r>
        <w:rPr>
          <w:rFonts w:ascii="Arial" w:hAnsi="Arial" w:cs="Arial"/>
          <w:sz w:val="20"/>
          <w:szCs w:val="20"/>
        </w:rPr>
        <w:t> </w:t>
      </w:r>
      <w:r w:rsidRPr="00CA34CF">
        <w:rPr>
          <w:rFonts w:ascii="Arial" w:hAnsi="Arial" w:cs="Arial"/>
          <w:sz w:val="20"/>
          <w:szCs w:val="20"/>
        </w:rPr>
        <w:t xml:space="preserve">případě implementace prioritních os či priorit majících územní složku bude řídicí orgán vázán tímto členěním a bude muset umožnit patřičnou implementaci jednotlivých segmentů územní dimenze. Bude se tak dít například formou specifických výzev zaměřených pro konkrétní území či implementační nástroj. Ve zvláštním režimu daném mj. požadavky nařízení se budou pohybovat místní akční skupiny jako nositelé </w:t>
      </w:r>
      <w:r w:rsidRPr="00E904F1">
        <w:rPr>
          <w:rFonts w:ascii="Arial" w:hAnsi="Arial" w:cs="Arial"/>
          <w:sz w:val="20"/>
          <w:szCs w:val="20"/>
        </w:rPr>
        <w:t>ú</w:t>
      </w:r>
      <w:r w:rsidRPr="00CA34CF">
        <w:rPr>
          <w:rFonts w:ascii="Arial" w:hAnsi="Arial" w:cs="Arial"/>
          <w:sz w:val="20"/>
          <w:szCs w:val="20"/>
        </w:rPr>
        <w:t>zemních strategií komunitně vedeného místního rozvoje. Jiným nástrojem budou diferencované míry podpory pro specifická území s</w:t>
      </w:r>
      <w:r>
        <w:rPr>
          <w:rFonts w:ascii="Arial" w:hAnsi="Arial" w:cs="Arial"/>
          <w:sz w:val="20"/>
          <w:szCs w:val="20"/>
        </w:rPr>
        <w:t> </w:t>
      </w:r>
      <w:r w:rsidRPr="00CA34CF">
        <w:rPr>
          <w:rFonts w:ascii="Arial" w:hAnsi="Arial" w:cs="Arial"/>
          <w:sz w:val="20"/>
          <w:szCs w:val="20"/>
        </w:rPr>
        <w:t>předpokládanou možností stanovit výhodnější míru podpory pro území, na něž je žádoucí se zaměřit např. na základě Strategií regionálního rozvoje stanovených státem podporovaných regionů.</w:t>
      </w:r>
      <w:r w:rsidRPr="00E904F1">
        <w:rPr>
          <w:rFonts w:ascii="Arial" w:hAnsi="Arial" w:cs="Arial"/>
          <w:sz w:val="20"/>
          <w:szCs w:val="20"/>
        </w:rPr>
        <w:t xml:space="preserve"> Územní dimenze bude naplňována také prostřednictvím projektů, které nejsou součástí žádné strategie, a přesto může být jejich příspěvek k plnění cílů nezanedbatelný.</w:t>
      </w:r>
    </w:p>
    <w:p w:rsidR="005D4BFA" w:rsidRDefault="005D4BFA">
      <w:pPr>
        <w:spacing w:after="120"/>
        <w:jc w:val="both"/>
        <w:rPr>
          <w:rFonts w:ascii="Arial" w:hAnsi="Arial" w:cs="Arial"/>
          <w:b/>
          <w:bCs/>
          <w:sz w:val="20"/>
          <w:szCs w:val="20"/>
        </w:rPr>
      </w:pPr>
      <w:r w:rsidRPr="00CA34CF">
        <w:rPr>
          <w:rFonts w:ascii="Arial" w:hAnsi="Arial" w:cs="Arial"/>
          <w:b/>
          <w:bCs/>
          <w:sz w:val="20"/>
          <w:szCs w:val="20"/>
        </w:rPr>
        <w:t>Koncept ITI dle EK</w:t>
      </w:r>
    </w:p>
    <w:p w:rsidR="005D4BFA" w:rsidRDefault="005D4BFA">
      <w:pPr>
        <w:spacing w:after="120"/>
        <w:jc w:val="both"/>
        <w:rPr>
          <w:rFonts w:ascii="Arial" w:hAnsi="Arial" w:cs="Arial"/>
          <w:sz w:val="20"/>
          <w:szCs w:val="20"/>
        </w:rPr>
      </w:pPr>
      <w:r w:rsidRPr="00CA34CF">
        <w:rPr>
          <w:rFonts w:ascii="Arial" w:hAnsi="Arial" w:cs="Arial"/>
          <w:sz w:val="20"/>
          <w:szCs w:val="20"/>
        </w:rPr>
        <w:t>EK</w:t>
      </w:r>
      <w:r w:rsidRPr="00E904F1">
        <w:rPr>
          <w:rFonts w:ascii="Arial" w:hAnsi="Arial" w:cs="Arial"/>
          <w:sz w:val="20"/>
          <w:szCs w:val="20"/>
        </w:rPr>
        <w:t xml:space="preserve"> zdůrazňuje</w:t>
      </w:r>
      <w:r w:rsidRPr="00CA34CF">
        <w:rPr>
          <w:rFonts w:ascii="Arial" w:hAnsi="Arial" w:cs="Arial"/>
          <w:sz w:val="20"/>
          <w:szCs w:val="20"/>
        </w:rPr>
        <w:t xml:space="preserve"> potřebu vzájemného propojování intervencí napříč (prioritními) osami programů a samotnými programy, v</w:t>
      </w:r>
      <w:r>
        <w:rPr>
          <w:rFonts w:ascii="Arial" w:hAnsi="Arial" w:cs="Arial"/>
          <w:sz w:val="20"/>
          <w:szCs w:val="20"/>
        </w:rPr>
        <w:t> </w:t>
      </w:r>
      <w:r w:rsidRPr="00CA34CF">
        <w:rPr>
          <w:rFonts w:ascii="Arial" w:hAnsi="Arial" w:cs="Arial"/>
          <w:sz w:val="20"/>
          <w:szCs w:val="20"/>
        </w:rPr>
        <w:t>nejlepším případě těmi podporovanými z</w:t>
      </w:r>
      <w:r>
        <w:rPr>
          <w:rFonts w:ascii="Arial" w:hAnsi="Arial" w:cs="Arial"/>
          <w:sz w:val="20"/>
          <w:szCs w:val="20"/>
        </w:rPr>
        <w:t> </w:t>
      </w:r>
      <w:r w:rsidRPr="00CA34CF">
        <w:rPr>
          <w:rFonts w:ascii="Arial" w:hAnsi="Arial" w:cs="Arial"/>
          <w:sz w:val="20"/>
          <w:szCs w:val="20"/>
        </w:rPr>
        <w:t>různých fondů. Na dotaz na podobnosti mezi ITI a CLLD odkázala EK na prezentaci ze začátku IE PRES, kde jsou rozdíly jasně zřetelné a výslovně uvedla, že se nemá jednat např. o jednu (myšleno jedinou) prioritní osu určenou jako ITI. Proti (násilnému) zavádění prioritní osy pro ITI do (všech) programů hovoří mj. i nutnost respektovat při tvorbě programů pravidla daná nařízeními, zejména pak nutnou vazbu prioritní osy na tematický cíl. Výjimky jsou sice možné, ale patrně problematicky s</w:t>
      </w:r>
      <w:r>
        <w:rPr>
          <w:rFonts w:ascii="Arial" w:hAnsi="Arial" w:cs="Arial"/>
          <w:sz w:val="20"/>
          <w:szCs w:val="20"/>
        </w:rPr>
        <w:t> </w:t>
      </w:r>
      <w:r w:rsidRPr="00CA34CF">
        <w:rPr>
          <w:rFonts w:ascii="Arial" w:hAnsi="Arial" w:cs="Arial"/>
          <w:sz w:val="20"/>
          <w:szCs w:val="20"/>
        </w:rPr>
        <w:t xml:space="preserve">EK </w:t>
      </w:r>
      <w:proofErr w:type="spellStart"/>
      <w:r w:rsidRPr="00CA34CF">
        <w:rPr>
          <w:rFonts w:ascii="Arial" w:hAnsi="Arial" w:cs="Arial"/>
          <w:sz w:val="20"/>
          <w:szCs w:val="20"/>
        </w:rPr>
        <w:t>vyjednatelné</w:t>
      </w:r>
      <w:proofErr w:type="spellEnd"/>
      <w:r w:rsidRPr="00CA34CF">
        <w:rPr>
          <w:rFonts w:ascii="Arial" w:hAnsi="Arial" w:cs="Arial"/>
          <w:sz w:val="20"/>
          <w:szCs w:val="20"/>
        </w:rPr>
        <w:t>. Dalším argumentem je nezvyšování počtu prioritních os v</w:t>
      </w:r>
      <w:r>
        <w:rPr>
          <w:rFonts w:ascii="Arial" w:hAnsi="Arial" w:cs="Arial"/>
          <w:sz w:val="20"/>
          <w:szCs w:val="20"/>
        </w:rPr>
        <w:t> </w:t>
      </w:r>
      <w:r w:rsidRPr="00CA34CF">
        <w:rPr>
          <w:rFonts w:ascii="Arial" w:hAnsi="Arial" w:cs="Arial"/>
          <w:sz w:val="20"/>
          <w:szCs w:val="20"/>
        </w:rPr>
        <w:t>programech, výsledkem čehož bude nejpravděpodobněji ztížená možnost řídit programy, což by měl být pro ŘO programů pádný argument.</w:t>
      </w:r>
    </w:p>
    <w:p w:rsidR="005D4BFA" w:rsidRDefault="005D4BFA">
      <w:pPr>
        <w:spacing w:after="120"/>
        <w:jc w:val="both"/>
        <w:rPr>
          <w:rFonts w:ascii="Arial" w:hAnsi="Arial" w:cs="Arial"/>
          <w:b/>
          <w:bCs/>
          <w:sz w:val="20"/>
          <w:szCs w:val="20"/>
        </w:rPr>
      </w:pPr>
      <w:r w:rsidRPr="00CA34CF">
        <w:rPr>
          <w:rFonts w:ascii="Arial" w:hAnsi="Arial" w:cs="Arial"/>
          <w:b/>
          <w:bCs/>
          <w:sz w:val="20"/>
          <w:szCs w:val="20"/>
        </w:rPr>
        <w:t>Koncept CLLD dle EK</w:t>
      </w:r>
    </w:p>
    <w:p w:rsidR="005D4BFA" w:rsidRDefault="005D4BFA">
      <w:pPr>
        <w:spacing w:after="120"/>
        <w:jc w:val="both"/>
        <w:rPr>
          <w:rFonts w:ascii="Arial" w:hAnsi="Arial" w:cs="Arial"/>
          <w:sz w:val="20"/>
          <w:szCs w:val="20"/>
        </w:rPr>
      </w:pPr>
      <w:r w:rsidRPr="00CA34CF">
        <w:rPr>
          <w:rFonts w:ascii="Arial" w:hAnsi="Arial" w:cs="Arial"/>
          <w:sz w:val="20"/>
          <w:szCs w:val="20"/>
        </w:rPr>
        <w:t>Na rozdíl od ITI je v</w:t>
      </w:r>
      <w:r>
        <w:rPr>
          <w:rFonts w:ascii="Arial" w:hAnsi="Arial" w:cs="Arial"/>
          <w:sz w:val="20"/>
          <w:szCs w:val="20"/>
        </w:rPr>
        <w:t> </w:t>
      </w:r>
      <w:r w:rsidRPr="00CA34CF">
        <w:rPr>
          <w:rFonts w:ascii="Arial" w:hAnsi="Arial" w:cs="Arial"/>
          <w:sz w:val="20"/>
          <w:szCs w:val="20"/>
        </w:rPr>
        <w:t xml:space="preserve">případě CLLD přístup značně odlišný. V návrhu investičních priorit </w:t>
      </w:r>
      <w:r w:rsidRPr="00E904F1">
        <w:rPr>
          <w:rFonts w:ascii="Arial" w:hAnsi="Arial" w:cs="Arial"/>
          <w:sz w:val="20"/>
          <w:szCs w:val="20"/>
        </w:rPr>
        <w:t>EK</w:t>
      </w:r>
      <w:r w:rsidRPr="00CA34CF">
        <w:rPr>
          <w:rFonts w:ascii="Arial" w:hAnsi="Arial" w:cs="Arial"/>
          <w:sz w:val="20"/>
          <w:szCs w:val="20"/>
        </w:rPr>
        <w:t xml:space="preserve"> je pro ESF princip CLLD, na rozdíl od ostatních věcných investičních priorit, zakotven jako samostatná investiční priorita, která však nemá reálný obsah. </w:t>
      </w:r>
      <w:r w:rsidRPr="00E904F1">
        <w:rPr>
          <w:rFonts w:ascii="Arial" w:hAnsi="Arial" w:cs="Arial"/>
          <w:sz w:val="20"/>
          <w:szCs w:val="20"/>
        </w:rPr>
        <w:t>S</w:t>
      </w:r>
      <w:r w:rsidRPr="00CA34CF">
        <w:rPr>
          <w:rFonts w:ascii="Arial" w:hAnsi="Arial" w:cs="Arial"/>
          <w:sz w:val="20"/>
          <w:szCs w:val="20"/>
        </w:rPr>
        <w:t>tejn</w:t>
      </w:r>
      <w:r w:rsidRPr="00E904F1">
        <w:rPr>
          <w:rFonts w:ascii="Arial" w:hAnsi="Arial" w:cs="Arial"/>
          <w:sz w:val="20"/>
          <w:szCs w:val="20"/>
        </w:rPr>
        <w:t>ý</w:t>
      </w:r>
      <w:r w:rsidRPr="00CA34CF">
        <w:rPr>
          <w:rFonts w:ascii="Arial" w:hAnsi="Arial" w:cs="Arial"/>
          <w:sz w:val="20"/>
          <w:szCs w:val="20"/>
        </w:rPr>
        <w:t xml:space="preserve"> princi</w:t>
      </w:r>
      <w:r w:rsidRPr="00E904F1">
        <w:rPr>
          <w:rFonts w:ascii="Arial" w:hAnsi="Arial" w:cs="Arial"/>
          <w:sz w:val="20"/>
          <w:szCs w:val="20"/>
        </w:rPr>
        <w:t xml:space="preserve">p je zaveden i </w:t>
      </w:r>
      <w:r w:rsidRPr="00CA34CF">
        <w:rPr>
          <w:rFonts w:ascii="Arial" w:hAnsi="Arial" w:cs="Arial"/>
          <w:sz w:val="20"/>
          <w:szCs w:val="20"/>
        </w:rPr>
        <w:t xml:space="preserve">pro </w:t>
      </w:r>
      <w:r>
        <w:rPr>
          <w:rFonts w:ascii="Arial" w:hAnsi="Arial" w:cs="Arial"/>
          <w:sz w:val="20"/>
          <w:szCs w:val="20"/>
        </w:rPr>
        <w:t>EFRR</w:t>
      </w:r>
      <w:r w:rsidRPr="00CA34CF">
        <w:rPr>
          <w:rFonts w:ascii="Arial" w:hAnsi="Arial" w:cs="Arial"/>
          <w:sz w:val="20"/>
          <w:szCs w:val="20"/>
        </w:rPr>
        <w:t xml:space="preserve">. Zdůvodněním Komise je údajná vazba na priority EU řešené prostřednictvím nařízení pro </w:t>
      </w:r>
      <w:r>
        <w:rPr>
          <w:rFonts w:ascii="Arial" w:hAnsi="Arial" w:cs="Arial"/>
          <w:sz w:val="20"/>
          <w:szCs w:val="20"/>
        </w:rPr>
        <w:t>EZFRV</w:t>
      </w:r>
      <w:r w:rsidRPr="00CA34CF">
        <w:rPr>
          <w:rFonts w:ascii="Arial" w:hAnsi="Arial" w:cs="Arial"/>
          <w:sz w:val="20"/>
          <w:szCs w:val="20"/>
        </w:rPr>
        <w:t>, kde se MAS považují za hlavní nástroj naplňování územní dimenze zaměřené v</w:t>
      </w:r>
      <w:r>
        <w:rPr>
          <w:rFonts w:ascii="Arial" w:hAnsi="Arial" w:cs="Arial"/>
          <w:sz w:val="20"/>
          <w:szCs w:val="20"/>
        </w:rPr>
        <w:t> </w:t>
      </w:r>
      <w:r w:rsidRPr="00CA34CF">
        <w:rPr>
          <w:rFonts w:ascii="Arial" w:hAnsi="Arial" w:cs="Arial"/>
          <w:sz w:val="20"/>
          <w:szCs w:val="20"/>
        </w:rPr>
        <w:t>zásadě na udržitelnost venkova a podporu začleňování tamtéž. T</w:t>
      </w:r>
      <w:r w:rsidRPr="00E904F1">
        <w:rPr>
          <w:rFonts w:ascii="Arial" w:hAnsi="Arial" w:cs="Arial"/>
          <w:sz w:val="20"/>
          <w:szCs w:val="20"/>
        </w:rPr>
        <w:t>ento</w:t>
      </w:r>
      <w:r w:rsidRPr="00CA34CF">
        <w:rPr>
          <w:rFonts w:ascii="Arial" w:hAnsi="Arial" w:cs="Arial"/>
          <w:sz w:val="20"/>
          <w:szCs w:val="20"/>
        </w:rPr>
        <w:t xml:space="preserve"> koncept přejalo i DG </w:t>
      </w:r>
      <w:proofErr w:type="spellStart"/>
      <w:r w:rsidRPr="00CA34CF">
        <w:rPr>
          <w:rFonts w:ascii="Arial" w:hAnsi="Arial" w:cs="Arial"/>
          <w:sz w:val="20"/>
          <w:szCs w:val="20"/>
        </w:rPr>
        <w:t>Regio</w:t>
      </w:r>
      <w:proofErr w:type="spellEnd"/>
      <w:r w:rsidRPr="00CA34CF">
        <w:rPr>
          <w:rFonts w:ascii="Arial" w:hAnsi="Arial" w:cs="Arial"/>
          <w:sz w:val="20"/>
          <w:szCs w:val="20"/>
        </w:rPr>
        <w:t xml:space="preserve"> a doporučuje využití konceptu CLLD zejména pro TC 9, tedy v</w:t>
      </w:r>
      <w:r>
        <w:rPr>
          <w:rFonts w:ascii="Arial" w:hAnsi="Arial" w:cs="Arial"/>
          <w:sz w:val="20"/>
          <w:szCs w:val="20"/>
        </w:rPr>
        <w:t> </w:t>
      </w:r>
      <w:r w:rsidRPr="00CA34CF">
        <w:rPr>
          <w:rFonts w:ascii="Arial" w:hAnsi="Arial" w:cs="Arial"/>
          <w:sz w:val="20"/>
          <w:szCs w:val="20"/>
        </w:rPr>
        <w:t xml:space="preserve">zásadě pouze </w:t>
      </w:r>
      <w:r w:rsidRPr="00E904F1">
        <w:rPr>
          <w:rFonts w:ascii="Arial" w:hAnsi="Arial" w:cs="Arial"/>
          <w:sz w:val="20"/>
          <w:szCs w:val="20"/>
        </w:rPr>
        <w:t xml:space="preserve">pro </w:t>
      </w:r>
      <w:proofErr w:type="spellStart"/>
      <w:r w:rsidRPr="00CA34CF">
        <w:rPr>
          <w:rFonts w:ascii="Arial" w:hAnsi="Arial" w:cs="Arial"/>
          <w:sz w:val="20"/>
          <w:szCs w:val="20"/>
        </w:rPr>
        <w:t>začleňovací</w:t>
      </w:r>
      <w:proofErr w:type="spellEnd"/>
      <w:r w:rsidRPr="00CA34CF">
        <w:rPr>
          <w:rFonts w:ascii="Arial" w:hAnsi="Arial" w:cs="Arial"/>
          <w:sz w:val="20"/>
          <w:szCs w:val="20"/>
        </w:rPr>
        <w:t xml:space="preserve"> aktivity. Argumentem EK je, že samostatná prioritní osa zaměřená na CLLD by mohla mít o 10 % bodů navýšené evropské financování.</w:t>
      </w:r>
    </w:p>
    <w:p w:rsidR="005D4BFA" w:rsidRDefault="005D4BFA">
      <w:pPr>
        <w:spacing w:after="120"/>
        <w:jc w:val="both"/>
        <w:rPr>
          <w:rFonts w:ascii="Arial" w:hAnsi="Arial" w:cs="Arial"/>
          <w:b/>
          <w:bCs/>
          <w:sz w:val="20"/>
          <w:szCs w:val="20"/>
        </w:rPr>
      </w:pPr>
      <w:r w:rsidRPr="00CA34CF">
        <w:rPr>
          <w:rFonts w:ascii="Arial" w:hAnsi="Arial" w:cs="Arial"/>
          <w:b/>
          <w:bCs/>
          <w:sz w:val="20"/>
          <w:szCs w:val="20"/>
        </w:rPr>
        <w:t>Postoj ČR</w:t>
      </w:r>
    </w:p>
    <w:p w:rsidR="005D4BFA" w:rsidRDefault="005D4BFA">
      <w:pPr>
        <w:spacing w:after="120"/>
        <w:jc w:val="both"/>
        <w:rPr>
          <w:rFonts w:ascii="Arial" w:hAnsi="Arial" w:cs="Arial"/>
          <w:sz w:val="20"/>
          <w:szCs w:val="20"/>
        </w:rPr>
      </w:pPr>
      <w:r w:rsidRPr="00CA34CF">
        <w:rPr>
          <w:rFonts w:ascii="Arial" w:hAnsi="Arial" w:cs="Arial"/>
          <w:sz w:val="20"/>
          <w:szCs w:val="20"/>
        </w:rPr>
        <w:t xml:space="preserve">Ze strany ČR byl tento princip opakovaně rozporován, avšak bez jakékoli odezvy od EK. ČR má za to, že uplatňování metody CLLD na základě integrované místní rozvojové strategie se nesmí omezit jen na </w:t>
      </w:r>
      <w:proofErr w:type="spellStart"/>
      <w:r w:rsidRPr="00CA34CF">
        <w:rPr>
          <w:rFonts w:ascii="Arial" w:hAnsi="Arial" w:cs="Arial"/>
          <w:sz w:val="20"/>
          <w:szCs w:val="20"/>
        </w:rPr>
        <w:t>začleňovací</w:t>
      </w:r>
      <w:proofErr w:type="spellEnd"/>
      <w:r w:rsidRPr="00CA34CF">
        <w:rPr>
          <w:rFonts w:ascii="Arial" w:hAnsi="Arial" w:cs="Arial"/>
          <w:sz w:val="20"/>
          <w:szCs w:val="20"/>
        </w:rPr>
        <w:t xml:space="preserve"> aktivity, ale strategie by měla být širší a měla by využívat veškerý rozvojový potenciál předmětného území. Stejně jako v</w:t>
      </w:r>
      <w:r>
        <w:rPr>
          <w:rFonts w:ascii="Arial" w:hAnsi="Arial" w:cs="Arial"/>
          <w:sz w:val="20"/>
          <w:szCs w:val="20"/>
        </w:rPr>
        <w:t> </w:t>
      </w:r>
      <w:r w:rsidRPr="00CA34CF">
        <w:rPr>
          <w:rFonts w:ascii="Arial" w:hAnsi="Arial" w:cs="Arial"/>
          <w:sz w:val="20"/>
          <w:szCs w:val="20"/>
        </w:rPr>
        <w:t>případě ITI se nejeví jako vhodné rozšiřovat počet prioritních os v</w:t>
      </w:r>
      <w:r>
        <w:rPr>
          <w:rFonts w:ascii="Arial" w:hAnsi="Arial" w:cs="Arial"/>
          <w:sz w:val="20"/>
          <w:szCs w:val="20"/>
        </w:rPr>
        <w:t> </w:t>
      </w:r>
      <w:r w:rsidRPr="00CA34CF">
        <w:rPr>
          <w:rFonts w:ascii="Arial" w:hAnsi="Arial" w:cs="Arial"/>
          <w:sz w:val="20"/>
          <w:szCs w:val="20"/>
        </w:rPr>
        <w:t>programech.</w:t>
      </w:r>
    </w:p>
    <w:p w:rsidR="00B87BEB" w:rsidRDefault="00B87BEB">
      <w:pPr>
        <w:spacing w:after="120"/>
        <w:jc w:val="both"/>
        <w:rPr>
          <w:rFonts w:ascii="Arial" w:hAnsi="Arial" w:cs="Arial"/>
          <w:sz w:val="20"/>
          <w:szCs w:val="20"/>
        </w:rPr>
      </w:pPr>
    </w:p>
    <w:p w:rsidR="00B87BEB" w:rsidRDefault="00B87BEB">
      <w:pPr>
        <w:spacing w:after="120"/>
        <w:jc w:val="both"/>
        <w:rPr>
          <w:rFonts w:ascii="Arial" w:hAnsi="Arial" w:cs="Arial"/>
          <w:sz w:val="20"/>
          <w:szCs w:val="20"/>
        </w:rPr>
      </w:pPr>
    </w:p>
    <w:p w:rsidR="005D4BFA" w:rsidRDefault="005D4BFA">
      <w:pPr>
        <w:spacing w:after="120"/>
        <w:jc w:val="both"/>
        <w:rPr>
          <w:rFonts w:ascii="Arial" w:hAnsi="Arial" w:cs="Arial"/>
          <w:b/>
          <w:bCs/>
          <w:sz w:val="20"/>
          <w:szCs w:val="20"/>
        </w:rPr>
      </w:pPr>
      <w:r w:rsidRPr="00CA34CF">
        <w:rPr>
          <w:rFonts w:ascii="Arial" w:hAnsi="Arial" w:cs="Arial"/>
          <w:b/>
          <w:bCs/>
          <w:sz w:val="20"/>
          <w:szCs w:val="20"/>
        </w:rPr>
        <w:lastRenderedPageBreak/>
        <w:t>Správně nastavené programy jako podmínka využití integrovaných přístupů</w:t>
      </w:r>
    </w:p>
    <w:p w:rsidR="005D4BFA" w:rsidRDefault="005D4BFA">
      <w:pPr>
        <w:spacing w:after="120"/>
        <w:jc w:val="both"/>
        <w:rPr>
          <w:rFonts w:ascii="Arial" w:hAnsi="Arial" w:cs="Arial"/>
          <w:b/>
          <w:bCs/>
          <w:sz w:val="20"/>
          <w:szCs w:val="20"/>
        </w:rPr>
      </w:pPr>
      <w:r w:rsidRPr="00CA34CF">
        <w:rPr>
          <w:rFonts w:ascii="Arial" w:hAnsi="Arial" w:cs="Arial"/>
          <w:sz w:val="20"/>
          <w:szCs w:val="20"/>
        </w:rPr>
        <w:t xml:space="preserve">Nutnou podmínkou pro správné uplatnění integrovaných přístupů je nastavení programů tak, aby při správném řízení umožňovaly propojit vhodným způsobem intervence do logických celků </w:t>
      </w:r>
      <w:r>
        <w:rPr>
          <w:rFonts w:ascii="Arial" w:hAnsi="Arial" w:cs="Arial"/>
          <w:sz w:val="20"/>
          <w:szCs w:val="20"/>
        </w:rPr>
        <w:t>–</w:t>
      </w:r>
      <w:r w:rsidRPr="00CA34CF">
        <w:rPr>
          <w:rFonts w:ascii="Arial" w:hAnsi="Arial" w:cs="Arial"/>
          <w:sz w:val="20"/>
          <w:szCs w:val="20"/>
        </w:rPr>
        <w:t xml:space="preserve"> integrovaných projektů. Již při tvorbě programů musí být jejich potenciální intervence propojitelné buď s</w:t>
      </w:r>
      <w:r>
        <w:rPr>
          <w:rFonts w:ascii="Arial" w:hAnsi="Arial" w:cs="Arial"/>
          <w:sz w:val="20"/>
          <w:szCs w:val="20"/>
        </w:rPr>
        <w:t> </w:t>
      </w:r>
      <w:r w:rsidRPr="00CA34CF">
        <w:rPr>
          <w:rFonts w:ascii="Arial" w:hAnsi="Arial" w:cs="Arial"/>
          <w:sz w:val="20"/>
          <w:szCs w:val="20"/>
        </w:rPr>
        <w:t>dalšími intervencemi téhož programu či intervencemi programů jiných. Ke správnému nastavení programů z</w:t>
      </w:r>
      <w:r>
        <w:rPr>
          <w:rFonts w:ascii="Arial" w:hAnsi="Arial" w:cs="Arial"/>
          <w:sz w:val="20"/>
          <w:szCs w:val="20"/>
        </w:rPr>
        <w:t> </w:t>
      </w:r>
      <w:r w:rsidRPr="00CA34CF">
        <w:rPr>
          <w:rFonts w:ascii="Arial" w:hAnsi="Arial" w:cs="Arial"/>
          <w:sz w:val="20"/>
          <w:szCs w:val="20"/>
        </w:rPr>
        <w:t xml:space="preserve">hlediska potenciálního využití integrovaných projektů bude sloužit metodický pokyn připravovaný za tímto účelem MMR. </w:t>
      </w:r>
    </w:p>
    <w:p w:rsidR="005D4BFA" w:rsidRDefault="005D4BFA">
      <w:pPr>
        <w:spacing w:after="120"/>
        <w:jc w:val="both"/>
        <w:rPr>
          <w:rFonts w:ascii="Arial" w:hAnsi="Arial" w:cs="Arial"/>
          <w:b/>
          <w:bCs/>
          <w:sz w:val="20"/>
          <w:szCs w:val="20"/>
        </w:rPr>
      </w:pPr>
      <w:r w:rsidRPr="00CA34CF">
        <w:rPr>
          <w:rFonts w:ascii="Arial" w:hAnsi="Arial" w:cs="Arial"/>
          <w:b/>
          <w:bCs/>
          <w:sz w:val="20"/>
          <w:szCs w:val="20"/>
        </w:rPr>
        <w:t>Indikativní stanovení problémových okruhů, pro jejichž řešení je integrovaný způsob vhodný</w:t>
      </w:r>
    </w:p>
    <w:p w:rsidR="005D4BFA" w:rsidRDefault="005D4BFA">
      <w:pPr>
        <w:spacing w:after="120"/>
        <w:jc w:val="both"/>
        <w:rPr>
          <w:rFonts w:ascii="Arial" w:hAnsi="Arial" w:cs="Arial"/>
          <w:b/>
          <w:bCs/>
          <w:sz w:val="20"/>
          <w:szCs w:val="20"/>
        </w:rPr>
      </w:pPr>
      <w:r w:rsidRPr="00CA34CF">
        <w:rPr>
          <w:rFonts w:ascii="Arial" w:hAnsi="Arial" w:cs="Arial"/>
          <w:sz w:val="20"/>
          <w:szCs w:val="20"/>
        </w:rPr>
        <w:t xml:space="preserve">Podle dosavadních úvah by mohl být integrovaný způsob řešení vhodným nástrojem pro řešení územně definovaných problémů </w:t>
      </w:r>
      <w:r w:rsidRPr="00E904F1">
        <w:rPr>
          <w:rFonts w:ascii="Arial" w:hAnsi="Arial" w:cs="Arial"/>
          <w:sz w:val="20"/>
          <w:szCs w:val="20"/>
        </w:rPr>
        <w:t xml:space="preserve">zejména </w:t>
      </w:r>
      <w:r w:rsidRPr="00CA34CF">
        <w:rPr>
          <w:rFonts w:ascii="Arial" w:hAnsi="Arial" w:cs="Arial"/>
          <w:sz w:val="20"/>
          <w:szCs w:val="20"/>
        </w:rPr>
        <w:t>v</w:t>
      </w:r>
      <w:r>
        <w:rPr>
          <w:rFonts w:ascii="Arial" w:hAnsi="Arial" w:cs="Arial"/>
          <w:sz w:val="20"/>
          <w:szCs w:val="20"/>
        </w:rPr>
        <w:t> </w:t>
      </w:r>
      <w:r w:rsidRPr="00CA34CF">
        <w:rPr>
          <w:rFonts w:ascii="Arial" w:hAnsi="Arial" w:cs="Arial"/>
          <w:sz w:val="20"/>
          <w:szCs w:val="20"/>
        </w:rPr>
        <w:t>oblastech dopravy, dopravní obslužnosti, nakládání s</w:t>
      </w:r>
      <w:r>
        <w:rPr>
          <w:rFonts w:ascii="Arial" w:hAnsi="Arial" w:cs="Arial"/>
          <w:sz w:val="20"/>
          <w:szCs w:val="20"/>
        </w:rPr>
        <w:t> </w:t>
      </w:r>
      <w:r w:rsidRPr="00CA34CF">
        <w:rPr>
          <w:rFonts w:ascii="Arial" w:hAnsi="Arial" w:cs="Arial"/>
          <w:sz w:val="20"/>
          <w:szCs w:val="20"/>
        </w:rPr>
        <w:t xml:space="preserve">odpady, management pitné i odpadních vod, vzdělávání. Územní rozsah, charakter a rozsah </w:t>
      </w:r>
      <w:proofErr w:type="spellStart"/>
      <w:r w:rsidRPr="00CA34CF">
        <w:rPr>
          <w:rFonts w:ascii="Arial" w:hAnsi="Arial" w:cs="Arial"/>
          <w:sz w:val="20"/>
          <w:szCs w:val="20"/>
        </w:rPr>
        <w:t>integrovanosti</w:t>
      </w:r>
      <w:proofErr w:type="spellEnd"/>
      <w:r w:rsidRPr="00CA34CF">
        <w:rPr>
          <w:rFonts w:ascii="Arial" w:hAnsi="Arial" w:cs="Arial"/>
          <w:sz w:val="20"/>
          <w:szCs w:val="20"/>
        </w:rPr>
        <w:t xml:space="preserve">, počet partnerů a další aspekty se budou navzájem mezi jednotlivými územími lišit. Klíčovou podmínkou pro uplatnění integrovaných územních řešení bude vzájemná dohoda na věcných oblastech nejvhodnějších pro tento způsob implementace </w:t>
      </w:r>
    </w:p>
    <w:p w:rsidR="005D4BFA" w:rsidRDefault="005D4BFA">
      <w:pPr>
        <w:spacing w:after="120"/>
        <w:jc w:val="both"/>
        <w:rPr>
          <w:rFonts w:ascii="Arial" w:hAnsi="Arial" w:cs="Arial"/>
          <w:b/>
          <w:bCs/>
          <w:sz w:val="20"/>
          <w:szCs w:val="20"/>
        </w:rPr>
      </w:pPr>
      <w:r w:rsidRPr="00CA34CF">
        <w:rPr>
          <w:rFonts w:ascii="Arial" w:hAnsi="Arial" w:cs="Arial"/>
          <w:b/>
          <w:bCs/>
          <w:sz w:val="20"/>
          <w:szCs w:val="20"/>
        </w:rPr>
        <w:t>Způsoby využití a odlišnosti jednotlivých integrovaných přístupů</w:t>
      </w:r>
    </w:p>
    <w:p w:rsidR="005D4BFA" w:rsidRDefault="005D4BFA">
      <w:pPr>
        <w:spacing w:after="120"/>
        <w:jc w:val="both"/>
        <w:rPr>
          <w:rFonts w:ascii="Arial" w:hAnsi="Arial" w:cs="Arial"/>
          <w:sz w:val="20"/>
          <w:szCs w:val="20"/>
        </w:rPr>
      </w:pPr>
      <w:r w:rsidRPr="00CA34CF">
        <w:rPr>
          <w:rFonts w:ascii="Arial" w:hAnsi="Arial" w:cs="Arial"/>
          <w:sz w:val="20"/>
          <w:szCs w:val="20"/>
        </w:rPr>
        <w:t>Nejdelší zkušenosti existují v</w:t>
      </w:r>
      <w:r>
        <w:rPr>
          <w:rFonts w:ascii="Arial" w:hAnsi="Arial" w:cs="Arial"/>
          <w:sz w:val="20"/>
          <w:szCs w:val="20"/>
        </w:rPr>
        <w:t> </w:t>
      </w:r>
      <w:r w:rsidRPr="00CA34CF">
        <w:rPr>
          <w:rFonts w:ascii="Arial" w:hAnsi="Arial" w:cs="Arial"/>
          <w:sz w:val="20"/>
          <w:szCs w:val="20"/>
        </w:rPr>
        <w:t>ČR s</w:t>
      </w:r>
      <w:r>
        <w:rPr>
          <w:rFonts w:ascii="Arial" w:hAnsi="Arial" w:cs="Arial"/>
          <w:sz w:val="20"/>
          <w:szCs w:val="20"/>
        </w:rPr>
        <w:t> </w:t>
      </w:r>
      <w:r w:rsidRPr="00CA34CF">
        <w:rPr>
          <w:rFonts w:ascii="Arial" w:hAnsi="Arial" w:cs="Arial"/>
          <w:sz w:val="20"/>
          <w:szCs w:val="20"/>
        </w:rPr>
        <w:t>využitím komunitně vedeným místním rozvojem. Stejně jako v</w:t>
      </w:r>
      <w:r>
        <w:rPr>
          <w:rFonts w:ascii="Arial" w:hAnsi="Arial" w:cs="Arial"/>
          <w:sz w:val="20"/>
          <w:szCs w:val="20"/>
        </w:rPr>
        <w:t> </w:t>
      </w:r>
      <w:r w:rsidRPr="00CA34CF">
        <w:rPr>
          <w:rFonts w:ascii="Arial" w:hAnsi="Arial" w:cs="Arial"/>
          <w:sz w:val="20"/>
          <w:szCs w:val="20"/>
        </w:rPr>
        <w:t>současném období bude zaměřen na realizaci integrovaných řešení ve venkovském prostoru ČR a naváže na územní vymezení stávajících MAS. Z</w:t>
      </w:r>
      <w:r>
        <w:rPr>
          <w:rFonts w:ascii="Arial" w:hAnsi="Arial" w:cs="Arial"/>
          <w:sz w:val="20"/>
          <w:szCs w:val="20"/>
        </w:rPr>
        <w:t> </w:t>
      </w:r>
      <w:r w:rsidRPr="00CA34CF">
        <w:rPr>
          <w:rFonts w:ascii="Arial" w:hAnsi="Arial" w:cs="Arial"/>
          <w:sz w:val="20"/>
          <w:szCs w:val="20"/>
        </w:rPr>
        <w:t>veřejných zdrojů bude ještě ve stávajícím období podpořeno maximální pokrytí území ČR těmito uskupeními dle limitů stanovených ve stávajícím legislativním rámci. ČR zatím neuvažuje o podpoře MAS v</w:t>
      </w:r>
      <w:r>
        <w:rPr>
          <w:rFonts w:ascii="Arial" w:hAnsi="Arial" w:cs="Arial"/>
          <w:sz w:val="20"/>
          <w:szCs w:val="20"/>
        </w:rPr>
        <w:t> </w:t>
      </w:r>
      <w:r w:rsidRPr="00CA34CF">
        <w:rPr>
          <w:rFonts w:ascii="Arial" w:hAnsi="Arial" w:cs="Arial"/>
          <w:sz w:val="20"/>
          <w:szCs w:val="20"/>
        </w:rPr>
        <w:t>jiných než venkovských územích. O případné podpoře MAS v</w:t>
      </w:r>
      <w:r>
        <w:rPr>
          <w:rFonts w:ascii="Arial" w:hAnsi="Arial" w:cs="Arial"/>
          <w:sz w:val="20"/>
          <w:szCs w:val="20"/>
        </w:rPr>
        <w:t> </w:t>
      </w:r>
      <w:r w:rsidRPr="00CA34CF">
        <w:rPr>
          <w:rFonts w:ascii="Arial" w:hAnsi="Arial" w:cs="Arial"/>
          <w:sz w:val="20"/>
          <w:szCs w:val="20"/>
        </w:rPr>
        <w:t>těchto územích by musela v</w:t>
      </w:r>
      <w:r>
        <w:rPr>
          <w:rFonts w:ascii="Arial" w:hAnsi="Arial" w:cs="Arial"/>
          <w:sz w:val="20"/>
          <w:szCs w:val="20"/>
        </w:rPr>
        <w:t> </w:t>
      </w:r>
      <w:r w:rsidRPr="00CA34CF">
        <w:rPr>
          <w:rFonts w:ascii="Arial" w:hAnsi="Arial" w:cs="Arial"/>
          <w:sz w:val="20"/>
          <w:szCs w:val="20"/>
        </w:rPr>
        <w:t>případě zájmu být vedena diskuse.</w:t>
      </w:r>
    </w:p>
    <w:p w:rsidR="005D4BFA" w:rsidRDefault="005D4BFA">
      <w:pPr>
        <w:spacing w:after="120"/>
        <w:jc w:val="both"/>
        <w:rPr>
          <w:rFonts w:ascii="Arial" w:hAnsi="Arial" w:cs="Arial"/>
          <w:sz w:val="20"/>
          <w:szCs w:val="20"/>
        </w:rPr>
      </w:pPr>
      <w:r w:rsidRPr="00CA34CF">
        <w:rPr>
          <w:rFonts w:ascii="Arial" w:hAnsi="Arial" w:cs="Arial"/>
          <w:sz w:val="20"/>
          <w:szCs w:val="20"/>
        </w:rPr>
        <w:t>Integrované územní investice budou v</w:t>
      </w:r>
      <w:r>
        <w:rPr>
          <w:rFonts w:ascii="Arial" w:hAnsi="Arial" w:cs="Arial"/>
          <w:sz w:val="20"/>
          <w:szCs w:val="20"/>
        </w:rPr>
        <w:t> </w:t>
      </w:r>
      <w:r w:rsidRPr="00CA34CF">
        <w:rPr>
          <w:rFonts w:ascii="Arial" w:hAnsi="Arial" w:cs="Arial"/>
          <w:sz w:val="20"/>
          <w:szCs w:val="20"/>
        </w:rPr>
        <w:t xml:space="preserve">ČR uplatněny za účelem naplnění povinnosti </w:t>
      </w:r>
      <w:r w:rsidR="000B26F7">
        <w:rPr>
          <w:rFonts w:ascii="Arial" w:hAnsi="Arial" w:cs="Arial"/>
          <w:sz w:val="20"/>
          <w:szCs w:val="20"/>
        </w:rPr>
        <w:t xml:space="preserve">vyplývající z návrhů nařízení EK </w:t>
      </w:r>
      <w:r w:rsidRPr="00CA34CF">
        <w:rPr>
          <w:rFonts w:ascii="Arial" w:hAnsi="Arial" w:cs="Arial"/>
          <w:sz w:val="20"/>
          <w:szCs w:val="20"/>
        </w:rPr>
        <w:t xml:space="preserve">vyčlenit </w:t>
      </w:r>
      <w:r w:rsidR="000B26F7">
        <w:rPr>
          <w:rFonts w:ascii="Arial" w:hAnsi="Arial" w:cs="Arial"/>
          <w:sz w:val="20"/>
          <w:szCs w:val="20"/>
        </w:rPr>
        <w:t>minimálně</w:t>
      </w:r>
      <w:r w:rsidR="000B26F7" w:rsidRPr="00CA34CF">
        <w:rPr>
          <w:rFonts w:ascii="Arial" w:hAnsi="Arial" w:cs="Arial"/>
          <w:sz w:val="20"/>
          <w:szCs w:val="20"/>
        </w:rPr>
        <w:t xml:space="preserve"> </w:t>
      </w:r>
      <w:r w:rsidRPr="00CA34CF">
        <w:rPr>
          <w:rFonts w:ascii="Arial" w:hAnsi="Arial" w:cs="Arial"/>
          <w:sz w:val="20"/>
          <w:szCs w:val="20"/>
        </w:rPr>
        <w:t xml:space="preserve">5 % alokace </w:t>
      </w:r>
      <w:r>
        <w:rPr>
          <w:rFonts w:ascii="Arial" w:hAnsi="Arial" w:cs="Arial"/>
          <w:sz w:val="20"/>
          <w:szCs w:val="20"/>
        </w:rPr>
        <w:t>EFRR</w:t>
      </w:r>
      <w:r w:rsidRPr="00CA34CF">
        <w:rPr>
          <w:rFonts w:ascii="Arial" w:hAnsi="Arial" w:cs="Arial"/>
          <w:sz w:val="20"/>
          <w:szCs w:val="20"/>
        </w:rPr>
        <w:t xml:space="preserve"> na udržitelný rozvoj městských území. Bude se dotýkat šesti stanovených území měst a s</w:t>
      </w:r>
      <w:r>
        <w:rPr>
          <w:rFonts w:ascii="Arial" w:hAnsi="Arial" w:cs="Arial"/>
          <w:sz w:val="20"/>
          <w:szCs w:val="20"/>
        </w:rPr>
        <w:t> </w:t>
      </w:r>
      <w:r w:rsidRPr="00CA34CF">
        <w:rPr>
          <w:rFonts w:ascii="Arial" w:hAnsi="Arial" w:cs="Arial"/>
          <w:sz w:val="20"/>
          <w:szCs w:val="20"/>
        </w:rPr>
        <w:t>nimi funkčně propojených zázemí plynoucích, jejichž vymezení vyplývá ze Strategie regionálního rozvoje.</w:t>
      </w:r>
    </w:p>
    <w:p w:rsidR="005D4BFA" w:rsidRDefault="005D4BFA">
      <w:pPr>
        <w:spacing w:after="120"/>
        <w:jc w:val="both"/>
        <w:rPr>
          <w:rFonts w:ascii="Arial" w:hAnsi="Arial" w:cs="Arial"/>
          <w:b/>
          <w:bCs/>
          <w:sz w:val="20"/>
          <w:szCs w:val="20"/>
        </w:rPr>
      </w:pPr>
      <w:r w:rsidRPr="00CA34CF">
        <w:rPr>
          <w:rFonts w:ascii="Arial" w:hAnsi="Arial" w:cs="Arial"/>
          <w:b/>
          <w:bCs/>
          <w:sz w:val="20"/>
          <w:szCs w:val="20"/>
        </w:rPr>
        <w:t>Integrovaný přístup založený na rozvojových strategiích předmětných území</w:t>
      </w:r>
    </w:p>
    <w:p w:rsidR="005D4BFA" w:rsidRPr="00E904F1" w:rsidRDefault="005D4BFA" w:rsidP="00E904F1">
      <w:pPr>
        <w:spacing w:after="120"/>
        <w:jc w:val="both"/>
        <w:rPr>
          <w:rFonts w:ascii="Arial" w:hAnsi="Arial" w:cs="Arial"/>
          <w:sz w:val="20"/>
          <w:szCs w:val="20"/>
        </w:rPr>
      </w:pPr>
      <w:r w:rsidRPr="00E904F1">
        <w:rPr>
          <w:rFonts w:ascii="Arial" w:hAnsi="Arial" w:cs="Arial"/>
          <w:sz w:val="20"/>
          <w:szCs w:val="20"/>
        </w:rPr>
        <w:t xml:space="preserve">Podstatné pro plánované intervence jsou územní souvislosti a funkční vazby (tzv. </w:t>
      </w:r>
      <w:r w:rsidRPr="00B8465F">
        <w:rPr>
          <w:rFonts w:ascii="Arial" w:hAnsi="Arial" w:cs="Arial"/>
          <w:sz w:val="20"/>
          <w:szCs w:val="20"/>
        </w:rPr>
        <w:t xml:space="preserve">place </w:t>
      </w:r>
      <w:proofErr w:type="spellStart"/>
      <w:r w:rsidRPr="00B8465F">
        <w:rPr>
          <w:rFonts w:ascii="Arial" w:hAnsi="Arial" w:cs="Arial"/>
          <w:sz w:val="20"/>
          <w:szCs w:val="20"/>
        </w:rPr>
        <w:t>based</w:t>
      </w:r>
      <w:proofErr w:type="spellEnd"/>
      <w:r w:rsidRPr="00B8465F">
        <w:rPr>
          <w:rFonts w:ascii="Arial" w:hAnsi="Arial" w:cs="Arial"/>
          <w:sz w:val="20"/>
          <w:szCs w:val="20"/>
        </w:rPr>
        <w:t xml:space="preserve"> </w:t>
      </w:r>
      <w:proofErr w:type="spellStart"/>
      <w:r w:rsidRPr="00B8465F">
        <w:rPr>
          <w:rFonts w:ascii="Arial" w:hAnsi="Arial" w:cs="Arial"/>
          <w:sz w:val="20"/>
          <w:szCs w:val="20"/>
        </w:rPr>
        <w:t>approach</w:t>
      </w:r>
      <w:proofErr w:type="spellEnd"/>
      <w:r w:rsidRPr="00E904F1">
        <w:rPr>
          <w:rFonts w:ascii="Arial" w:hAnsi="Arial" w:cs="Arial"/>
          <w:sz w:val="20"/>
          <w:szCs w:val="20"/>
        </w:rPr>
        <w:t xml:space="preserve">). Kvalitativně nejvýznamnější formou uplatnění územní dimenze je </w:t>
      </w:r>
      <w:r w:rsidRPr="00E904F1">
        <w:rPr>
          <w:rFonts w:ascii="Arial" w:hAnsi="Arial" w:cs="Arial"/>
          <w:b/>
          <w:bCs/>
          <w:sz w:val="20"/>
          <w:szCs w:val="20"/>
        </w:rPr>
        <w:t xml:space="preserve">vytváření územně zaměřených strategií </w:t>
      </w:r>
      <w:r w:rsidRPr="00E904F1">
        <w:rPr>
          <w:rFonts w:ascii="Arial" w:hAnsi="Arial" w:cs="Arial"/>
          <w:sz w:val="20"/>
          <w:szCs w:val="20"/>
        </w:rPr>
        <w:t xml:space="preserve">založených na integrovaném přístupu resp. využití integrovaných nástrojů. </w:t>
      </w:r>
    </w:p>
    <w:p w:rsidR="005D4BFA" w:rsidRPr="00E904F1" w:rsidRDefault="005D4BFA" w:rsidP="00E904F1">
      <w:pPr>
        <w:spacing w:after="120"/>
        <w:jc w:val="both"/>
        <w:rPr>
          <w:rFonts w:ascii="Arial" w:hAnsi="Arial" w:cs="Arial"/>
          <w:sz w:val="20"/>
          <w:szCs w:val="20"/>
        </w:rPr>
      </w:pPr>
      <w:r w:rsidRPr="00E904F1">
        <w:rPr>
          <w:rFonts w:ascii="Arial" w:hAnsi="Arial" w:cs="Arial"/>
          <w:sz w:val="20"/>
          <w:szCs w:val="20"/>
        </w:rPr>
        <w:t xml:space="preserve">Prostředkem realizace integrovaného přístupu v programech </w:t>
      </w:r>
      <w:r>
        <w:rPr>
          <w:rFonts w:ascii="Arial" w:hAnsi="Arial" w:cs="Arial"/>
          <w:sz w:val="20"/>
          <w:szCs w:val="20"/>
        </w:rPr>
        <w:t>fondů SSR</w:t>
      </w:r>
      <w:r w:rsidRPr="00E904F1">
        <w:rPr>
          <w:rFonts w:ascii="Arial" w:hAnsi="Arial" w:cs="Arial"/>
          <w:sz w:val="20"/>
          <w:szCs w:val="20"/>
        </w:rPr>
        <w:t xml:space="preserve"> jsou v podmínkách ČR </w:t>
      </w:r>
      <w:r w:rsidRPr="00E904F1">
        <w:rPr>
          <w:rFonts w:ascii="Arial" w:hAnsi="Arial" w:cs="Arial"/>
          <w:b/>
          <w:bCs/>
          <w:sz w:val="20"/>
          <w:szCs w:val="20"/>
        </w:rPr>
        <w:t>integrované strategie rozvoje</w:t>
      </w:r>
      <w:r w:rsidRPr="00E904F1">
        <w:rPr>
          <w:rFonts w:ascii="Arial" w:hAnsi="Arial" w:cs="Arial"/>
          <w:sz w:val="20"/>
          <w:szCs w:val="20"/>
        </w:rPr>
        <w:t xml:space="preserve">. Vytváření integrovaných strategií rozvoje odráží plánovací aktivitu/y měst (a obcí) </w:t>
      </w:r>
      <w:r w:rsidRPr="00E904F1">
        <w:rPr>
          <w:rFonts w:ascii="Arial" w:hAnsi="Arial" w:cs="Arial"/>
          <w:b/>
          <w:bCs/>
          <w:sz w:val="20"/>
          <w:szCs w:val="20"/>
        </w:rPr>
        <w:t>a krajů</w:t>
      </w:r>
      <w:r w:rsidRPr="00E904F1">
        <w:rPr>
          <w:rFonts w:ascii="Arial" w:hAnsi="Arial" w:cs="Arial"/>
          <w:sz w:val="20"/>
          <w:szCs w:val="20"/>
        </w:rPr>
        <w:t xml:space="preserve">. </w:t>
      </w:r>
    </w:p>
    <w:p w:rsidR="000B26F7" w:rsidRDefault="000B26F7" w:rsidP="000B26F7">
      <w:pPr>
        <w:spacing w:after="120"/>
        <w:jc w:val="both"/>
        <w:rPr>
          <w:rFonts w:ascii="Arial" w:hAnsi="Arial" w:cs="Arial"/>
          <w:sz w:val="20"/>
          <w:szCs w:val="20"/>
        </w:rPr>
      </w:pPr>
      <w:r w:rsidRPr="00CA34CF">
        <w:rPr>
          <w:rFonts w:ascii="Arial" w:hAnsi="Arial" w:cs="Arial"/>
          <w:sz w:val="20"/>
          <w:szCs w:val="20"/>
        </w:rPr>
        <w:t>Na zkušenostech s</w:t>
      </w:r>
      <w:r>
        <w:rPr>
          <w:rFonts w:ascii="Arial" w:hAnsi="Arial" w:cs="Arial"/>
          <w:sz w:val="20"/>
          <w:szCs w:val="20"/>
        </w:rPr>
        <w:t> </w:t>
      </w:r>
      <w:r w:rsidRPr="00CA34CF">
        <w:rPr>
          <w:rFonts w:ascii="Arial" w:hAnsi="Arial" w:cs="Arial"/>
          <w:sz w:val="20"/>
          <w:szCs w:val="20"/>
        </w:rPr>
        <w:t xml:space="preserve">implementací integrovaných plánů rozvoje měst (IPRM) ve stávajícím programovém období </w:t>
      </w:r>
      <w:r>
        <w:rPr>
          <w:rFonts w:ascii="Arial" w:hAnsi="Arial" w:cs="Arial"/>
          <w:sz w:val="20"/>
          <w:szCs w:val="20"/>
        </w:rPr>
        <w:t>počítá s využitím</w:t>
      </w:r>
      <w:r w:rsidRPr="00CA34CF">
        <w:rPr>
          <w:rFonts w:ascii="Arial" w:hAnsi="Arial" w:cs="Arial"/>
          <w:sz w:val="20"/>
          <w:szCs w:val="20"/>
        </w:rPr>
        <w:t xml:space="preserve"> </w:t>
      </w:r>
      <w:r>
        <w:rPr>
          <w:rFonts w:ascii="Arial" w:hAnsi="Arial" w:cs="Arial"/>
          <w:sz w:val="20"/>
          <w:szCs w:val="20"/>
        </w:rPr>
        <w:t>integrovaných strategií rozvoje území (</w:t>
      </w:r>
      <w:r w:rsidRPr="00CA34CF">
        <w:rPr>
          <w:rFonts w:ascii="Arial" w:hAnsi="Arial" w:cs="Arial"/>
          <w:sz w:val="20"/>
          <w:szCs w:val="20"/>
        </w:rPr>
        <w:t>IPRÚ</w:t>
      </w:r>
      <w:r>
        <w:rPr>
          <w:rFonts w:ascii="Arial" w:hAnsi="Arial" w:cs="Arial"/>
          <w:sz w:val="20"/>
          <w:szCs w:val="20"/>
        </w:rPr>
        <w:t>)</w:t>
      </w:r>
      <w:r w:rsidRPr="00CA34CF">
        <w:rPr>
          <w:rFonts w:ascii="Arial" w:hAnsi="Arial" w:cs="Arial"/>
          <w:sz w:val="20"/>
          <w:szCs w:val="20"/>
        </w:rPr>
        <w:t xml:space="preserve">. </w:t>
      </w:r>
      <w:r w:rsidRPr="00E904F1">
        <w:rPr>
          <w:rFonts w:ascii="Arial" w:hAnsi="Arial" w:cs="Arial"/>
          <w:sz w:val="20"/>
          <w:szCs w:val="20"/>
        </w:rPr>
        <w:t>Jedná se o</w:t>
      </w:r>
      <w:r w:rsidRPr="00CA34CF">
        <w:rPr>
          <w:rFonts w:ascii="Arial" w:hAnsi="Arial" w:cs="Arial"/>
          <w:sz w:val="20"/>
          <w:szCs w:val="20"/>
        </w:rPr>
        <w:t xml:space="preserve"> pokračování integrovaných územních řešení pro další větší města v</w:t>
      </w:r>
      <w:r>
        <w:rPr>
          <w:rFonts w:ascii="Arial" w:hAnsi="Arial" w:cs="Arial"/>
          <w:sz w:val="20"/>
          <w:szCs w:val="20"/>
        </w:rPr>
        <w:t> </w:t>
      </w:r>
      <w:r w:rsidRPr="00CA34CF">
        <w:rPr>
          <w:rFonts w:ascii="Arial" w:hAnsi="Arial" w:cs="Arial"/>
          <w:sz w:val="20"/>
          <w:szCs w:val="20"/>
        </w:rPr>
        <w:t>ČR</w:t>
      </w:r>
      <w:r>
        <w:rPr>
          <w:rFonts w:ascii="Arial" w:hAnsi="Arial" w:cs="Arial"/>
          <w:sz w:val="20"/>
          <w:szCs w:val="20"/>
        </w:rPr>
        <w:t xml:space="preserve"> (jako regionální centra)</w:t>
      </w:r>
      <w:r w:rsidRPr="00E904F1">
        <w:rPr>
          <w:rFonts w:ascii="Arial" w:hAnsi="Arial" w:cs="Arial"/>
          <w:sz w:val="20"/>
          <w:szCs w:val="20"/>
        </w:rPr>
        <w:t xml:space="preserve"> a jejich zázemí</w:t>
      </w:r>
      <w:r>
        <w:rPr>
          <w:rFonts w:ascii="Arial" w:hAnsi="Arial" w:cs="Arial"/>
          <w:sz w:val="20"/>
          <w:szCs w:val="20"/>
        </w:rPr>
        <w:t xml:space="preserve">. </w:t>
      </w:r>
      <w:r w:rsidRPr="00CA34CF">
        <w:rPr>
          <w:rFonts w:ascii="Arial" w:hAnsi="Arial" w:cs="Arial"/>
          <w:sz w:val="20"/>
          <w:szCs w:val="20"/>
        </w:rPr>
        <w:t xml:space="preserve"> </w:t>
      </w:r>
    </w:p>
    <w:p w:rsidR="005D4BFA" w:rsidRPr="00E904F1" w:rsidRDefault="005D4BFA" w:rsidP="00E904F1">
      <w:pPr>
        <w:spacing w:after="120"/>
        <w:jc w:val="both"/>
        <w:rPr>
          <w:rFonts w:ascii="Arial" w:hAnsi="Arial" w:cs="Arial"/>
          <w:sz w:val="20"/>
          <w:szCs w:val="20"/>
        </w:rPr>
      </w:pPr>
      <w:r w:rsidRPr="00E904F1">
        <w:rPr>
          <w:rFonts w:ascii="Arial" w:hAnsi="Arial" w:cs="Arial"/>
          <w:sz w:val="20"/>
          <w:szCs w:val="20"/>
        </w:rPr>
        <w:t>Integrované strategie budou v českém kontextu představovat tzv. Integrované plány/strategie rozvoje zpracovávané na několika úrovních resp. pro několik typů území. V rámci struktury programů budou integrované nástroje představovat jejich specifickou „podmnožinu“ resp. část (</w:t>
      </w:r>
      <w:proofErr w:type="spellStart"/>
      <w:r w:rsidRPr="00E904F1">
        <w:rPr>
          <w:rFonts w:ascii="Arial" w:hAnsi="Arial" w:cs="Arial"/>
          <w:sz w:val="20"/>
          <w:szCs w:val="20"/>
        </w:rPr>
        <w:t>IPRx</w:t>
      </w:r>
      <w:proofErr w:type="spellEnd"/>
      <w:r w:rsidRPr="00E904F1">
        <w:rPr>
          <w:rFonts w:ascii="Arial" w:hAnsi="Arial" w:cs="Arial"/>
          <w:sz w:val="20"/>
          <w:szCs w:val="20"/>
        </w:rPr>
        <w:t xml:space="preserve">) s tím, že po schválení zmíněných strategií podepíší ŘO se zpracovateli, resp. nositeli strategií smlouvu, na jejímž základě </w:t>
      </w:r>
      <w:r w:rsidR="00512641">
        <w:rPr>
          <w:rFonts w:ascii="Arial" w:hAnsi="Arial" w:cs="Arial"/>
          <w:sz w:val="20"/>
          <w:szCs w:val="20"/>
        </w:rPr>
        <w:t>budou moci</w:t>
      </w:r>
      <w:r w:rsidRPr="00E904F1">
        <w:rPr>
          <w:rFonts w:ascii="Arial" w:hAnsi="Arial" w:cs="Arial"/>
          <w:sz w:val="20"/>
          <w:szCs w:val="20"/>
        </w:rPr>
        <w:t xml:space="preserve"> čerpání prostředk</w:t>
      </w:r>
      <w:r w:rsidR="00512641">
        <w:rPr>
          <w:rFonts w:ascii="Arial" w:hAnsi="Arial" w:cs="Arial"/>
          <w:sz w:val="20"/>
          <w:szCs w:val="20"/>
        </w:rPr>
        <w:t>y</w:t>
      </w:r>
      <w:r w:rsidRPr="00E904F1">
        <w:rPr>
          <w:rFonts w:ascii="Arial" w:hAnsi="Arial" w:cs="Arial"/>
          <w:sz w:val="20"/>
          <w:szCs w:val="20"/>
        </w:rPr>
        <w:t xml:space="preserve"> v rámci příslušných OP. </w:t>
      </w:r>
      <w:r w:rsidRPr="00E904F1">
        <w:rPr>
          <w:rFonts w:ascii="Arial" w:hAnsi="Arial" w:cs="Arial"/>
          <w:b/>
          <w:bCs/>
          <w:sz w:val="20"/>
          <w:szCs w:val="20"/>
        </w:rPr>
        <w:t>Využití integrova</w:t>
      </w:r>
      <w:r>
        <w:rPr>
          <w:rFonts w:ascii="Arial" w:hAnsi="Arial" w:cs="Arial"/>
          <w:b/>
          <w:bCs/>
          <w:sz w:val="20"/>
          <w:szCs w:val="20"/>
        </w:rPr>
        <w:t>né strategie nevylučuje pro jejího zpracovatel/gestora možnost realizovat některé projekty současně i prostřednictvím předkládání individuálních projektů.</w:t>
      </w:r>
    </w:p>
    <w:p w:rsidR="005D4BFA" w:rsidRDefault="005D4BFA">
      <w:pPr>
        <w:spacing w:after="120"/>
        <w:jc w:val="both"/>
        <w:rPr>
          <w:rFonts w:ascii="Arial" w:hAnsi="Arial" w:cs="Arial"/>
          <w:sz w:val="20"/>
          <w:szCs w:val="20"/>
        </w:rPr>
      </w:pPr>
      <w:r w:rsidRPr="00CA34CF">
        <w:rPr>
          <w:rFonts w:ascii="Arial" w:hAnsi="Arial" w:cs="Arial"/>
          <w:sz w:val="20"/>
          <w:szCs w:val="20"/>
        </w:rPr>
        <w:t>Společným znakem integrovaných přístupů v</w:t>
      </w:r>
      <w:r>
        <w:rPr>
          <w:rFonts w:ascii="Arial" w:hAnsi="Arial" w:cs="Arial"/>
          <w:sz w:val="20"/>
          <w:szCs w:val="20"/>
        </w:rPr>
        <w:t> </w:t>
      </w:r>
      <w:r w:rsidRPr="00CA34CF">
        <w:rPr>
          <w:rFonts w:ascii="Arial" w:hAnsi="Arial" w:cs="Arial"/>
          <w:sz w:val="20"/>
          <w:szCs w:val="20"/>
        </w:rPr>
        <w:t>území budou strategie rozvoje těchto území. Přestože se jednotlivé formy integrovaných řešení liší (nařízeními velmi vágně definované ITI, v</w:t>
      </w:r>
      <w:r>
        <w:rPr>
          <w:rFonts w:ascii="Arial" w:hAnsi="Arial" w:cs="Arial"/>
          <w:sz w:val="20"/>
          <w:szCs w:val="20"/>
        </w:rPr>
        <w:t> </w:t>
      </w:r>
      <w:r w:rsidRPr="00CA34CF">
        <w:rPr>
          <w:rFonts w:ascii="Arial" w:hAnsi="Arial" w:cs="Arial"/>
          <w:sz w:val="20"/>
          <w:szCs w:val="20"/>
        </w:rPr>
        <w:t>nařízeních naopak poměrně striktně upravené CLLD, národní řešení formou IPRÚ), je potřeba hledat maximum společných znaků a z</w:t>
      </w:r>
      <w:r>
        <w:rPr>
          <w:rFonts w:ascii="Arial" w:hAnsi="Arial" w:cs="Arial"/>
          <w:sz w:val="20"/>
          <w:szCs w:val="20"/>
        </w:rPr>
        <w:t> </w:t>
      </w:r>
      <w:r w:rsidRPr="00CA34CF">
        <w:rPr>
          <w:rFonts w:ascii="Arial" w:hAnsi="Arial" w:cs="Arial"/>
          <w:sz w:val="20"/>
          <w:szCs w:val="20"/>
        </w:rPr>
        <w:t xml:space="preserve">nich vytvořit pevný základ integrovaných přístupů. Odlišnosti jednotlivých </w:t>
      </w:r>
      <w:r w:rsidRPr="00CA34CF">
        <w:rPr>
          <w:rFonts w:ascii="Arial" w:hAnsi="Arial" w:cs="Arial"/>
          <w:sz w:val="20"/>
          <w:szCs w:val="20"/>
        </w:rPr>
        <w:lastRenderedPageBreak/>
        <w:t>nástrojů pak budou reflektovány v</w:t>
      </w:r>
      <w:r>
        <w:rPr>
          <w:rFonts w:ascii="Arial" w:hAnsi="Arial" w:cs="Arial"/>
          <w:sz w:val="20"/>
          <w:szCs w:val="20"/>
        </w:rPr>
        <w:t> </w:t>
      </w:r>
      <w:r w:rsidRPr="00CA34CF">
        <w:rPr>
          <w:rFonts w:ascii="Arial" w:hAnsi="Arial" w:cs="Arial"/>
          <w:sz w:val="20"/>
          <w:szCs w:val="20"/>
        </w:rPr>
        <w:t>metodikách tvorby rozvojových strategií konkrétních území. V</w:t>
      </w:r>
      <w:r>
        <w:rPr>
          <w:rFonts w:ascii="Arial" w:hAnsi="Arial" w:cs="Arial"/>
          <w:sz w:val="20"/>
          <w:szCs w:val="20"/>
        </w:rPr>
        <w:t> </w:t>
      </w:r>
      <w:r w:rsidRPr="00CA34CF">
        <w:rPr>
          <w:rFonts w:ascii="Arial" w:hAnsi="Arial" w:cs="Arial"/>
          <w:sz w:val="20"/>
          <w:szCs w:val="20"/>
        </w:rPr>
        <w:t>případě CLLD je připravován systém překlenutí odlišností současného a budoucího nastavení, zejména pak možnost implementace této metody nejen v</w:t>
      </w:r>
      <w:r>
        <w:rPr>
          <w:rFonts w:ascii="Arial" w:hAnsi="Arial" w:cs="Arial"/>
          <w:sz w:val="20"/>
          <w:szCs w:val="20"/>
        </w:rPr>
        <w:t> EZFRV</w:t>
      </w:r>
      <w:r w:rsidRPr="00CA34CF">
        <w:rPr>
          <w:rFonts w:ascii="Arial" w:hAnsi="Arial" w:cs="Arial"/>
          <w:sz w:val="20"/>
          <w:szCs w:val="20"/>
        </w:rPr>
        <w:t>, ale s</w:t>
      </w:r>
      <w:r>
        <w:rPr>
          <w:rFonts w:ascii="Arial" w:hAnsi="Arial" w:cs="Arial"/>
          <w:sz w:val="20"/>
          <w:szCs w:val="20"/>
        </w:rPr>
        <w:t> </w:t>
      </w:r>
      <w:r w:rsidRPr="00CA34CF">
        <w:rPr>
          <w:rFonts w:ascii="Arial" w:hAnsi="Arial" w:cs="Arial"/>
          <w:sz w:val="20"/>
          <w:szCs w:val="20"/>
        </w:rPr>
        <w:t>výjimkou Fondu soudržnosti i v</w:t>
      </w:r>
      <w:r>
        <w:rPr>
          <w:rFonts w:ascii="Arial" w:hAnsi="Arial" w:cs="Arial"/>
          <w:sz w:val="20"/>
          <w:szCs w:val="20"/>
        </w:rPr>
        <w:t> </w:t>
      </w:r>
      <w:r w:rsidRPr="00CA34CF">
        <w:rPr>
          <w:rFonts w:ascii="Arial" w:hAnsi="Arial" w:cs="Arial"/>
          <w:sz w:val="20"/>
          <w:szCs w:val="20"/>
        </w:rPr>
        <w:t xml:space="preserve">ostatních </w:t>
      </w:r>
      <w:r>
        <w:rPr>
          <w:rFonts w:ascii="Arial" w:hAnsi="Arial" w:cs="Arial"/>
          <w:sz w:val="20"/>
          <w:szCs w:val="20"/>
        </w:rPr>
        <w:t>f</w:t>
      </w:r>
      <w:r w:rsidRPr="00CA34CF">
        <w:rPr>
          <w:rFonts w:ascii="Arial" w:hAnsi="Arial" w:cs="Arial"/>
          <w:sz w:val="20"/>
          <w:szCs w:val="20"/>
        </w:rPr>
        <w:t>ondech</w:t>
      </w:r>
      <w:r>
        <w:rPr>
          <w:rFonts w:ascii="Arial" w:hAnsi="Arial" w:cs="Arial"/>
          <w:sz w:val="20"/>
          <w:szCs w:val="20"/>
        </w:rPr>
        <w:t xml:space="preserve"> SSR</w:t>
      </w:r>
      <w:r w:rsidRPr="00CA34CF">
        <w:rPr>
          <w:rFonts w:ascii="Arial" w:hAnsi="Arial" w:cs="Arial"/>
          <w:sz w:val="20"/>
          <w:szCs w:val="20"/>
        </w:rPr>
        <w:t xml:space="preserve">. Bude nastaven dvojstupňový systém přípravy místních akčních skupin </w:t>
      </w:r>
      <w:r>
        <w:rPr>
          <w:rFonts w:ascii="Arial" w:hAnsi="Arial" w:cs="Arial"/>
          <w:sz w:val="20"/>
          <w:szCs w:val="20"/>
        </w:rPr>
        <w:t>–</w:t>
      </w:r>
      <w:r w:rsidRPr="00CA34CF">
        <w:rPr>
          <w:rFonts w:ascii="Arial" w:hAnsi="Arial" w:cs="Arial"/>
          <w:sz w:val="20"/>
          <w:szCs w:val="20"/>
        </w:rPr>
        <w:t xml:space="preserve"> v</w:t>
      </w:r>
      <w:r>
        <w:rPr>
          <w:rFonts w:ascii="Arial" w:hAnsi="Arial" w:cs="Arial"/>
          <w:sz w:val="20"/>
          <w:szCs w:val="20"/>
        </w:rPr>
        <w:t> </w:t>
      </w:r>
      <w:r w:rsidRPr="00CA34CF">
        <w:rPr>
          <w:rFonts w:ascii="Arial" w:hAnsi="Arial" w:cs="Arial"/>
          <w:sz w:val="20"/>
          <w:szCs w:val="20"/>
        </w:rPr>
        <w:t>prvním kroku bude posuzována schopnost samotné existence (certifikace v</w:t>
      </w:r>
      <w:r>
        <w:rPr>
          <w:rFonts w:ascii="Arial" w:hAnsi="Arial" w:cs="Arial"/>
          <w:sz w:val="20"/>
          <w:szCs w:val="20"/>
        </w:rPr>
        <w:t> </w:t>
      </w:r>
      <w:r w:rsidRPr="00CA34CF">
        <w:rPr>
          <w:rFonts w:ascii="Arial" w:hAnsi="Arial" w:cs="Arial"/>
          <w:sz w:val="20"/>
          <w:szCs w:val="20"/>
        </w:rPr>
        <w:t xml:space="preserve">gesci </w:t>
      </w:r>
      <w:proofErr w:type="spellStart"/>
      <w:r w:rsidRPr="00CA34CF">
        <w:rPr>
          <w:rFonts w:ascii="Arial" w:hAnsi="Arial" w:cs="Arial"/>
          <w:sz w:val="20"/>
          <w:szCs w:val="20"/>
        </w:rPr>
        <w:t>MZe</w:t>
      </w:r>
      <w:proofErr w:type="spellEnd"/>
      <w:r w:rsidRPr="00CA34CF">
        <w:rPr>
          <w:rFonts w:ascii="Arial" w:hAnsi="Arial" w:cs="Arial"/>
          <w:sz w:val="20"/>
          <w:szCs w:val="20"/>
        </w:rPr>
        <w:t>) a pouze certifikované MAS budou vyzvány k</w:t>
      </w:r>
      <w:r>
        <w:rPr>
          <w:rFonts w:ascii="Arial" w:hAnsi="Arial" w:cs="Arial"/>
          <w:sz w:val="20"/>
          <w:szCs w:val="20"/>
        </w:rPr>
        <w:t> </w:t>
      </w:r>
      <w:r w:rsidRPr="00CA34CF">
        <w:rPr>
          <w:rFonts w:ascii="Arial" w:hAnsi="Arial" w:cs="Arial"/>
          <w:sz w:val="20"/>
          <w:szCs w:val="20"/>
        </w:rPr>
        <w:t>předložení své rozvojové strategie pro podporu z</w:t>
      </w:r>
      <w:r>
        <w:rPr>
          <w:rFonts w:ascii="Arial" w:hAnsi="Arial" w:cs="Arial"/>
          <w:sz w:val="20"/>
          <w:szCs w:val="20"/>
        </w:rPr>
        <w:t> </w:t>
      </w:r>
      <w:r w:rsidRPr="00CA34CF">
        <w:rPr>
          <w:rFonts w:ascii="Arial" w:hAnsi="Arial" w:cs="Arial"/>
          <w:sz w:val="20"/>
          <w:szCs w:val="20"/>
        </w:rPr>
        <w:t>fondů</w:t>
      </w:r>
      <w:r>
        <w:rPr>
          <w:rFonts w:ascii="Arial" w:hAnsi="Arial" w:cs="Arial"/>
          <w:sz w:val="20"/>
          <w:szCs w:val="20"/>
        </w:rPr>
        <w:t xml:space="preserve"> SSR</w:t>
      </w:r>
      <w:r w:rsidRPr="00CA34CF">
        <w:rPr>
          <w:rFonts w:ascii="Arial" w:hAnsi="Arial" w:cs="Arial"/>
          <w:sz w:val="20"/>
          <w:szCs w:val="20"/>
        </w:rPr>
        <w:t>. Rozvojová strategie bude posuzována skupinou řídicích orgánů a případně i dalšími institucemi důležitými pro rozvoj předmětného území, a to pod celkovým vedením MMR. Pouze schválené strategie budou moci vyjednávat s</w:t>
      </w:r>
      <w:r>
        <w:rPr>
          <w:rFonts w:ascii="Arial" w:hAnsi="Arial" w:cs="Arial"/>
          <w:sz w:val="20"/>
          <w:szCs w:val="20"/>
        </w:rPr>
        <w:t> </w:t>
      </w:r>
      <w:r w:rsidRPr="00CA34CF">
        <w:rPr>
          <w:rFonts w:ascii="Arial" w:hAnsi="Arial" w:cs="Arial"/>
          <w:sz w:val="20"/>
          <w:szCs w:val="20"/>
        </w:rPr>
        <w:t>řídicími orgány jako poskytovateli podpory o její konkrétní výši, formě a dalších parametrech. Výsledkem bude dvojstranná písemná dohoda podepsaná nositelem strategie MAS a jedním či více řídicími orgány programů. V</w:t>
      </w:r>
      <w:r>
        <w:rPr>
          <w:rFonts w:ascii="Arial" w:hAnsi="Arial" w:cs="Arial"/>
          <w:sz w:val="20"/>
          <w:szCs w:val="20"/>
        </w:rPr>
        <w:t> </w:t>
      </w:r>
      <w:r w:rsidRPr="00CA34CF">
        <w:rPr>
          <w:rFonts w:ascii="Arial" w:hAnsi="Arial" w:cs="Arial"/>
          <w:sz w:val="20"/>
          <w:szCs w:val="20"/>
        </w:rPr>
        <w:t>ní se nositel strategie zaváže ke svým povinnostem vůči řídicímu orgánu, zejména pak k</w:t>
      </w:r>
      <w:r>
        <w:rPr>
          <w:rFonts w:ascii="Arial" w:hAnsi="Arial" w:cs="Arial"/>
          <w:sz w:val="20"/>
          <w:szCs w:val="20"/>
        </w:rPr>
        <w:t> </w:t>
      </w:r>
      <w:r w:rsidRPr="00CA34CF">
        <w:rPr>
          <w:rFonts w:ascii="Arial" w:hAnsi="Arial" w:cs="Arial"/>
          <w:sz w:val="20"/>
          <w:szCs w:val="20"/>
        </w:rPr>
        <w:t>zajištění dohodnuté výše u zvolených indikátorů popisujících hlavní parametry strategie.</w:t>
      </w:r>
    </w:p>
    <w:p w:rsidR="005D4BFA" w:rsidRDefault="005D4BFA">
      <w:pPr>
        <w:spacing w:after="120"/>
        <w:jc w:val="both"/>
        <w:rPr>
          <w:rFonts w:ascii="Arial" w:hAnsi="Arial" w:cs="Arial"/>
          <w:sz w:val="20"/>
          <w:szCs w:val="20"/>
        </w:rPr>
      </w:pPr>
      <w:r w:rsidRPr="00CA34CF">
        <w:rPr>
          <w:rFonts w:ascii="Arial" w:hAnsi="Arial" w:cs="Arial"/>
          <w:sz w:val="20"/>
          <w:szCs w:val="20"/>
        </w:rPr>
        <w:t>Obdobný způsob vypracování i finanční saturace realizace strategie s</w:t>
      </w:r>
      <w:r>
        <w:rPr>
          <w:rFonts w:ascii="Arial" w:hAnsi="Arial" w:cs="Arial"/>
          <w:sz w:val="20"/>
          <w:szCs w:val="20"/>
        </w:rPr>
        <w:t> </w:t>
      </w:r>
      <w:r w:rsidRPr="00CA34CF">
        <w:rPr>
          <w:rFonts w:ascii="Arial" w:hAnsi="Arial" w:cs="Arial"/>
          <w:sz w:val="20"/>
          <w:szCs w:val="20"/>
        </w:rPr>
        <w:t>jistými úpravami bude aplikován i pro další druhy integrovaných přístupů. Je žádoucí, aby vypracování strategie nepředstavovalo pro jejího nositele extrémní zátěž</w:t>
      </w:r>
      <w:r>
        <w:rPr>
          <w:rFonts w:ascii="Arial" w:hAnsi="Arial" w:cs="Arial"/>
          <w:sz w:val="20"/>
          <w:szCs w:val="20"/>
        </w:rPr>
        <w:t>,</w:t>
      </w:r>
      <w:r w:rsidRPr="00CA34CF">
        <w:rPr>
          <w:rFonts w:ascii="Arial" w:hAnsi="Arial" w:cs="Arial"/>
          <w:sz w:val="20"/>
          <w:szCs w:val="20"/>
        </w:rPr>
        <w:t xml:space="preserve"> a bude vhodné jistým způsobem kompenzovat výdaje na zpracování a zejména řízení strategií.</w:t>
      </w:r>
    </w:p>
    <w:p w:rsidR="005D4BFA" w:rsidRDefault="005D4BFA">
      <w:pPr>
        <w:spacing w:after="120"/>
        <w:jc w:val="both"/>
        <w:rPr>
          <w:rFonts w:ascii="Arial" w:hAnsi="Arial" w:cs="Arial"/>
          <w:sz w:val="20"/>
          <w:szCs w:val="20"/>
        </w:rPr>
      </w:pPr>
      <w:r w:rsidRPr="00CA34CF">
        <w:rPr>
          <w:rFonts w:ascii="Arial" w:hAnsi="Arial" w:cs="Arial"/>
          <w:sz w:val="20"/>
          <w:szCs w:val="20"/>
        </w:rPr>
        <w:t>Pro finanční podporu nositelů strategií se výhledově nabízejí v</w:t>
      </w:r>
      <w:r>
        <w:rPr>
          <w:rFonts w:ascii="Arial" w:hAnsi="Arial" w:cs="Arial"/>
          <w:sz w:val="20"/>
          <w:szCs w:val="20"/>
        </w:rPr>
        <w:t> </w:t>
      </w:r>
      <w:r w:rsidRPr="00CA34CF">
        <w:rPr>
          <w:rFonts w:ascii="Arial" w:hAnsi="Arial" w:cs="Arial"/>
          <w:sz w:val="20"/>
          <w:szCs w:val="20"/>
        </w:rPr>
        <w:t>podstatě tři zdroje. V</w:t>
      </w:r>
      <w:r>
        <w:rPr>
          <w:rFonts w:ascii="Arial" w:hAnsi="Arial" w:cs="Arial"/>
          <w:sz w:val="20"/>
          <w:szCs w:val="20"/>
        </w:rPr>
        <w:t> </w:t>
      </w:r>
      <w:r w:rsidRPr="00CA34CF">
        <w:rPr>
          <w:rFonts w:ascii="Arial" w:hAnsi="Arial" w:cs="Arial"/>
          <w:sz w:val="20"/>
          <w:szCs w:val="20"/>
        </w:rPr>
        <w:t>prvním případě by mohl být rozšířen stávající systém uplatňovaný u MAS, tedy umožnění financování provozu a dalších aktivit stanoveným podílem z</w:t>
      </w:r>
      <w:r>
        <w:rPr>
          <w:rFonts w:ascii="Arial" w:hAnsi="Arial" w:cs="Arial"/>
          <w:sz w:val="20"/>
          <w:szCs w:val="20"/>
        </w:rPr>
        <w:t> </w:t>
      </w:r>
      <w:r w:rsidRPr="00CA34CF">
        <w:rPr>
          <w:rFonts w:ascii="Arial" w:hAnsi="Arial" w:cs="Arial"/>
          <w:sz w:val="20"/>
          <w:szCs w:val="20"/>
        </w:rPr>
        <w:t>projektů přispívajících k</w:t>
      </w:r>
      <w:r>
        <w:rPr>
          <w:rFonts w:ascii="Arial" w:hAnsi="Arial" w:cs="Arial"/>
          <w:sz w:val="20"/>
          <w:szCs w:val="20"/>
        </w:rPr>
        <w:t> </w:t>
      </w:r>
      <w:r w:rsidRPr="00CA34CF">
        <w:rPr>
          <w:rFonts w:ascii="Arial" w:hAnsi="Arial" w:cs="Arial"/>
          <w:sz w:val="20"/>
          <w:szCs w:val="20"/>
        </w:rPr>
        <w:t>naplnění strategií. Variantou je využití technické pomoci řídicího orgánu, jenž bude hlavním přispěvatelem k</w:t>
      </w:r>
      <w:r>
        <w:rPr>
          <w:rFonts w:ascii="Arial" w:hAnsi="Arial" w:cs="Arial"/>
          <w:sz w:val="20"/>
          <w:szCs w:val="20"/>
        </w:rPr>
        <w:t> </w:t>
      </w:r>
      <w:r w:rsidRPr="00CA34CF">
        <w:rPr>
          <w:rFonts w:ascii="Arial" w:hAnsi="Arial" w:cs="Arial"/>
          <w:sz w:val="20"/>
          <w:szCs w:val="20"/>
        </w:rPr>
        <w:t xml:space="preserve">naplňování strategie, tedy nejčastěji </w:t>
      </w:r>
      <w:proofErr w:type="spellStart"/>
      <w:r w:rsidRPr="00CA34CF">
        <w:rPr>
          <w:rFonts w:ascii="Arial" w:hAnsi="Arial" w:cs="Arial"/>
          <w:sz w:val="20"/>
          <w:szCs w:val="20"/>
        </w:rPr>
        <w:t>IROPu</w:t>
      </w:r>
      <w:proofErr w:type="spellEnd"/>
      <w:r w:rsidRPr="00CA34CF">
        <w:rPr>
          <w:rFonts w:ascii="Arial" w:hAnsi="Arial" w:cs="Arial"/>
          <w:sz w:val="20"/>
          <w:szCs w:val="20"/>
        </w:rPr>
        <w:t>. Třetí možností je saturace nositelů strategií ze zdrojů OP Technická pomoc. Všechny varianty mají své pozitivní i negativní stránky</w:t>
      </w:r>
      <w:r w:rsidRPr="00E904F1">
        <w:rPr>
          <w:rFonts w:ascii="Arial" w:hAnsi="Arial" w:cs="Arial"/>
          <w:sz w:val="20"/>
          <w:szCs w:val="20"/>
        </w:rPr>
        <w:t>.</w:t>
      </w:r>
    </w:p>
    <w:p w:rsidR="005D4BFA" w:rsidRDefault="005D4BFA">
      <w:pPr>
        <w:spacing w:after="120"/>
        <w:jc w:val="both"/>
        <w:rPr>
          <w:rFonts w:ascii="Arial" w:hAnsi="Arial" w:cs="Arial"/>
          <w:b/>
          <w:bCs/>
          <w:sz w:val="20"/>
          <w:szCs w:val="20"/>
        </w:rPr>
      </w:pPr>
      <w:r w:rsidRPr="00CA34CF">
        <w:rPr>
          <w:rFonts w:ascii="Arial" w:hAnsi="Arial" w:cs="Arial"/>
          <w:b/>
          <w:bCs/>
          <w:sz w:val="20"/>
          <w:szCs w:val="20"/>
        </w:rPr>
        <w:t>Role MMR při implementaci územní dimenze</w:t>
      </w:r>
    </w:p>
    <w:p w:rsidR="005D4BFA" w:rsidRDefault="005D4BFA">
      <w:pPr>
        <w:spacing w:after="120"/>
        <w:jc w:val="both"/>
        <w:rPr>
          <w:rFonts w:ascii="Arial" w:hAnsi="Arial" w:cs="Arial"/>
          <w:sz w:val="20"/>
          <w:szCs w:val="20"/>
        </w:rPr>
      </w:pPr>
      <w:r w:rsidRPr="00CA34CF">
        <w:rPr>
          <w:rFonts w:ascii="Arial" w:hAnsi="Arial" w:cs="Arial"/>
          <w:sz w:val="20"/>
          <w:szCs w:val="20"/>
        </w:rPr>
        <w:t>Při uplatnění územní dimenze v</w:t>
      </w:r>
      <w:r>
        <w:rPr>
          <w:rFonts w:ascii="Arial" w:hAnsi="Arial" w:cs="Arial"/>
          <w:sz w:val="20"/>
          <w:szCs w:val="20"/>
        </w:rPr>
        <w:t> </w:t>
      </w:r>
      <w:r w:rsidRPr="00CA34CF">
        <w:rPr>
          <w:rFonts w:ascii="Arial" w:hAnsi="Arial" w:cs="Arial"/>
          <w:sz w:val="20"/>
          <w:szCs w:val="20"/>
        </w:rPr>
        <w:t>implementaci bude hrát stěžejní roli také MMR. Krom celkové řídicí a koordinační úlohy vedoucí k</w:t>
      </w:r>
      <w:r>
        <w:rPr>
          <w:rFonts w:ascii="Arial" w:hAnsi="Arial" w:cs="Arial"/>
          <w:sz w:val="20"/>
          <w:szCs w:val="20"/>
        </w:rPr>
        <w:t> </w:t>
      </w:r>
      <w:r w:rsidRPr="00CA34CF">
        <w:rPr>
          <w:rFonts w:ascii="Arial" w:hAnsi="Arial" w:cs="Arial"/>
          <w:sz w:val="20"/>
          <w:szCs w:val="20"/>
        </w:rPr>
        <w:t>naplňování cílů Dohody o partnerství bude patřičně zohledňovat i územní dimenzi intervencí, zejména pak naplňování územních strategií. Již byla zmíněna metodická role při přípravě programů i konkrétních územních strategií, nicméně MMR bude hrát stěžejní roli i v</w:t>
      </w:r>
      <w:r>
        <w:rPr>
          <w:rFonts w:ascii="Arial" w:hAnsi="Arial" w:cs="Arial"/>
          <w:sz w:val="20"/>
          <w:szCs w:val="20"/>
        </w:rPr>
        <w:t> </w:t>
      </w:r>
      <w:r w:rsidRPr="00CA34CF">
        <w:rPr>
          <w:rFonts w:ascii="Arial" w:hAnsi="Arial" w:cs="Arial"/>
          <w:sz w:val="20"/>
          <w:szCs w:val="20"/>
        </w:rPr>
        <w:t>průběžném řízení fungování strategií. MMR bude k</w:t>
      </w:r>
      <w:r>
        <w:rPr>
          <w:rFonts w:ascii="Arial" w:hAnsi="Arial" w:cs="Arial"/>
          <w:sz w:val="20"/>
          <w:szCs w:val="20"/>
        </w:rPr>
        <w:t> </w:t>
      </w:r>
      <w:r w:rsidRPr="00CA34CF">
        <w:rPr>
          <w:rFonts w:ascii="Arial" w:hAnsi="Arial" w:cs="Arial"/>
          <w:sz w:val="20"/>
          <w:szCs w:val="20"/>
        </w:rPr>
        <w:t>tomuto účelu využívat monitorovacího systému, který bude poskytovat požadované informace o území i integrovaných přístupech. Systém bude založen na intenzivní vzájemné komunikaci mezi MMR a řídicími orgány programů.</w:t>
      </w:r>
    </w:p>
    <w:p w:rsidR="005D4BFA" w:rsidRDefault="005D4BFA">
      <w:pPr>
        <w:spacing w:after="120"/>
        <w:jc w:val="both"/>
        <w:rPr>
          <w:rFonts w:ascii="Arial" w:hAnsi="Arial" w:cs="Arial"/>
          <w:sz w:val="20"/>
          <w:szCs w:val="20"/>
        </w:rPr>
      </w:pPr>
      <w:r w:rsidRPr="00CA34CF">
        <w:rPr>
          <w:rFonts w:ascii="Arial" w:hAnsi="Arial" w:cs="Arial"/>
          <w:sz w:val="20"/>
          <w:szCs w:val="20"/>
        </w:rPr>
        <w:t>Níže j</w:t>
      </w:r>
      <w:r>
        <w:rPr>
          <w:rFonts w:ascii="Arial" w:hAnsi="Arial" w:cs="Arial"/>
          <w:sz w:val="20"/>
          <w:szCs w:val="20"/>
        </w:rPr>
        <w:t>sou</w:t>
      </w:r>
      <w:r w:rsidRPr="00CA34CF">
        <w:rPr>
          <w:rFonts w:ascii="Arial" w:hAnsi="Arial" w:cs="Arial"/>
          <w:sz w:val="20"/>
          <w:szCs w:val="20"/>
        </w:rPr>
        <w:t xml:space="preserve"> uveden</w:t>
      </w:r>
      <w:r>
        <w:rPr>
          <w:rFonts w:ascii="Arial" w:hAnsi="Arial" w:cs="Arial"/>
          <w:sz w:val="20"/>
          <w:szCs w:val="20"/>
        </w:rPr>
        <w:t>a</w:t>
      </w:r>
      <w:r w:rsidR="00AE4F6C">
        <w:rPr>
          <w:rFonts w:ascii="Arial" w:hAnsi="Arial" w:cs="Arial"/>
          <w:sz w:val="20"/>
          <w:szCs w:val="20"/>
        </w:rPr>
        <w:t xml:space="preserve"> </w:t>
      </w:r>
      <w:r w:rsidRPr="00E904F1">
        <w:rPr>
          <w:rFonts w:ascii="Arial" w:hAnsi="Arial" w:cs="Arial"/>
          <w:sz w:val="20"/>
          <w:szCs w:val="20"/>
        </w:rPr>
        <w:t>a popsán</w:t>
      </w:r>
      <w:r>
        <w:rPr>
          <w:rFonts w:ascii="Arial" w:hAnsi="Arial" w:cs="Arial"/>
          <w:sz w:val="20"/>
          <w:szCs w:val="20"/>
        </w:rPr>
        <w:t>a</w:t>
      </w:r>
      <w:r w:rsidR="00AE4F6C">
        <w:rPr>
          <w:rFonts w:ascii="Arial" w:hAnsi="Arial" w:cs="Arial"/>
          <w:sz w:val="20"/>
          <w:szCs w:val="20"/>
        </w:rPr>
        <w:t xml:space="preserve"> </w:t>
      </w:r>
      <w:r>
        <w:rPr>
          <w:rFonts w:ascii="Arial" w:hAnsi="Arial" w:cs="Arial"/>
          <w:sz w:val="20"/>
          <w:szCs w:val="20"/>
        </w:rPr>
        <w:t xml:space="preserve">dvě resp. tři </w:t>
      </w:r>
      <w:r w:rsidRPr="00CA34CF">
        <w:rPr>
          <w:rFonts w:ascii="Arial" w:hAnsi="Arial" w:cs="Arial"/>
          <w:sz w:val="20"/>
          <w:szCs w:val="20"/>
        </w:rPr>
        <w:t>grafick</w:t>
      </w:r>
      <w:r>
        <w:rPr>
          <w:rFonts w:ascii="Arial" w:hAnsi="Arial" w:cs="Arial"/>
          <w:sz w:val="20"/>
          <w:szCs w:val="20"/>
        </w:rPr>
        <w:t>á</w:t>
      </w:r>
      <w:r w:rsidRPr="00CA34CF">
        <w:rPr>
          <w:rFonts w:ascii="Arial" w:hAnsi="Arial" w:cs="Arial"/>
          <w:sz w:val="20"/>
          <w:szCs w:val="20"/>
        </w:rPr>
        <w:t xml:space="preserve"> znázornění uplatnění principu hokejky při implementaci programu. Schéma vychází z</w:t>
      </w:r>
      <w:r>
        <w:rPr>
          <w:rFonts w:ascii="Arial" w:hAnsi="Arial" w:cs="Arial"/>
          <w:sz w:val="20"/>
          <w:szCs w:val="20"/>
        </w:rPr>
        <w:t> </w:t>
      </w:r>
      <w:r w:rsidRPr="00CA34CF">
        <w:rPr>
          <w:rFonts w:ascii="Arial" w:hAnsi="Arial" w:cs="Arial"/>
          <w:sz w:val="20"/>
          <w:szCs w:val="20"/>
        </w:rPr>
        <w:t>požadavků nařízení a osnov programů. Do schématu je pro zjednodušení promítnut princip členění intervencí pro různé územní úrovně pouze na národní a územně/regionální bez specifikace „národního zájmu v</w:t>
      </w:r>
      <w:r>
        <w:rPr>
          <w:rFonts w:ascii="Arial" w:hAnsi="Arial" w:cs="Arial"/>
          <w:sz w:val="20"/>
          <w:szCs w:val="20"/>
        </w:rPr>
        <w:t> </w:t>
      </w:r>
      <w:r w:rsidRPr="00CA34CF">
        <w:rPr>
          <w:rFonts w:ascii="Arial" w:hAnsi="Arial" w:cs="Arial"/>
          <w:sz w:val="20"/>
          <w:szCs w:val="20"/>
        </w:rPr>
        <w:t>regionech“. Velikosti jednotlivých boxů jsou pouze ilustrativní.</w:t>
      </w:r>
    </w:p>
    <w:p w:rsidR="005D4BFA" w:rsidRDefault="005D4BFA">
      <w:pPr>
        <w:spacing w:after="120"/>
        <w:jc w:val="both"/>
        <w:rPr>
          <w:rFonts w:ascii="Arial" w:hAnsi="Arial" w:cs="Arial"/>
          <w:b/>
          <w:bCs/>
          <w:sz w:val="20"/>
          <w:szCs w:val="20"/>
        </w:rPr>
      </w:pPr>
      <w:r w:rsidRPr="00CA34CF">
        <w:rPr>
          <w:rFonts w:ascii="Arial" w:hAnsi="Arial" w:cs="Arial"/>
          <w:b/>
          <w:bCs/>
          <w:sz w:val="20"/>
          <w:szCs w:val="20"/>
        </w:rPr>
        <w:t>Princip „hokejky“ uplatněný na úrovni 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142"/>
      </w:tblGrid>
      <w:tr w:rsidR="005D4BFA" w:rsidRPr="00B87BEB">
        <w:tc>
          <w:tcPr>
            <w:tcW w:w="5070" w:type="dxa"/>
          </w:tcPr>
          <w:p w:rsidR="005D4BFA" w:rsidRPr="00B87BEB" w:rsidRDefault="005D4BFA">
            <w:pPr>
              <w:spacing w:after="120" w:line="240" w:lineRule="auto"/>
              <w:jc w:val="both"/>
              <w:rPr>
                <w:rFonts w:ascii="Arial" w:hAnsi="Arial" w:cs="Arial"/>
                <w:b/>
                <w:bCs/>
                <w:sz w:val="18"/>
                <w:szCs w:val="18"/>
                <w:lang w:eastAsia="en-US"/>
              </w:rPr>
            </w:pPr>
            <w:r w:rsidRPr="00B87BEB">
              <w:rPr>
                <w:rFonts w:ascii="Arial" w:hAnsi="Arial" w:cs="Arial"/>
                <w:b/>
                <w:bCs/>
                <w:sz w:val="18"/>
                <w:szCs w:val="18"/>
                <w:lang w:eastAsia="en-US"/>
              </w:rPr>
              <w:t>Územní úroveň</w:t>
            </w:r>
          </w:p>
        </w:tc>
        <w:tc>
          <w:tcPr>
            <w:tcW w:w="4142" w:type="dxa"/>
          </w:tcPr>
          <w:p w:rsidR="005D4BFA" w:rsidRPr="00B87BEB" w:rsidRDefault="005D4BFA">
            <w:pPr>
              <w:spacing w:after="120" w:line="240" w:lineRule="auto"/>
              <w:jc w:val="both"/>
              <w:rPr>
                <w:rFonts w:ascii="Arial" w:hAnsi="Arial" w:cs="Arial"/>
                <w:b/>
                <w:bCs/>
                <w:sz w:val="18"/>
                <w:szCs w:val="18"/>
                <w:lang w:eastAsia="en-US"/>
              </w:rPr>
            </w:pPr>
            <w:r w:rsidRPr="00B87BEB">
              <w:rPr>
                <w:rFonts w:ascii="Arial" w:hAnsi="Arial" w:cs="Arial"/>
                <w:b/>
                <w:bCs/>
                <w:sz w:val="18"/>
                <w:szCs w:val="18"/>
                <w:lang w:eastAsia="en-US"/>
              </w:rPr>
              <w:t>Požadavek nařízení na zapracování do dokumentů (</w:t>
            </w:r>
            <w:proofErr w:type="spellStart"/>
            <w:r w:rsidRPr="00B87BEB">
              <w:rPr>
                <w:rFonts w:ascii="Arial" w:hAnsi="Arial" w:cs="Arial"/>
                <w:b/>
                <w:bCs/>
                <w:sz w:val="18"/>
                <w:szCs w:val="18"/>
                <w:lang w:eastAsia="en-US"/>
              </w:rPr>
              <w:t>DoP</w:t>
            </w:r>
            <w:proofErr w:type="spellEnd"/>
            <w:r w:rsidRPr="00B87BEB">
              <w:rPr>
                <w:rFonts w:ascii="Arial" w:hAnsi="Arial" w:cs="Arial"/>
                <w:b/>
                <w:bCs/>
                <w:sz w:val="18"/>
                <w:szCs w:val="18"/>
                <w:lang w:eastAsia="en-US"/>
              </w:rPr>
              <w:t xml:space="preserve"> a OP)</w:t>
            </w:r>
          </w:p>
        </w:tc>
      </w:tr>
      <w:tr w:rsidR="005D4BFA" w:rsidRPr="00B87BEB">
        <w:tc>
          <w:tcPr>
            <w:tcW w:w="5070" w:type="dxa"/>
            <w:shd w:val="clear" w:color="auto" w:fill="FF0000"/>
          </w:tcPr>
          <w:p w:rsidR="005D4BFA" w:rsidRPr="00B87BEB" w:rsidRDefault="005D4BFA">
            <w:pPr>
              <w:spacing w:after="120" w:line="240" w:lineRule="auto"/>
              <w:jc w:val="both"/>
              <w:rPr>
                <w:rFonts w:ascii="Arial" w:hAnsi="Arial" w:cs="Arial"/>
                <w:sz w:val="18"/>
                <w:szCs w:val="18"/>
                <w:lang w:eastAsia="en-US"/>
              </w:rPr>
            </w:pPr>
            <w:r w:rsidRPr="00B87BEB">
              <w:rPr>
                <w:rFonts w:ascii="Arial" w:hAnsi="Arial" w:cs="Arial"/>
                <w:sz w:val="18"/>
                <w:szCs w:val="18"/>
                <w:lang w:eastAsia="en-US"/>
              </w:rPr>
              <w:t>Národní</w:t>
            </w:r>
          </w:p>
        </w:tc>
        <w:tc>
          <w:tcPr>
            <w:tcW w:w="4142" w:type="dxa"/>
          </w:tcPr>
          <w:p w:rsidR="005D4BFA" w:rsidRPr="00B87BEB" w:rsidRDefault="005D4BFA">
            <w:pPr>
              <w:spacing w:after="120" w:line="240" w:lineRule="auto"/>
              <w:jc w:val="both"/>
              <w:rPr>
                <w:rFonts w:ascii="Arial" w:hAnsi="Arial" w:cs="Arial"/>
                <w:sz w:val="18"/>
                <w:szCs w:val="18"/>
                <w:lang w:eastAsia="en-US"/>
              </w:rPr>
            </w:pPr>
            <w:r w:rsidRPr="00B87BEB">
              <w:rPr>
                <w:rFonts w:ascii="Arial" w:hAnsi="Arial" w:cs="Arial"/>
                <w:sz w:val="18"/>
                <w:szCs w:val="18"/>
                <w:lang w:eastAsia="en-US"/>
              </w:rPr>
              <w:t>NE</w:t>
            </w:r>
          </w:p>
        </w:tc>
      </w:tr>
      <w:tr w:rsidR="005D4BFA" w:rsidRPr="00B87BEB">
        <w:tc>
          <w:tcPr>
            <w:tcW w:w="5070" w:type="dxa"/>
            <w:shd w:val="clear" w:color="auto" w:fill="548DD4"/>
          </w:tcPr>
          <w:p w:rsidR="005D4BFA" w:rsidRPr="00B87BEB" w:rsidRDefault="005D4BFA">
            <w:pPr>
              <w:spacing w:after="120" w:line="240" w:lineRule="auto"/>
              <w:jc w:val="both"/>
              <w:rPr>
                <w:rFonts w:ascii="Arial" w:hAnsi="Arial" w:cs="Arial"/>
                <w:sz w:val="18"/>
                <w:szCs w:val="18"/>
                <w:lang w:eastAsia="en-US"/>
              </w:rPr>
            </w:pPr>
            <w:r w:rsidRPr="00B87BEB">
              <w:rPr>
                <w:rFonts w:ascii="Arial" w:hAnsi="Arial" w:cs="Arial"/>
                <w:sz w:val="18"/>
                <w:szCs w:val="18"/>
                <w:lang w:eastAsia="en-US"/>
              </w:rPr>
              <w:t>Územní/regionální</w:t>
            </w:r>
          </w:p>
        </w:tc>
        <w:tc>
          <w:tcPr>
            <w:tcW w:w="4142" w:type="dxa"/>
          </w:tcPr>
          <w:p w:rsidR="005D4BFA" w:rsidRPr="00B87BEB" w:rsidRDefault="005D4BFA">
            <w:pPr>
              <w:spacing w:after="120" w:line="240" w:lineRule="auto"/>
              <w:jc w:val="both"/>
              <w:rPr>
                <w:rFonts w:ascii="Arial" w:hAnsi="Arial" w:cs="Arial"/>
                <w:sz w:val="18"/>
                <w:szCs w:val="18"/>
                <w:lang w:eastAsia="en-US"/>
              </w:rPr>
            </w:pPr>
            <w:r w:rsidRPr="00B87BEB">
              <w:rPr>
                <w:rFonts w:ascii="Arial" w:hAnsi="Arial" w:cs="Arial"/>
                <w:sz w:val="18"/>
                <w:szCs w:val="18"/>
                <w:lang w:eastAsia="en-US"/>
              </w:rPr>
              <w:t>NE</w:t>
            </w:r>
          </w:p>
        </w:tc>
      </w:tr>
      <w:tr w:rsidR="005D4BFA" w:rsidRPr="00B87BEB">
        <w:tc>
          <w:tcPr>
            <w:tcW w:w="5070" w:type="dxa"/>
          </w:tcPr>
          <w:p w:rsidR="005D4BFA" w:rsidRPr="00B87BEB" w:rsidRDefault="005D4BFA" w:rsidP="001F03D8">
            <w:pPr>
              <w:pStyle w:val="Odstavecseseznamem"/>
              <w:numPr>
                <w:ilvl w:val="0"/>
                <w:numId w:val="13"/>
              </w:numPr>
              <w:spacing w:after="120" w:line="240" w:lineRule="auto"/>
              <w:jc w:val="both"/>
              <w:rPr>
                <w:rFonts w:ascii="Arial" w:hAnsi="Arial" w:cs="Arial"/>
                <w:sz w:val="18"/>
                <w:szCs w:val="18"/>
                <w:lang w:eastAsia="en-US"/>
              </w:rPr>
            </w:pPr>
            <w:r w:rsidRPr="00B87BEB">
              <w:rPr>
                <w:rFonts w:ascii="Arial" w:hAnsi="Arial" w:cs="Arial"/>
                <w:sz w:val="18"/>
                <w:szCs w:val="18"/>
                <w:lang w:eastAsia="en-US"/>
              </w:rPr>
              <w:t>Z toho integrovaná řešení</w:t>
            </w:r>
          </w:p>
        </w:tc>
        <w:tc>
          <w:tcPr>
            <w:tcW w:w="4142" w:type="dxa"/>
          </w:tcPr>
          <w:p w:rsidR="005D4BFA" w:rsidRPr="00B87BEB" w:rsidRDefault="005D4BFA">
            <w:pPr>
              <w:spacing w:after="120" w:line="240" w:lineRule="auto"/>
              <w:jc w:val="both"/>
              <w:rPr>
                <w:rFonts w:ascii="Arial" w:hAnsi="Arial" w:cs="Arial"/>
                <w:sz w:val="18"/>
                <w:szCs w:val="18"/>
                <w:lang w:eastAsia="en-US"/>
              </w:rPr>
            </w:pPr>
          </w:p>
        </w:tc>
      </w:tr>
      <w:tr w:rsidR="005D4BFA" w:rsidRPr="00B87BEB">
        <w:tc>
          <w:tcPr>
            <w:tcW w:w="5070" w:type="dxa"/>
          </w:tcPr>
          <w:p w:rsidR="005D4BFA" w:rsidRPr="00B87BEB" w:rsidRDefault="005D4BFA">
            <w:pPr>
              <w:spacing w:after="120" w:line="240" w:lineRule="auto"/>
              <w:jc w:val="both"/>
              <w:rPr>
                <w:rFonts w:ascii="Arial" w:hAnsi="Arial" w:cs="Arial"/>
                <w:sz w:val="18"/>
                <w:szCs w:val="18"/>
                <w:lang w:eastAsia="en-US"/>
              </w:rPr>
            </w:pPr>
            <w:r w:rsidRPr="00B87BEB">
              <w:rPr>
                <w:rFonts w:ascii="Arial" w:hAnsi="Arial" w:cs="Arial"/>
                <w:sz w:val="18"/>
                <w:szCs w:val="18"/>
                <w:lang w:eastAsia="en-US"/>
              </w:rPr>
              <w:t>ITI</w:t>
            </w:r>
          </w:p>
        </w:tc>
        <w:tc>
          <w:tcPr>
            <w:tcW w:w="4142" w:type="dxa"/>
          </w:tcPr>
          <w:p w:rsidR="005D4BFA" w:rsidRPr="00B87BEB" w:rsidRDefault="005D4BFA">
            <w:pPr>
              <w:spacing w:after="120" w:line="240" w:lineRule="auto"/>
              <w:jc w:val="both"/>
              <w:rPr>
                <w:rFonts w:ascii="Arial" w:hAnsi="Arial" w:cs="Arial"/>
                <w:sz w:val="18"/>
                <w:szCs w:val="18"/>
                <w:lang w:eastAsia="en-US"/>
              </w:rPr>
            </w:pPr>
            <w:r w:rsidRPr="00B87BEB">
              <w:rPr>
                <w:rFonts w:ascii="Arial" w:hAnsi="Arial" w:cs="Arial"/>
                <w:sz w:val="18"/>
                <w:szCs w:val="18"/>
                <w:lang w:eastAsia="en-US"/>
              </w:rPr>
              <w:t>ANO</w:t>
            </w:r>
          </w:p>
        </w:tc>
      </w:tr>
      <w:tr w:rsidR="005D4BFA" w:rsidRPr="00B87BEB">
        <w:tc>
          <w:tcPr>
            <w:tcW w:w="5070" w:type="dxa"/>
          </w:tcPr>
          <w:p w:rsidR="005D4BFA" w:rsidRPr="00B87BEB" w:rsidRDefault="005D4BFA">
            <w:pPr>
              <w:spacing w:after="120" w:line="240" w:lineRule="auto"/>
              <w:jc w:val="both"/>
              <w:rPr>
                <w:rFonts w:ascii="Arial" w:hAnsi="Arial" w:cs="Arial"/>
                <w:sz w:val="18"/>
                <w:szCs w:val="18"/>
                <w:lang w:eastAsia="en-US"/>
              </w:rPr>
            </w:pPr>
            <w:r w:rsidRPr="00B87BEB">
              <w:rPr>
                <w:rFonts w:ascii="Arial" w:hAnsi="Arial" w:cs="Arial"/>
                <w:sz w:val="18"/>
                <w:szCs w:val="18"/>
                <w:lang w:eastAsia="en-US"/>
              </w:rPr>
              <w:t>CLLD</w:t>
            </w:r>
          </w:p>
        </w:tc>
        <w:tc>
          <w:tcPr>
            <w:tcW w:w="4142" w:type="dxa"/>
          </w:tcPr>
          <w:p w:rsidR="005D4BFA" w:rsidRPr="00B87BEB" w:rsidRDefault="005D4BFA">
            <w:pPr>
              <w:spacing w:after="120" w:line="240" w:lineRule="auto"/>
              <w:jc w:val="both"/>
              <w:rPr>
                <w:rFonts w:ascii="Arial" w:hAnsi="Arial" w:cs="Arial"/>
                <w:sz w:val="18"/>
                <w:szCs w:val="18"/>
                <w:lang w:eastAsia="en-US"/>
              </w:rPr>
            </w:pPr>
            <w:r w:rsidRPr="00B87BEB">
              <w:rPr>
                <w:rFonts w:ascii="Arial" w:hAnsi="Arial" w:cs="Arial"/>
                <w:sz w:val="18"/>
                <w:szCs w:val="18"/>
                <w:lang w:eastAsia="en-US"/>
              </w:rPr>
              <w:t>Jen popis</w:t>
            </w:r>
          </w:p>
        </w:tc>
      </w:tr>
      <w:tr w:rsidR="005D4BFA" w:rsidRPr="00B87BEB">
        <w:tc>
          <w:tcPr>
            <w:tcW w:w="5070" w:type="dxa"/>
          </w:tcPr>
          <w:p w:rsidR="005D4BFA" w:rsidRPr="00B87BEB" w:rsidRDefault="005D4BFA">
            <w:pPr>
              <w:spacing w:after="120" w:line="240" w:lineRule="auto"/>
              <w:jc w:val="both"/>
              <w:rPr>
                <w:rFonts w:ascii="Arial" w:hAnsi="Arial" w:cs="Arial"/>
                <w:sz w:val="18"/>
                <w:szCs w:val="18"/>
                <w:lang w:eastAsia="en-US"/>
              </w:rPr>
            </w:pPr>
            <w:r w:rsidRPr="00B87BEB">
              <w:rPr>
                <w:rFonts w:ascii="Arial" w:hAnsi="Arial" w:cs="Arial"/>
                <w:sz w:val="18"/>
                <w:szCs w:val="18"/>
                <w:lang w:eastAsia="en-US"/>
              </w:rPr>
              <w:t xml:space="preserve">Jiné z </w:t>
            </w:r>
            <w:proofErr w:type="spellStart"/>
            <w:r w:rsidRPr="00B87BEB">
              <w:rPr>
                <w:rFonts w:ascii="Arial" w:hAnsi="Arial" w:cs="Arial"/>
                <w:sz w:val="18"/>
                <w:szCs w:val="18"/>
                <w:lang w:eastAsia="en-US"/>
              </w:rPr>
              <w:t>IRPx</w:t>
            </w:r>
            <w:proofErr w:type="spellEnd"/>
          </w:p>
        </w:tc>
        <w:tc>
          <w:tcPr>
            <w:tcW w:w="4142" w:type="dxa"/>
          </w:tcPr>
          <w:p w:rsidR="005D4BFA" w:rsidRPr="00B87BEB" w:rsidRDefault="005D4BFA">
            <w:pPr>
              <w:spacing w:after="120" w:line="240" w:lineRule="auto"/>
              <w:jc w:val="both"/>
              <w:rPr>
                <w:rFonts w:ascii="Arial" w:hAnsi="Arial" w:cs="Arial"/>
                <w:sz w:val="18"/>
                <w:szCs w:val="18"/>
                <w:lang w:eastAsia="en-US"/>
              </w:rPr>
            </w:pPr>
            <w:r w:rsidRPr="00B87BEB">
              <w:rPr>
                <w:rFonts w:ascii="Arial" w:hAnsi="Arial" w:cs="Arial"/>
                <w:sz w:val="18"/>
                <w:szCs w:val="18"/>
                <w:lang w:eastAsia="en-US"/>
              </w:rPr>
              <w:t>NE</w:t>
            </w:r>
          </w:p>
        </w:tc>
      </w:tr>
      <w:tr w:rsidR="005D4BFA" w:rsidRPr="00B87BEB">
        <w:tc>
          <w:tcPr>
            <w:tcW w:w="5070" w:type="dxa"/>
          </w:tcPr>
          <w:p w:rsidR="005D4BFA" w:rsidRPr="00B87BEB" w:rsidRDefault="005D4BFA">
            <w:pPr>
              <w:spacing w:after="120" w:line="240" w:lineRule="auto"/>
              <w:jc w:val="both"/>
              <w:rPr>
                <w:rFonts w:ascii="Arial" w:hAnsi="Arial" w:cs="Arial"/>
                <w:i/>
                <w:iCs/>
                <w:sz w:val="18"/>
                <w:szCs w:val="18"/>
                <w:lang w:eastAsia="en-US"/>
              </w:rPr>
            </w:pPr>
            <w:r w:rsidRPr="00B87BEB">
              <w:rPr>
                <w:rFonts w:ascii="Arial" w:hAnsi="Arial" w:cs="Arial"/>
                <w:i/>
                <w:iCs/>
                <w:sz w:val="18"/>
                <w:szCs w:val="18"/>
                <w:lang w:eastAsia="en-US"/>
              </w:rPr>
              <w:t>Případné další</w:t>
            </w:r>
          </w:p>
        </w:tc>
        <w:tc>
          <w:tcPr>
            <w:tcW w:w="4142" w:type="dxa"/>
          </w:tcPr>
          <w:p w:rsidR="005D4BFA" w:rsidRPr="00B87BEB" w:rsidRDefault="005D4BFA">
            <w:pPr>
              <w:spacing w:after="120" w:line="240" w:lineRule="auto"/>
              <w:jc w:val="both"/>
              <w:rPr>
                <w:rFonts w:ascii="Arial" w:hAnsi="Arial" w:cs="Arial"/>
                <w:sz w:val="18"/>
                <w:szCs w:val="18"/>
                <w:lang w:eastAsia="en-US"/>
              </w:rPr>
            </w:pPr>
            <w:r w:rsidRPr="00B87BEB">
              <w:rPr>
                <w:rFonts w:ascii="Arial" w:hAnsi="Arial" w:cs="Arial"/>
                <w:sz w:val="18"/>
                <w:szCs w:val="18"/>
                <w:lang w:eastAsia="en-US"/>
              </w:rPr>
              <w:t>NE</w:t>
            </w:r>
          </w:p>
        </w:tc>
      </w:tr>
      <w:tr w:rsidR="005D4BFA" w:rsidRPr="00B87BEB">
        <w:tc>
          <w:tcPr>
            <w:tcW w:w="5070" w:type="dxa"/>
            <w:shd w:val="clear" w:color="auto" w:fill="CCC0D9"/>
          </w:tcPr>
          <w:p w:rsidR="005D4BFA" w:rsidRPr="00B87BEB" w:rsidRDefault="005D4BFA">
            <w:pPr>
              <w:spacing w:after="120" w:line="240" w:lineRule="auto"/>
              <w:jc w:val="both"/>
              <w:rPr>
                <w:rFonts w:ascii="Arial" w:hAnsi="Arial" w:cs="Arial"/>
                <w:i/>
                <w:iCs/>
                <w:sz w:val="18"/>
                <w:szCs w:val="18"/>
                <w:lang w:eastAsia="en-US"/>
              </w:rPr>
            </w:pPr>
            <w:proofErr w:type="gramStart"/>
            <w:r w:rsidRPr="00B87BEB">
              <w:rPr>
                <w:rFonts w:ascii="Arial" w:hAnsi="Arial" w:cs="Arial"/>
                <w:i/>
                <w:iCs/>
                <w:sz w:val="18"/>
                <w:szCs w:val="18"/>
                <w:lang w:eastAsia="en-US"/>
              </w:rPr>
              <w:t>JAP ?</w:t>
            </w:r>
            <w:proofErr w:type="gramEnd"/>
          </w:p>
        </w:tc>
        <w:tc>
          <w:tcPr>
            <w:tcW w:w="4142" w:type="dxa"/>
          </w:tcPr>
          <w:p w:rsidR="005D4BFA" w:rsidRPr="00B87BEB" w:rsidRDefault="005D4BFA">
            <w:pPr>
              <w:spacing w:after="120" w:line="240" w:lineRule="auto"/>
              <w:jc w:val="both"/>
              <w:rPr>
                <w:rFonts w:ascii="Arial" w:hAnsi="Arial" w:cs="Arial"/>
                <w:sz w:val="18"/>
                <w:szCs w:val="18"/>
                <w:lang w:eastAsia="en-US"/>
              </w:rPr>
            </w:pPr>
            <w:r w:rsidRPr="00B87BEB">
              <w:rPr>
                <w:rFonts w:ascii="Arial" w:hAnsi="Arial" w:cs="Arial"/>
                <w:sz w:val="18"/>
                <w:szCs w:val="18"/>
                <w:lang w:eastAsia="en-US"/>
              </w:rPr>
              <w:t>NE</w:t>
            </w:r>
          </w:p>
        </w:tc>
      </w:tr>
    </w:tbl>
    <w:p w:rsidR="005D4BFA" w:rsidRPr="00B87BEB" w:rsidRDefault="005D4BFA">
      <w:pPr>
        <w:spacing w:after="120"/>
        <w:jc w:val="both"/>
        <w:rPr>
          <w:rFonts w:ascii="Arial" w:hAnsi="Arial" w:cs="Arial"/>
          <w:sz w:val="18"/>
          <w:szCs w:val="18"/>
        </w:rPr>
      </w:pPr>
    </w:p>
    <w:p w:rsidR="005D4BFA" w:rsidRDefault="00B87BEB">
      <w:pPr>
        <w:spacing w:after="120"/>
        <w:jc w:val="both"/>
        <w:rPr>
          <w:rFonts w:ascii="Arial" w:hAnsi="Arial" w:cs="Arial"/>
          <w:sz w:val="20"/>
          <w:szCs w:val="20"/>
        </w:rPr>
      </w:pPr>
      <w:r>
        <w:rPr>
          <w:rFonts w:ascii="Arial" w:hAnsi="Arial" w:cs="Arial"/>
          <w:noProof/>
          <w:color w:val="000000"/>
          <w:sz w:val="20"/>
          <w:szCs w:val="20"/>
        </w:rPr>
        <w:drawing>
          <wp:inline distT="0" distB="0" distL="0" distR="0">
            <wp:extent cx="5429250" cy="7258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7258050"/>
                    </a:xfrm>
                    <a:prstGeom prst="rect">
                      <a:avLst/>
                    </a:prstGeom>
                    <a:noFill/>
                    <a:ln>
                      <a:noFill/>
                    </a:ln>
                  </pic:spPr>
                </pic:pic>
              </a:graphicData>
            </a:graphic>
          </wp:inline>
        </w:drawing>
      </w:r>
    </w:p>
    <w:p w:rsidR="005D4BFA" w:rsidRDefault="005D4BFA" w:rsidP="003B39CC">
      <w:pPr>
        <w:spacing w:after="120"/>
        <w:jc w:val="both"/>
        <w:rPr>
          <w:rFonts w:ascii="Arial" w:hAnsi="Arial" w:cs="Arial"/>
          <w:sz w:val="20"/>
          <w:szCs w:val="20"/>
        </w:rPr>
      </w:pPr>
      <w:r w:rsidRPr="00E904F1">
        <w:rPr>
          <w:rFonts w:ascii="Arial" w:hAnsi="Arial" w:cs="Arial"/>
          <w:sz w:val="20"/>
          <w:szCs w:val="20"/>
        </w:rPr>
        <w:br w:type="page"/>
      </w:r>
      <w:r w:rsidRPr="00CA34CF">
        <w:rPr>
          <w:rFonts w:ascii="Arial" w:hAnsi="Arial" w:cs="Arial"/>
          <w:color w:val="000000"/>
          <w:sz w:val="20"/>
          <w:szCs w:val="20"/>
        </w:rPr>
        <w:lastRenderedPageBreak/>
        <w:t>Nastavení územní dimenze se bude odrážet ve struktuře operačních programů prostřednictvím znázornění kontextu grafem ve tvaru</w:t>
      </w:r>
      <w:r w:rsidRPr="00CA34CF">
        <w:rPr>
          <w:rFonts w:ascii="Arial" w:hAnsi="Arial" w:cs="Arial"/>
          <w:i/>
          <w:iCs/>
          <w:color w:val="000000"/>
          <w:sz w:val="20"/>
          <w:szCs w:val="20"/>
        </w:rPr>
        <w:t xml:space="preserve"> „hokejky“</w:t>
      </w:r>
      <w:r w:rsidRPr="00CA34CF">
        <w:rPr>
          <w:rFonts w:ascii="Arial" w:hAnsi="Arial" w:cs="Arial"/>
          <w:color w:val="000000"/>
          <w:sz w:val="20"/>
          <w:szCs w:val="20"/>
        </w:rPr>
        <w:t xml:space="preserve">. </w:t>
      </w:r>
      <w:r w:rsidRPr="00CA34CF">
        <w:rPr>
          <w:rFonts w:ascii="Arial" w:hAnsi="Arial" w:cs="Arial"/>
          <w:sz w:val="20"/>
          <w:szCs w:val="20"/>
        </w:rPr>
        <w:t>Znázorňuje průmět témat (priorit) programů v</w:t>
      </w:r>
      <w:r>
        <w:rPr>
          <w:rFonts w:ascii="Arial" w:hAnsi="Arial" w:cs="Arial"/>
          <w:sz w:val="20"/>
          <w:szCs w:val="20"/>
        </w:rPr>
        <w:t> </w:t>
      </w:r>
      <w:r w:rsidRPr="00CA34CF">
        <w:rPr>
          <w:rFonts w:ascii="Arial" w:hAnsi="Arial" w:cs="Arial"/>
          <w:sz w:val="20"/>
          <w:szCs w:val="20"/>
        </w:rPr>
        <w:t xml:space="preserve">úrovních zájmu národního, regionálně-národního, ryze regionálního. </w:t>
      </w:r>
    </w:p>
    <w:p w:rsidR="005D4BFA" w:rsidRPr="0089341D" w:rsidRDefault="005D4BFA" w:rsidP="001F03D8">
      <w:pPr>
        <w:pStyle w:val="Odstavecseseznamem"/>
        <w:numPr>
          <w:ilvl w:val="0"/>
          <w:numId w:val="14"/>
        </w:numPr>
        <w:jc w:val="both"/>
        <w:rPr>
          <w:rFonts w:ascii="Arial" w:hAnsi="Arial" w:cs="Arial"/>
          <w:sz w:val="20"/>
          <w:szCs w:val="20"/>
        </w:rPr>
      </w:pPr>
      <w:r w:rsidRPr="00CA34CF">
        <w:rPr>
          <w:rFonts w:ascii="Arial" w:hAnsi="Arial" w:cs="Arial"/>
          <w:b/>
          <w:bCs/>
          <w:i/>
          <w:iCs/>
          <w:sz w:val="20"/>
          <w:szCs w:val="20"/>
        </w:rPr>
        <w:t>Národní zájem</w:t>
      </w:r>
      <w:r w:rsidR="00512641">
        <w:rPr>
          <w:rFonts w:ascii="Arial" w:hAnsi="Arial" w:cs="Arial"/>
          <w:b/>
          <w:bCs/>
          <w:i/>
          <w:iCs/>
          <w:sz w:val="20"/>
          <w:szCs w:val="20"/>
        </w:rPr>
        <w:t xml:space="preserve"> </w:t>
      </w:r>
      <w:r>
        <w:rPr>
          <w:rFonts w:ascii="Arial" w:hAnsi="Arial" w:cs="Arial"/>
          <w:i/>
          <w:iCs/>
          <w:sz w:val="20"/>
          <w:szCs w:val="20"/>
        </w:rPr>
        <w:t>(</w:t>
      </w:r>
      <w:r w:rsidR="00512641">
        <w:rPr>
          <w:rFonts w:ascii="Arial" w:hAnsi="Arial" w:cs="Arial"/>
          <w:b/>
          <w:bCs/>
          <w:i/>
          <w:iCs/>
          <w:sz w:val="20"/>
          <w:szCs w:val="20"/>
        </w:rPr>
        <w:t>národní priority s plošným dopadem</w:t>
      </w:r>
      <w:r>
        <w:rPr>
          <w:rFonts w:ascii="Arial" w:hAnsi="Arial" w:cs="Arial"/>
          <w:i/>
          <w:iCs/>
          <w:sz w:val="20"/>
          <w:szCs w:val="20"/>
        </w:rPr>
        <w:t>)</w:t>
      </w:r>
    </w:p>
    <w:p w:rsidR="005D4BFA" w:rsidRPr="0089341D" w:rsidRDefault="005D4BFA" w:rsidP="001F03D8">
      <w:pPr>
        <w:pStyle w:val="Odstavecseseznamem"/>
        <w:numPr>
          <w:ilvl w:val="0"/>
          <w:numId w:val="15"/>
        </w:numPr>
        <w:jc w:val="both"/>
        <w:rPr>
          <w:rFonts w:ascii="Arial" w:hAnsi="Arial" w:cs="Arial"/>
          <w:sz w:val="20"/>
          <w:szCs w:val="20"/>
        </w:rPr>
      </w:pPr>
      <w:r w:rsidRPr="00CA34CF">
        <w:rPr>
          <w:rFonts w:ascii="Arial" w:hAnsi="Arial" w:cs="Arial"/>
          <w:sz w:val="20"/>
          <w:szCs w:val="20"/>
        </w:rPr>
        <w:t>řešení tématu (priority, specifického cíle) programu je v kompetenci jednotlivých resortů, uplatňuje se plošně, s jednotným přístupem. Realizace bude probíhat plně v působnosti ŘO daného tematického operačního programu. Zde se nepředpokládá ingerence v</w:t>
      </w:r>
      <w:r>
        <w:rPr>
          <w:rFonts w:ascii="Arial" w:hAnsi="Arial" w:cs="Arial"/>
          <w:sz w:val="20"/>
          <w:szCs w:val="20"/>
        </w:rPr>
        <w:t> </w:t>
      </w:r>
      <w:r w:rsidRPr="00CA34CF">
        <w:rPr>
          <w:rFonts w:ascii="Arial" w:hAnsi="Arial" w:cs="Arial"/>
          <w:sz w:val="20"/>
          <w:szCs w:val="20"/>
        </w:rPr>
        <w:t xml:space="preserve">důsledku oprávněného zájmu regionálních aktérů (krajů, obcí), kteří nebudou zahrnuti mezi příjemce/žadatele. </w:t>
      </w:r>
    </w:p>
    <w:p w:rsidR="005D4BFA" w:rsidRPr="0089341D" w:rsidRDefault="005D4BFA" w:rsidP="00392E69">
      <w:pPr>
        <w:pStyle w:val="Odstavecseseznamem"/>
        <w:ind w:left="1440"/>
        <w:jc w:val="both"/>
        <w:rPr>
          <w:rFonts w:ascii="Arial" w:hAnsi="Arial" w:cs="Arial"/>
          <w:sz w:val="20"/>
          <w:szCs w:val="20"/>
        </w:rPr>
      </w:pPr>
    </w:p>
    <w:p w:rsidR="005D4BFA" w:rsidRPr="0089341D" w:rsidRDefault="005D4BFA" w:rsidP="001F03D8">
      <w:pPr>
        <w:pStyle w:val="Odstavecseseznamem"/>
        <w:numPr>
          <w:ilvl w:val="0"/>
          <w:numId w:val="14"/>
        </w:numPr>
        <w:jc w:val="both"/>
        <w:rPr>
          <w:rFonts w:ascii="Arial" w:hAnsi="Arial" w:cs="Arial"/>
          <w:b/>
          <w:bCs/>
          <w:i/>
          <w:iCs/>
          <w:sz w:val="20"/>
          <w:szCs w:val="20"/>
        </w:rPr>
      </w:pPr>
      <w:r w:rsidRPr="00CA34CF">
        <w:rPr>
          <w:rFonts w:ascii="Arial" w:hAnsi="Arial" w:cs="Arial"/>
          <w:b/>
          <w:bCs/>
          <w:i/>
          <w:iCs/>
          <w:sz w:val="20"/>
          <w:szCs w:val="20"/>
        </w:rPr>
        <w:t>Národní zájem v</w:t>
      </w:r>
      <w:r>
        <w:rPr>
          <w:rFonts w:ascii="Arial" w:hAnsi="Arial" w:cs="Arial"/>
          <w:b/>
          <w:bCs/>
          <w:i/>
          <w:iCs/>
          <w:sz w:val="20"/>
          <w:szCs w:val="20"/>
        </w:rPr>
        <w:t> </w:t>
      </w:r>
      <w:r w:rsidRPr="00CA34CF">
        <w:rPr>
          <w:rFonts w:ascii="Arial" w:hAnsi="Arial" w:cs="Arial"/>
          <w:b/>
          <w:bCs/>
          <w:i/>
          <w:iCs/>
          <w:sz w:val="20"/>
          <w:szCs w:val="20"/>
        </w:rPr>
        <w:t>regionech</w:t>
      </w:r>
      <w:r>
        <w:rPr>
          <w:rFonts w:ascii="Arial" w:hAnsi="Arial" w:cs="Arial"/>
          <w:b/>
          <w:bCs/>
          <w:i/>
          <w:iCs/>
          <w:sz w:val="20"/>
          <w:szCs w:val="20"/>
        </w:rPr>
        <w:t xml:space="preserve"> (</w:t>
      </w:r>
      <w:r w:rsidR="00512641">
        <w:rPr>
          <w:rFonts w:ascii="Arial" w:hAnsi="Arial" w:cs="Arial"/>
          <w:b/>
          <w:bCs/>
          <w:i/>
          <w:iCs/>
          <w:sz w:val="20"/>
          <w:szCs w:val="20"/>
        </w:rPr>
        <w:t>národní priority s územním dopadem</w:t>
      </w:r>
      <w:r>
        <w:rPr>
          <w:rFonts w:ascii="Arial" w:hAnsi="Arial" w:cs="Arial"/>
          <w:b/>
          <w:bCs/>
          <w:i/>
          <w:iCs/>
          <w:sz w:val="20"/>
          <w:szCs w:val="20"/>
        </w:rPr>
        <w:t>)</w:t>
      </w:r>
    </w:p>
    <w:p w:rsidR="005D4BFA" w:rsidRPr="0089341D" w:rsidRDefault="005D4BFA" w:rsidP="001F03D8">
      <w:pPr>
        <w:pStyle w:val="Odstavecseseznamem"/>
        <w:numPr>
          <w:ilvl w:val="1"/>
          <w:numId w:val="14"/>
        </w:numPr>
        <w:tabs>
          <w:tab w:val="clear" w:pos="2160"/>
          <w:tab w:val="num" w:pos="1800"/>
        </w:tabs>
        <w:ind w:left="1800"/>
        <w:jc w:val="both"/>
        <w:rPr>
          <w:rFonts w:ascii="Arial" w:hAnsi="Arial" w:cs="Arial"/>
          <w:sz w:val="20"/>
          <w:szCs w:val="20"/>
        </w:rPr>
      </w:pPr>
      <w:r w:rsidRPr="00CA34CF">
        <w:rPr>
          <w:rFonts w:ascii="Arial" w:hAnsi="Arial" w:cs="Arial"/>
          <w:sz w:val="20"/>
          <w:szCs w:val="20"/>
        </w:rPr>
        <w:t>Jedná se o realizaci priorit/specifických cílů, kde má primární zájem o řešení stát (ministerstva, odvozeně ŘO), nicméně regionální aktéři (především kraje a obce) jsou rovněž dotčeni, buď s</w:t>
      </w:r>
      <w:r>
        <w:rPr>
          <w:rFonts w:ascii="Arial" w:hAnsi="Arial" w:cs="Arial"/>
          <w:sz w:val="20"/>
          <w:szCs w:val="20"/>
        </w:rPr>
        <w:t> </w:t>
      </w:r>
      <w:r w:rsidRPr="00CA34CF">
        <w:rPr>
          <w:rFonts w:ascii="Arial" w:hAnsi="Arial" w:cs="Arial"/>
          <w:sz w:val="20"/>
          <w:szCs w:val="20"/>
        </w:rPr>
        <w:t>ohledem na jejich konkrétní stanovenou přenesenou nebo samostatnou působnost v</w:t>
      </w:r>
      <w:r>
        <w:rPr>
          <w:rFonts w:ascii="Arial" w:hAnsi="Arial" w:cs="Arial"/>
          <w:sz w:val="20"/>
          <w:szCs w:val="20"/>
        </w:rPr>
        <w:t> </w:t>
      </w:r>
      <w:r w:rsidRPr="00CA34CF">
        <w:rPr>
          <w:rFonts w:ascii="Arial" w:hAnsi="Arial" w:cs="Arial"/>
          <w:sz w:val="20"/>
          <w:szCs w:val="20"/>
        </w:rPr>
        <w:t>příslušné oblasti, nebo vzhledem k potřebě diferencované územní aplikace nebo koordinace v</w:t>
      </w:r>
      <w:r>
        <w:rPr>
          <w:rFonts w:ascii="Arial" w:hAnsi="Arial" w:cs="Arial"/>
          <w:sz w:val="20"/>
          <w:szCs w:val="20"/>
        </w:rPr>
        <w:t> </w:t>
      </w:r>
      <w:r w:rsidRPr="00CA34CF">
        <w:rPr>
          <w:rFonts w:ascii="Arial" w:hAnsi="Arial" w:cs="Arial"/>
          <w:sz w:val="20"/>
          <w:szCs w:val="20"/>
        </w:rPr>
        <w:t xml:space="preserve"> působnosti územních samospráv. Základní představa o průmětu rozvojových záměrů měst a obcí je obsažena v příloze SRR.</w:t>
      </w:r>
    </w:p>
    <w:p w:rsidR="005D4BFA" w:rsidRPr="0089341D" w:rsidRDefault="005D4BFA" w:rsidP="001F03D8">
      <w:pPr>
        <w:pStyle w:val="Odstavecseseznamem"/>
        <w:numPr>
          <w:ilvl w:val="1"/>
          <w:numId w:val="14"/>
        </w:numPr>
        <w:tabs>
          <w:tab w:val="clear" w:pos="2160"/>
          <w:tab w:val="num" w:pos="1800"/>
        </w:tabs>
        <w:ind w:left="1800"/>
        <w:jc w:val="both"/>
        <w:rPr>
          <w:rFonts w:ascii="Arial" w:hAnsi="Arial" w:cs="Arial"/>
          <w:sz w:val="20"/>
          <w:szCs w:val="20"/>
        </w:rPr>
      </w:pPr>
      <w:r w:rsidRPr="00CA34CF">
        <w:rPr>
          <w:rFonts w:ascii="Arial" w:hAnsi="Arial" w:cs="Arial"/>
          <w:sz w:val="20"/>
          <w:szCs w:val="20"/>
        </w:rPr>
        <w:t xml:space="preserve">Mezi potenciálními příjemci finančních prostředků budou i regionální aktéři. </w:t>
      </w:r>
    </w:p>
    <w:p w:rsidR="005D4BFA" w:rsidRPr="0089341D" w:rsidRDefault="005D4BFA" w:rsidP="001F03D8">
      <w:pPr>
        <w:pStyle w:val="Odstavecseseznamem"/>
        <w:numPr>
          <w:ilvl w:val="1"/>
          <w:numId w:val="14"/>
        </w:numPr>
        <w:tabs>
          <w:tab w:val="clear" w:pos="2160"/>
          <w:tab w:val="num" w:pos="1800"/>
        </w:tabs>
        <w:ind w:left="1800"/>
        <w:jc w:val="both"/>
        <w:rPr>
          <w:rFonts w:ascii="Arial" w:hAnsi="Arial" w:cs="Arial"/>
          <w:sz w:val="20"/>
          <w:szCs w:val="20"/>
        </w:rPr>
      </w:pPr>
      <w:r w:rsidRPr="00CA34CF">
        <w:rPr>
          <w:rFonts w:ascii="Arial" w:hAnsi="Arial" w:cs="Arial"/>
          <w:sz w:val="20"/>
          <w:szCs w:val="20"/>
        </w:rPr>
        <w:t xml:space="preserve">Tímto způsobem lze řešit i prosazování „horizontálních témat“, např. cílů regionální politiky zakotvených ve Strategii regionálního rozvoje s průměty do programů </w:t>
      </w:r>
      <w:r>
        <w:rPr>
          <w:rFonts w:ascii="Arial" w:hAnsi="Arial" w:cs="Arial"/>
          <w:sz w:val="20"/>
          <w:szCs w:val="20"/>
        </w:rPr>
        <w:t>–</w:t>
      </w:r>
      <w:r w:rsidRPr="00CA34CF">
        <w:rPr>
          <w:rFonts w:ascii="Arial" w:hAnsi="Arial" w:cs="Arial"/>
          <w:sz w:val="20"/>
          <w:szCs w:val="20"/>
        </w:rPr>
        <w:t xml:space="preserve"> např.: přednostní zaměření na hospodářsky problémové regiony, sociálně znevýhodněné oblasti, regionální rozvojové oblasti, prosazování aplikace integrovaných nástrojů, atp. </w:t>
      </w:r>
    </w:p>
    <w:p w:rsidR="005D4BFA" w:rsidRPr="0089341D" w:rsidRDefault="005D4BFA" w:rsidP="001F03D8">
      <w:pPr>
        <w:pStyle w:val="Odstavecseseznamem"/>
        <w:numPr>
          <w:ilvl w:val="1"/>
          <w:numId w:val="14"/>
        </w:numPr>
        <w:tabs>
          <w:tab w:val="clear" w:pos="2160"/>
          <w:tab w:val="num" w:pos="1800"/>
        </w:tabs>
        <w:ind w:left="1800"/>
        <w:jc w:val="both"/>
        <w:rPr>
          <w:rFonts w:ascii="Arial" w:hAnsi="Arial" w:cs="Arial"/>
          <w:sz w:val="20"/>
          <w:szCs w:val="20"/>
        </w:rPr>
      </w:pPr>
      <w:r>
        <w:rPr>
          <w:rFonts w:ascii="Arial" w:hAnsi="Arial" w:cs="Arial"/>
          <w:sz w:val="20"/>
          <w:szCs w:val="20"/>
        </w:rPr>
        <w:t>V </w:t>
      </w:r>
      <w:r w:rsidRPr="00CA34CF">
        <w:rPr>
          <w:rFonts w:ascii="Arial" w:hAnsi="Arial" w:cs="Arial"/>
          <w:sz w:val="20"/>
          <w:szCs w:val="20"/>
        </w:rPr>
        <w:t>rámci této úrovně se počítá s</w:t>
      </w:r>
      <w:r>
        <w:rPr>
          <w:rFonts w:ascii="Arial" w:hAnsi="Arial" w:cs="Arial"/>
          <w:sz w:val="20"/>
          <w:szCs w:val="20"/>
        </w:rPr>
        <w:t> </w:t>
      </w:r>
      <w:r w:rsidRPr="00CA34CF">
        <w:rPr>
          <w:rFonts w:ascii="Arial" w:hAnsi="Arial" w:cs="Arial"/>
          <w:sz w:val="20"/>
          <w:szCs w:val="20"/>
        </w:rPr>
        <w:t>využitím jak individuálních projektů předkládaných kraji a obcemi</w:t>
      </w:r>
      <w:r>
        <w:rPr>
          <w:rFonts w:ascii="Arial" w:hAnsi="Arial" w:cs="Arial"/>
          <w:sz w:val="20"/>
          <w:szCs w:val="20"/>
        </w:rPr>
        <w:t>,</w:t>
      </w:r>
      <w:r w:rsidRPr="00CA34CF">
        <w:rPr>
          <w:rFonts w:ascii="Arial" w:hAnsi="Arial" w:cs="Arial"/>
          <w:sz w:val="20"/>
          <w:szCs w:val="20"/>
        </w:rPr>
        <w:t xml:space="preserve"> tak integrovaných nástrojů</w:t>
      </w:r>
      <w:r>
        <w:rPr>
          <w:rFonts w:ascii="Arial" w:hAnsi="Arial" w:cs="Arial"/>
          <w:sz w:val="20"/>
          <w:szCs w:val="20"/>
        </w:rPr>
        <w:t>,</w:t>
      </w:r>
      <w:r w:rsidRPr="00CA34CF">
        <w:rPr>
          <w:rFonts w:ascii="Arial" w:hAnsi="Arial" w:cs="Arial"/>
          <w:sz w:val="20"/>
          <w:szCs w:val="20"/>
        </w:rPr>
        <w:t xml:space="preserve"> tj. existence integrované strategie nevylučuje (pro území v</w:t>
      </w:r>
      <w:r>
        <w:rPr>
          <w:rFonts w:ascii="Arial" w:hAnsi="Arial" w:cs="Arial"/>
          <w:sz w:val="20"/>
          <w:szCs w:val="20"/>
        </w:rPr>
        <w:t> </w:t>
      </w:r>
      <w:r w:rsidRPr="00CA34CF">
        <w:rPr>
          <w:rFonts w:ascii="Arial" w:hAnsi="Arial" w:cs="Arial"/>
          <w:sz w:val="20"/>
          <w:szCs w:val="20"/>
        </w:rPr>
        <w:t>rámci IS) možnost realizovat projekty současně i prostřednictvím individuálních projektů.</w:t>
      </w:r>
    </w:p>
    <w:p w:rsidR="005D4BFA" w:rsidRPr="0089341D" w:rsidRDefault="005D4BFA" w:rsidP="001F03D8">
      <w:pPr>
        <w:pStyle w:val="Odstavecseseznamem"/>
        <w:numPr>
          <w:ilvl w:val="1"/>
          <w:numId w:val="14"/>
        </w:numPr>
        <w:tabs>
          <w:tab w:val="clear" w:pos="2160"/>
          <w:tab w:val="num" w:pos="1800"/>
        </w:tabs>
        <w:ind w:left="1800"/>
        <w:jc w:val="both"/>
        <w:rPr>
          <w:rFonts w:ascii="Arial" w:hAnsi="Arial" w:cs="Arial"/>
          <w:sz w:val="20"/>
          <w:szCs w:val="20"/>
        </w:rPr>
      </w:pPr>
      <w:r w:rsidRPr="00CA34CF">
        <w:rPr>
          <w:rFonts w:ascii="Arial" w:hAnsi="Arial" w:cs="Arial"/>
          <w:sz w:val="20"/>
          <w:szCs w:val="20"/>
        </w:rPr>
        <w:t>Úlohu ŘO v</w:t>
      </w:r>
      <w:r>
        <w:rPr>
          <w:rFonts w:ascii="Arial" w:hAnsi="Arial" w:cs="Arial"/>
          <w:sz w:val="20"/>
          <w:szCs w:val="20"/>
        </w:rPr>
        <w:t> </w:t>
      </w:r>
      <w:r w:rsidRPr="00CA34CF">
        <w:rPr>
          <w:rFonts w:ascii="Arial" w:hAnsi="Arial" w:cs="Arial"/>
          <w:sz w:val="20"/>
          <w:szCs w:val="20"/>
        </w:rPr>
        <w:t xml:space="preserve">příslušném tematickém OP by zastával věcně/odvětvově příslušný resort, ve fázi procesu rozhodující o výběru projektů pro příslušný kraj by byli kromě zástupců příslušného resortu také relevantní zástupci regionálních aktérů (za kraje, obce, podnikatele a neziskový sektor </w:t>
      </w:r>
      <w:r>
        <w:rPr>
          <w:rFonts w:ascii="Arial" w:hAnsi="Arial" w:cs="Arial"/>
          <w:sz w:val="20"/>
          <w:szCs w:val="20"/>
        </w:rPr>
        <w:t>–</w:t>
      </w:r>
      <w:r w:rsidRPr="00CA34CF">
        <w:rPr>
          <w:rFonts w:ascii="Arial" w:hAnsi="Arial" w:cs="Arial"/>
          <w:sz w:val="20"/>
          <w:szCs w:val="20"/>
        </w:rPr>
        <w:t xml:space="preserve"> podíl na výběru projektů). Kraje by mohly rovněž poskytovat např. konzultační činnost (podrobně také viz níže o rolích krajů).</w:t>
      </w:r>
    </w:p>
    <w:p w:rsidR="005D4BFA" w:rsidRPr="0089341D" w:rsidRDefault="005D4BFA" w:rsidP="00392E69">
      <w:pPr>
        <w:pStyle w:val="Odstavecseseznamem"/>
        <w:ind w:left="2160"/>
        <w:jc w:val="both"/>
        <w:rPr>
          <w:rFonts w:ascii="Arial" w:hAnsi="Arial" w:cs="Arial"/>
          <w:sz w:val="20"/>
          <w:szCs w:val="20"/>
        </w:rPr>
      </w:pPr>
    </w:p>
    <w:p w:rsidR="005D4BFA" w:rsidRPr="0089341D" w:rsidRDefault="005D4BFA" w:rsidP="001F03D8">
      <w:pPr>
        <w:pStyle w:val="Odstavecseseznamem"/>
        <w:numPr>
          <w:ilvl w:val="0"/>
          <w:numId w:val="14"/>
        </w:numPr>
        <w:jc w:val="both"/>
        <w:rPr>
          <w:rFonts w:ascii="Arial" w:hAnsi="Arial" w:cs="Arial"/>
          <w:sz w:val="20"/>
          <w:szCs w:val="20"/>
        </w:rPr>
      </w:pPr>
      <w:r w:rsidRPr="00CA34CF">
        <w:rPr>
          <w:rFonts w:ascii="Arial" w:hAnsi="Arial" w:cs="Arial"/>
          <w:b/>
          <w:bCs/>
          <w:i/>
          <w:iCs/>
          <w:sz w:val="20"/>
          <w:szCs w:val="20"/>
        </w:rPr>
        <w:t>Regionální zájem</w:t>
      </w:r>
      <w:r w:rsidR="00512641">
        <w:rPr>
          <w:rFonts w:ascii="Arial" w:hAnsi="Arial" w:cs="Arial"/>
          <w:b/>
          <w:bCs/>
          <w:i/>
          <w:iCs/>
          <w:sz w:val="20"/>
          <w:szCs w:val="20"/>
        </w:rPr>
        <w:t xml:space="preserve"> </w:t>
      </w:r>
      <w:r>
        <w:rPr>
          <w:rFonts w:ascii="Arial" w:hAnsi="Arial" w:cs="Arial"/>
          <w:sz w:val="20"/>
          <w:szCs w:val="20"/>
        </w:rPr>
        <w:t xml:space="preserve">(priority </w:t>
      </w:r>
      <w:r w:rsidR="00512641">
        <w:rPr>
          <w:rFonts w:ascii="Arial" w:hAnsi="Arial" w:cs="Arial"/>
          <w:sz w:val="20"/>
          <w:szCs w:val="20"/>
        </w:rPr>
        <w:t>regionálních aktérů</w:t>
      </w:r>
      <w:r>
        <w:rPr>
          <w:rFonts w:ascii="Arial" w:hAnsi="Arial" w:cs="Arial"/>
          <w:sz w:val="20"/>
          <w:szCs w:val="20"/>
        </w:rPr>
        <w:t>)</w:t>
      </w:r>
    </w:p>
    <w:p w:rsidR="005D4BFA" w:rsidRPr="0089341D" w:rsidRDefault="005D4BFA" w:rsidP="001F03D8">
      <w:pPr>
        <w:pStyle w:val="Odstavecseseznamem"/>
        <w:numPr>
          <w:ilvl w:val="0"/>
          <w:numId w:val="16"/>
        </w:numPr>
        <w:tabs>
          <w:tab w:val="clear" w:pos="2145"/>
          <w:tab w:val="num" w:pos="1800"/>
        </w:tabs>
        <w:ind w:left="1800"/>
        <w:jc w:val="both"/>
        <w:rPr>
          <w:rFonts w:ascii="Arial" w:hAnsi="Arial" w:cs="Arial"/>
          <w:sz w:val="20"/>
          <w:szCs w:val="20"/>
        </w:rPr>
      </w:pPr>
      <w:r w:rsidRPr="00CA34CF">
        <w:rPr>
          <w:rFonts w:ascii="Arial" w:hAnsi="Arial" w:cs="Arial"/>
          <w:sz w:val="20"/>
          <w:szCs w:val="20"/>
        </w:rPr>
        <w:t>Jde o řešení specifických krajských (např. priorit</w:t>
      </w:r>
      <w:r>
        <w:rPr>
          <w:rFonts w:ascii="Arial" w:hAnsi="Arial" w:cs="Arial"/>
          <w:sz w:val="20"/>
          <w:szCs w:val="20"/>
        </w:rPr>
        <w:t xml:space="preserve"> </w:t>
      </w:r>
      <w:r w:rsidRPr="00CA34CF">
        <w:rPr>
          <w:rFonts w:ascii="Arial" w:hAnsi="Arial" w:cs="Arial"/>
          <w:sz w:val="20"/>
          <w:szCs w:val="20"/>
        </w:rPr>
        <w:t>obsažených v programových dokumentech krajů) a municipálních cílů neřešených v</w:t>
      </w:r>
      <w:r>
        <w:rPr>
          <w:rFonts w:ascii="Arial" w:hAnsi="Arial" w:cs="Arial"/>
          <w:sz w:val="20"/>
          <w:szCs w:val="20"/>
        </w:rPr>
        <w:t> </w:t>
      </w:r>
      <w:r w:rsidRPr="00CA34CF">
        <w:rPr>
          <w:rFonts w:ascii="Arial" w:hAnsi="Arial" w:cs="Arial"/>
          <w:sz w:val="20"/>
          <w:szCs w:val="20"/>
        </w:rPr>
        <w:t xml:space="preserve">národním nebo regionálně národním zájmu. Základní představa o průmětu rozvojových záměrů měst a obcí je obsažena v příloze SRR. </w:t>
      </w:r>
    </w:p>
    <w:p w:rsidR="005D4BFA" w:rsidRPr="0089341D" w:rsidRDefault="005D4BFA" w:rsidP="001F03D8">
      <w:pPr>
        <w:pStyle w:val="Odstavecseseznamem"/>
        <w:numPr>
          <w:ilvl w:val="0"/>
          <w:numId w:val="16"/>
        </w:numPr>
        <w:tabs>
          <w:tab w:val="clear" w:pos="2145"/>
          <w:tab w:val="num" w:pos="1800"/>
        </w:tabs>
        <w:ind w:left="1800"/>
        <w:jc w:val="both"/>
        <w:rPr>
          <w:rFonts w:ascii="Arial" w:hAnsi="Arial" w:cs="Arial"/>
          <w:sz w:val="20"/>
          <w:szCs w:val="20"/>
        </w:rPr>
      </w:pPr>
      <w:r w:rsidRPr="00CA34CF">
        <w:rPr>
          <w:rFonts w:ascii="Arial" w:hAnsi="Arial" w:cs="Arial"/>
          <w:sz w:val="20"/>
          <w:szCs w:val="20"/>
        </w:rPr>
        <w:t>Implementace integrovaných nástrojů (strategií) by byla prováděna dle Metodického pokynu pro využití integrovaných přístupů v</w:t>
      </w:r>
      <w:r>
        <w:rPr>
          <w:rFonts w:ascii="Arial" w:hAnsi="Arial" w:cs="Arial"/>
          <w:sz w:val="20"/>
          <w:szCs w:val="20"/>
        </w:rPr>
        <w:t> </w:t>
      </w:r>
      <w:r w:rsidRPr="00CA34CF">
        <w:rPr>
          <w:rFonts w:ascii="Arial" w:hAnsi="Arial" w:cs="Arial"/>
          <w:sz w:val="20"/>
          <w:szCs w:val="20"/>
        </w:rPr>
        <w:t xml:space="preserve">programech </w:t>
      </w:r>
      <w:r>
        <w:rPr>
          <w:rFonts w:ascii="Arial" w:hAnsi="Arial" w:cs="Arial"/>
          <w:sz w:val="20"/>
          <w:szCs w:val="20"/>
        </w:rPr>
        <w:t>fondů SSR</w:t>
      </w:r>
      <w:r w:rsidRPr="00CA34CF">
        <w:rPr>
          <w:rFonts w:ascii="Arial" w:hAnsi="Arial" w:cs="Arial"/>
          <w:sz w:val="20"/>
          <w:szCs w:val="20"/>
        </w:rPr>
        <w:t xml:space="preserve"> podle konkrétních typů nástrojů. </w:t>
      </w:r>
    </w:p>
    <w:p w:rsidR="005D4BFA" w:rsidRPr="0089341D" w:rsidRDefault="005D4BFA" w:rsidP="001F03D8">
      <w:pPr>
        <w:pStyle w:val="Odstavecseseznamem"/>
        <w:numPr>
          <w:ilvl w:val="0"/>
          <w:numId w:val="16"/>
        </w:numPr>
        <w:tabs>
          <w:tab w:val="clear" w:pos="2145"/>
          <w:tab w:val="num" w:pos="1800"/>
        </w:tabs>
        <w:ind w:left="1800"/>
        <w:jc w:val="both"/>
        <w:rPr>
          <w:rFonts w:ascii="Arial" w:hAnsi="Arial" w:cs="Arial"/>
          <w:sz w:val="20"/>
          <w:szCs w:val="20"/>
        </w:rPr>
      </w:pPr>
      <w:r w:rsidRPr="00CA34CF">
        <w:rPr>
          <w:rFonts w:ascii="Arial" w:hAnsi="Arial" w:cs="Arial"/>
          <w:sz w:val="20"/>
          <w:szCs w:val="20"/>
        </w:rPr>
        <w:t>V</w:t>
      </w:r>
      <w:r>
        <w:rPr>
          <w:rFonts w:ascii="Arial" w:hAnsi="Arial" w:cs="Arial"/>
          <w:sz w:val="20"/>
          <w:szCs w:val="20"/>
        </w:rPr>
        <w:t> </w:t>
      </w:r>
      <w:r w:rsidRPr="00CA34CF">
        <w:rPr>
          <w:rFonts w:ascii="Arial" w:hAnsi="Arial" w:cs="Arial"/>
          <w:sz w:val="20"/>
          <w:szCs w:val="20"/>
        </w:rPr>
        <w:t>ostatních případech (mimo aplikaci integrovaných nástrojů) by například ŘO v</w:t>
      </w:r>
      <w:r>
        <w:rPr>
          <w:rFonts w:ascii="Arial" w:hAnsi="Arial" w:cs="Arial"/>
          <w:sz w:val="20"/>
          <w:szCs w:val="20"/>
        </w:rPr>
        <w:t> </w:t>
      </w:r>
      <w:r w:rsidRPr="00CA34CF">
        <w:rPr>
          <w:rFonts w:ascii="Arial" w:hAnsi="Arial" w:cs="Arial"/>
          <w:sz w:val="20"/>
          <w:szCs w:val="20"/>
        </w:rPr>
        <w:t>příslušném tematickém operačním programu sledoval pouze plnění obecných rámcových požadavků O</w:t>
      </w:r>
      <w:bookmarkStart w:id="0" w:name="_GoBack"/>
      <w:bookmarkEnd w:id="0"/>
      <w:r w:rsidRPr="00CA34CF">
        <w:rPr>
          <w:rFonts w:ascii="Arial" w:hAnsi="Arial" w:cs="Arial"/>
          <w:sz w:val="20"/>
          <w:szCs w:val="20"/>
        </w:rPr>
        <w:t xml:space="preserve">P, roli „zprostředkujícího subjektu“ (zejména doporučují projekty k realizaci) by plnil regionální orgán zastupovaný regionálními aktéry (kraji, obcemi podnikateli a neziskovým sektorem). Finanční prostředky na jednotlivé schválené akce by nebyly poskytovány regionálnímu orgánu, ale přímo příjemci podpory. </w:t>
      </w:r>
      <w:r w:rsidRPr="00414403">
        <w:rPr>
          <w:rFonts w:ascii="Arial" w:hAnsi="Arial" w:cs="Arial"/>
          <w:bCs/>
          <w:sz w:val="20"/>
          <w:szCs w:val="20"/>
        </w:rPr>
        <w:t>Využitelné zejména v IROP</w:t>
      </w:r>
      <w:r w:rsidRPr="00CA34CF">
        <w:rPr>
          <w:rFonts w:ascii="Arial" w:hAnsi="Arial" w:cs="Arial"/>
          <w:sz w:val="20"/>
          <w:szCs w:val="20"/>
        </w:rPr>
        <w:t xml:space="preserve">. </w:t>
      </w:r>
    </w:p>
    <w:p w:rsidR="005D4BFA" w:rsidRPr="0089341D" w:rsidRDefault="005D4BFA" w:rsidP="001F03D8">
      <w:pPr>
        <w:pStyle w:val="Odstavecseseznamem"/>
        <w:numPr>
          <w:ilvl w:val="0"/>
          <w:numId w:val="16"/>
        </w:numPr>
        <w:tabs>
          <w:tab w:val="clear" w:pos="2145"/>
          <w:tab w:val="num" w:pos="1800"/>
        </w:tabs>
        <w:ind w:left="1800"/>
        <w:jc w:val="both"/>
        <w:rPr>
          <w:rFonts w:ascii="Arial" w:hAnsi="Arial" w:cs="Arial"/>
          <w:sz w:val="20"/>
          <w:szCs w:val="20"/>
        </w:rPr>
      </w:pPr>
      <w:r w:rsidRPr="00CA34CF">
        <w:rPr>
          <w:rFonts w:ascii="Arial" w:hAnsi="Arial" w:cs="Arial"/>
          <w:sz w:val="20"/>
          <w:szCs w:val="20"/>
        </w:rPr>
        <w:t>Pro tuto část „regionální zájem“ platí obdobně, že v</w:t>
      </w:r>
      <w:r>
        <w:rPr>
          <w:rFonts w:ascii="Arial" w:hAnsi="Arial" w:cs="Arial"/>
          <w:sz w:val="20"/>
          <w:szCs w:val="20"/>
        </w:rPr>
        <w:t> </w:t>
      </w:r>
      <w:r w:rsidRPr="00CA34CF">
        <w:rPr>
          <w:rFonts w:ascii="Arial" w:hAnsi="Arial" w:cs="Arial"/>
          <w:sz w:val="20"/>
          <w:szCs w:val="20"/>
        </w:rPr>
        <w:t>rámci této úrovně se počítá s</w:t>
      </w:r>
      <w:r>
        <w:rPr>
          <w:rFonts w:ascii="Arial" w:hAnsi="Arial" w:cs="Arial"/>
          <w:sz w:val="20"/>
          <w:szCs w:val="20"/>
        </w:rPr>
        <w:t> </w:t>
      </w:r>
      <w:r w:rsidRPr="00CA34CF">
        <w:rPr>
          <w:rFonts w:ascii="Arial" w:hAnsi="Arial" w:cs="Arial"/>
          <w:sz w:val="20"/>
          <w:szCs w:val="20"/>
        </w:rPr>
        <w:t xml:space="preserve">využitím jak individuálních projektů předkládaných kraji a obcemi tak </w:t>
      </w:r>
      <w:r w:rsidRPr="00CA34CF">
        <w:rPr>
          <w:rFonts w:ascii="Arial" w:hAnsi="Arial" w:cs="Arial"/>
          <w:sz w:val="20"/>
          <w:szCs w:val="20"/>
        </w:rPr>
        <w:lastRenderedPageBreak/>
        <w:t>integrovaných nástrojů</w:t>
      </w:r>
      <w:r w:rsidR="00512641">
        <w:rPr>
          <w:rFonts w:ascii="Arial" w:hAnsi="Arial" w:cs="Arial"/>
          <w:sz w:val="20"/>
          <w:szCs w:val="20"/>
        </w:rPr>
        <w:t xml:space="preserve"> -</w:t>
      </w:r>
      <w:r w:rsidRPr="00CA34CF">
        <w:rPr>
          <w:rFonts w:ascii="Arial" w:hAnsi="Arial" w:cs="Arial"/>
          <w:sz w:val="20"/>
          <w:szCs w:val="20"/>
        </w:rPr>
        <w:t xml:space="preserve"> tj. existence integrované strategie nevylučuje (pro území v</w:t>
      </w:r>
      <w:r>
        <w:rPr>
          <w:rFonts w:ascii="Arial" w:hAnsi="Arial" w:cs="Arial"/>
          <w:sz w:val="20"/>
          <w:szCs w:val="20"/>
        </w:rPr>
        <w:t> </w:t>
      </w:r>
      <w:r w:rsidRPr="00CA34CF">
        <w:rPr>
          <w:rFonts w:ascii="Arial" w:hAnsi="Arial" w:cs="Arial"/>
          <w:sz w:val="20"/>
          <w:szCs w:val="20"/>
        </w:rPr>
        <w:t>rámci IS) možnost realizovat projekty současně i prostřednictvím individuálních projektů.</w:t>
      </w:r>
    </w:p>
    <w:p w:rsidR="005D4BFA" w:rsidRDefault="005D4BFA">
      <w:pPr>
        <w:spacing w:after="120"/>
        <w:jc w:val="both"/>
        <w:rPr>
          <w:rFonts w:ascii="Arial" w:hAnsi="Arial" w:cs="Arial"/>
          <w:sz w:val="20"/>
          <w:szCs w:val="20"/>
        </w:rPr>
      </w:pPr>
    </w:p>
    <w:p w:rsidR="005D4BFA" w:rsidRPr="004F4DA9" w:rsidRDefault="005D4BFA">
      <w:pPr>
        <w:spacing w:after="120"/>
        <w:jc w:val="both"/>
        <w:rPr>
          <w:rFonts w:ascii="Arial" w:hAnsi="Arial" w:cs="Arial"/>
          <w:sz w:val="20"/>
          <w:szCs w:val="20"/>
        </w:rPr>
      </w:pPr>
    </w:p>
    <w:sectPr w:rsidR="005D4BFA" w:rsidRPr="004F4DA9" w:rsidSect="00F0115E">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4F7" w:rsidRDefault="00AE44F7" w:rsidP="0089341D">
      <w:pPr>
        <w:spacing w:after="0" w:line="240" w:lineRule="auto"/>
      </w:pPr>
      <w:r>
        <w:separator/>
      </w:r>
    </w:p>
  </w:endnote>
  <w:endnote w:type="continuationSeparator" w:id="0">
    <w:p w:rsidR="00AE44F7" w:rsidRDefault="00AE44F7" w:rsidP="0089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BFA" w:rsidRDefault="005D4BFA" w:rsidP="00E904F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D4BFA" w:rsidRDefault="005D4BFA" w:rsidP="00861C3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BFA" w:rsidRDefault="005D4BFA" w:rsidP="00E904F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14403">
      <w:rPr>
        <w:rStyle w:val="slostrnky"/>
        <w:noProof/>
      </w:rPr>
      <w:t>7</w:t>
    </w:r>
    <w:r>
      <w:rPr>
        <w:rStyle w:val="slostrnky"/>
      </w:rPr>
      <w:fldChar w:fldCharType="end"/>
    </w:r>
  </w:p>
  <w:p w:rsidR="005D4BFA" w:rsidRDefault="005D4BFA" w:rsidP="00861C38">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4F7" w:rsidRDefault="00AE44F7" w:rsidP="0089341D">
      <w:pPr>
        <w:spacing w:after="0" w:line="240" w:lineRule="auto"/>
      </w:pPr>
      <w:r>
        <w:separator/>
      </w:r>
    </w:p>
  </w:footnote>
  <w:footnote w:type="continuationSeparator" w:id="0">
    <w:p w:rsidR="00AE44F7" w:rsidRDefault="00AE44F7" w:rsidP="00893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BFA" w:rsidRDefault="005D4BFA">
    <w:pPr>
      <w:pStyle w:val="Zhlav"/>
    </w:pPr>
    <w:r>
      <w:t xml:space="preserve">Podklad MMR </w:t>
    </w:r>
    <w:r w:rsidR="00512641">
      <w:t>pro jednání s ŘO a regionálními partnery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FDE3A24"/>
    <w:lvl w:ilvl="0">
      <w:start w:val="1"/>
      <w:numFmt w:val="decimal"/>
      <w:lvlText w:val="%1."/>
      <w:lvlJc w:val="left"/>
      <w:pPr>
        <w:tabs>
          <w:tab w:val="num" w:pos="926"/>
        </w:tabs>
        <w:ind w:left="926" w:hanging="360"/>
      </w:pPr>
    </w:lvl>
  </w:abstractNum>
  <w:abstractNum w:abstractNumId="1">
    <w:nsid w:val="FFFFFF7F"/>
    <w:multiLevelType w:val="singleLevel"/>
    <w:tmpl w:val="A4ECA22E"/>
    <w:lvl w:ilvl="0">
      <w:start w:val="1"/>
      <w:numFmt w:val="decimal"/>
      <w:lvlText w:val="%1."/>
      <w:lvlJc w:val="left"/>
      <w:pPr>
        <w:tabs>
          <w:tab w:val="num" w:pos="643"/>
        </w:tabs>
        <w:ind w:left="643" w:hanging="360"/>
      </w:pPr>
    </w:lvl>
  </w:abstractNum>
  <w:abstractNum w:abstractNumId="2">
    <w:nsid w:val="03742C90"/>
    <w:multiLevelType w:val="hybridMultilevel"/>
    <w:tmpl w:val="A644EB8E"/>
    <w:lvl w:ilvl="0" w:tplc="A73E8AF4">
      <w:numFmt w:val="bullet"/>
      <w:lvlText w:val="-"/>
      <w:lvlJc w:val="left"/>
      <w:pPr>
        <w:tabs>
          <w:tab w:val="num" w:pos="1065"/>
        </w:tabs>
        <w:ind w:left="1065"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06E361C0"/>
    <w:multiLevelType w:val="hybridMultilevel"/>
    <w:tmpl w:val="A3D6CA94"/>
    <w:lvl w:ilvl="0" w:tplc="A73E8AF4">
      <w:numFmt w:val="bullet"/>
      <w:lvlText w:val="-"/>
      <w:lvlJc w:val="left"/>
      <w:pPr>
        <w:tabs>
          <w:tab w:val="num" w:pos="1776"/>
        </w:tabs>
        <w:ind w:left="1776" w:hanging="360"/>
      </w:pPr>
      <w:rPr>
        <w:rFonts w:ascii="Times New Roman" w:eastAsia="Times New Roman" w:hAnsi="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nsid w:val="07144499"/>
    <w:multiLevelType w:val="hybridMultilevel"/>
    <w:tmpl w:val="C9AED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EE1FA2"/>
    <w:multiLevelType w:val="hybridMultilevel"/>
    <w:tmpl w:val="C9AED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741D42"/>
    <w:multiLevelType w:val="hybridMultilevel"/>
    <w:tmpl w:val="C9AED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FF1F60"/>
    <w:multiLevelType w:val="hybridMultilevel"/>
    <w:tmpl w:val="C9AED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614EAF"/>
    <w:multiLevelType w:val="hybridMultilevel"/>
    <w:tmpl w:val="0154487C"/>
    <w:lvl w:ilvl="0" w:tplc="04050001">
      <w:start w:val="1"/>
      <w:numFmt w:val="lowerRoman"/>
      <w:lvlText w:val="(%1)"/>
      <w:lvlJc w:val="left"/>
      <w:pPr>
        <w:ind w:left="1440" w:hanging="360"/>
      </w:pPr>
      <w:rPr>
        <w:rFonts w:hint="default"/>
      </w:rPr>
    </w:lvl>
    <w:lvl w:ilvl="1" w:tplc="A73E8AF4">
      <w:numFmt w:val="bullet"/>
      <w:lvlText w:val="-"/>
      <w:lvlJc w:val="left"/>
      <w:pPr>
        <w:tabs>
          <w:tab w:val="num" w:pos="2160"/>
        </w:tabs>
        <w:ind w:left="2160" w:hanging="360"/>
      </w:pPr>
      <w:rPr>
        <w:rFonts w:ascii="Times New Roman" w:eastAsia="Times New Roman" w:hAnsi="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4284869"/>
    <w:multiLevelType w:val="hybridMultilevel"/>
    <w:tmpl w:val="6DA6DD5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nsid w:val="24447874"/>
    <w:multiLevelType w:val="hybridMultilevel"/>
    <w:tmpl w:val="C9AED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293A7E"/>
    <w:multiLevelType w:val="hybridMultilevel"/>
    <w:tmpl w:val="BCAC9C3E"/>
    <w:lvl w:ilvl="0" w:tplc="A73E8AF4">
      <w:numFmt w:val="bullet"/>
      <w:lvlText w:val="-"/>
      <w:lvlJc w:val="left"/>
      <w:pPr>
        <w:tabs>
          <w:tab w:val="num" w:pos="2145"/>
        </w:tabs>
        <w:ind w:left="2145" w:hanging="360"/>
      </w:pPr>
      <w:rPr>
        <w:rFonts w:ascii="Times New Roman" w:eastAsia="Times New Roman" w:hAnsi="Times New Roman" w:hint="default"/>
      </w:rPr>
    </w:lvl>
    <w:lvl w:ilvl="1" w:tplc="04050003">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cs="Wingdings" w:hint="default"/>
      </w:rPr>
    </w:lvl>
    <w:lvl w:ilvl="3" w:tplc="04050001" w:tentative="1">
      <w:start w:val="1"/>
      <w:numFmt w:val="bullet"/>
      <w:lvlText w:val=""/>
      <w:lvlJc w:val="left"/>
      <w:pPr>
        <w:tabs>
          <w:tab w:val="num" w:pos="3960"/>
        </w:tabs>
        <w:ind w:left="3960" w:hanging="360"/>
      </w:pPr>
      <w:rPr>
        <w:rFonts w:ascii="Symbol" w:hAnsi="Symbol" w:cs="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cs="Wingdings" w:hint="default"/>
      </w:rPr>
    </w:lvl>
    <w:lvl w:ilvl="6" w:tplc="04050001" w:tentative="1">
      <w:start w:val="1"/>
      <w:numFmt w:val="bullet"/>
      <w:lvlText w:val=""/>
      <w:lvlJc w:val="left"/>
      <w:pPr>
        <w:tabs>
          <w:tab w:val="num" w:pos="6120"/>
        </w:tabs>
        <w:ind w:left="6120" w:hanging="360"/>
      </w:pPr>
      <w:rPr>
        <w:rFonts w:ascii="Symbol" w:hAnsi="Symbol" w:cs="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cs="Wingdings" w:hint="default"/>
      </w:rPr>
    </w:lvl>
  </w:abstractNum>
  <w:abstractNum w:abstractNumId="12">
    <w:nsid w:val="28AE68BF"/>
    <w:multiLevelType w:val="hybridMultilevel"/>
    <w:tmpl w:val="C9AED21C"/>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880D48"/>
    <w:multiLevelType w:val="hybridMultilevel"/>
    <w:tmpl w:val="C9AED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12173E6"/>
    <w:multiLevelType w:val="hybridMultilevel"/>
    <w:tmpl w:val="B2E6A41E"/>
    <w:lvl w:ilvl="0" w:tplc="F466A4CC">
      <w:start w:val="12"/>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nsid w:val="34BA0F4C"/>
    <w:multiLevelType w:val="hybridMultilevel"/>
    <w:tmpl w:val="C9AED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5177EE8"/>
    <w:multiLevelType w:val="hybridMultilevel"/>
    <w:tmpl w:val="C9AED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DC32084"/>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E5F11FA"/>
    <w:multiLevelType w:val="hybridMultilevel"/>
    <w:tmpl w:val="C9AED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825DA3"/>
    <w:multiLevelType w:val="hybridMultilevel"/>
    <w:tmpl w:val="C9AED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7536F75"/>
    <w:multiLevelType w:val="hybridMultilevel"/>
    <w:tmpl w:val="C9AED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33F687C"/>
    <w:multiLevelType w:val="hybridMultilevel"/>
    <w:tmpl w:val="C9AED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072842"/>
    <w:multiLevelType w:val="hybridMultilevel"/>
    <w:tmpl w:val="C9AED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61070E5"/>
    <w:multiLevelType w:val="hybridMultilevel"/>
    <w:tmpl w:val="8B20DFEE"/>
    <w:lvl w:ilvl="0" w:tplc="A73E8AF4">
      <w:numFmt w:val="bullet"/>
      <w:lvlText w:val="-"/>
      <w:lvlJc w:val="left"/>
      <w:pPr>
        <w:tabs>
          <w:tab w:val="num" w:pos="1065"/>
        </w:tabs>
        <w:ind w:left="1065"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626216D9"/>
    <w:multiLevelType w:val="hybridMultilevel"/>
    <w:tmpl w:val="4C7224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9397110"/>
    <w:multiLevelType w:val="hybridMultilevel"/>
    <w:tmpl w:val="C9AED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9DE49EC"/>
    <w:multiLevelType w:val="hybridMultilevel"/>
    <w:tmpl w:val="4B0A21C6"/>
    <w:lvl w:ilvl="0" w:tplc="04050001">
      <w:start w:val="1"/>
      <w:numFmt w:val="bullet"/>
      <w:lvlText w:val=""/>
      <w:lvlJc w:val="left"/>
      <w:pPr>
        <w:ind w:left="720" w:hanging="360"/>
      </w:pPr>
      <w:rPr>
        <w:rFonts w:ascii="Symbol" w:hAnsi="Symbol" w:cs="Symbol" w:hint="default"/>
      </w:rPr>
    </w:lvl>
    <w:lvl w:ilvl="1" w:tplc="04050003">
      <w:start w:val="1"/>
      <w:numFmt w:val="bullet"/>
      <w:pStyle w:val="Nadpis2"/>
      <w:lvlText w:val="o"/>
      <w:lvlJc w:val="left"/>
      <w:pPr>
        <w:ind w:left="1440" w:hanging="360"/>
      </w:pPr>
      <w:rPr>
        <w:rFonts w:ascii="Courier New" w:hAnsi="Courier New" w:cs="Courier New" w:hint="default"/>
      </w:rPr>
    </w:lvl>
    <w:lvl w:ilvl="2" w:tplc="04050005">
      <w:start w:val="1"/>
      <w:numFmt w:val="bullet"/>
      <w:pStyle w:val="Nadpis3"/>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7">
    <w:nsid w:val="71127CD7"/>
    <w:multiLevelType w:val="hybridMultilevel"/>
    <w:tmpl w:val="C9AED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280376"/>
    <w:multiLevelType w:val="hybridMultilevel"/>
    <w:tmpl w:val="6C4E59EE"/>
    <w:lvl w:ilvl="0" w:tplc="A73E8AF4">
      <w:numFmt w:val="bullet"/>
      <w:lvlText w:val="-"/>
      <w:lvlJc w:val="left"/>
      <w:pPr>
        <w:tabs>
          <w:tab w:val="num" w:pos="1065"/>
        </w:tabs>
        <w:ind w:left="1065"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7ED1742C"/>
    <w:multiLevelType w:val="hybridMultilevel"/>
    <w:tmpl w:val="C9AED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4"/>
  </w:num>
  <w:num w:numId="14">
    <w:abstractNumId w:val="8"/>
  </w:num>
  <w:num w:numId="15">
    <w:abstractNumId w:val="3"/>
  </w:num>
  <w:num w:numId="16">
    <w:abstractNumId w:val="11"/>
  </w:num>
  <w:num w:numId="17">
    <w:abstractNumId w:val="9"/>
  </w:num>
  <w:num w:numId="18">
    <w:abstractNumId w:val="23"/>
  </w:num>
  <w:num w:numId="19">
    <w:abstractNumId w:val="28"/>
  </w:num>
  <w:num w:numId="20">
    <w:abstractNumId w:val="26"/>
  </w:num>
  <w:num w:numId="21">
    <w:abstractNumId w:val="15"/>
  </w:num>
  <w:num w:numId="22">
    <w:abstractNumId w:val="22"/>
  </w:num>
  <w:num w:numId="23">
    <w:abstractNumId w:val="7"/>
  </w:num>
  <w:num w:numId="24">
    <w:abstractNumId w:val="18"/>
  </w:num>
  <w:num w:numId="25">
    <w:abstractNumId w:val="12"/>
  </w:num>
  <w:num w:numId="26">
    <w:abstractNumId w:val="29"/>
  </w:num>
  <w:num w:numId="27">
    <w:abstractNumId w:val="21"/>
  </w:num>
  <w:num w:numId="28">
    <w:abstractNumId w:val="16"/>
  </w:num>
  <w:num w:numId="29">
    <w:abstractNumId w:val="10"/>
  </w:num>
  <w:num w:numId="30">
    <w:abstractNumId w:val="20"/>
  </w:num>
  <w:num w:numId="31">
    <w:abstractNumId w:val="25"/>
  </w:num>
  <w:num w:numId="32">
    <w:abstractNumId w:val="5"/>
  </w:num>
  <w:num w:numId="33">
    <w:abstractNumId w:val="19"/>
  </w:num>
  <w:num w:numId="34">
    <w:abstractNumId w:val="27"/>
  </w:num>
  <w:num w:numId="35">
    <w:abstractNumId w:val="13"/>
  </w:num>
  <w:num w:numId="36">
    <w:abstractNumId w:val="4"/>
  </w:num>
  <w:num w:numId="37">
    <w:abstractNumId w:val="6"/>
  </w:num>
  <w:num w:numId="38">
    <w:abstractNumId w:val="2"/>
  </w:num>
  <w:num w:numId="39">
    <w:abstractNumId w:val="24"/>
  </w:num>
  <w:num w:numId="40">
    <w:abstractNumId w:val="17"/>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41">
    <w:abstractNumId w:val="17"/>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42">
    <w:abstractNumId w:val="17"/>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FC"/>
    <w:rsid w:val="000154FE"/>
    <w:rsid w:val="000412CD"/>
    <w:rsid w:val="000679DC"/>
    <w:rsid w:val="00073BA6"/>
    <w:rsid w:val="000B26F7"/>
    <w:rsid w:val="000D2D4C"/>
    <w:rsid w:val="000D4562"/>
    <w:rsid w:val="000D47F1"/>
    <w:rsid w:val="000D7890"/>
    <w:rsid w:val="000E4CD7"/>
    <w:rsid w:val="000F7187"/>
    <w:rsid w:val="001025A2"/>
    <w:rsid w:val="00113574"/>
    <w:rsid w:val="00123D65"/>
    <w:rsid w:val="00135123"/>
    <w:rsid w:val="00160B8D"/>
    <w:rsid w:val="0016325B"/>
    <w:rsid w:val="00174458"/>
    <w:rsid w:val="001747D8"/>
    <w:rsid w:val="00180A86"/>
    <w:rsid w:val="0018451D"/>
    <w:rsid w:val="001A5039"/>
    <w:rsid w:val="001B566C"/>
    <w:rsid w:val="001E4861"/>
    <w:rsid w:val="001F03D8"/>
    <w:rsid w:val="001F2EC5"/>
    <w:rsid w:val="0021554D"/>
    <w:rsid w:val="00222750"/>
    <w:rsid w:val="00231EC2"/>
    <w:rsid w:val="0024645F"/>
    <w:rsid w:val="0025372B"/>
    <w:rsid w:val="00272E4D"/>
    <w:rsid w:val="00283C39"/>
    <w:rsid w:val="002936A0"/>
    <w:rsid w:val="002946D5"/>
    <w:rsid w:val="002A387D"/>
    <w:rsid w:val="002D64B5"/>
    <w:rsid w:val="0030153C"/>
    <w:rsid w:val="0032759D"/>
    <w:rsid w:val="00340C4F"/>
    <w:rsid w:val="0034256B"/>
    <w:rsid w:val="00365ABF"/>
    <w:rsid w:val="00392E69"/>
    <w:rsid w:val="003A089E"/>
    <w:rsid w:val="003B39CC"/>
    <w:rsid w:val="003D1977"/>
    <w:rsid w:val="003E1D61"/>
    <w:rsid w:val="003F4F4D"/>
    <w:rsid w:val="00412079"/>
    <w:rsid w:val="00414403"/>
    <w:rsid w:val="00420F8A"/>
    <w:rsid w:val="00432C75"/>
    <w:rsid w:val="00434584"/>
    <w:rsid w:val="00453BF2"/>
    <w:rsid w:val="00463A4C"/>
    <w:rsid w:val="004D00D6"/>
    <w:rsid w:val="004D1198"/>
    <w:rsid w:val="004D1369"/>
    <w:rsid w:val="004F0D49"/>
    <w:rsid w:val="004F4DA9"/>
    <w:rsid w:val="00512641"/>
    <w:rsid w:val="00563461"/>
    <w:rsid w:val="00563FA6"/>
    <w:rsid w:val="00570184"/>
    <w:rsid w:val="00587D34"/>
    <w:rsid w:val="0059758C"/>
    <w:rsid w:val="005B068B"/>
    <w:rsid w:val="005D21C6"/>
    <w:rsid w:val="005D4BFA"/>
    <w:rsid w:val="005E27E7"/>
    <w:rsid w:val="005F0820"/>
    <w:rsid w:val="0060622C"/>
    <w:rsid w:val="00617C5B"/>
    <w:rsid w:val="006257A2"/>
    <w:rsid w:val="00645F0F"/>
    <w:rsid w:val="0064667C"/>
    <w:rsid w:val="00654CDC"/>
    <w:rsid w:val="00674367"/>
    <w:rsid w:val="006957E0"/>
    <w:rsid w:val="00696FCD"/>
    <w:rsid w:val="006A1934"/>
    <w:rsid w:val="006A39AC"/>
    <w:rsid w:val="006B05CE"/>
    <w:rsid w:val="006B15FC"/>
    <w:rsid w:val="006B56C8"/>
    <w:rsid w:val="006E0A83"/>
    <w:rsid w:val="00700D06"/>
    <w:rsid w:val="00704E91"/>
    <w:rsid w:val="00707B62"/>
    <w:rsid w:val="007365A8"/>
    <w:rsid w:val="00767DB8"/>
    <w:rsid w:val="00772C23"/>
    <w:rsid w:val="007730FC"/>
    <w:rsid w:val="007A59D5"/>
    <w:rsid w:val="007B1F97"/>
    <w:rsid w:val="007B5644"/>
    <w:rsid w:val="007C14C4"/>
    <w:rsid w:val="007D0286"/>
    <w:rsid w:val="007E5E55"/>
    <w:rsid w:val="007E6B46"/>
    <w:rsid w:val="00830F79"/>
    <w:rsid w:val="008610A1"/>
    <w:rsid w:val="00861C38"/>
    <w:rsid w:val="0089341D"/>
    <w:rsid w:val="008971EE"/>
    <w:rsid w:val="008A1FF6"/>
    <w:rsid w:val="008A34B2"/>
    <w:rsid w:val="008A3F7A"/>
    <w:rsid w:val="008D0C2C"/>
    <w:rsid w:val="008D2608"/>
    <w:rsid w:val="00943F94"/>
    <w:rsid w:val="00963BED"/>
    <w:rsid w:val="009971FA"/>
    <w:rsid w:val="009B1FF4"/>
    <w:rsid w:val="009B2533"/>
    <w:rsid w:val="009B66EE"/>
    <w:rsid w:val="009D1318"/>
    <w:rsid w:val="009E2EAB"/>
    <w:rsid w:val="00A020C2"/>
    <w:rsid w:val="00A35B7E"/>
    <w:rsid w:val="00A52A9B"/>
    <w:rsid w:val="00A55CE8"/>
    <w:rsid w:val="00A65A7F"/>
    <w:rsid w:val="00A75124"/>
    <w:rsid w:val="00A90B08"/>
    <w:rsid w:val="00AA244F"/>
    <w:rsid w:val="00AA44A3"/>
    <w:rsid w:val="00AB3C38"/>
    <w:rsid w:val="00AC1B30"/>
    <w:rsid w:val="00AC5309"/>
    <w:rsid w:val="00AC750F"/>
    <w:rsid w:val="00AE44F7"/>
    <w:rsid w:val="00AE4F6C"/>
    <w:rsid w:val="00B04215"/>
    <w:rsid w:val="00B05488"/>
    <w:rsid w:val="00B1011D"/>
    <w:rsid w:val="00B121E2"/>
    <w:rsid w:val="00B20565"/>
    <w:rsid w:val="00B214C3"/>
    <w:rsid w:val="00B26DB2"/>
    <w:rsid w:val="00B27E4D"/>
    <w:rsid w:val="00B309A1"/>
    <w:rsid w:val="00B33FC8"/>
    <w:rsid w:val="00B34CFE"/>
    <w:rsid w:val="00B3726A"/>
    <w:rsid w:val="00B432BE"/>
    <w:rsid w:val="00B4653A"/>
    <w:rsid w:val="00B653FB"/>
    <w:rsid w:val="00B83A99"/>
    <w:rsid w:val="00B8465F"/>
    <w:rsid w:val="00B87BEB"/>
    <w:rsid w:val="00B91964"/>
    <w:rsid w:val="00B94455"/>
    <w:rsid w:val="00BD47AC"/>
    <w:rsid w:val="00BE6CED"/>
    <w:rsid w:val="00BF138E"/>
    <w:rsid w:val="00BF4D41"/>
    <w:rsid w:val="00C07209"/>
    <w:rsid w:val="00C129A5"/>
    <w:rsid w:val="00C158C6"/>
    <w:rsid w:val="00C42D06"/>
    <w:rsid w:val="00C61B83"/>
    <w:rsid w:val="00C83F80"/>
    <w:rsid w:val="00CA34CF"/>
    <w:rsid w:val="00CA6AF9"/>
    <w:rsid w:val="00CB7307"/>
    <w:rsid w:val="00CC7475"/>
    <w:rsid w:val="00CD36F3"/>
    <w:rsid w:val="00D01F28"/>
    <w:rsid w:val="00D022D7"/>
    <w:rsid w:val="00D55452"/>
    <w:rsid w:val="00D571E3"/>
    <w:rsid w:val="00D61894"/>
    <w:rsid w:val="00D67AF5"/>
    <w:rsid w:val="00D939E0"/>
    <w:rsid w:val="00DA4938"/>
    <w:rsid w:val="00DB69BE"/>
    <w:rsid w:val="00DC5255"/>
    <w:rsid w:val="00DE072E"/>
    <w:rsid w:val="00DE1ADA"/>
    <w:rsid w:val="00E13E6D"/>
    <w:rsid w:val="00E266F5"/>
    <w:rsid w:val="00E34556"/>
    <w:rsid w:val="00E40E6A"/>
    <w:rsid w:val="00E44FB6"/>
    <w:rsid w:val="00E57DDA"/>
    <w:rsid w:val="00E904F1"/>
    <w:rsid w:val="00EA020D"/>
    <w:rsid w:val="00EA686F"/>
    <w:rsid w:val="00EC70DA"/>
    <w:rsid w:val="00EE5DAA"/>
    <w:rsid w:val="00F0115E"/>
    <w:rsid w:val="00F30F9B"/>
    <w:rsid w:val="00F41C3F"/>
    <w:rsid w:val="00F60973"/>
    <w:rsid w:val="00F75B0E"/>
    <w:rsid w:val="00F83A76"/>
    <w:rsid w:val="00F84F58"/>
    <w:rsid w:val="00F93F25"/>
    <w:rsid w:val="00FA3176"/>
    <w:rsid w:val="00FB442A"/>
    <w:rsid w:val="00FB6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List Number 2" w:unhideWhenUsed="0"/>
    <w:lsdException w:name="List Number 3"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2608"/>
    <w:pPr>
      <w:spacing w:after="200" w:line="276" w:lineRule="auto"/>
    </w:pPr>
    <w:rPr>
      <w:rFonts w:cs="Calibri"/>
    </w:rPr>
  </w:style>
  <w:style w:type="paragraph" w:styleId="Nadpis2">
    <w:name w:val="heading 2"/>
    <w:basedOn w:val="slovanseznam2"/>
    <w:next w:val="Normln"/>
    <w:link w:val="Nadpis2Char"/>
    <w:autoRedefine/>
    <w:uiPriority w:val="99"/>
    <w:qFormat/>
    <w:rsid w:val="00283C39"/>
    <w:pPr>
      <w:keepNext/>
      <w:numPr>
        <w:ilvl w:val="1"/>
        <w:numId w:val="20"/>
      </w:numPr>
      <w:spacing w:before="120" w:after="120" w:line="240" w:lineRule="auto"/>
      <w:ind w:left="576" w:hanging="576"/>
      <w:jc w:val="both"/>
      <w:outlineLvl w:val="1"/>
    </w:pPr>
    <w:rPr>
      <w:rFonts w:ascii="Arial" w:hAnsi="Arial" w:cs="Arial"/>
      <w:b/>
      <w:bCs/>
      <w:color w:val="02325E"/>
    </w:rPr>
  </w:style>
  <w:style w:type="paragraph" w:styleId="Nadpis3">
    <w:name w:val="heading 3"/>
    <w:basedOn w:val="slovanseznam3"/>
    <w:next w:val="Normln"/>
    <w:link w:val="Nadpis3Char"/>
    <w:autoRedefine/>
    <w:uiPriority w:val="99"/>
    <w:qFormat/>
    <w:rsid w:val="00283C39"/>
    <w:pPr>
      <w:numPr>
        <w:ilvl w:val="2"/>
        <w:numId w:val="20"/>
      </w:numPr>
      <w:tabs>
        <w:tab w:val="num" w:pos="2220"/>
      </w:tabs>
      <w:spacing w:before="120" w:after="120" w:line="240" w:lineRule="auto"/>
      <w:ind w:hanging="720"/>
      <w:jc w:val="both"/>
      <w:outlineLvl w:val="2"/>
    </w:pPr>
    <w:rPr>
      <w:rFonts w:ascii="Arial" w:hAnsi="Arial" w:cs="Arial"/>
      <w:b/>
      <w:bCs/>
      <w:noProof/>
      <w:color w:val="17365D"/>
      <w:spacing w:val="-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283C39"/>
    <w:rPr>
      <w:rFonts w:ascii="Arial" w:hAnsi="Arial" w:cs="Arial"/>
      <w:b/>
      <w:bCs/>
      <w:color w:val="02325E"/>
    </w:rPr>
  </w:style>
  <w:style w:type="character" w:customStyle="1" w:styleId="Nadpis3Char">
    <w:name w:val="Nadpis 3 Char"/>
    <w:basedOn w:val="Standardnpsmoodstavce"/>
    <w:link w:val="Nadpis3"/>
    <w:uiPriority w:val="99"/>
    <w:rsid w:val="00222750"/>
    <w:rPr>
      <w:rFonts w:ascii="Arial" w:hAnsi="Arial" w:cs="Arial"/>
      <w:b/>
      <w:bCs/>
      <w:noProof/>
      <w:color w:val="17365D"/>
      <w:spacing w:val="-6"/>
    </w:rPr>
  </w:style>
  <w:style w:type="paragraph" w:styleId="Textbubliny">
    <w:name w:val="Balloon Text"/>
    <w:basedOn w:val="Normln"/>
    <w:link w:val="TextbublinyChar"/>
    <w:uiPriority w:val="99"/>
    <w:semiHidden/>
    <w:rsid w:val="00CA34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2750"/>
    <w:rPr>
      <w:rFonts w:ascii="Times New Roman" w:hAnsi="Times New Roman" w:cs="Times New Roman"/>
      <w:sz w:val="2"/>
      <w:szCs w:val="2"/>
    </w:rPr>
  </w:style>
  <w:style w:type="paragraph" w:styleId="Odstavecseseznamem">
    <w:name w:val="List Paragraph"/>
    <w:basedOn w:val="Normln"/>
    <w:uiPriority w:val="99"/>
    <w:qFormat/>
    <w:rsid w:val="009B1FF4"/>
    <w:pPr>
      <w:ind w:left="720"/>
      <w:contextualSpacing/>
    </w:pPr>
  </w:style>
  <w:style w:type="table" w:styleId="Mkatabulky">
    <w:name w:val="Table Grid"/>
    <w:basedOn w:val="Normlntabulka"/>
    <w:uiPriority w:val="99"/>
    <w:rsid w:val="00AC5309"/>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at">
    <w:name w:val="footer"/>
    <w:basedOn w:val="Normln"/>
    <w:link w:val="ZpatChar"/>
    <w:uiPriority w:val="99"/>
    <w:rsid w:val="00861C38"/>
    <w:pPr>
      <w:tabs>
        <w:tab w:val="center" w:pos="4536"/>
        <w:tab w:val="right" w:pos="9072"/>
      </w:tabs>
    </w:pPr>
  </w:style>
  <w:style w:type="character" w:customStyle="1" w:styleId="ZpatChar">
    <w:name w:val="Zápatí Char"/>
    <w:basedOn w:val="Standardnpsmoodstavce"/>
    <w:link w:val="Zpat"/>
    <w:uiPriority w:val="99"/>
    <w:semiHidden/>
    <w:rsid w:val="00222750"/>
  </w:style>
  <w:style w:type="character" w:styleId="slostrnky">
    <w:name w:val="page number"/>
    <w:basedOn w:val="Standardnpsmoodstavce"/>
    <w:uiPriority w:val="99"/>
    <w:rsid w:val="00861C38"/>
  </w:style>
  <w:style w:type="paragraph" w:styleId="Textpoznpodarou">
    <w:name w:val="footnote text"/>
    <w:aliases w:val="pozn. pod čarou,Footnote text,Fußnotentextf,Schriftart: 9 pt,Schriftart: 10 pt,Schriftart: 8 pt,Text pozn. pod čarou_martin_ang"/>
    <w:basedOn w:val="Normln"/>
    <w:link w:val="TextpoznpodarouChar"/>
    <w:autoRedefine/>
    <w:uiPriority w:val="99"/>
    <w:semiHidden/>
    <w:rsid w:val="00283C39"/>
    <w:pPr>
      <w:spacing w:after="0" w:line="240" w:lineRule="auto"/>
      <w:jc w:val="both"/>
    </w:pPr>
    <w:rPr>
      <w:rFonts w:ascii="Arial" w:hAnsi="Arial" w:cs="Arial"/>
      <w:sz w:val="18"/>
      <w:szCs w:val="18"/>
    </w:rPr>
  </w:style>
  <w:style w:type="character" w:customStyle="1" w:styleId="FootnoteTextChar">
    <w:name w:val="Footnote Text Char"/>
    <w:aliases w:val="pozn. pod čarou Char,Footnote text Char,Fußnotentextf Char,Schriftart: 9 pt Char,Schriftart: 10 pt Char,Schriftart: 8 pt Char,Text pozn. pod čarou_martin_ang Char"/>
    <w:basedOn w:val="Standardnpsmoodstavce"/>
    <w:uiPriority w:val="99"/>
    <w:semiHidden/>
    <w:rsid w:val="00222750"/>
    <w:rPr>
      <w:sz w:val="20"/>
      <w:szCs w:val="20"/>
    </w:rPr>
  </w:style>
  <w:style w:type="character" w:customStyle="1" w:styleId="TextpoznpodarouChar">
    <w:name w:val="Text pozn. pod čarou Char"/>
    <w:aliases w:val="pozn. pod čarou Char1,Footnote text Char1,Fußnotentextf Char1,Schriftart: 9 pt Char1,Schriftart: 10 pt Char1,Schriftart: 8 pt Char1,Text pozn. pod čarou_martin_ang Char1"/>
    <w:basedOn w:val="Standardnpsmoodstavce"/>
    <w:link w:val="Textpoznpodarou"/>
    <w:uiPriority w:val="99"/>
    <w:semiHidden/>
    <w:rsid w:val="00283C39"/>
    <w:rPr>
      <w:rFonts w:ascii="Arial" w:hAnsi="Arial" w:cs="Arial"/>
      <w:sz w:val="18"/>
      <w:szCs w:val="18"/>
      <w:lang w:val="cs-CZ" w:eastAsia="cs-CZ"/>
    </w:rPr>
  </w:style>
  <w:style w:type="character" w:styleId="Znakapoznpodarou">
    <w:name w:val="footnote reference"/>
    <w:aliases w:val="Footnote symbol,Footnote,PGI Fußnote Ziffer"/>
    <w:basedOn w:val="Standardnpsmoodstavce"/>
    <w:uiPriority w:val="99"/>
    <w:semiHidden/>
    <w:rsid w:val="00283C39"/>
    <w:rPr>
      <w:vertAlign w:val="superscript"/>
    </w:rPr>
  </w:style>
  <w:style w:type="paragraph" w:styleId="slovanseznam2">
    <w:name w:val="List Number 2"/>
    <w:basedOn w:val="Normln"/>
    <w:uiPriority w:val="99"/>
    <w:rsid w:val="00283C39"/>
    <w:pPr>
      <w:ind w:left="720" w:hanging="360"/>
    </w:pPr>
  </w:style>
  <w:style w:type="paragraph" w:styleId="slovanseznam3">
    <w:name w:val="List Number 3"/>
    <w:basedOn w:val="Normln"/>
    <w:uiPriority w:val="99"/>
    <w:rsid w:val="00283C39"/>
    <w:pPr>
      <w:ind w:left="720" w:hanging="360"/>
    </w:pPr>
  </w:style>
  <w:style w:type="paragraph" w:styleId="Zhlav">
    <w:name w:val="header"/>
    <w:basedOn w:val="Normln"/>
    <w:link w:val="ZhlavChar"/>
    <w:uiPriority w:val="99"/>
    <w:rsid w:val="001F03D8"/>
    <w:pPr>
      <w:tabs>
        <w:tab w:val="center" w:pos="4536"/>
        <w:tab w:val="right" w:pos="9072"/>
      </w:tabs>
    </w:pPr>
  </w:style>
  <w:style w:type="character" w:customStyle="1" w:styleId="ZhlavChar">
    <w:name w:val="Záhlaví Char"/>
    <w:basedOn w:val="Standardnpsmoodstavce"/>
    <w:link w:val="Zhlav"/>
    <w:uiPriority w:val="99"/>
    <w:rsid w:val="001F03D8"/>
  </w:style>
  <w:style w:type="character" w:styleId="Odkaznakoment">
    <w:name w:val="annotation reference"/>
    <w:basedOn w:val="Standardnpsmoodstavce"/>
    <w:uiPriority w:val="99"/>
    <w:semiHidden/>
    <w:rsid w:val="007D0286"/>
    <w:rPr>
      <w:sz w:val="16"/>
      <w:szCs w:val="16"/>
    </w:rPr>
  </w:style>
  <w:style w:type="paragraph" w:styleId="Textkomente">
    <w:name w:val="annotation text"/>
    <w:basedOn w:val="Normln"/>
    <w:link w:val="TextkomenteChar"/>
    <w:uiPriority w:val="99"/>
    <w:semiHidden/>
    <w:rsid w:val="007D0286"/>
    <w:rPr>
      <w:sz w:val="20"/>
      <w:szCs w:val="20"/>
    </w:rPr>
  </w:style>
  <w:style w:type="character" w:customStyle="1" w:styleId="TextkomenteChar">
    <w:name w:val="Text komentáře Char"/>
    <w:basedOn w:val="Standardnpsmoodstavce"/>
    <w:link w:val="Textkomente"/>
    <w:uiPriority w:val="99"/>
    <w:semiHidden/>
    <w:rsid w:val="007D0286"/>
    <w:rPr>
      <w:sz w:val="20"/>
      <w:szCs w:val="20"/>
    </w:rPr>
  </w:style>
  <w:style w:type="paragraph" w:styleId="Pedmtkomente">
    <w:name w:val="annotation subject"/>
    <w:basedOn w:val="Textkomente"/>
    <w:next w:val="Textkomente"/>
    <w:link w:val="PedmtkomenteChar"/>
    <w:uiPriority w:val="99"/>
    <w:semiHidden/>
    <w:rsid w:val="007D0286"/>
    <w:rPr>
      <w:b/>
      <w:bCs/>
    </w:rPr>
  </w:style>
  <w:style w:type="character" w:customStyle="1" w:styleId="PedmtkomenteChar">
    <w:name w:val="Předmět komentáře Char"/>
    <w:basedOn w:val="TextkomenteChar"/>
    <w:link w:val="Pedmtkomente"/>
    <w:uiPriority w:val="99"/>
    <w:semiHidden/>
    <w:rsid w:val="007D028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List Number 2" w:unhideWhenUsed="0"/>
    <w:lsdException w:name="List Number 3"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2608"/>
    <w:pPr>
      <w:spacing w:after="200" w:line="276" w:lineRule="auto"/>
    </w:pPr>
    <w:rPr>
      <w:rFonts w:cs="Calibri"/>
    </w:rPr>
  </w:style>
  <w:style w:type="paragraph" w:styleId="Nadpis2">
    <w:name w:val="heading 2"/>
    <w:basedOn w:val="slovanseznam2"/>
    <w:next w:val="Normln"/>
    <w:link w:val="Nadpis2Char"/>
    <w:autoRedefine/>
    <w:uiPriority w:val="99"/>
    <w:qFormat/>
    <w:rsid w:val="00283C39"/>
    <w:pPr>
      <w:keepNext/>
      <w:numPr>
        <w:ilvl w:val="1"/>
        <w:numId w:val="20"/>
      </w:numPr>
      <w:spacing w:before="120" w:after="120" w:line="240" w:lineRule="auto"/>
      <w:ind w:left="576" w:hanging="576"/>
      <w:jc w:val="both"/>
      <w:outlineLvl w:val="1"/>
    </w:pPr>
    <w:rPr>
      <w:rFonts w:ascii="Arial" w:hAnsi="Arial" w:cs="Arial"/>
      <w:b/>
      <w:bCs/>
      <w:color w:val="02325E"/>
    </w:rPr>
  </w:style>
  <w:style w:type="paragraph" w:styleId="Nadpis3">
    <w:name w:val="heading 3"/>
    <w:basedOn w:val="slovanseznam3"/>
    <w:next w:val="Normln"/>
    <w:link w:val="Nadpis3Char"/>
    <w:autoRedefine/>
    <w:uiPriority w:val="99"/>
    <w:qFormat/>
    <w:rsid w:val="00283C39"/>
    <w:pPr>
      <w:numPr>
        <w:ilvl w:val="2"/>
        <w:numId w:val="20"/>
      </w:numPr>
      <w:tabs>
        <w:tab w:val="num" w:pos="2220"/>
      </w:tabs>
      <w:spacing w:before="120" w:after="120" w:line="240" w:lineRule="auto"/>
      <w:ind w:hanging="720"/>
      <w:jc w:val="both"/>
      <w:outlineLvl w:val="2"/>
    </w:pPr>
    <w:rPr>
      <w:rFonts w:ascii="Arial" w:hAnsi="Arial" w:cs="Arial"/>
      <w:b/>
      <w:bCs/>
      <w:noProof/>
      <w:color w:val="17365D"/>
      <w:spacing w:val="-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283C39"/>
    <w:rPr>
      <w:rFonts w:ascii="Arial" w:hAnsi="Arial" w:cs="Arial"/>
      <w:b/>
      <w:bCs/>
      <w:color w:val="02325E"/>
    </w:rPr>
  </w:style>
  <w:style w:type="character" w:customStyle="1" w:styleId="Nadpis3Char">
    <w:name w:val="Nadpis 3 Char"/>
    <w:basedOn w:val="Standardnpsmoodstavce"/>
    <w:link w:val="Nadpis3"/>
    <w:uiPriority w:val="99"/>
    <w:rsid w:val="00222750"/>
    <w:rPr>
      <w:rFonts w:ascii="Arial" w:hAnsi="Arial" w:cs="Arial"/>
      <w:b/>
      <w:bCs/>
      <w:noProof/>
      <w:color w:val="17365D"/>
      <w:spacing w:val="-6"/>
    </w:rPr>
  </w:style>
  <w:style w:type="paragraph" w:styleId="Textbubliny">
    <w:name w:val="Balloon Text"/>
    <w:basedOn w:val="Normln"/>
    <w:link w:val="TextbublinyChar"/>
    <w:uiPriority w:val="99"/>
    <w:semiHidden/>
    <w:rsid w:val="00CA34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2750"/>
    <w:rPr>
      <w:rFonts w:ascii="Times New Roman" w:hAnsi="Times New Roman" w:cs="Times New Roman"/>
      <w:sz w:val="2"/>
      <w:szCs w:val="2"/>
    </w:rPr>
  </w:style>
  <w:style w:type="paragraph" w:styleId="Odstavecseseznamem">
    <w:name w:val="List Paragraph"/>
    <w:basedOn w:val="Normln"/>
    <w:uiPriority w:val="99"/>
    <w:qFormat/>
    <w:rsid w:val="009B1FF4"/>
    <w:pPr>
      <w:ind w:left="720"/>
      <w:contextualSpacing/>
    </w:pPr>
  </w:style>
  <w:style w:type="table" w:styleId="Mkatabulky">
    <w:name w:val="Table Grid"/>
    <w:basedOn w:val="Normlntabulka"/>
    <w:uiPriority w:val="99"/>
    <w:rsid w:val="00AC5309"/>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at">
    <w:name w:val="footer"/>
    <w:basedOn w:val="Normln"/>
    <w:link w:val="ZpatChar"/>
    <w:uiPriority w:val="99"/>
    <w:rsid w:val="00861C38"/>
    <w:pPr>
      <w:tabs>
        <w:tab w:val="center" w:pos="4536"/>
        <w:tab w:val="right" w:pos="9072"/>
      </w:tabs>
    </w:pPr>
  </w:style>
  <w:style w:type="character" w:customStyle="1" w:styleId="ZpatChar">
    <w:name w:val="Zápatí Char"/>
    <w:basedOn w:val="Standardnpsmoodstavce"/>
    <w:link w:val="Zpat"/>
    <w:uiPriority w:val="99"/>
    <w:semiHidden/>
    <w:rsid w:val="00222750"/>
  </w:style>
  <w:style w:type="character" w:styleId="slostrnky">
    <w:name w:val="page number"/>
    <w:basedOn w:val="Standardnpsmoodstavce"/>
    <w:uiPriority w:val="99"/>
    <w:rsid w:val="00861C38"/>
  </w:style>
  <w:style w:type="paragraph" w:styleId="Textpoznpodarou">
    <w:name w:val="footnote text"/>
    <w:aliases w:val="pozn. pod čarou,Footnote text,Fußnotentextf,Schriftart: 9 pt,Schriftart: 10 pt,Schriftart: 8 pt,Text pozn. pod čarou_martin_ang"/>
    <w:basedOn w:val="Normln"/>
    <w:link w:val="TextpoznpodarouChar"/>
    <w:autoRedefine/>
    <w:uiPriority w:val="99"/>
    <w:semiHidden/>
    <w:rsid w:val="00283C39"/>
    <w:pPr>
      <w:spacing w:after="0" w:line="240" w:lineRule="auto"/>
      <w:jc w:val="both"/>
    </w:pPr>
    <w:rPr>
      <w:rFonts w:ascii="Arial" w:hAnsi="Arial" w:cs="Arial"/>
      <w:sz w:val="18"/>
      <w:szCs w:val="18"/>
    </w:rPr>
  </w:style>
  <w:style w:type="character" w:customStyle="1" w:styleId="FootnoteTextChar">
    <w:name w:val="Footnote Text Char"/>
    <w:aliases w:val="pozn. pod čarou Char,Footnote text Char,Fußnotentextf Char,Schriftart: 9 pt Char,Schriftart: 10 pt Char,Schriftart: 8 pt Char,Text pozn. pod čarou_martin_ang Char"/>
    <w:basedOn w:val="Standardnpsmoodstavce"/>
    <w:uiPriority w:val="99"/>
    <w:semiHidden/>
    <w:rsid w:val="00222750"/>
    <w:rPr>
      <w:sz w:val="20"/>
      <w:szCs w:val="20"/>
    </w:rPr>
  </w:style>
  <w:style w:type="character" w:customStyle="1" w:styleId="TextpoznpodarouChar">
    <w:name w:val="Text pozn. pod čarou Char"/>
    <w:aliases w:val="pozn. pod čarou Char1,Footnote text Char1,Fußnotentextf Char1,Schriftart: 9 pt Char1,Schriftart: 10 pt Char1,Schriftart: 8 pt Char1,Text pozn. pod čarou_martin_ang Char1"/>
    <w:basedOn w:val="Standardnpsmoodstavce"/>
    <w:link w:val="Textpoznpodarou"/>
    <w:uiPriority w:val="99"/>
    <w:semiHidden/>
    <w:rsid w:val="00283C39"/>
    <w:rPr>
      <w:rFonts w:ascii="Arial" w:hAnsi="Arial" w:cs="Arial"/>
      <w:sz w:val="18"/>
      <w:szCs w:val="18"/>
      <w:lang w:val="cs-CZ" w:eastAsia="cs-CZ"/>
    </w:rPr>
  </w:style>
  <w:style w:type="character" w:styleId="Znakapoznpodarou">
    <w:name w:val="footnote reference"/>
    <w:aliases w:val="Footnote symbol,Footnote,PGI Fußnote Ziffer"/>
    <w:basedOn w:val="Standardnpsmoodstavce"/>
    <w:uiPriority w:val="99"/>
    <w:semiHidden/>
    <w:rsid w:val="00283C39"/>
    <w:rPr>
      <w:vertAlign w:val="superscript"/>
    </w:rPr>
  </w:style>
  <w:style w:type="paragraph" w:styleId="slovanseznam2">
    <w:name w:val="List Number 2"/>
    <w:basedOn w:val="Normln"/>
    <w:uiPriority w:val="99"/>
    <w:rsid w:val="00283C39"/>
    <w:pPr>
      <w:ind w:left="720" w:hanging="360"/>
    </w:pPr>
  </w:style>
  <w:style w:type="paragraph" w:styleId="slovanseznam3">
    <w:name w:val="List Number 3"/>
    <w:basedOn w:val="Normln"/>
    <w:uiPriority w:val="99"/>
    <w:rsid w:val="00283C39"/>
    <w:pPr>
      <w:ind w:left="720" w:hanging="360"/>
    </w:pPr>
  </w:style>
  <w:style w:type="paragraph" w:styleId="Zhlav">
    <w:name w:val="header"/>
    <w:basedOn w:val="Normln"/>
    <w:link w:val="ZhlavChar"/>
    <w:uiPriority w:val="99"/>
    <w:rsid w:val="001F03D8"/>
    <w:pPr>
      <w:tabs>
        <w:tab w:val="center" w:pos="4536"/>
        <w:tab w:val="right" w:pos="9072"/>
      </w:tabs>
    </w:pPr>
  </w:style>
  <w:style w:type="character" w:customStyle="1" w:styleId="ZhlavChar">
    <w:name w:val="Záhlaví Char"/>
    <w:basedOn w:val="Standardnpsmoodstavce"/>
    <w:link w:val="Zhlav"/>
    <w:uiPriority w:val="99"/>
    <w:rsid w:val="001F03D8"/>
  </w:style>
  <w:style w:type="character" w:styleId="Odkaznakoment">
    <w:name w:val="annotation reference"/>
    <w:basedOn w:val="Standardnpsmoodstavce"/>
    <w:uiPriority w:val="99"/>
    <w:semiHidden/>
    <w:rsid w:val="007D0286"/>
    <w:rPr>
      <w:sz w:val="16"/>
      <w:szCs w:val="16"/>
    </w:rPr>
  </w:style>
  <w:style w:type="paragraph" w:styleId="Textkomente">
    <w:name w:val="annotation text"/>
    <w:basedOn w:val="Normln"/>
    <w:link w:val="TextkomenteChar"/>
    <w:uiPriority w:val="99"/>
    <w:semiHidden/>
    <w:rsid w:val="007D0286"/>
    <w:rPr>
      <w:sz w:val="20"/>
      <w:szCs w:val="20"/>
    </w:rPr>
  </w:style>
  <w:style w:type="character" w:customStyle="1" w:styleId="TextkomenteChar">
    <w:name w:val="Text komentáře Char"/>
    <w:basedOn w:val="Standardnpsmoodstavce"/>
    <w:link w:val="Textkomente"/>
    <w:uiPriority w:val="99"/>
    <w:semiHidden/>
    <w:rsid w:val="007D0286"/>
    <w:rPr>
      <w:sz w:val="20"/>
      <w:szCs w:val="20"/>
    </w:rPr>
  </w:style>
  <w:style w:type="paragraph" w:styleId="Pedmtkomente">
    <w:name w:val="annotation subject"/>
    <w:basedOn w:val="Textkomente"/>
    <w:next w:val="Textkomente"/>
    <w:link w:val="PedmtkomenteChar"/>
    <w:uiPriority w:val="99"/>
    <w:semiHidden/>
    <w:rsid w:val="007D0286"/>
    <w:rPr>
      <w:b/>
      <w:bCs/>
    </w:rPr>
  </w:style>
  <w:style w:type="character" w:customStyle="1" w:styleId="PedmtkomenteChar">
    <w:name w:val="Předmět komentáře Char"/>
    <w:basedOn w:val="TextkomenteChar"/>
    <w:link w:val="Pedmtkomente"/>
    <w:uiPriority w:val="99"/>
    <w:semiHidden/>
    <w:rsid w:val="007D02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519102">
      <w:marLeft w:val="0"/>
      <w:marRight w:val="0"/>
      <w:marTop w:val="0"/>
      <w:marBottom w:val="0"/>
      <w:divBdr>
        <w:top w:val="none" w:sz="0" w:space="0" w:color="auto"/>
        <w:left w:val="none" w:sz="0" w:space="0" w:color="auto"/>
        <w:bottom w:val="none" w:sz="0" w:space="0" w:color="auto"/>
        <w:right w:val="none" w:sz="0" w:space="0" w:color="auto"/>
      </w:divBdr>
    </w:div>
    <w:div w:id="1419519103">
      <w:marLeft w:val="0"/>
      <w:marRight w:val="0"/>
      <w:marTop w:val="0"/>
      <w:marBottom w:val="0"/>
      <w:divBdr>
        <w:top w:val="none" w:sz="0" w:space="0" w:color="auto"/>
        <w:left w:val="none" w:sz="0" w:space="0" w:color="auto"/>
        <w:bottom w:val="none" w:sz="0" w:space="0" w:color="auto"/>
        <w:right w:val="none" w:sz="0" w:space="0" w:color="auto"/>
      </w:divBdr>
    </w:div>
    <w:div w:id="1419519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B173C7CC.dotm</Template>
  <TotalTime>0</TotalTime>
  <Pages>8</Pages>
  <Words>3222</Words>
  <Characters>19010</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ÚZEMNÍ DIMENZE</vt:lpstr>
    </vt:vector>
  </TitlesOfParts>
  <Company/>
  <LinksUpToDate>false</LinksUpToDate>
  <CharactersWithSpaces>22188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ÚZEMNÍ DIMENZE</dc:title>
  <dc:subject/>
  <dc:creator/>
  <cp:keywords/>
  <dc:description/>
  <cp:lastModifiedBy/>
  <cp:revision>1</cp:revision>
  <dcterms:created xsi:type="dcterms:W3CDTF">2013-07-24T09:03:00Z</dcterms:created>
  <dcterms:modified xsi:type="dcterms:W3CDTF">2013-07-24T09:03:00Z</dcterms:modified>
</cp:coreProperties>
</file>