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858" w:rsidRPr="005C3EE1" w:rsidRDefault="00712F71" w:rsidP="005C3EE1">
      <w:pPr>
        <w:spacing w:before="6000" w:after="480"/>
        <w:ind w:firstLine="227"/>
        <w:jc w:val="center"/>
        <w:rPr>
          <w:rFonts w:asciiTheme="minorHAnsi" w:hAnsiTheme="minorHAnsi"/>
          <w:b/>
          <w:smallCaps/>
          <w:color w:val="365F91" w:themeColor="accent1" w:themeShade="BF"/>
          <w:sz w:val="56"/>
          <w:szCs w:val="56"/>
        </w:rPr>
      </w:pPr>
      <w:r>
        <w:rPr>
          <w:rFonts w:asciiTheme="minorHAnsi" w:hAnsiTheme="minorHAnsi"/>
          <w:b/>
          <w:smallCaps/>
          <w:color w:val="365F91" w:themeColor="accent1" w:themeShade="BF"/>
          <w:sz w:val="56"/>
          <w:szCs w:val="56"/>
        </w:rPr>
        <w:t xml:space="preserve">akční plán </w:t>
      </w:r>
      <w:r w:rsidR="00000379">
        <w:rPr>
          <w:rFonts w:asciiTheme="minorHAnsi" w:hAnsiTheme="minorHAnsi"/>
          <w:b/>
          <w:smallCaps/>
          <w:color w:val="365F91" w:themeColor="accent1" w:themeShade="BF"/>
          <w:sz w:val="56"/>
          <w:szCs w:val="56"/>
        </w:rPr>
        <w:t xml:space="preserve">řízení a koordinace </w:t>
      </w:r>
      <w:r w:rsidR="00A94858" w:rsidRPr="005C3EE1">
        <w:rPr>
          <w:rFonts w:asciiTheme="minorHAnsi" w:hAnsiTheme="minorHAnsi"/>
          <w:b/>
          <w:smallCaps/>
          <w:color w:val="365F91" w:themeColor="accent1" w:themeShade="BF"/>
          <w:sz w:val="56"/>
          <w:szCs w:val="56"/>
        </w:rPr>
        <w:t>předběžn</w:t>
      </w:r>
      <w:r>
        <w:rPr>
          <w:rFonts w:asciiTheme="minorHAnsi" w:hAnsiTheme="minorHAnsi"/>
          <w:b/>
          <w:smallCaps/>
          <w:color w:val="365F91" w:themeColor="accent1" w:themeShade="BF"/>
          <w:sz w:val="56"/>
          <w:szCs w:val="56"/>
        </w:rPr>
        <w:t>ých</w:t>
      </w:r>
      <w:r w:rsidR="00A94858" w:rsidRPr="005C3EE1">
        <w:rPr>
          <w:rFonts w:asciiTheme="minorHAnsi" w:hAnsiTheme="minorHAnsi"/>
          <w:b/>
          <w:smallCaps/>
          <w:color w:val="365F91" w:themeColor="accent1" w:themeShade="BF"/>
          <w:sz w:val="56"/>
          <w:szCs w:val="56"/>
        </w:rPr>
        <w:t xml:space="preserve"> podmín</w:t>
      </w:r>
      <w:r>
        <w:rPr>
          <w:rFonts w:asciiTheme="minorHAnsi" w:hAnsiTheme="minorHAnsi"/>
          <w:b/>
          <w:smallCaps/>
          <w:color w:val="365F91" w:themeColor="accent1" w:themeShade="BF"/>
          <w:sz w:val="56"/>
          <w:szCs w:val="56"/>
        </w:rPr>
        <w:t>e</w:t>
      </w:r>
      <w:r w:rsidR="00A94858" w:rsidRPr="005C3EE1">
        <w:rPr>
          <w:rFonts w:asciiTheme="minorHAnsi" w:hAnsiTheme="minorHAnsi"/>
          <w:b/>
          <w:smallCaps/>
          <w:color w:val="365F91" w:themeColor="accent1" w:themeShade="BF"/>
          <w:sz w:val="56"/>
          <w:szCs w:val="56"/>
        </w:rPr>
        <w:t xml:space="preserve">k </w:t>
      </w:r>
    </w:p>
    <w:p w:rsidR="00A94858" w:rsidRDefault="00A94858" w:rsidP="00A94858">
      <w:pPr>
        <w:spacing w:after="480"/>
        <w:ind w:firstLine="227"/>
        <w:jc w:val="center"/>
        <w:rPr>
          <w:rFonts w:asciiTheme="minorHAnsi" w:hAnsiTheme="minorHAnsi"/>
          <w:b/>
          <w:smallCaps/>
          <w:color w:val="365F91" w:themeColor="accent1" w:themeShade="BF"/>
          <w:sz w:val="32"/>
          <w:szCs w:val="32"/>
        </w:rPr>
      </w:pPr>
      <w:r w:rsidRPr="00000379">
        <w:rPr>
          <w:rFonts w:asciiTheme="minorHAnsi" w:hAnsiTheme="minorHAnsi"/>
          <w:b/>
          <w:smallCaps/>
          <w:color w:val="365F91" w:themeColor="accent1" w:themeShade="BF"/>
          <w:sz w:val="32"/>
          <w:szCs w:val="32"/>
        </w:rPr>
        <w:t>v programovém období 2014-2020</w:t>
      </w:r>
    </w:p>
    <w:p w:rsidR="00DF5905" w:rsidRDefault="00DF5905" w:rsidP="00A94858">
      <w:pPr>
        <w:spacing w:after="480"/>
        <w:ind w:firstLine="227"/>
        <w:jc w:val="center"/>
        <w:rPr>
          <w:rFonts w:asciiTheme="minorHAnsi" w:hAnsiTheme="minorHAnsi"/>
          <w:b/>
          <w:smallCaps/>
          <w:color w:val="365F91" w:themeColor="accent1" w:themeShade="BF"/>
          <w:sz w:val="32"/>
          <w:szCs w:val="32"/>
        </w:rPr>
      </w:pPr>
    </w:p>
    <w:p w:rsidR="00DF5905" w:rsidRDefault="00DF5905" w:rsidP="00A94858">
      <w:pPr>
        <w:spacing w:after="480"/>
        <w:ind w:firstLine="227"/>
        <w:jc w:val="center"/>
        <w:rPr>
          <w:rFonts w:asciiTheme="minorHAnsi" w:hAnsiTheme="minorHAnsi"/>
          <w:b/>
          <w:smallCaps/>
          <w:color w:val="365F91" w:themeColor="accent1" w:themeShade="BF"/>
          <w:sz w:val="32"/>
          <w:szCs w:val="32"/>
        </w:rPr>
      </w:pPr>
    </w:p>
    <w:p w:rsidR="00DF5905" w:rsidRDefault="00DF5905" w:rsidP="00A94858">
      <w:pPr>
        <w:spacing w:after="480"/>
        <w:ind w:firstLine="227"/>
        <w:jc w:val="center"/>
        <w:rPr>
          <w:rFonts w:asciiTheme="minorHAnsi" w:hAnsiTheme="minorHAnsi"/>
          <w:b/>
          <w:smallCaps/>
          <w:color w:val="365F91" w:themeColor="accent1" w:themeShade="BF"/>
          <w:sz w:val="32"/>
          <w:szCs w:val="32"/>
        </w:rPr>
      </w:pPr>
    </w:p>
    <w:p w:rsidR="00DF5905" w:rsidRPr="00DF5905" w:rsidRDefault="00DF5905" w:rsidP="00A94858">
      <w:pPr>
        <w:spacing w:after="480"/>
        <w:ind w:firstLine="227"/>
        <w:jc w:val="center"/>
        <w:rPr>
          <w:rFonts w:asciiTheme="minorHAnsi" w:hAnsiTheme="minorHAnsi"/>
          <w:b/>
          <w:smallCaps/>
          <w:color w:val="365F91" w:themeColor="accent1" w:themeShade="BF"/>
          <w:sz w:val="24"/>
          <w:szCs w:val="24"/>
        </w:rPr>
      </w:pPr>
      <w:r>
        <w:rPr>
          <w:rFonts w:asciiTheme="minorHAnsi" w:hAnsiTheme="minorHAnsi"/>
          <w:b/>
          <w:smallCaps/>
          <w:color w:val="365F91" w:themeColor="accent1" w:themeShade="BF"/>
          <w:sz w:val="24"/>
          <w:szCs w:val="24"/>
        </w:rPr>
        <w:t>V</w:t>
      </w:r>
      <w:r w:rsidRPr="00DF5905">
        <w:rPr>
          <w:rFonts w:asciiTheme="minorHAnsi" w:hAnsiTheme="minorHAnsi"/>
          <w:b/>
          <w:smallCaps/>
          <w:color w:val="365F91" w:themeColor="accent1" w:themeShade="BF"/>
          <w:sz w:val="24"/>
          <w:szCs w:val="24"/>
        </w:rPr>
        <w:t>erze II. 20.6.2013</w:t>
      </w:r>
    </w:p>
    <w:p w:rsidR="004A481C" w:rsidRDefault="004A481C">
      <w:pPr>
        <w:spacing w:before="360" w:after="200" w:line="276" w:lineRule="auto"/>
        <w:ind w:left="425"/>
        <w:rPr>
          <w:rFonts w:asciiTheme="minorHAnsi" w:hAnsiTheme="minorHAnsi"/>
          <w:sz w:val="24"/>
          <w:szCs w:val="24"/>
        </w:rPr>
      </w:pPr>
      <w:r>
        <w:rPr>
          <w:rFonts w:asciiTheme="minorHAnsi" w:hAnsiTheme="minorHAnsi"/>
        </w:rPr>
        <w:br w:type="page"/>
      </w:r>
    </w:p>
    <w:p w:rsidR="00A94858" w:rsidRDefault="00A94858" w:rsidP="00A94858">
      <w:pPr>
        <w:rPr>
          <w:rFonts w:asciiTheme="minorHAnsi" w:hAnsiTheme="minorHAnsi"/>
          <w:b/>
          <w:color w:val="17365D" w:themeColor="text2" w:themeShade="BF"/>
          <w:sz w:val="28"/>
          <w:szCs w:val="28"/>
        </w:rPr>
      </w:pPr>
      <w:r w:rsidRPr="0011149A">
        <w:rPr>
          <w:rFonts w:asciiTheme="minorHAnsi" w:hAnsiTheme="minorHAnsi"/>
          <w:b/>
          <w:color w:val="17365D" w:themeColor="text2" w:themeShade="BF"/>
          <w:sz w:val="28"/>
          <w:szCs w:val="28"/>
        </w:rPr>
        <w:t>OBSAH</w:t>
      </w:r>
    </w:p>
    <w:p w:rsidR="004A481C" w:rsidRPr="001B6420" w:rsidRDefault="004A481C" w:rsidP="00A94858">
      <w:pPr>
        <w:rPr>
          <w:rFonts w:asciiTheme="minorHAnsi" w:hAnsiTheme="minorHAnsi"/>
          <w:b/>
          <w:color w:val="17365D" w:themeColor="text2" w:themeShade="BF"/>
          <w:sz w:val="28"/>
          <w:szCs w:val="28"/>
        </w:rPr>
      </w:pPr>
    </w:p>
    <w:p w:rsidR="00DB2912" w:rsidRDefault="0037582F">
      <w:pPr>
        <w:pStyle w:val="Obsah1"/>
        <w:tabs>
          <w:tab w:val="left" w:pos="426"/>
          <w:tab w:val="right" w:leader="dot" w:pos="9062"/>
        </w:tabs>
        <w:rPr>
          <w:rFonts w:asciiTheme="minorHAnsi" w:eastAsiaTheme="minorEastAsia" w:hAnsiTheme="minorHAnsi" w:cstheme="minorBidi"/>
          <w:b w:val="0"/>
          <w:bCs w:val="0"/>
          <w:caps w:val="0"/>
          <w:noProof/>
          <w:sz w:val="22"/>
          <w:szCs w:val="22"/>
        </w:rPr>
      </w:pPr>
      <w:r w:rsidRPr="0037582F">
        <w:rPr>
          <w:rFonts w:asciiTheme="minorHAnsi" w:hAnsiTheme="minorHAnsi"/>
          <w:sz w:val="24"/>
          <w:szCs w:val="24"/>
        </w:rPr>
        <w:fldChar w:fldCharType="begin"/>
      </w:r>
      <w:r w:rsidR="00A94858" w:rsidRPr="0011149A">
        <w:rPr>
          <w:rFonts w:asciiTheme="minorHAnsi" w:hAnsiTheme="minorHAnsi"/>
          <w:sz w:val="24"/>
          <w:szCs w:val="24"/>
        </w:rPr>
        <w:instrText xml:space="preserve"> TOC \h \z \t "Nadpis 1;1;Nadpis 1.1;2" </w:instrText>
      </w:r>
      <w:r w:rsidRPr="0037582F">
        <w:rPr>
          <w:rFonts w:asciiTheme="minorHAnsi" w:hAnsiTheme="minorHAnsi"/>
          <w:sz w:val="24"/>
          <w:szCs w:val="24"/>
        </w:rPr>
        <w:fldChar w:fldCharType="separate"/>
      </w:r>
      <w:hyperlink w:anchor="_Toc359587659" w:history="1">
        <w:r w:rsidR="00DB2912" w:rsidRPr="0027315C">
          <w:rPr>
            <w:rStyle w:val="Hypertextovodkaz"/>
            <w:noProof/>
          </w:rPr>
          <w:t>1.</w:t>
        </w:r>
        <w:r w:rsidR="00DB2912">
          <w:rPr>
            <w:rFonts w:asciiTheme="minorHAnsi" w:eastAsiaTheme="minorEastAsia" w:hAnsiTheme="minorHAnsi" w:cstheme="minorBidi"/>
            <w:b w:val="0"/>
            <w:bCs w:val="0"/>
            <w:caps w:val="0"/>
            <w:noProof/>
            <w:sz w:val="22"/>
            <w:szCs w:val="22"/>
          </w:rPr>
          <w:tab/>
        </w:r>
        <w:r w:rsidR="00DB2912" w:rsidRPr="0027315C">
          <w:rPr>
            <w:rStyle w:val="Hypertextovodkaz"/>
            <w:noProof/>
          </w:rPr>
          <w:t>Úvod</w:t>
        </w:r>
        <w:r w:rsidR="00DB2912">
          <w:rPr>
            <w:noProof/>
            <w:webHidden/>
          </w:rPr>
          <w:tab/>
        </w:r>
        <w:r w:rsidR="00DB2912">
          <w:rPr>
            <w:noProof/>
            <w:webHidden/>
          </w:rPr>
          <w:fldChar w:fldCharType="begin"/>
        </w:r>
        <w:r w:rsidR="00DB2912">
          <w:rPr>
            <w:noProof/>
            <w:webHidden/>
          </w:rPr>
          <w:instrText xml:space="preserve"> PAGEREF _Toc359587659 \h </w:instrText>
        </w:r>
        <w:r w:rsidR="00DB2912">
          <w:rPr>
            <w:noProof/>
            <w:webHidden/>
          </w:rPr>
        </w:r>
        <w:r w:rsidR="00DB2912">
          <w:rPr>
            <w:noProof/>
            <w:webHidden/>
          </w:rPr>
          <w:fldChar w:fldCharType="separate"/>
        </w:r>
        <w:r w:rsidR="00DB2912">
          <w:rPr>
            <w:noProof/>
            <w:webHidden/>
          </w:rPr>
          <w:t>4</w:t>
        </w:r>
        <w:r w:rsidR="00DB2912">
          <w:rPr>
            <w:noProof/>
            <w:webHidden/>
          </w:rPr>
          <w:fldChar w:fldCharType="end"/>
        </w:r>
      </w:hyperlink>
    </w:p>
    <w:p w:rsidR="00DB2912" w:rsidRDefault="00DB2912">
      <w:pPr>
        <w:pStyle w:val="Obsah1"/>
        <w:tabs>
          <w:tab w:val="left" w:pos="426"/>
          <w:tab w:val="right" w:leader="dot" w:pos="9062"/>
        </w:tabs>
        <w:rPr>
          <w:rFonts w:asciiTheme="minorHAnsi" w:eastAsiaTheme="minorEastAsia" w:hAnsiTheme="minorHAnsi" w:cstheme="minorBidi"/>
          <w:b w:val="0"/>
          <w:bCs w:val="0"/>
          <w:caps w:val="0"/>
          <w:noProof/>
          <w:sz w:val="22"/>
          <w:szCs w:val="22"/>
        </w:rPr>
      </w:pPr>
      <w:hyperlink w:anchor="_Toc359587660" w:history="1">
        <w:r w:rsidRPr="0027315C">
          <w:rPr>
            <w:rStyle w:val="Hypertextovodkaz"/>
            <w:noProof/>
          </w:rPr>
          <w:t>2.</w:t>
        </w:r>
        <w:r>
          <w:rPr>
            <w:rFonts w:asciiTheme="minorHAnsi" w:eastAsiaTheme="minorEastAsia" w:hAnsiTheme="minorHAnsi" w:cstheme="minorBidi"/>
            <w:b w:val="0"/>
            <w:bCs w:val="0"/>
            <w:caps w:val="0"/>
            <w:noProof/>
            <w:sz w:val="22"/>
            <w:szCs w:val="22"/>
          </w:rPr>
          <w:tab/>
        </w:r>
        <w:r w:rsidRPr="0027315C">
          <w:rPr>
            <w:rStyle w:val="Hypertextovodkaz"/>
            <w:noProof/>
          </w:rPr>
          <w:t>koncept předběžných podmínek</w:t>
        </w:r>
        <w:r>
          <w:rPr>
            <w:noProof/>
            <w:webHidden/>
          </w:rPr>
          <w:tab/>
        </w:r>
        <w:r>
          <w:rPr>
            <w:noProof/>
            <w:webHidden/>
          </w:rPr>
          <w:fldChar w:fldCharType="begin"/>
        </w:r>
        <w:r>
          <w:rPr>
            <w:noProof/>
            <w:webHidden/>
          </w:rPr>
          <w:instrText xml:space="preserve"> PAGEREF _Toc359587660 \h </w:instrText>
        </w:r>
        <w:r>
          <w:rPr>
            <w:noProof/>
            <w:webHidden/>
          </w:rPr>
        </w:r>
        <w:r>
          <w:rPr>
            <w:noProof/>
            <w:webHidden/>
          </w:rPr>
          <w:fldChar w:fldCharType="separate"/>
        </w:r>
        <w:r>
          <w:rPr>
            <w:noProof/>
            <w:webHidden/>
          </w:rPr>
          <w:t>5</w:t>
        </w:r>
        <w:r>
          <w:rPr>
            <w:noProof/>
            <w:webHidden/>
          </w:rPr>
          <w:fldChar w:fldCharType="end"/>
        </w:r>
      </w:hyperlink>
    </w:p>
    <w:p w:rsidR="00DB2912" w:rsidRDefault="00DB2912">
      <w:pPr>
        <w:pStyle w:val="Obsah1"/>
        <w:tabs>
          <w:tab w:val="left" w:pos="426"/>
          <w:tab w:val="right" w:leader="dot" w:pos="9062"/>
        </w:tabs>
        <w:rPr>
          <w:rFonts w:asciiTheme="minorHAnsi" w:eastAsiaTheme="minorEastAsia" w:hAnsiTheme="minorHAnsi" w:cstheme="minorBidi"/>
          <w:b w:val="0"/>
          <w:bCs w:val="0"/>
          <w:caps w:val="0"/>
          <w:noProof/>
          <w:sz w:val="22"/>
          <w:szCs w:val="22"/>
        </w:rPr>
      </w:pPr>
      <w:hyperlink w:anchor="_Toc359587661" w:history="1">
        <w:r w:rsidRPr="0027315C">
          <w:rPr>
            <w:rStyle w:val="Hypertextovodkaz"/>
            <w:noProof/>
          </w:rPr>
          <w:t>3.</w:t>
        </w:r>
        <w:r>
          <w:rPr>
            <w:rFonts w:asciiTheme="minorHAnsi" w:eastAsiaTheme="minorEastAsia" w:hAnsiTheme="minorHAnsi" w:cstheme="minorBidi"/>
            <w:b w:val="0"/>
            <w:bCs w:val="0"/>
            <w:caps w:val="0"/>
            <w:noProof/>
            <w:sz w:val="22"/>
            <w:szCs w:val="22"/>
          </w:rPr>
          <w:tab/>
        </w:r>
        <w:r w:rsidRPr="0027315C">
          <w:rPr>
            <w:rStyle w:val="Hypertextovodkaz"/>
            <w:noProof/>
          </w:rPr>
          <w:t>legislativní základ</w:t>
        </w:r>
        <w:r>
          <w:rPr>
            <w:noProof/>
            <w:webHidden/>
          </w:rPr>
          <w:tab/>
        </w:r>
        <w:r>
          <w:rPr>
            <w:noProof/>
            <w:webHidden/>
          </w:rPr>
          <w:fldChar w:fldCharType="begin"/>
        </w:r>
        <w:r>
          <w:rPr>
            <w:noProof/>
            <w:webHidden/>
          </w:rPr>
          <w:instrText xml:space="preserve"> PAGEREF _Toc359587661 \h </w:instrText>
        </w:r>
        <w:r>
          <w:rPr>
            <w:noProof/>
            <w:webHidden/>
          </w:rPr>
        </w:r>
        <w:r>
          <w:rPr>
            <w:noProof/>
            <w:webHidden/>
          </w:rPr>
          <w:fldChar w:fldCharType="separate"/>
        </w:r>
        <w:r>
          <w:rPr>
            <w:noProof/>
            <w:webHidden/>
          </w:rPr>
          <w:t>6</w:t>
        </w:r>
        <w:r>
          <w:rPr>
            <w:noProof/>
            <w:webHidden/>
          </w:rPr>
          <w:fldChar w:fldCharType="end"/>
        </w:r>
      </w:hyperlink>
    </w:p>
    <w:p w:rsidR="00DB2912" w:rsidRDefault="00DB2912">
      <w:pPr>
        <w:pStyle w:val="Obsah2"/>
        <w:rPr>
          <w:rFonts w:asciiTheme="minorHAnsi" w:eastAsiaTheme="minorEastAsia" w:hAnsiTheme="minorHAnsi" w:cstheme="minorBidi"/>
          <w:smallCaps w:val="0"/>
          <w:noProof/>
          <w:sz w:val="22"/>
          <w:szCs w:val="22"/>
        </w:rPr>
      </w:pPr>
      <w:hyperlink w:anchor="_Toc359587662" w:history="1">
        <w:r w:rsidRPr="0027315C">
          <w:rPr>
            <w:rStyle w:val="Hypertextovodkaz"/>
            <w:rFonts w:eastAsiaTheme="majorEastAsia"/>
            <w:noProof/>
          </w:rPr>
          <w:t>3.1.</w:t>
        </w:r>
        <w:r>
          <w:rPr>
            <w:rFonts w:asciiTheme="minorHAnsi" w:eastAsiaTheme="minorEastAsia" w:hAnsiTheme="minorHAnsi" w:cstheme="minorBidi"/>
            <w:smallCaps w:val="0"/>
            <w:noProof/>
            <w:sz w:val="22"/>
            <w:szCs w:val="22"/>
          </w:rPr>
          <w:tab/>
        </w:r>
        <w:r w:rsidRPr="0027315C">
          <w:rPr>
            <w:rStyle w:val="Hypertextovodkaz"/>
            <w:rFonts w:eastAsiaTheme="majorEastAsia"/>
            <w:noProof/>
          </w:rPr>
          <w:t>Návrh nařízení</w:t>
        </w:r>
        <w:r>
          <w:rPr>
            <w:noProof/>
            <w:webHidden/>
          </w:rPr>
          <w:tab/>
        </w:r>
        <w:r>
          <w:rPr>
            <w:noProof/>
            <w:webHidden/>
          </w:rPr>
          <w:fldChar w:fldCharType="begin"/>
        </w:r>
        <w:r>
          <w:rPr>
            <w:noProof/>
            <w:webHidden/>
          </w:rPr>
          <w:instrText xml:space="preserve"> PAGEREF _Toc359587662 \h </w:instrText>
        </w:r>
        <w:r>
          <w:rPr>
            <w:noProof/>
            <w:webHidden/>
          </w:rPr>
        </w:r>
        <w:r>
          <w:rPr>
            <w:noProof/>
            <w:webHidden/>
          </w:rPr>
          <w:fldChar w:fldCharType="separate"/>
        </w:r>
        <w:r>
          <w:rPr>
            <w:noProof/>
            <w:webHidden/>
          </w:rPr>
          <w:t>6</w:t>
        </w:r>
        <w:r>
          <w:rPr>
            <w:noProof/>
            <w:webHidden/>
          </w:rPr>
          <w:fldChar w:fldCharType="end"/>
        </w:r>
      </w:hyperlink>
    </w:p>
    <w:p w:rsidR="00DB2912" w:rsidRDefault="00DB2912">
      <w:pPr>
        <w:pStyle w:val="Obsah2"/>
        <w:rPr>
          <w:rFonts w:asciiTheme="minorHAnsi" w:eastAsiaTheme="minorEastAsia" w:hAnsiTheme="minorHAnsi" w:cstheme="minorBidi"/>
          <w:smallCaps w:val="0"/>
          <w:noProof/>
          <w:sz w:val="22"/>
          <w:szCs w:val="22"/>
        </w:rPr>
      </w:pPr>
      <w:hyperlink w:anchor="_Toc359587663" w:history="1">
        <w:r w:rsidRPr="0027315C">
          <w:rPr>
            <w:rStyle w:val="Hypertextovodkaz"/>
            <w:rFonts w:eastAsiaTheme="majorEastAsia"/>
            <w:noProof/>
          </w:rPr>
          <w:t>3.2.</w:t>
        </w:r>
        <w:r>
          <w:rPr>
            <w:rFonts w:asciiTheme="minorHAnsi" w:eastAsiaTheme="minorEastAsia" w:hAnsiTheme="minorHAnsi" w:cstheme="minorBidi"/>
            <w:smallCaps w:val="0"/>
            <w:noProof/>
            <w:sz w:val="22"/>
            <w:szCs w:val="22"/>
          </w:rPr>
          <w:tab/>
        </w:r>
        <w:r w:rsidRPr="0027315C">
          <w:rPr>
            <w:rStyle w:val="Hypertextovodkaz"/>
            <w:rFonts w:eastAsiaTheme="majorEastAsia"/>
            <w:noProof/>
          </w:rPr>
          <w:t>Prováděcí dokumenty k fondům SSR</w:t>
        </w:r>
        <w:r>
          <w:rPr>
            <w:noProof/>
            <w:webHidden/>
          </w:rPr>
          <w:tab/>
        </w:r>
        <w:r>
          <w:rPr>
            <w:noProof/>
            <w:webHidden/>
          </w:rPr>
          <w:fldChar w:fldCharType="begin"/>
        </w:r>
        <w:r>
          <w:rPr>
            <w:noProof/>
            <w:webHidden/>
          </w:rPr>
          <w:instrText xml:space="preserve"> PAGEREF _Toc359587663 \h </w:instrText>
        </w:r>
        <w:r>
          <w:rPr>
            <w:noProof/>
            <w:webHidden/>
          </w:rPr>
        </w:r>
        <w:r>
          <w:rPr>
            <w:noProof/>
            <w:webHidden/>
          </w:rPr>
          <w:fldChar w:fldCharType="separate"/>
        </w:r>
        <w:r>
          <w:rPr>
            <w:noProof/>
            <w:webHidden/>
          </w:rPr>
          <w:t>6</w:t>
        </w:r>
        <w:r>
          <w:rPr>
            <w:noProof/>
            <w:webHidden/>
          </w:rPr>
          <w:fldChar w:fldCharType="end"/>
        </w:r>
      </w:hyperlink>
    </w:p>
    <w:p w:rsidR="00DB2912" w:rsidRDefault="00DB2912">
      <w:pPr>
        <w:pStyle w:val="Obsah1"/>
        <w:tabs>
          <w:tab w:val="left" w:pos="426"/>
          <w:tab w:val="right" w:leader="dot" w:pos="9062"/>
        </w:tabs>
        <w:rPr>
          <w:rFonts w:asciiTheme="minorHAnsi" w:eastAsiaTheme="minorEastAsia" w:hAnsiTheme="minorHAnsi" w:cstheme="minorBidi"/>
          <w:b w:val="0"/>
          <w:bCs w:val="0"/>
          <w:caps w:val="0"/>
          <w:noProof/>
          <w:sz w:val="22"/>
          <w:szCs w:val="22"/>
        </w:rPr>
      </w:pPr>
      <w:hyperlink w:anchor="_Toc359587664" w:history="1">
        <w:r w:rsidRPr="0027315C">
          <w:rPr>
            <w:rStyle w:val="Hypertextovodkaz"/>
            <w:noProof/>
          </w:rPr>
          <w:t>4.</w:t>
        </w:r>
        <w:r>
          <w:rPr>
            <w:rFonts w:asciiTheme="minorHAnsi" w:eastAsiaTheme="minorEastAsia" w:hAnsiTheme="minorHAnsi" w:cstheme="minorBidi"/>
            <w:b w:val="0"/>
            <w:bCs w:val="0"/>
            <w:caps w:val="0"/>
            <w:noProof/>
            <w:sz w:val="22"/>
            <w:szCs w:val="22"/>
          </w:rPr>
          <w:tab/>
        </w:r>
        <w:r w:rsidRPr="0027315C">
          <w:rPr>
            <w:rStyle w:val="Hypertextovodkaz"/>
            <w:noProof/>
          </w:rPr>
          <w:t>nesplnění předběžných podmínek</w:t>
        </w:r>
        <w:r>
          <w:rPr>
            <w:noProof/>
            <w:webHidden/>
          </w:rPr>
          <w:tab/>
        </w:r>
        <w:r>
          <w:rPr>
            <w:noProof/>
            <w:webHidden/>
          </w:rPr>
          <w:fldChar w:fldCharType="begin"/>
        </w:r>
        <w:r>
          <w:rPr>
            <w:noProof/>
            <w:webHidden/>
          </w:rPr>
          <w:instrText xml:space="preserve"> PAGEREF _Toc359587664 \h </w:instrText>
        </w:r>
        <w:r>
          <w:rPr>
            <w:noProof/>
            <w:webHidden/>
          </w:rPr>
        </w:r>
        <w:r>
          <w:rPr>
            <w:noProof/>
            <w:webHidden/>
          </w:rPr>
          <w:fldChar w:fldCharType="separate"/>
        </w:r>
        <w:r>
          <w:rPr>
            <w:noProof/>
            <w:webHidden/>
          </w:rPr>
          <w:t>9</w:t>
        </w:r>
        <w:r>
          <w:rPr>
            <w:noProof/>
            <w:webHidden/>
          </w:rPr>
          <w:fldChar w:fldCharType="end"/>
        </w:r>
      </w:hyperlink>
    </w:p>
    <w:p w:rsidR="00DB2912" w:rsidRDefault="00DB2912">
      <w:pPr>
        <w:pStyle w:val="Obsah1"/>
        <w:tabs>
          <w:tab w:val="left" w:pos="426"/>
          <w:tab w:val="right" w:leader="dot" w:pos="9062"/>
        </w:tabs>
        <w:rPr>
          <w:rFonts w:asciiTheme="minorHAnsi" w:eastAsiaTheme="minorEastAsia" w:hAnsiTheme="minorHAnsi" w:cstheme="minorBidi"/>
          <w:b w:val="0"/>
          <w:bCs w:val="0"/>
          <w:caps w:val="0"/>
          <w:noProof/>
          <w:sz w:val="22"/>
          <w:szCs w:val="22"/>
        </w:rPr>
      </w:pPr>
      <w:hyperlink w:anchor="_Toc359587665" w:history="1">
        <w:r w:rsidRPr="0027315C">
          <w:rPr>
            <w:rStyle w:val="Hypertextovodkaz"/>
            <w:noProof/>
          </w:rPr>
          <w:t>5.</w:t>
        </w:r>
        <w:r>
          <w:rPr>
            <w:rFonts w:asciiTheme="minorHAnsi" w:eastAsiaTheme="minorEastAsia" w:hAnsiTheme="minorHAnsi" w:cstheme="minorBidi"/>
            <w:b w:val="0"/>
            <w:bCs w:val="0"/>
            <w:caps w:val="0"/>
            <w:noProof/>
            <w:sz w:val="22"/>
            <w:szCs w:val="22"/>
          </w:rPr>
          <w:tab/>
        </w:r>
        <w:r w:rsidRPr="0027315C">
          <w:rPr>
            <w:rStyle w:val="Hypertextovodkaz"/>
            <w:noProof/>
          </w:rPr>
          <w:t>Akční plán řízení a koordinace předběžných podmínek</w:t>
        </w:r>
        <w:r>
          <w:rPr>
            <w:noProof/>
            <w:webHidden/>
          </w:rPr>
          <w:tab/>
        </w:r>
        <w:r>
          <w:rPr>
            <w:noProof/>
            <w:webHidden/>
          </w:rPr>
          <w:fldChar w:fldCharType="begin"/>
        </w:r>
        <w:r>
          <w:rPr>
            <w:noProof/>
            <w:webHidden/>
          </w:rPr>
          <w:instrText xml:space="preserve"> PAGEREF _Toc359587665 \h </w:instrText>
        </w:r>
        <w:r>
          <w:rPr>
            <w:noProof/>
            <w:webHidden/>
          </w:rPr>
        </w:r>
        <w:r>
          <w:rPr>
            <w:noProof/>
            <w:webHidden/>
          </w:rPr>
          <w:fldChar w:fldCharType="separate"/>
        </w:r>
        <w:r>
          <w:rPr>
            <w:noProof/>
            <w:webHidden/>
          </w:rPr>
          <w:t>10</w:t>
        </w:r>
        <w:r>
          <w:rPr>
            <w:noProof/>
            <w:webHidden/>
          </w:rPr>
          <w:fldChar w:fldCharType="end"/>
        </w:r>
      </w:hyperlink>
    </w:p>
    <w:p w:rsidR="00DB2912" w:rsidRDefault="00DB2912">
      <w:pPr>
        <w:pStyle w:val="Obsah2"/>
        <w:rPr>
          <w:rFonts w:asciiTheme="minorHAnsi" w:eastAsiaTheme="minorEastAsia" w:hAnsiTheme="minorHAnsi" w:cstheme="minorBidi"/>
          <w:smallCaps w:val="0"/>
          <w:noProof/>
          <w:sz w:val="22"/>
          <w:szCs w:val="22"/>
        </w:rPr>
      </w:pPr>
      <w:hyperlink w:anchor="_Toc359587666" w:history="1">
        <w:r w:rsidRPr="0027315C">
          <w:rPr>
            <w:rStyle w:val="Hypertextovodkaz"/>
            <w:rFonts w:eastAsiaTheme="majorEastAsia"/>
            <w:noProof/>
          </w:rPr>
          <w:t>5.1.</w:t>
        </w:r>
        <w:r>
          <w:rPr>
            <w:rFonts w:asciiTheme="minorHAnsi" w:eastAsiaTheme="minorEastAsia" w:hAnsiTheme="minorHAnsi" w:cstheme="minorBidi"/>
            <w:smallCaps w:val="0"/>
            <w:noProof/>
            <w:sz w:val="22"/>
            <w:szCs w:val="22"/>
          </w:rPr>
          <w:tab/>
        </w:r>
        <w:r w:rsidRPr="0027315C">
          <w:rPr>
            <w:rStyle w:val="Hypertextovodkaz"/>
            <w:rFonts w:eastAsiaTheme="majorEastAsia"/>
            <w:noProof/>
          </w:rPr>
          <w:t>Řízení a koordinace předběžných podmínek podle fází</w:t>
        </w:r>
        <w:r>
          <w:rPr>
            <w:noProof/>
            <w:webHidden/>
          </w:rPr>
          <w:tab/>
        </w:r>
        <w:r>
          <w:rPr>
            <w:noProof/>
            <w:webHidden/>
          </w:rPr>
          <w:fldChar w:fldCharType="begin"/>
        </w:r>
        <w:r>
          <w:rPr>
            <w:noProof/>
            <w:webHidden/>
          </w:rPr>
          <w:instrText xml:space="preserve"> PAGEREF _Toc359587666 \h </w:instrText>
        </w:r>
        <w:r>
          <w:rPr>
            <w:noProof/>
            <w:webHidden/>
          </w:rPr>
        </w:r>
        <w:r>
          <w:rPr>
            <w:noProof/>
            <w:webHidden/>
          </w:rPr>
          <w:fldChar w:fldCharType="separate"/>
        </w:r>
        <w:r>
          <w:rPr>
            <w:noProof/>
            <w:webHidden/>
          </w:rPr>
          <w:t>10</w:t>
        </w:r>
        <w:r>
          <w:rPr>
            <w:noProof/>
            <w:webHidden/>
          </w:rPr>
          <w:fldChar w:fldCharType="end"/>
        </w:r>
      </w:hyperlink>
    </w:p>
    <w:p w:rsidR="00DB2912" w:rsidRDefault="00DB2912">
      <w:pPr>
        <w:pStyle w:val="Obsah2"/>
        <w:rPr>
          <w:rFonts w:asciiTheme="minorHAnsi" w:eastAsiaTheme="minorEastAsia" w:hAnsiTheme="minorHAnsi" w:cstheme="minorBidi"/>
          <w:smallCaps w:val="0"/>
          <w:noProof/>
          <w:sz w:val="22"/>
          <w:szCs w:val="22"/>
        </w:rPr>
      </w:pPr>
      <w:hyperlink w:anchor="_Toc359587667" w:history="1">
        <w:r w:rsidRPr="0027315C">
          <w:rPr>
            <w:rStyle w:val="Hypertextovodkaz"/>
            <w:rFonts w:eastAsiaTheme="majorEastAsia"/>
            <w:noProof/>
          </w:rPr>
          <w:t>5.2.</w:t>
        </w:r>
        <w:r>
          <w:rPr>
            <w:rFonts w:asciiTheme="minorHAnsi" w:eastAsiaTheme="minorEastAsia" w:hAnsiTheme="minorHAnsi" w:cstheme="minorBidi"/>
            <w:smallCaps w:val="0"/>
            <w:noProof/>
            <w:sz w:val="22"/>
            <w:szCs w:val="22"/>
          </w:rPr>
          <w:tab/>
        </w:r>
        <w:r w:rsidRPr="0027315C">
          <w:rPr>
            <w:rStyle w:val="Hypertextovodkaz"/>
            <w:rFonts w:eastAsiaTheme="majorEastAsia"/>
            <w:noProof/>
          </w:rPr>
          <w:t>Aktuální harmonogram řízení a koordinace předběžných podmínek</w:t>
        </w:r>
        <w:r>
          <w:rPr>
            <w:noProof/>
            <w:webHidden/>
          </w:rPr>
          <w:tab/>
        </w:r>
        <w:r>
          <w:rPr>
            <w:noProof/>
            <w:webHidden/>
          </w:rPr>
          <w:fldChar w:fldCharType="begin"/>
        </w:r>
        <w:r>
          <w:rPr>
            <w:noProof/>
            <w:webHidden/>
          </w:rPr>
          <w:instrText xml:space="preserve"> PAGEREF _Toc359587667 \h </w:instrText>
        </w:r>
        <w:r>
          <w:rPr>
            <w:noProof/>
            <w:webHidden/>
          </w:rPr>
        </w:r>
        <w:r>
          <w:rPr>
            <w:noProof/>
            <w:webHidden/>
          </w:rPr>
          <w:fldChar w:fldCharType="separate"/>
        </w:r>
        <w:r>
          <w:rPr>
            <w:noProof/>
            <w:webHidden/>
          </w:rPr>
          <w:t>15</w:t>
        </w:r>
        <w:r>
          <w:rPr>
            <w:noProof/>
            <w:webHidden/>
          </w:rPr>
          <w:fldChar w:fldCharType="end"/>
        </w:r>
      </w:hyperlink>
    </w:p>
    <w:p w:rsidR="00DB2912" w:rsidRDefault="00DB2912">
      <w:pPr>
        <w:pStyle w:val="Obsah2"/>
        <w:rPr>
          <w:rFonts w:asciiTheme="minorHAnsi" w:eastAsiaTheme="minorEastAsia" w:hAnsiTheme="minorHAnsi" w:cstheme="minorBidi"/>
          <w:smallCaps w:val="0"/>
          <w:noProof/>
          <w:sz w:val="22"/>
          <w:szCs w:val="22"/>
        </w:rPr>
      </w:pPr>
      <w:hyperlink w:anchor="_Toc359587668" w:history="1">
        <w:r w:rsidRPr="0027315C">
          <w:rPr>
            <w:rStyle w:val="Hypertextovodkaz"/>
            <w:rFonts w:eastAsiaTheme="majorEastAsia"/>
            <w:noProof/>
          </w:rPr>
          <w:t>5.3.</w:t>
        </w:r>
        <w:r>
          <w:rPr>
            <w:rFonts w:asciiTheme="minorHAnsi" w:eastAsiaTheme="minorEastAsia" w:hAnsiTheme="minorHAnsi" w:cstheme="minorBidi"/>
            <w:smallCaps w:val="0"/>
            <w:noProof/>
            <w:sz w:val="22"/>
            <w:szCs w:val="22"/>
          </w:rPr>
          <w:tab/>
        </w:r>
        <w:r w:rsidRPr="0027315C">
          <w:rPr>
            <w:rStyle w:val="Hypertextovodkaz"/>
            <w:rFonts w:eastAsiaTheme="majorEastAsia"/>
            <w:noProof/>
          </w:rPr>
          <w:t>Odpovědnosti v rámci řízení a koordinace předběžných podmínek</w:t>
        </w:r>
        <w:r>
          <w:rPr>
            <w:noProof/>
            <w:webHidden/>
          </w:rPr>
          <w:tab/>
        </w:r>
        <w:r>
          <w:rPr>
            <w:noProof/>
            <w:webHidden/>
          </w:rPr>
          <w:fldChar w:fldCharType="begin"/>
        </w:r>
        <w:r>
          <w:rPr>
            <w:noProof/>
            <w:webHidden/>
          </w:rPr>
          <w:instrText xml:space="preserve"> PAGEREF _Toc359587668 \h </w:instrText>
        </w:r>
        <w:r>
          <w:rPr>
            <w:noProof/>
            <w:webHidden/>
          </w:rPr>
        </w:r>
        <w:r>
          <w:rPr>
            <w:noProof/>
            <w:webHidden/>
          </w:rPr>
          <w:fldChar w:fldCharType="separate"/>
        </w:r>
        <w:r>
          <w:rPr>
            <w:noProof/>
            <w:webHidden/>
          </w:rPr>
          <w:t>16</w:t>
        </w:r>
        <w:r>
          <w:rPr>
            <w:noProof/>
            <w:webHidden/>
          </w:rPr>
          <w:fldChar w:fldCharType="end"/>
        </w:r>
      </w:hyperlink>
    </w:p>
    <w:p w:rsidR="00DB2912" w:rsidRDefault="00DB2912">
      <w:pPr>
        <w:pStyle w:val="Obsah2"/>
        <w:rPr>
          <w:rFonts w:asciiTheme="minorHAnsi" w:eastAsiaTheme="minorEastAsia" w:hAnsiTheme="minorHAnsi" w:cstheme="minorBidi"/>
          <w:smallCaps w:val="0"/>
          <w:noProof/>
          <w:sz w:val="22"/>
          <w:szCs w:val="22"/>
        </w:rPr>
      </w:pPr>
      <w:hyperlink w:anchor="_Toc359587669" w:history="1">
        <w:r w:rsidRPr="0027315C">
          <w:rPr>
            <w:rStyle w:val="Hypertextovodkaz"/>
            <w:rFonts w:eastAsiaTheme="majorEastAsia"/>
            <w:noProof/>
          </w:rPr>
          <w:t>5.4.</w:t>
        </w:r>
        <w:r>
          <w:rPr>
            <w:rFonts w:asciiTheme="minorHAnsi" w:eastAsiaTheme="minorEastAsia" w:hAnsiTheme="minorHAnsi" w:cstheme="minorBidi"/>
            <w:smallCaps w:val="0"/>
            <w:noProof/>
            <w:sz w:val="22"/>
            <w:szCs w:val="22"/>
          </w:rPr>
          <w:tab/>
        </w:r>
        <w:r w:rsidRPr="0027315C">
          <w:rPr>
            <w:rStyle w:val="Hypertextovodkaz"/>
            <w:rFonts w:eastAsiaTheme="majorEastAsia"/>
            <w:noProof/>
          </w:rPr>
          <w:t>Karta rizikových předběžných podmínek</w:t>
        </w:r>
        <w:r>
          <w:rPr>
            <w:noProof/>
            <w:webHidden/>
          </w:rPr>
          <w:tab/>
        </w:r>
        <w:r>
          <w:rPr>
            <w:noProof/>
            <w:webHidden/>
          </w:rPr>
          <w:fldChar w:fldCharType="begin"/>
        </w:r>
        <w:r>
          <w:rPr>
            <w:noProof/>
            <w:webHidden/>
          </w:rPr>
          <w:instrText xml:space="preserve"> PAGEREF _Toc359587669 \h </w:instrText>
        </w:r>
        <w:r>
          <w:rPr>
            <w:noProof/>
            <w:webHidden/>
          </w:rPr>
        </w:r>
        <w:r>
          <w:rPr>
            <w:noProof/>
            <w:webHidden/>
          </w:rPr>
          <w:fldChar w:fldCharType="separate"/>
        </w:r>
        <w:r>
          <w:rPr>
            <w:noProof/>
            <w:webHidden/>
          </w:rPr>
          <w:t>24</w:t>
        </w:r>
        <w:r>
          <w:rPr>
            <w:noProof/>
            <w:webHidden/>
          </w:rPr>
          <w:fldChar w:fldCharType="end"/>
        </w:r>
      </w:hyperlink>
    </w:p>
    <w:p w:rsidR="00DB2912" w:rsidRDefault="00DB2912">
      <w:pPr>
        <w:pStyle w:val="Obsah1"/>
        <w:tabs>
          <w:tab w:val="right" w:leader="dot" w:pos="9062"/>
        </w:tabs>
        <w:rPr>
          <w:rFonts w:asciiTheme="minorHAnsi" w:eastAsiaTheme="minorEastAsia" w:hAnsiTheme="minorHAnsi" w:cstheme="minorBidi"/>
          <w:b w:val="0"/>
          <w:bCs w:val="0"/>
          <w:caps w:val="0"/>
          <w:noProof/>
          <w:sz w:val="22"/>
          <w:szCs w:val="22"/>
        </w:rPr>
      </w:pPr>
      <w:hyperlink w:anchor="_Toc359587670" w:history="1">
        <w:r w:rsidRPr="0027315C">
          <w:rPr>
            <w:rStyle w:val="Hypertextovodkaz"/>
            <w:noProof/>
          </w:rPr>
          <w:t>Přílohy</w:t>
        </w:r>
        <w:r>
          <w:rPr>
            <w:noProof/>
            <w:webHidden/>
          </w:rPr>
          <w:tab/>
        </w:r>
        <w:r>
          <w:rPr>
            <w:noProof/>
            <w:webHidden/>
          </w:rPr>
          <w:fldChar w:fldCharType="begin"/>
        </w:r>
        <w:r>
          <w:rPr>
            <w:noProof/>
            <w:webHidden/>
          </w:rPr>
          <w:instrText xml:space="preserve"> PAGEREF _Toc359587670 \h </w:instrText>
        </w:r>
        <w:r>
          <w:rPr>
            <w:noProof/>
            <w:webHidden/>
          </w:rPr>
        </w:r>
        <w:r>
          <w:rPr>
            <w:noProof/>
            <w:webHidden/>
          </w:rPr>
          <w:fldChar w:fldCharType="separate"/>
        </w:r>
        <w:r>
          <w:rPr>
            <w:noProof/>
            <w:webHidden/>
          </w:rPr>
          <w:t>40</w:t>
        </w:r>
        <w:r>
          <w:rPr>
            <w:noProof/>
            <w:webHidden/>
          </w:rPr>
          <w:fldChar w:fldCharType="end"/>
        </w:r>
      </w:hyperlink>
    </w:p>
    <w:p w:rsidR="00DB2912" w:rsidRDefault="00DB2912">
      <w:pPr>
        <w:pStyle w:val="Obsah2"/>
        <w:rPr>
          <w:rFonts w:asciiTheme="minorHAnsi" w:eastAsiaTheme="minorEastAsia" w:hAnsiTheme="minorHAnsi" w:cstheme="minorBidi"/>
          <w:smallCaps w:val="0"/>
          <w:noProof/>
          <w:sz w:val="22"/>
          <w:szCs w:val="22"/>
        </w:rPr>
      </w:pPr>
      <w:hyperlink w:anchor="_Toc359587671" w:history="1">
        <w:r w:rsidRPr="0027315C">
          <w:rPr>
            <w:rStyle w:val="Hypertextovodkaz"/>
            <w:rFonts w:eastAsiaTheme="majorEastAsia"/>
            <w:noProof/>
          </w:rPr>
          <w:t>Příloha1a: Obecné předběžné podmínky pro EFRR, ESF a FS</w:t>
        </w:r>
        <w:r>
          <w:rPr>
            <w:noProof/>
            <w:webHidden/>
          </w:rPr>
          <w:tab/>
        </w:r>
        <w:r>
          <w:rPr>
            <w:noProof/>
            <w:webHidden/>
          </w:rPr>
          <w:fldChar w:fldCharType="begin"/>
        </w:r>
        <w:r>
          <w:rPr>
            <w:noProof/>
            <w:webHidden/>
          </w:rPr>
          <w:instrText xml:space="preserve"> PAGEREF _Toc359587671 \h </w:instrText>
        </w:r>
        <w:r>
          <w:rPr>
            <w:noProof/>
            <w:webHidden/>
          </w:rPr>
        </w:r>
        <w:r>
          <w:rPr>
            <w:noProof/>
            <w:webHidden/>
          </w:rPr>
          <w:fldChar w:fldCharType="separate"/>
        </w:r>
        <w:r>
          <w:rPr>
            <w:noProof/>
            <w:webHidden/>
          </w:rPr>
          <w:t>40</w:t>
        </w:r>
        <w:r>
          <w:rPr>
            <w:noProof/>
            <w:webHidden/>
          </w:rPr>
          <w:fldChar w:fldCharType="end"/>
        </w:r>
      </w:hyperlink>
    </w:p>
    <w:p w:rsidR="00DB2912" w:rsidRDefault="00DB2912">
      <w:pPr>
        <w:pStyle w:val="Obsah2"/>
        <w:rPr>
          <w:rFonts w:asciiTheme="minorHAnsi" w:eastAsiaTheme="minorEastAsia" w:hAnsiTheme="minorHAnsi" w:cstheme="minorBidi"/>
          <w:smallCaps w:val="0"/>
          <w:noProof/>
          <w:sz w:val="22"/>
          <w:szCs w:val="22"/>
        </w:rPr>
      </w:pPr>
      <w:hyperlink w:anchor="_Toc359587672" w:history="1">
        <w:r w:rsidRPr="0027315C">
          <w:rPr>
            <w:rStyle w:val="Hypertextovodkaz"/>
            <w:rFonts w:eastAsiaTheme="majorEastAsia"/>
            <w:noProof/>
          </w:rPr>
          <w:t>Příloha 1b: Tematické předběžné podmínky pro EFRR, ESF a FS</w:t>
        </w:r>
        <w:r>
          <w:rPr>
            <w:noProof/>
            <w:webHidden/>
          </w:rPr>
          <w:tab/>
        </w:r>
        <w:r>
          <w:rPr>
            <w:noProof/>
            <w:webHidden/>
          </w:rPr>
          <w:fldChar w:fldCharType="begin"/>
        </w:r>
        <w:r>
          <w:rPr>
            <w:noProof/>
            <w:webHidden/>
          </w:rPr>
          <w:instrText xml:space="preserve"> PAGEREF _Toc359587672 \h </w:instrText>
        </w:r>
        <w:r>
          <w:rPr>
            <w:noProof/>
            <w:webHidden/>
          </w:rPr>
        </w:r>
        <w:r>
          <w:rPr>
            <w:noProof/>
            <w:webHidden/>
          </w:rPr>
          <w:fldChar w:fldCharType="separate"/>
        </w:r>
        <w:r>
          <w:rPr>
            <w:noProof/>
            <w:webHidden/>
          </w:rPr>
          <w:t>42</w:t>
        </w:r>
        <w:r>
          <w:rPr>
            <w:noProof/>
            <w:webHidden/>
          </w:rPr>
          <w:fldChar w:fldCharType="end"/>
        </w:r>
      </w:hyperlink>
    </w:p>
    <w:p w:rsidR="00DB2912" w:rsidRDefault="00DB2912">
      <w:pPr>
        <w:pStyle w:val="Obsah2"/>
        <w:rPr>
          <w:rFonts w:asciiTheme="minorHAnsi" w:eastAsiaTheme="minorEastAsia" w:hAnsiTheme="minorHAnsi" w:cstheme="minorBidi"/>
          <w:smallCaps w:val="0"/>
          <w:noProof/>
          <w:sz w:val="22"/>
          <w:szCs w:val="22"/>
        </w:rPr>
      </w:pPr>
      <w:hyperlink w:anchor="_Toc359587673" w:history="1">
        <w:r w:rsidRPr="0027315C">
          <w:rPr>
            <w:rStyle w:val="Hypertextovodkaz"/>
            <w:rFonts w:eastAsiaTheme="majorEastAsia"/>
            <w:noProof/>
          </w:rPr>
          <w:t>Příloha 1c: Horizontální předběžné podmínky pro EZFRV</w:t>
        </w:r>
        <w:r>
          <w:rPr>
            <w:noProof/>
            <w:webHidden/>
          </w:rPr>
          <w:tab/>
        </w:r>
        <w:r>
          <w:rPr>
            <w:noProof/>
            <w:webHidden/>
          </w:rPr>
          <w:fldChar w:fldCharType="begin"/>
        </w:r>
        <w:r>
          <w:rPr>
            <w:noProof/>
            <w:webHidden/>
          </w:rPr>
          <w:instrText xml:space="preserve"> PAGEREF _Toc359587673 \h </w:instrText>
        </w:r>
        <w:r>
          <w:rPr>
            <w:noProof/>
            <w:webHidden/>
          </w:rPr>
        </w:r>
        <w:r>
          <w:rPr>
            <w:noProof/>
            <w:webHidden/>
          </w:rPr>
          <w:fldChar w:fldCharType="separate"/>
        </w:r>
        <w:r>
          <w:rPr>
            <w:noProof/>
            <w:webHidden/>
          </w:rPr>
          <w:t>49</w:t>
        </w:r>
        <w:r>
          <w:rPr>
            <w:noProof/>
            <w:webHidden/>
          </w:rPr>
          <w:fldChar w:fldCharType="end"/>
        </w:r>
      </w:hyperlink>
    </w:p>
    <w:p w:rsidR="00DB2912" w:rsidRDefault="00DB2912">
      <w:pPr>
        <w:pStyle w:val="Obsah2"/>
        <w:rPr>
          <w:rFonts w:asciiTheme="minorHAnsi" w:eastAsiaTheme="minorEastAsia" w:hAnsiTheme="minorHAnsi" w:cstheme="minorBidi"/>
          <w:smallCaps w:val="0"/>
          <w:noProof/>
          <w:sz w:val="22"/>
          <w:szCs w:val="22"/>
        </w:rPr>
      </w:pPr>
      <w:hyperlink w:anchor="_Toc359587674" w:history="1">
        <w:r w:rsidRPr="0027315C">
          <w:rPr>
            <w:rStyle w:val="Hypertextovodkaz"/>
            <w:rFonts w:eastAsiaTheme="majorEastAsia"/>
            <w:noProof/>
          </w:rPr>
          <w:t>Příloha 1d: Tematické předběžné podmínky pro EZFRV</w:t>
        </w:r>
        <w:r>
          <w:rPr>
            <w:noProof/>
            <w:webHidden/>
          </w:rPr>
          <w:tab/>
        </w:r>
        <w:r>
          <w:rPr>
            <w:noProof/>
            <w:webHidden/>
          </w:rPr>
          <w:fldChar w:fldCharType="begin"/>
        </w:r>
        <w:r>
          <w:rPr>
            <w:noProof/>
            <w:webHidden/>
          </w:rPr>
          <w:instrText xml:space="preserve"> PAGEREF _Toc359587674 \h </w:instrText>
        </w:r>
        <w:r>
          <w:rPr>
            <w:noProof/>
            <w:webHidden/>
          </w:rPr>
        </w:r>
        <w:r>
          <w:rPr>
            <w:noProof/>
            <w:webHidden/>
          </w:rPr>
          <w:fldChar w:fldCharType="separate"/>
        </w:r>
        <w:r>
          <w:rPr>
            <w:noProof/>
            <w:webHidden/>
          </w:rPr>
          <w:t>50</w:t>
        </w:r>
        <w:r>
          <w:rPr>
            <w:noProof/>
            <w:webHidden/>
          </w:rPr>
          <w:fldChar w:fldCharType="end"/>
        </w:r>
      </w:hyperlink>
    </w:p>
    <w:p w:rsidR="00DB2912" w:rsidRDefault="00DB2912">
      <w:pPr>
        <w:pStyle w:val="Obsah2"/>
        <w:rPr>
          <w:rFonts w:asciiTheme="minorHAnsi" w:eastAsiaTheme="minorEastAsia" w:hAnsiTheme="minorHAnsi" w:cstheme="minorBidi"/>
          <w:smallCaps w:val="0"/>
          <w:noProof/>
          <w:sz w:val="22"/>
          <w:szCs w:val="22"/>
        </w:rPr>
      </w:pPr>
      <w:hyperlink w:anchor="_Toc359587675" w:history="1">
        <w:r w:rsidRPr="0027315C">
          <w:rPr>
            <w:rStyle w:val="Hypertextovodkaz"/>
            <w:rFonts w:eastAsiaTheme="majorEastAsia"/>
            <w:noProof/>
          </w:rPr>
          <w:t>Příloha 1e: Obecné předběžné podmínky pro ENRF</w:t>
        </w:r>
        <w:r>
          <w:rPr>
            <w:noProof/>
            <w:webHidden/>
          </w:rPr>
          <w:tab/>
        </w:r>
        <w:r>
          <w:rPr>
            <w:noProof/>
            <w:webHidden/>
          </w:rPr>
          <w:fldChar w:fldCharType="begin"/>
        </w:r>
        <w:r>
          <w:rPr>
            <w:noProof/>
            <w:webHidden/>
          </w:rPr>
          <w:instrText xml:space="preserve"> PAGEREF _Toc359587675 \h </w:instrText>
        </w:r>
        <w:r>
          <w:rPr>
            <w:noProof/>
            <w:webHidden/>
          </w:rPr>
        </w:r>
        <w:r>
          <w:rPr>
            <w:noProof/>
            <w:webHidden/>
          </w:rPr>
          <w:fldChar w:fldCharType="separate"/>
        </w:r>
        <w:r>
          <w:rPr>
            <w:noProof/>
            <w:webHidden/>
          </w:rPr>
          <w:t>53</w:t>
        </w:r>
        <w:r>
          <w:rPr>
            <w:noProof/>
            <w:webHidden/>
          </w:rPr>
          <w:fldChar w:fldCharType="end"/>
        </w:r>
      </w:hyperlink>
    </w:p>
    <w:p w:rsidR="00DB2912" w:rsidRDefault="00DB2912">
      <w:pPr>
        <w:pStyle w:val="Obsah2"/>
        <w:rPr>
          <w:rFonts w:asciiTheme="minorHAnsi" w:eastAsiaTheme="minorEastAsia" w:hAnsiTheme="minorHAnsi" w:cstheme="minorBidi"/>
          <w:smallCaps w:val="0"/>
          <w:noProof/>
          <w:sz w:val="22"/>
          <w:szCs w:val="22"/>
        </w:rPr>
      </w:pPr>
      <w:hyperlink w:anchor="_Toc359587676" w:history="1">
        <w:r w:rsidRPr="0027315C">
          <w:rPr>
            <w:rStyle w:val="Hypertextovodkaz"/>
            <w:rFonts w:eastAsiaTheme="majorEastAsia"/>
            <w:noProof/>
          </w:rPr>
          <w:t>Příloha 1f: Tematické předběžné podmínky pro ENRF</w:t>
        </w:r>
        <w:r>
          <w:rPr>
            <w:noProof/>
            <w:webHidden/>
          </w:rPr>
          <w:tab/>
        </w:r>
        <w:r>
          <w:rPr>
            <w:noProof/>
            <w:webHidden/>
          </w:rPr>
          <w:fldChar w:fldCharType="begin"/>
        </w:r>
        <w:r>
          <w:rPr>
            <w:noProof/>
            <w:webHidden/>
          </w:rPr>
          <w:instrText xml:space="preserve"> PAGEREF _Toc359587676 \h </w:instrText>
        </w:r>
        <w:r>
          <w:rPr>
            <w:noProof/>
            <w:webHidden/>
          </w:rPr>
        </w:r>
        <w:r>
          <w:rPr>
            <w:noProof/>
            <w:webHidden/>
          </w:rPr>
          <w:fldChar w:fldCharType="separate"/>
        </w:r>
        <w:r>
          <w:rPr>
            <w:noProof/>
            <w:webHidden/>
          </w:rPr>
          <w:t>55</w:t>
        </w:r>
        <w:r>
          <w:rPr>
            <w:noProof/>
            <w:webHidden/>
          </w:rPr>
          <w:fldChar w:fldCharType="end"/>
        </w:r>
      </w:hyperlink>
    </w:p>
    <w:p w:rsidR="00A94858" w:rsidRPr="00523D12" w:rsidRDefault="0037582F" w:rsidP="00A94858">
      <w:pPr>
        <w:spacing w:line="240" w:lineRule="auto"/>
        <w:jc w:val="left"/>
        <w:rPr>
          <w:rFonts w:asciiTheme="minorHAnsi" w:hAnsiTheme="minorHAnsi"/>
        </w:rPr>
      </w:pPr>
      <w:r w:rsidRPr="0011149A">
        <w:rPr>
          <w:rFonts w:asciiTheme="minorHAnsi" w:hAnsiTheme="minorHAnsi"/>
          <w:sz w:val="24"/>
          <w:szCs w:val="24"/>
        </w:rPr>
        <w:fldChar w:fldCharType="end"/>
      </w:r>
      <w:r w:rsidR="00A94858" w:rsidRPr="00523D12">
        <w:rPr>
          <w:rFonts w:asciiTheme="minorHAnsi" w:hAnsiTheme="minorHAnsi"/>
        </w:rPr>
        <w:br w:type="page"/>
      </w:r>
    </w:p>
    <w:p w:rsidR="00C46A9E" w:rsidRPr="00DF5905" w:rsidRDefault="00C46A9E" w:rsidP="00C46A9E">
      <w:pPr>
        <w:spacing w:after="240" w:line="288" w:lineRule="auto"/>
        <w:rPr>
          <w:rFonts w:asciiTheme="minorHAnsi" w:eastAsia="Arial Unicode MS" w:hAnsiTheme="minorHAnsi"/>
          <w:b/>
          <w:sz w:val="28"/>
          <w:szCs w:val="28"/>
          <w:u w:val="single"/>
        </w:rPr>
      </w:pPr>
      <w:bookmarkStart w:id="0" w:name="_Toc308703450"/>
      <w:bookmarkStart w:id="1" w:name="_Toc321122532"/>
      <w:bookmarkStart w:id="2" w:name="_Toc334447766"/>
      <w:r w:rsidRPr="009A03FE">
        <w:rPr>
          <w:rFonts w:asciiTheme="minorHAnsi" w:eastAsia="Arial Unicode MS" w:hAnsiTheme="minorHAnsi"/>
          <w:b/>
          <w:sz w:val="28"/>
          <w:szCs w:val="28"/>
          <w:u w:val="single"/>
        </w:rPr>
        <w:t>Přehled revizí v Akční plánu řízení a koordinace předběžných podmínek</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1417"/>
        <w:gridCol w:w="1560"/>
        <w:gridCol w:w="5244"/>
      </w:tblGrid>
      <w:tr w:rsidR="00C46A9E" w:rsidRPr="00FA29AE" w:rsidTr="000C0E01">
        <w:trPr>
          <w:trHeight w:val="449"/>
        </w:trPr>
        <w:tc>
          <w:tcPr>
            <w:tcW w:w="851" w:type="dxa"/>
            <w:shd w:val="clear" w:color="auto" w:fill="B8CCE4" w:themeFill="accent1" w:themeFillTint="66"/>
            <w:vAlign w:val="center"/>
          </w:tcPr>
          <w:p w:rsidR="00C46A9E" w:rsidRPr="00DF5905" w:rsidRDefault="001E3896" w:rsidP="001E3896">
            <w:pPr>
              <w:spacing w:line="240" w:lineRule="auto"/>
              <w:jc w:val="center"/>
              <w:rPr>
                <w:rFonts w:asciiTheme="minorHAnsi" w:hAnsiTheme="minorHAnsi"/>
                <w:b/>
              </w:rPr>
            </w:pPr>
            <w:r>
              <w:rPr>
                <w:rFonts w:asciiTheme="minorHAnsi" w:hAnsiTheme="minorHAnsi"/>
                <w:b/>
              </w:rPr>
              <w:t>číslo revize</w:t>
            </w:r>
          </w:p>
        </w:tc>
        <w:tc>
          <w:tcPr>
            <w:tcW w:w="1417" w:type="dxa"/>
            <w:shd w:val="clear" w:color="auto" w:fill="B8CCE4" w:themeFill="accent1" w:themeFillTint="66"/>
            <w:vAlign w:val="center"/>
          </w:tcPr>
          <w:p w:rsidR="00C46A9E" w:rsidRPr="00DF5905" w:rsidRDefault="00C46A9E" w:rsidP="00A564AD">
            <w:pPr>
              <w:spacing w:line="240" w:lineRule="auto"/>
              <w:jc w:val="center"/>
              <w:rPr>
                <w:rFonts w:asciiTheme="minorHAnsi" w:hAnsiTheme="minorHAnsi"/>
                <w:b/>
                <w:bCs/>
              </w:rPr>
            </w:pPr>
            <w:r w:rsidRPr="00DF5905">
              <w:rPr>
                <w:rFonts w:asciiTheme="minorHAnsi" w:hAnsiTheme="minorHAnsi"/>
                <w:b/>
                <w:bCs/>
              </w:rPr>
              <w:t>Kapitola</w:t>
            </w:r>
          </w:p>
        </w:tc>
        <w:tc>
          <w:tcPr>
            <w:tcW w:w="1560" w:type="dxa"/>
            <w:shd w:val="clear" w:color="auto" w:fill="B8CCE4" w:themeFill="accent1" w:themeFillTint="66"/>
            <w:vAlign w:val="center"/>
          </w:tcPr>
          <w:p w:rsidR="00C46A9E" w:rsidRPr="00DF5905" w:rsidRDefault="00C46A9E" w:rsidP="00A564AD">
            <w:pPr>
              <w:spacing w:line="240" w:lineRule="auto"/>
              <w:jc w:val="center"/>
              <w:rPr>
                <w:rFonts w:asciiTheme="minorHAnsi" w:hAnsiTheme="minorHAnsi"/>
                <w:b/>
                <w:bCs/>
              </w:rPr>
            </w:pPr>
            <w:r w:rsidRPr="00DF5905">
              <w:rPr>
                <w:rFonts w:asciiTheme="minorHAnsi" w:hAnsiTheme="minorHAnsi"/>
                <w:b/>
                <w:bCs/>
              </w:rPr>
              <w:t>Předmět revize</w:t>
            </w:r>
          </w:p>
        </w:tc>
        <w:tc>
          <w:tcPr>
            <w:tcW w:w="5244" w:type="dxa"/>
            <w:shd w:val="clear" w:color="auto" w:fill="B8CCE4" w:themeFill="accent1" w:themeFillTint="66"/>
            <w:vAlign w:val="center"/>
          </w:tcPr>
          <w:p w:rsidR="00C46A9E" w:rsidRPr="00DF5905" w:rsidRDefault="00C46A9E" w:rsidP="00A564AD">
            <w:pPr>
              <w:jc w:val="center"/>
              <w:rPr>
                <w:rFonts w:asciiTheme="minorHAnsi" w:hAnsiTheme="minorHAnsi"/>
                <w:b/>
                <w:color w:val="000000"/>
              </w:rPr>
            </w:pPr>
            <w:r w:rsidRPr="00DF5905">
              <w:rPr>
                <w:rFonts w:asciiTheme="minorHAnsi" w:hAnsiTheme="minorHAnsi"/>
                <w:b/>
              </w:rPr>
              <w:t>Popis revize</w:t>
            </w:r>
          </w:p>
        </w:tc>
      </w:tr>
      <w:tr w:rsidR="00C46A9E" w:rsidRPr="00FA29AE" w:rsidTr="000C0E01">
        <w:trPr>
          <w:trHeight w:val="706"/>
        </w:trPr>
        <w:tc>
          <w:tcPr>
            <w:tcW w:w="851" w:type="dxa"/>
            <w:vAlign w:val="center"/>
          </w:tcPr>
          <w:p w:rsidR="00C46A9E" w:rsidRPr="00FA29AE" w:rsidRDefault="00C46A9E" w:rsidP="00DF5905">
            <w:pPr>
              <w:spacing w:line="240" w:lineRule="auto"/>
              <w:jc w:val="center"/>
              <w:rPr>
                <w:rFonts w:asciiTheme="minorHAnsi" w:hAnsiTheme="minorHAnsi"/>
                <w:bCs/>
                <w:sz w:val="20"/>
                <w:szCs w:val="20"/>
              </w:rPr>
            </w:pPr>
            <w:r>
              <w:rPr>
                <w:rFonts w:asciiTheme="minorHAnsi" w:hAnsiTheme="minorHAnsi"/>
                <w:bCs/>
                <w:sz w:val="20"/>
                <w:szCs w:val="20"/>
              </w:rPr>
              <w:t>1.</w:t>
            </w:r>
          </w:p>
        </w:tc>
        <w:tc>
          <w:tcPr>
            <w:tcW w:w="1417" w:type="dxa"/>
            <w:vAlign w:val="center"/>
          </w:tcPr>
          <w:p w:rsidR="00C46A9E" w:rsidRPr="00FA29AE" w:rsidRDefault="00C46A9E" w:rsidP="00A564AD">
            <w:pPr>
              <w:spacing w:line="240" w:lineRule="auto"/>
              <w:jc w:val="left"/>
              <w:rPr>
                <w:rFonts w:asciiTheme="minorHAnsi" w:hAnsiTheme="minorHAnsi"/>
                <w:bCs/>
                <w:sz w:val="20"/>
                <w:szCs w:val="20"/>
              </w:rPr>
            </w:pPr>
            <w:r>
              <w:rPr>
                <w:rFonts w:asciiTheme="minorHAnsi" w:hAnsiTheme="minorHAnsi"/>
                <w:bCs/>
                <w:sz w:val="20"/>
                <w:szCs w:val="20"/>
              </w:rPr>
              <w:t>1. Úvod</w:t>
            </w:r>
          </w:p>
        </w:tc>
        <w:tc>
          <w:tcPr>
            <w:tcW w:w="1560" w:type="dxa"/>
            <w:vAlign w:val="center"/>
          </w:tcPr>
          <w:p w:rsidR="00C46A9E" w:rsidRPr="00FA29AE" w:rsidRDefault="00C46A9E" w:rsidP="00A564AD">
            <w:pPr>
              <w:spacing w:line="240" w:lineRule="auto"/>
              <w:jc w:val="left"/>
              <w:rPr>
                <w:rFonts w:asciiTheme="minorHAnsi" w:hAnsiTheme="minorHAnsi"/>
                <w:color w:val="000000"/>
                <w:sz w:val="20"/>
                <w:szCs w:val="20"/>
              </w:rPr>
            </w:pPr>
            <w:r>
              <w:rPr>
                <w:rFonts w:asciiTheme="minorHAnsi" w:hAnsiTheme="minorHAnsi"/>
                <w:color w:val="000000"/>
                <w:sz w:val="20"/>
                <w:szCs w:val="20"/>
              </w:rPr>
              <w:t>Usnesení vlády</w:t>
            </w:r>
            <w:r w:rsidR="009A03FE">
              <w:rPr>
                <w:rStyle w:val="Znakapoznpodarou"/>
                <w:rFonts w:asciiTheme="minorHAnsi" w:hAnsiTheme="minorHAnsi"/>
                <w:color w:val="000000"/>
                <w:sz w:val="20"/>
                <w:szCs w:val="20"/>
              </w:rPr>
              <w:footnoteReference w:id="2"/>
            </w:r>
          </w:p>
        </w:tc>
        <w:tc>
          <w:tcPr>
            <w:tcW w:w="5244" w:type="dxa"/>
            <w:vAlign w:val="center"/>
          </w:tcPr>
          <w:p w:rsidR="00C46A9E" w:rsidRPr="00FA29AE" w:rsidRDefault="00C46A9E" w:rsidP="00A564AD">
            <w:pPr>
              <w:spacing w:line="240" w:lineRule="auto"/>
              <w:jc w:val="left"/>
              <w:rPr>
                <w:rFonts w:asciiTheme="minorHAnsi" w:hAnsiTheme="minorHAnsi"/>
                <w:color w:val="000000"/>
                <w:sz w:val="20"/>
                <w:szCs w:val="20"/>
              </w:rPr>
            </w:pPr>
            <w:r>
              <w:rPr>
                <w:rFonts w:asciiTheme="minorHAnsi" w:hAnsiTheme="minorHAnsi"/>
                <w:color w:val="000000"/>
                <w:sz w:val="20"/>
                <w:szCs w:val="20"/>
              </w:rPr>
              <w:t>Zapracováno usnesení vlády a úkoly, které jsou usnesením definovány</w:t>
            </w:r>
          </w:p>
        </w:tc>
      </w:tr>
      <w:tr w:rsidR="000C0E01" w:rsidRPr="00FA29AE" w:rsidTr="000C0E01">
        <w:trPr>
          <w:trHeight w:val="844"/>
        </w:trPr>
        <w:tc>
          <w:tcPr>
            <w:tcW w:w="851" w:type="dxa"/>
            <w:vAlign w:val="center"/>
          </w:tcPr>
          <w:p w:rsidR="000C0E01" w:rsidRPr="00FA29AE" w:rsidRDefault="000C0E01" w:rsidP="00DF5905">
            <w:pPr>
              <w:spacing w:line="240" w:lineRule="auto"/>
              <w:jc w:val="center"/>
              <w:rPr>
                <w:rFonts w:asciiTheme="minorHAnsi" w:hAnsiTheme="minorHAnsi"/>
                <w:bCs/>
                <w:sz w:val="20"/>
                <w:szCs w:val="20"/>
              </w:rPr>
            </w:pPr>
            <w:r>
              <w:rPr>
                <w:rFonts w:asciiTheme="minorHAnsi" w:hAnsiTheme="minorHAnsi"/>
                <w:bCs/>
                <w:sz w:val="20"/>
                <w:szCs w:val="20"/>
              </w:rPr>
              <w:t>2.</w:t>
            </w:r>
          </w:p>
        </w:tc>
        <w:tc>
          <w:tcPr>
            <w:tcW w:w="1417" w:type="dxa"/>
            <w:vMerge w:val="restart"/>
            <w:vAlign w:val="center"/>
          </w:tcPr>
          <w:p w:rsidR="000C0E01" w:rsidRPr="00FA29AE" w:rsidRDefault="000C0E01" w:rsidP="00A564AD">
            <w:pPr>
              <w:spacing w:line="240" w:lineRule="auto"/>
              <w:jc w:val="left"/>
              <w:rPr>
                <w:rFonts w:asciiTheme="minorHAnsi" w:hAnsiTheme="minorHAnsi"/>
                <w:bCs/>
                <w:sz w:val="20"/>
                <w:szCs w:val="20"/>
              </w:rPr>
            </w:pPr>
            <w:r>
              <w:rPr>
                <w:rFonts w:asciiTheme="minorHAnsi" w:hAnsiTheme="minorHAnsi"/>
                <w:bCs/>
                <w:sz w:val="20"/>
                <w:szCs w:val="20"/>
              </w:rPr>
              <w:t>3. Legislativní základ</w:t>
            </w:r>
          </w:p>
        </w:tc>
        <w:tc>
          <w:tcPr>
            <w:tcW w:w="1560" w:type="dxa"/>
            <w:vAlign w:val="center"/>
          </w:tcPr>
          <w:p w:rsidR="000C0E01" w:rsidRPr="00FA29AE" w:rsidRDefault="000C0E01" w:rsidP="00A564AD">
            <w:pPr>
              <w:spacing w:line="240" w:lineRule="auto"/>
              <w:jc w:val="left"/>
              <w:rPr>
                <w:rFonts w:asciiTheme="minorHAnsi" w:hAnsiTheme="minorHAnsi"/>
                <w:color w:val="000000"/>
                <w:sz w:val="20"/>
                <w:szCs w:val="20"/>
              </w:rPr>
            </w:pPr>
            <w:r>
              <w:rPr>
                <w:rFonts w:asciiTheme="minorHAnsi" w:hAnsiTheme="minorHAnsi"/>
                <w:color w:val="000000"/>
                <w:sz w:val="20"/>
                <w:szCs w:val="20"/>
              </w:rPr>
              <w:t>Návrh nařízení</w:t>
            </w:r>
          </w:p>
        </w:tc>
        <w:tc>
          <w:tcPr>
            <w:tcW w:w="5244" w:type="dxa"/>
            <w:vAlign w:val="center"/>
          </w:tcPr>
          <w:p w:rsidR="000C0E01" w:rsidRPr="00FA29AE" w:rsidRDefault="000C0E01" w:rsidP="0087121B">
            <w:pPr>
              <w:spacing w:line="240" w:lineRule="auto"/>
              <w:jc w:val="left"/>
              <w:rPr>
                <w:rFonts w:asciiTheme="minorHAnsi" w:hAnsiTheme="minorHAnsi"/>
                <w:color w:val="000000"/>
                <w:sz w:val="20"/>
                <w:szCs w:val="20"/>
              </w:rPr>
            </w:pPr>
            <w:r>
              <w:rPr>
                <w:rFonts w:asciiTheme="minorHAnsi" w:hAnsiTheme="minorHAnsi"/>
                <w:color w:val="000000"/>
                <w:sz w:val="20"/>
                <w:szCs w:val="20"/>
              </w:rPr>
              <w:t xml:space="preserve">Byly vypuštěny přesné citace z návrhu nařízení k předběžným podmínkám (i </w:t>
            </w:r>
            <w:r w:rsidRPr="0087121B">
              <w:rPr>
                <w:rFonts w:asciiTheme="minorHAnsi" w:hAnsiTheme="minorHAnsi"/>
                <w:color w:val="000000"/>
                <w:sz w:val="20"/>
                <w:szCs w:val="20"/>
              </w:rPr>
              <w:t>vzhledem k tomu, že podstatné rysy naplňování předběžných podmínek jsou uvedeny i v dalších dokumentech</w:t>
            </w:r>
            <w:r>
              <w:rPr>
                <w:rFonts w:asciiTheme="minorHAnsi" w:hAnsiTheme="minorHAnsi"/>
                <w:color w:val="000000"/>
                <w:sz w:val="20"/>
                <w:szCs w:val="20"/>
              </w:rPr>
              <w:t xml:space="preserve"> – guidance).</w:t>
            </w:r>
          </w:p>
        </w:tc>
      </w:tr>
      <w:tr w:rsidR="000C0E01" w:rsidRPr="00FA29AE" w:rsidTr="000C0E01">
        <w:trPr>
          <w:trHeight w:val="844"/>
        </w:trPr>
        <w:tc>
          <w:tcPr>
            <w:tcW w:w="851" w:type="dxa"/>
            <w:vAlign w:val="center"/>
          </w:tcPr>
          <w:p w:rsidR="000C0E01" w:rsidRDefault="000C0E01" w:rsidP="00DF5905">
            <w:pPr>
              <w:spacing w:line="240" w:lineRule="auto"/>
              <w:jc w:val="center"/>
              <w:rPr>
                <w:rFonts w:asciiTheme="minorHAnsi" w:hAnsiTheme="minorHAnsi"/>
                <w:bCs/>
                <w:sz w:val="20"/>
                <w:szCs w:val="20"/>
              </w:rPr>
            </w:pPr>
            <w:r>
              <w:rPr>
                <w:rFonts w:asciiTheme="minorHAnsi" w:hAnsiTheme="minorHAnsi"/>
                <w:bCs/>
                <w:sz w:val="20"/>
                <w:szCs w:val="20"/>
              </w:rPr>
              <w:t>3.</w:t>
            </w:r>
          </w:p>
        </w:tc>
        <w:tc>
          <w:tcPr>
            <w:tcW w:w="1417" w:type="dxa"/>
            <w:vMerge/>
            <w:vAlign w:val="center"/>
          </w:tcPr>
          <w:p w:rsidR="000C0E01" w:rsidRDefault="000C0E01" w:rsidP="00A564AD">
            <w:pPr>
              <w:spacing w:line="240" w:lineRule="auto"/>
              <w:jc w:val="left"/>
              <w:rPr>
                <w:rFonts w:asciiTheme="minorHAnsi" w:hAnsiTheme="minorHAnsi"/>
                <w:bCs/>
                <w:sz w:val="20"/>
                <w:szCs w:val="20"/>
              </w:rPr>
            </w:pPr>
          </w:p>
        </w:tc>
        <w:tc>
          <w:tcPr>
            <w:tcW w:w="1560" w:type="dxa"/>
            <w:vAlign w:val="center"/>
          </w:tcPr>
          <w:p w:rsidR="000C0E01" w:rsidRDefault="000C0E01" w:rsidP="0087121B">
            <w:pPr>
              <w:spacing w:line="240" w:lineRule="auto"/>
              <w:jc w:val="left"/>
              <w:rPr>
                <w:rFonts w:asciiTheme="minorHAnsi" w:hAnsiTheme="minorHAnsi"/>
                <w:color w:val="000000"/>
                <w:sz w:val="20"/>
                <w:szCs w:val="20"/>
              </w:rPr>
            </w:pPr>
            <w:r>
              <w:rPr>
                <w:rFonts w:asciiTheme="minorHAnsi" w:hAnsiTheme="minorHAnsi"/>
                <w:bCs/>
                <w:sz w:val="20"/>
                <w:szCs w:val="20"/>
              </w:rPr>
              <w:t>P</w:t>
            </w:r>
            <w:r w:rsidRPr="00AC5123">
              <w:rPr>
                <w:rFonts w:asciiTheme="minorHAnsi" w:hAnsiTheme="minorHAnsi"/>
                <w:bCs/>
                <w:sz w:val="20"/>
                <w:szCs w:val="20"/>
              </w:rPr>
              <w:t>rováděcí dokumenty k fondům SSR</w:t>
            </w:r>
          </w:p>
        </w:tc>
        <w:tc>
          <w:tcPr>
            <w:tcW w:w="5244" w:type="dxa"/>
            <w:vAlign w:val="center"/>
          </w:tcPr>
          <w:p w:rsidR="000C0E01" w:rsidRDefault="000C0E01" w:rsidP="00B52D17">
            <w:pPr>
              <w:spacing w:before="80" w:line="240" w:lineRule="auto"/>
              <w:jc w:val="left"/>
              <w:rPr>
                <w:rFonts w:asciiTheme="minorHAnsi" w:hAnsiTheme="minorHAnsi"/>
                <w:color w:val="000000"/>
                <w:sz w:val="20"/>
                <w:szCs w:val="20"/>
              </w:rPr>
            </w:pPr>
            <w:r>
              <w:rPr>
                <w:rFonts w:asciiTheme="minorHAnsi" w:hAnsiTheme="minorHAnsi"/>
                <w:color w:val="000000"/>
                <w:sz w:val="20"/>
                <w:szCs w:val="20"/>
              </w:rPr>
              <w:t>Kapitola rozdělena na Šablony EK a Metodické podklady.</w:t>
            </w:r>
          </w:p>
          <w:p w:rsidR="000C0E01" w:rsidRDefault="000C0E01" w:rsidP="00B52D17">
            <w:pPr>
              <w:spacing w:before="80" w:line="240" w:lineRule="auto"/>
              <w:jc w:val="left"/>
              <w:rPr>
                <w:rFonts w:asciiTheme="minorHAnsi" w:hAnsiTheme="minorHAnsi"/>
                <w:color w:val="000000"/>
                <w:sz w:val="20"/>
                <w:szCs w:val="20"/>
              </w:rPr>
            </w:pPr>
            <w:r>
              <w:rPr>
                <w:rFonts w:asciiTheme="minorHAnsi" w:hAnsiTheme="minorHAnsi"/>
                <w:color w:val="000000"/>
                <w:sz w:val="20"/>
                <w:szCs w:val="20"/>
              </w:rPr>
              <w:t xml:space="preserve">Aktualizovány informace k Template OP a Dohody; přidán text k Template pro ENRF a EZFRV. </w:t>
            </w:r>
          </w:p>
          <w:p w:rsidR="000C0E01" w:rsidRDefault="000C0E01" w:rsidP="00B52D17">
            <w:pPr>
              <w:spacing w:before="80" w:line="240" w:lineRule="auto"/>
              <w:jc w:val="left"/>
              <w:rPr>
                <w:rFonts w:asciiTheme="minorHAnsi" w:hAnsiTheme="minorHAnsi"/>
                <w:color w:val="000000"/>
                <w:sz w:val="20"/>
                <w:szCs w:val="20"/>
              </w:rPr>
            </w:pPr>
            <w:r>
              <w:rPr>
                <w:rFonts w:asciiTheme="minorHAnsi" w:hAnsiTheme="minorHAnsi"/>
                <w:color w:val="000000"/>
                <w:sz w:val="20"/>
                <w:szCs w:val="20"/>
              </w:rPr>
              <w:t xml:space="preserve">Uvedena důležitá ustanovení z Draftu Guidance </w:t>
            </w:r>
            <w:r w:rsidRPr="00AC5123">
              <w:rPr>
                <w:rFonts w:asciiTheme="minorHAnsi" w:hAnsiTheme="minorHAnsi"/>
                <w:color w:val="000000"/>
                <w:sz w:val="20"/>
                <w:szCs w:val="20"/>
              </w:rPr>
              <w:t>on ex ante Conditionalities</w:t>
            </w:r>
            <w:r>
              <w:rPr>
                <w:rFonts w:asciiTheme="minorHAnsi" w:hAnsiTheme="minorHAnsi"/>
                <w:color w:val="000000"/>
                <w:sz w:val="20"/>
                <w:szCs w:val="20"/>
              </w:rPr>
              <w:t xml:space="preserve"> (EFRR, FS, ESF); uveden Draft guidance on EMFF contitionalities.</w:t>
            </w:r>
          </w:p>
        </w:tc>
      </w:tr>
      <w:tr w:rsidR="00867FF6" w:rsidRPr="00FA29AE" w:rsidTr="000C0E01">
        <w:trPr>
          <w:trHeight w:val="844"/>
        </w:trPr>
        <w:tc>
          <w:tcPr>
            <w:tcW w:w="851" w:type="dxa"/>
            <w:vAlign w:val="center"/>
          </w:tcPr>
          <w:p w:rsidR="00867FF6" w:rsidRDefault="00867FF6" w:rsidP="00DF5905">
            <w:pPr>
              <w:spacing w:line="240" w:lineRule="auto"/>
              <w:jc w:val="center"/>
              <w:rPr>
                <w:rFonts w:asciiTheme="minorHAnsi" w:hAnsiTheme="minorHAnsi"/>
                <w:bCs/>
                <w:sz w:val="20"/>
                <w:szCs w:val="20"/>
              </w:rPr>
            </w:pPr>
            <w:r>
              <w:rPr>
                <w:rFonts w:asciiTheme="minorHAnsi" w:hAnsiTheme="minorHAnsi"/>
                <w:bCs/>
                <w:sz w:val="20"/>
                <w:szCs w:val="20"/>
              </w:rPr>
              <w:t xml:space="preserve">4. </w:t>
            </w:r>
          </w:p>
        </w:tc>
        <w:tc>
          <w:tcPr>
            <w:tcW w:w="1417" w:type="dxa"/>
            <w:vAlign w:val="center"/>
          </w:tcPr>
          <w:p w:rsidR="00867FF6" w:rsidRDefault="00867FF6" w:rsidP="00A564AD">
            <w:pPr>
              <w:spacing w:line="240" w:lineRule="auto"/>
              <w:jc w:val="left"/>
              <w:rPr>
                <w:rFonts w:asciiTheme="minorHAnsi" w:hAnsiTheme="minorHAnsi"/>
                <w:bCs/>
                <w:sz w:val="20"/>
                <w:szCs w:val="20"/>
              </w:rPr>
            </w:pPr>
            <w:r>
              <w:rPr>
                <w:rFonts w:asciiTheme="minorHAnsi" w:hAnsiTheme="minorHAnsi"/>
                <w:bCs/>
                <w:sz w:val="20"/>
                <w:szCs w:val="20"/>
              </w:rPr>
              <w:t>4. Nesplnění předběžných podmínek</w:t>
            </w:r>
          </w:p>
        </w:tc>
        <w:tc>
          <w:tcPr>
            <w:tcW w:w="1560" w:type="dxa"/>
            <w:vAlign w:val="center"/>
          </w:tcPr>
          <w:p w:rsidR="00867FF6" w:rsidRDefault="00867FF6" w:rsidP="00A564AD">
            <w:pPr>
              <w:spacing w:line="240" w:lineRule="auto"/>
              <w:jc w:val="left"/>
              <w:rPr>
                <w:rFonts w:asciiTheme="minorHAnsi" w:hAnsiTheme="minorHAnsi"/>
                <w:color w:val="000000"/>
                <w:sz w:val="20"/>
                <w:szCs w:val="20"/>
              </w:rPr>
            </w:pPr>
            <w:r>
              <w:rPr>
                <w:rFonts w:asciiTheme="minorHAnsi" w:hAnsiTheme="minorHAnsi"/>
                <w:color w:val="000000"/>
                <w:sz w:val="20"/>
                <w:szCs w:val="20"/>
              </w:rPr>
              <w:t>Ustanovení „significant prejudice“</w:t>
            </w:r>
          </w:p>
        </w:tc>
        <w:tc>
          <w:tcPr>
            <w:tcW w:w="5244" w:type="dxa"/>
            <w:vAlign w:val="center"/>
          </w:tcPr>
          <w:p w:rsidR="00867FF6" w:rsidRDefault="00867FF6" w:rsidP="00B52D17">
            <w:pPr>
              <w:spacing w:line="240" w:lineRule="auto"/>
              <w:jc w:val="left"/>
              <w:rPr>
                <w:rFonts w:asciiTheme="minorHAnsi" w:hAnsiTheme="minorHAnsi"/>
                <w:color w:val="000000"/>
                <w:sz w:val="20"/>
                <w:szCs w:val="20"/>
              </w:rPr>
            </w:pPr>
            <w:r>
              <w:rPr>
                <w:rFonts w:asciiTheme="minorHAnsi" w:hAnsiTheme="minorHAnsi"/>
                <w:color w:val="000000"/>
                <w:sz w:val="20"/>
                <w:szCs w:val="20"/>
              </w:rPr>
              <w:t>Doplněno ustanovení v souvislosti s definicí tzv. „significant prejudice“</w:t>
            </w:r>
          </w:p>
        </w:tc>
      </w:tr>
      <w:tr w:rsidR="00867FF6" w:rsidRPr="00FA29AE" w:rsidTr="000C0E01">
        <w:trPr>
          <w:trHeight w:val="844"/>
        </w:trPr>
        <w:tc>
          <w:tcPr>
            <w:tcW w:w="851" w:type="dxa"/>
            <w:vAlign w:val="center"/>
          </w:tcPr>
          <w:p w:rsidR="00867FF6" w:rsidRDefault="00867FF6" w:rsidP="00DF5905">
            <w:pPr>
              <w:spacing w:line="240" w:lineRule="auto"/>
              <w:jc w:val="center"/>
              <w:rPr>
                <w:rFonts w:asciiTheme="minorHAnsi" w:hAnsiTheme="minorHAnsi"/>
                <w:bCs/>
                <w:sz w:val="20"/>
                <w:szCs w:val="20"/>
              </w:rPr>
            </w:pPr>
            <w:r>
              <w:rPr>
                <w:rFonts w:asciiTheme="minorHAnsi" w:hAnsiTheme="minorHAnsi"/>
                <w:bCs/>
                <w:sz w:val="20"/>
                <w:szCs w:val="20"/>
              </w:rPr>
              <w:t>5.</w:t>
            </w:r>
          </w:p>
        </w:tc>
        <w:tc>
          <w:tcPr>
            <w:tcW w:w="1417" w:type="dxa"/>
            <w:vAlign w:val="center"/>
          </w:tcPr>
          <w:p w:rsidR="00867FF6" w:rsidRDefault="00867FF6" w:rsidP="00A564AD">
            <w:pPr>
              <w:spacing w:line="240" w:lineRule="auto"/>
              <w:jc w:val="left"/>
              <w:rPr>
                <w:rFonts w:asciiTheme="minorHAnsi" w:hAnsiTheme="minorHAnsi"/>
                <w:bCs/>
                <w:sz w:val="20"/>
                <w:szCs w:val="20"/>
              </w:rPr>
            </w:pPr>
            <w:r>
              <w:rPr>
                <w:rFonts w:asciiTheme="minorHAnsi" w:hAnsiTheme="minorHAnsi"/>
                <w:bCs/>
                <w:sz w:val="20"/>
                <w:szCs w:val="20"/>
              </w:rPr>
              <w:t>5. Požadované předběžné podmínky</w:t>
            </w:r>
          </w:p>
        </w:tc>
        <w:tc>
          <w:tcPr>
            <w:tcW w:w="1560" w:type="dxa"/>
            <w:vAlign w:val="center"/>
          </w:tcPr>
          <w:p w:rsidR="00867FF6" w:rsidRDefault="00867FF6" w:rsidP="00A564AD">
            <w:pPr>
              <w:spacing w:line="240" w:lineRule="auto"/>
              <w:jc w:val="left"/>
              <w:rPr>
                <w:rFonts w:asciiTheme="minorHAnsi" w:hAnsiTheme="minorHAnsi"/>
                <w:color w:val="000000"/>
                <w:sz w:val="20"/>
                <w:szCs w:val="20"/>
              </w:rPr>
            </w:pPr>
            <w:r>
              <w:rPr>
                <w:rFonts w:asciiTheme="minorHAnsi" w:hAnsiTheme="minorHAnsi"/>
                <w:color w:val="000000"/>
                <w:sz w:val="20"/>
                <w:szCs w:val="20"/>
              </w:rPr>
              <w:t>Vypuštění kapitoly</w:t>
            </w:r>
          </w:p>
        </w:tc>
        <w:tc>
          <w:tcPr>
            <w:tcW w:w="5244" w:type="dxa"/>
            <w:vAlign w:val="center"/>
          </w:tcPr>
          <w:p w:rsidR="00867FF6" w:rsidRDefault="00867FF6" w:rsidP="00A564AD">
            <w:pPr>
              <w:spacing w:line="240" w:lineRule="auto"/>
              <w:jc w:val="left"/>
              <w:rPr>
                <w:rFonts w:asciiTheme="minorHAnsi" w:hAnsiTheme="minorHAnsi"/>
                <w:color w:val="000000"/>
                <w:sz w:val="20"/>
                <w:szCs w:val="20"/>
              </w:rPr>
            </w:pPr>
            <w:r>
              <w:rPr>
                <w:rFonts w:asciiTheme="minorHAnsi" w:hAnsiTheme="minorHAnsi"/>
                <w:color w:val="000000"/>
                <w:sz w:val="20"/>
                <w:szCs w:val="20"/>
              </w:rPr>
              <w:t>Vypuštěna původní kapitola 5 Požadované předběžné podmínky – text částečně využit k doplnění kap. Úvod, detailní výčet PP je uveden v příloze za všechny fondy.</w:t>
            </w:r>
          </w:p>
        </w:tc>
      </w:tr>
      <w:tr w:rsidR="000C0E01" w:rsidRPr="00FA29AE" w:rsidTr="000C0E01">
        <w:trPr>
          <w:trHeight w:val="844"/>
        </w:trPr>
        <w:tc>
          <w:tcPr>
            <w:tcW w:w="851" w:type="dxa"/>
            <w:vMerge w:val="restart"/>
            <w:vAlign w:val="center"/>
          </w:tcPr>
          <w:p w:rsidR="000C0E01" w:rsidRDefault="000C0E01" w:rsidP="00DF5905">
            <w:pPr>
              <w:spacing w:line="240" w:lineRule="auto"/>
              <w:jc w:val="center"/>
              <w:rPr>
                <w:rFonts w:asciiTheme="minorHAnsi" w:hAnsiTheme="minorHAnsi"/>
                <w:bCs/>
                <w:sz w:val="20"/>
                <w:szCs w:val="20"/>
              </w:rPr>
            </w:pPr>
            <w:r>
              <w:rPr>
                <w:rFonts w:asciiTheme="minorHAnsi" w:hAnsiTheme="minorHAnsi"/>
                <w:bCs/>
                <w:sz w:val="20"/>
                <w:szCs w:val="20"/>
              </w:rPr>
              <w:t>6.</w:t>
            </w:r>
          </w:p>
        </w:tc>
        <w:tc>
          <w:tcPr>
            <w:tcW w:w="1417" w:type="dxa"/>
            <w:vMerge w:val="restart"/>
            <w:vAlign w:val="center"/>
          </w:tcPr>
          <w:p w:rsidR="000C0E01" w:rsidRDefault="000C0E01" w:rsidP="00A564AD">
            <w:pPr>
              <w:spacing w:line="240" w:lineRule="auto"/>
              <w:jc w:val="left"/>
              <w:rPr>
                <w:rFonts w:asciiTheme="minorHAnsi" w:hAnsiTheme="minorHAnsi"/>
                <w:bCs/>
                <w:sz w:val="20"/>
                <w:szCs w:val="20"/>
              </w:rPr>
            </w:pPr>
            <w:r w:rsidRPr="00845F44">
              <w:rPr>
                <w:rFonts w:asciiTheme="minorHAnsi" w:hAnsiTheme="minorHAnsi"/>
                <w:bCs/>
                <w:sz w:val="20"/>
                <w:szCs w:val="20"/>
              </w:rPr>
              <w:t>5. Akční plán</w:t>
            </w:r>
            <w:r>
              <w:rPr>
                <w:rFonts w:asciiTheme="minorHAnsi" w:hAnsiTheme="minorHAnsi"/>
                <w:bCs/>
                <w:sz w:val="20"/>
                <w:szCs w:val="20"/>
              </w:rPr>
              <w:t xml:space="preserve"> řízení a koordinace PP</w:t>
            </w:r>
          </w:p>
        </w:tc>
        <w:tc>
          <w:tcPr>
            <w:tcW w:w="1560" w:type="dxa"/>
            <w:vAlign w:val="center"/>
          </w:tcPr>
          <w:p w:rsidR="000C0E01" w:rsidRDefault="000C0E01" w:rsidP="00A564AD">
            <w:pPr>
              <w:spacing w:line="240" w:lineRule="auto"/>
              <w:jc w:val="left"/>
              <w:rPr>
                <w:rFonts w:asciiTheme="minorHAnsi" w:hAnsiTheme="minorHAnsi"/>
                <w:color w:val="000000"/>
                <w:sz w:val="20"/>
                <w:szCs w:val="20"/>
              </w:rPr>
            </w:pPr>
            <w:r>
              <w:rPr>
                <w:rFonts w:asciiTheme="minorHAnsi" w:hAnsiTheme="minorHAnsi"/>
                <w:color w:val="000000"/>
                <w:sz w:val="20"/>
                <w:szCs w:val="20"/>
              </w:rPr>
              <w:t>Aktualizace fází</w:t>
            </w:r>
          </w:p>
        </w:tc>
        <w:tc>
          <w:tcPr>
            <w:tcW w:w="5244" w:type="dxa"/>
            <w:vAlign w:val="center"/>
          </w:tcPr>
          <w:p w:rsidR="000C0E01" w:rsidRDefault="000C0E01" w:rsidP="008A6A53">
            <w:pPr>
              <w:spacing w:line="240" w:lineRule="auto"/>
              <w:jc w:val="left"/>
              <w:rPr>
                <w:rFonts w:asciiTheme="minorHAnsi" w:hAnsiTheme="minorHAnsi"/>
                <w:color w:val="000000"/>
                <w:sz w:val="20"/>
                <w:szCs w:val="20"/>
              </w:rPr>
            </w:pPr>
            <w:r>
              <w:rPr>
                <w:rFonts w:asciiTheme="minorHAnsi" w:hAnsiTheme="minorHAnsi"/>
                <w:color w:val="000000"/>
                <w:sz w:val="20"/>
                <w:szCs w:val="20"/>
              </w:rPr>
              <w:t>Nyní kapitola 5 - byla vypuštěna I. fáze řízení a koordinace PP vzhledem k jejímu ukončení; byly upraveny a doplněny další fáze – zejména II. fáze, a to včetně používaných nástrojů.</w:t>
            </w:r>
          </w:p>
        </w:tc>
      </w:tr>
      <w:tr w:rsidR="000C0E01" w:rsidRPr="00FA29AE" w:rsidTr="000C0E01">
        <w:trPr>
          <w:trHeight w:val="844"/>
        </w:trPr>
        <w:tc>
          <w:tcPr>
            <w:tcW w:w="851" w:type="dxa"/>
            <w:vMerge/>
            <w:vAlign w:val="center"/>
          </w:tcPr>
          <w:p w:rsidR="000C0E01" w:rsidRDefault="000C0E01" w:rsidP="00DF5905">
            <w:pPr>
              <w:spacing w:line="240" w:lineRule="auto"/>
              <w:jc w:val="center"/>
              <w:rPr>
                <w:rFonts w:asciiTheme="minorHAnsi" w:hAnsiTheme="minorHAnsi"/>
                <w:bCs/>
                <w:sz w:val="20"/>
                <w:szCs w:val="20"/>
              </w:rPr>
            </w:pPr>
          </w:p>
        </w:tc>
        <w:tc>
          <w:tcPr>
            <w:tcW w:w="1417" w:type="dxa"/>
            <w:vMerge/>
            <w:vAlign w:val="center"/>
          </w:tcPr>
          <w:p w:rsidR="000C0E01" w:rsidRDefault="000C0E01" w:rsidP="00A564AD">
            <w:pPr>
              <w:spacing w:line="240" w:lineRule="auto"/>
              <w:jc w:val="left"/>
              <w:rPr>
                <w:rFonts w:asciiTheme="minorHAnsi" w:hAnsiTheme="minorHAnsi"/>
                <w:bCs/>
                <w:sz w:val="20"/>
                <w:szCs w:val="20"/>
              </w:rPr>
            </w:pPr>
          </w:p>
        </w:tc>
        <w:tc>
          <w:tcPr>
            <w:tcW w:w="1560" w:type="dxa"/>
            <w:vAlign w:val="center"/>
          </w:tcPr>
          <w:p w:rsidR="000C0E01" w:rsidRPr="00AC5123" w:rsidRDefault="000C0E01" w:rsidP="00A564AD">
            <w:pPr>
              <w:spacing w:line="240" w:lineRule="auto"/>
              <w:jc w:val="left"/>
              <w:rPr>
                <w:rFonts w:asciiTheme="minorHAnsi" w:hAnsiTheme="minorHAnsi"/>
                <w:color w:val="000000"/>
                <w:sz w:val="20"/>
                <w:szCs w:val="20"/>
              </w:rPr>
            </w:pPr>
            <w:r>
              <w:rPr>
                <w:rFonts w:asciiTheme="minorHAnsi" w:hAnsiTheme="minorHAnsi"/>
                <w:color w:val="000000"/>
                <w:sz w:val="20"/>
                <w:szCs w:val="20"/>
              </w:rPr>
              <w:t>Vypuštění Karty PP; aktualizace textů</w:t>
            </w:r>
          </w:p>
        </w:tc>
        <w:tc>
          <w:tcPr>
            <w:tcW w:w="5244" w:type="dxa"/>
            <w:vAlign w:val="center"/>
          </w:tcPr>
          <w:p w:rsidR="000C0E01" w:rsidRDefault="000C0E01" w:rsidP="00EC0841">
            <w:pPr>
              <w:spacing w:line="240" w:lineRule="auto"/>
              <w:jc w:val="left"/>
              <w:rPr>
                <w:rFonts w:asciiTheme="minorHAnsi" w:hAnsiTheme="minorHAnsi"/>
                <w:color w:val="000000"/>
                <w:sz w:val="20"/>
                <w:szCs w:val="20"/>
              </w:rPr>
            </w:pPr>
            <w:r>
              <w:rPr>
                <w:rFonts w:asciiTheme="minorHAnsi" w:hAnsiTheme="minorHAnsi"/>
                <w:color w:val="000000"/>
                <w:sz w:val="20"/>
                <w:szCs w:val="20"/>
              </w:rPr>
              <w:t>Byla vypuštěna a nadále nebude sledována Karta PP (nástroj pozbyl potřebnosti po skončení první fáze); dané aktuální informace budou již zaznamenávány v Šablonách EK.</w:t>
            </w:r>
          </w:p>
        </w:tc>
      </w:tr>
      <w:tr w:rsidR="000C0E01" w:rsidRPr="00FA29AE" w:rsidTr="000C0E01">
        <w:trPr>
          <w:trHeight w:val="467"/>
        </w:trPr>
        <w:tc>
          <w:tcPr>
            <w:tcW w:w="851" w:type="dxa"/>
            <w:vMerge/>
            <w:vAlign w:val="center"/>
          </w:tcPr>
          <w:p w:rsidR="000C0E01" w:rsidRDefault="000C0E01" w:rsidP="00DF5905">
            <w:pPr>
              <w:spacing w:line="240" w:lineRule="auto"/>
              <w:jc w:val="center"/>
              <w:rPr>
                <w:rFonts w:asciiTheme="minorHAnsi" w:hAnsiTheme="minorHAnsi"/>
                <w:bCs/>
                <w:sz w:val="20"/>
                <w:szCs w:val="20"/>
              </w:rPr>
            </w:pPr>
          </w:p>
        </w:tc>
        <w:tc>
          <w:tcPr>
            <w:tcW w:w="1417" w:type="dxa"/>
            <w:vMerge/>
            <w:vAlign w:val="center"/>
          </w:tcPr>
          <w:p w:rsidR="000C0E01" w:rsidRDefault="000C0E01" w:rsidP="00A564AD">
            <w:pPr>
              <w:spacing w:line="240" w:lineRule="auto"/>
              <w:jc w:val="left"/>
              <w:rPr>
                <w:rFonts w:asciiTheme="minorHAnsi" w:hAnsiTheme="minorHAnsi"/>
                <w:bCs/>
                <w:sz w:val="20"/>
                <w:szCs w:val="20"/>
              </w:rPr>
            </w:pPr>
          </w:p>
        </w:tc>
        <w:tc>
          <w:tcPr>
            <w:tcW w:w="1560" w:type="dxa"/>
            <w:vAlign w:val="center"/>
          </w:tcPr>
          <w:p w:rsidR="000C0E01" w:rsidRPr="00AC5123" w:rsidRDefault="000C0E01" w:rsidP="00A564AD">
            <w:pPr>
              <w:spacing w:line="240" w:lineRule="auto"/>
              <w:jc w:val="left"/>
              <w:rPr>
                <w:rFonts w:asciiTheme="minorHAnsi" w:hAnsiTheme="minorHAnsi"/>
                <w:color w:val="000000"/>
                <w:sz w:val="20"/>
                <w:szCs w:val="20"/>
              </w:rPr>
            </w:pPr>
            <w:r>
              <w:rPr>
                <w:rFonts w:asciiTheme="minorHAnsi" w:hAnsiTheme="minorHAnsi"/>
                <w:color w:val="000000"/>
                <w:sz w:val="20"/>
                <w:szCs w:val="20"/>
              </w:rPr>
              <w:t>Harmonogram</w:t>
            </w:r>
          </w:p>
        </w:tc>
        <w:tc>
          <w:tcPr>
            <w:tcW w:w="5244" w:type="dxa"/>
            <w:vAlign w:val="center"/>
          </w:tcPr>
          <w:p w:rsidR="000C0E01" w:rsidRDefault="000C0E01" w:rsidP="00A564AD">
            <w:pPr>
              <w:spacing w:line="240" w:lineRule="auto"/>
              <w:jc w:val="left"/>
              <w:rPr>
                <w:rFonts w:asciiTheme="minorHAnsi" w:hAnsiTheme="minorHAnsi"/>
                <w:color w:val="000000"/>
                <w:sz w:val="20"/>
                <w:szCs w:val="20"/>
              </w:rPr>
            </w:pPr>
            <w:r>
              <w:rPr>
                <w:rFonts w:asciiTheme="minorHAnsi" w:hAnsiTheme="minorHAnsi"/>
                <w:color w:val="000000"/>
                <w:sz w:val="20"/>
                <w:szCs w:val="20"/>
              </w:rPr>
              <w:t>Aktualizován harmonogram -  uveden jen pro II. fázi</w:t>
            </w:r>
          </w:p>
        </w:tc>
      </w:tr>
      <w:tr w:rsidR="000C0E01" w:rsidRPr="00FA29AE" w:rsidTr="000C0E01">
        <w:trPr>
          <w:trHeight w:val="844"/>
        </w:trPr>
        <w:tc>
          <w:tcPr>
            <w:tcW w:w="851" w:type="dxa"/>
            <w:vMerge/>
            <w:vAlign w:val="center"/>
          </w:tcPr>
          <w:p w:rsidR="000C0E01" w:rsidRDefault="000C0E01" w:rsidP="00DF5905">
            <w:pPr>
              <w:spacing w:line="240" w:lineRule="auto"/>
              <w:jc w:val="center"/>
              <w:rPr>
                <w:rFonts w:asciiTheme="minorHAnsi" w:hAnsiTheme="minorHAnsi"/>
                <w:bCs/>
                <w:sz w:val="20"/>
                <w:szCs w:val="20"/>
              </w:rPr>
            </w:pPr>
          </w:p>
        </w:tc>
        <w:tc>
          <w:tcPr>
            <w:tcW w:w="1417" w:type="dxa"/>
            <w:vMerge/>
            <w:vAlign w:val="center"/>
          </w:tcPr>
          <w:p w:rsidR="000C0E01" w:rsidRDefault="000C0E01" w:rsidP="00A564AD">
            <w:pPr>
              <w:spacing w:line="240" w:lineRule="auto"/>
              <w:jc w:val="left"/>
              <w:rPr>
                <w:rFonts w:asciiTheme="minorHAnsi" w:hAnsiTheme="minorHAnsi"/>
                <w:bCs/>
                <w:sz w:val="20"/>
                <w:szCs w:val="20"/>
              </w:rPr>
            </w:pPr>
          </w:p>
        </w:tc>
        <w:tc>
          <w:tcPr>
            <w:tcW w:w="1560" w:type="dxa"/>
            <w:vAlign w:val="center"/>
          </w:tcPr>
          <w:p w:rsidR="000C0E01" w:rsidRDefault="000C0E01" w:rsidP="00A564AD">
            <w:pPr>
              <w:spacing w:line="240" w:lineRule="auto"/>
              <w:jc w:val="left"/>
              <w:rPr>
                <w:rFonts w:asciiTheme="minorHAnsi" w:hAnsiTheme="minorHAnsi"/>
                <w:color w:val="000000"/>
                <w:sz w:val="20"/>
                <w:szCs w:val="20"/>
              </w:rPr>
            </w:pPr>
            <w:r>
              <w:rPr>
                <w:rFonts w:asciiTheme="minorHAnsi" w:hAnsiTheme="minorHAnsi"/>
                <w:color w:val="000000"/>
                <w:sz w:val="20"/>
                <w:szCs w:val="20"/>
              </w:rPr>
              <w:t>Odpovědnosti</w:t>
            </w:r>
          </w:p>
        </w:tc>
        <w:tc>
          <w:tcPr>
            <w:tcW w:w="5244" w:type="dxa"/>
            <w:vAlign w:val="center"/>
          </w:tcPr>
          <w:p w:rsidR="000C0E01" w:rsidRDefault="000C0E01" w:rsidP="009A03FE">
            <w:pPr>
              <w:spacing w:line="240" w:lineRule="auto"/>
              <w:jc w:val="left"/>
              <w:rPr>
                <w:rFonts w:asciiTheme="minorHAnsi" w:hAnsiTheme="minorHAnsi"/>
                <w:color w:val="000000"/>
                <w:sz w:val="20"/>
                <w:szCs w:val="20"/>
              </w:rPr>
            </w:pPr>
            <w:r>
              <w:rPr>
                <w:rFonts w:asciiTheme="minorHAnsi" w:hAnsiTheme="minorHAnsi"/>
                <w:color w:val="000000"/>
                <w:sz w:val="20"/>
                <w:szCs w:val="20"/>
              </w:rPr>
              <w:t>Doplněny odpovědnosti jednotlivých subjektů podílejích se na naplňování PP; byly doplněny nevyjasněné gesce a spolugesce; upřesněny dílčí gesce ve vtazhu k předběžným podmínkám.</w:t>
            </w:r>
          </w:p>
        </w:tc>
      </w:tr>
      <w:tr w:rsidR="000C0E01" w:rsidRPr="00FA29AE" w:rsidTr="000C0E01">
        <w:trPr>
          <w:trHeight w:val="844"/>
        </w:trPr>
        <w:tc>
          <w:tcPr>
            <w:tcW w:w="851" w:type="dxa"/>
            <w:vMerge/>
            <w:vAlign w:val="center"/>
          </w:tcPr>
          <w:p w:rsidR="000C0E01" w:rsidRDefault="000C0E01" w:rsidP="00DF5905">
            <w:pPr>
              <w:spacing w:line="240" w:lineRule="auto"/>
              <w:jc w:val="center"/>
              <w:rPr>
                <w:rFonts w:asciiTheme="minorHAnsi" w:hAnsiTheme="minorHAnsi"/>
                <w:bCs/>
                <w:sz w:val="20"/>
                <w:szCs w:val="20"/>
              </w:rPr>
            </w:pPr>
          </w:p>
        </w:tc>
        <w:tc>
          <w:tcPr>
            <w:tcW w:w="1417" w:type="dxa"/>
            <w:vMerge/>
            <w:vAlign w:val="center"/>
          </w:tcPr>
          <w:p w:rsidR="000C0E01" w:rsidRDefault="000C0E01" w:rsidP="00A564AD">
            <w:pPr>
              <w:spacing w:line="240" w:lineRule="auto"/>
              <w:jc w:val="left"/>
              <w:rPr>
                <w:rFonts w:asciiTheme="minorHAnsi" w:hAnsiTheme="minorHAnsi"/>
                <w:bCs/>
                <w:sz w:val="20"/>
                <w:szCs w:val="20"/>
              </w:rPr>
            </w:pPr>
          </w:p>
        </w:tc>
        <w:tc>
          <w:tcPr>
            <w:tcW w:w="1560" w:type="dxa"/>
            <w:vAlign w:val="center"/>
          </w:tcPr>
          <w:p w:rsidR="000C0E01" w:rsidRPr="00AC5123" w:rsidRDefault="000C0E01" w:rsidP="00A564AD">
            <w:pPr>
              <w:spacing w:line="240" w:lineRule="auto"/>
              <w:jc w:val="left"/>
              <w:rPr>
                <w:rFonts w:asciiTheme="minorHAnsi" w:hAnsiTheme="minorHAnsi"/>
                <w:color w:val="000000"/>
                <w:sz w:val="20"/>
                <w:szCs w:val="20"/>
              </w:rPr>
            </w:pPr>
            <w:r>
              <w:rPr>
                <w:rFonts w:asciiTheme="minorHAnsi" w:hAnsiTheme="minorHAnsi"/>
                <w:color w:val="000000"/>
                <w:sz w:val="20"/>
                <w:szCs w:val="20"/>
              </w:rPr>
              <w:t>Karta rizikových předběžných podmínek</w:t>
            </w:r>
          </w:p>
        </w:tc>
        <w:tc>
          <w:tcPr>
            <w:tcW w:w="5244" w:type="dxa"/>
            <w:vAlign w:val="center"/>
          </w:tcPr>
          <w:p w:rsidR="000C0E01" w:rsidRDefault="000C0E01" w:rsidP="009A03FE">
            <w:pPr>
              <w:spacing w:line="240" w:lineRule="auto"/>
              <w:jc w:val="left"/>
              <w:rPr>
                <w:rFonts w:asciiTheme="minorHAnsi" w:hAnsiTheme="minorHAnsi"/>
                <w:color w:val="000000"/>
                <w:sz w:val="20"/>
                <w:szCs w:val="20"/>
              </w:rPr>
            </w:pPr>
            <w:r>
              <w:rPr>
                <w:rFonts w:asciiTheme="minorHAnsi" w:hAnsiTheme="minorHAnsi"/>
                <w:color w:val="000000"/>
                <w:sz w:val="20"/>
                <w:szCs w:val="20"/>
              </w:rPr>
              <w:t>Doplněn text k rizikovým PP a aktualizována Karta rizikových předběžných podmínek;</w:t>
            </w:r>
          </w:p>
        </w:tc>
      </w:tr>
      <w:tr w:rsidR="000C0E01" w:rsidRPr="00FA29AE" w:rsidTr="000C0E01">
        <w:trPr>
          <w:trHeight w:val="400"/>
        </w:trPr>
        <w:tc>
          <w:tcPr>
            <w:tcW w:w="851" w:type="dxa"/>
            <w:vMerge/>
            <w:vAlign w:val="center"/>
          </w:tcPr>
          <w:p w:rsidR="000C0E01" w:rsidRDefault="000C0E01" w:rsidP="00DF5905">
            <w:pPr>
              <w:spacing w:line="240" w:lineRule="auto"/>
              <w:jc w:val="center"/>
              <w:rPr>
                <w:rFonts w:asciiTheme="minorHAnsi" w:hAnsiTheme="minorHAnsi"/>
                <w:bCs/>
                <w:sz w:val="20"/>
                <w:szCs w:val="20"/>
              </w:rPr>
            </w:pPr>
          </w:p>
        </w:tc>
        <w:tc>
          <w:tcPr>
            <w:tcW w:w="1417" w:type="dxa"/>
            <w:vMerge/>
            <w:vAlign w:val="center"/>
          </w:tcPr>
          <w:p w:rsidR="000C0E01" w:rsidRDefault="000C0E01" w:rsidP="00A564AD">
            <w:pPr>
              <w:spacing w:line="240" w:lineRule="auto"/>
              <w:jc w:val="left"/>
              <w:rPr>
                <w:rFonts w:asciiTheme="minorHAnsi" w:hAnsiTheme="minorHAnsi"/>
                <w:bCs/>
                <w:sz w:val="20"/>
                <w:szCs w:val="20"/>
              </w:rPr>
            </w:pPr>
          </w:p>
        </w:tc>
        <w:tc>
          <w:tcPr>
            <w:tcW w:w="1560" w:type="dxa"/>
            <w:vAlign w:val="center"/>
          </w:tcPr>
          <w:p w:rsidR="000C0E01" w:rsidRDefault="000C0E01" w:rsidP="00A564AD">
            <w:pPr>
              <w:spacing w:line="240" w:lineRule="auto"/>
              <w:jc w:val="left"/>
              <w:rPr>
                <w:rFonts w:asciiTheme="minorHAnsi" w:hAnsiTheme="minorHAnsi"/>
                <w:color w:val="000000"/>
                <w:sz w:val="20"/>
                <w:szCs w:val="20"/>
              </w:rPr>
            </w:pPr>
            <w:r>
              <w:rPr>
                <w:rFonts w:asciiTheme="minorHAnsi" w:hAnsiTheme="minorHAnsi"/>
                <w:color w:val="000000"/>
                <w:sz w:val="20"/>
                <w:szCs w:val="20"/>
              </w:rPr>
              <w:t>Přílohy</w:t>
            </w:r>
          </w:p>
        </w:tc>
        <w:tc>
          <w:tcPr>
            <w:tcW w:w="5244" w:type="dxa"/>
            <w:vAlign w:val="center"/>
          </w:tcPr>
          <w:p w:rsidR="000C0E01" w:rsidRDefault="000C0E01" w:rsidP="000C0E01">
            <w:pPr>
              <w:spacing w:line="240" w:lineRule="auto"/>
              <w:jc w:val="left"/>
              <w:rPr>
                <w:rFonts w:asciiTheme="minorHAnsi" w:hAnsiTheme="minorHAnsi"/>
                <w:color w:val="000000"/>
                <w:sz w:val="20"/>
                <w:szCs w:val="20"/>
              </w:rPr>
            </w:pPr>
            <w:r>
              <w:rPr>
                <w:rFonts w:asciiTheme="minorHAnsi" w:hAnsiTheme="minorHAnsi"/>
                <w:color w:val="000000"/>
                <w:sz w:val="20"/>
                <w:szCs w:val="20"/>
              </w:rPr>
              <w:t>Původní přílohy – prázdné tabulky byly vypuštěny.</w:t>
            </w:r>
          </w:p>
        </w:tc>
      </w:tr>
    </w:tbl>
    <w:p w:rsidR="00E0778C" w:rsidRDefault="00E0778C">
      <w:pPr>
        <w:spacing w:before="360" w:after="200" w:line="276" w:lineRule="auto"/>
        <w:ind w:left="425"/>
        <w:rPr>
          <w:rFonts w:asciiTheme="minorHAnsi" w:eastAsia="Arial Unicode MS" w:hAnsiTheme="minorHAnsi"/>
          <w:sz w:val="24"/>
          <w:szCs w:val="24"/>
        </w:rPr>
      </w:pPr>
      <w:r>
        <w:rPr>
          <w:rFonts w:asciiTheme="minorHAnsi" w:eastAsia="Arial Unicode MS" w:hAnsiTheme="minorHAnsi"/>
          <w:sz w:val="24"/>
          <w:szCs w:val="24"/>
        </w:rPr>
        <w:br w:type="page"/>
      </w:r>
    </w:p>
    <w:p w:rsidR="00A94858" w:rsidRPr="00C46A9E" w:rsidRDefault="00A94858" w:rsidP="00C46A9E">
      <w:pPr>
        <w:pStyle w:val="Nadpis1"/>
        <w:numPr>
          <w:ilvl w:val="0"/>
          <w:numId w:val="2"/>
        </w:numPr>
        <w:spacing w:before="0"/>
        <w:ind w:left="425" w:hanging="357"/>
        <w:rPr>
          <w:rFonts w:asciiTheme="minorHAnsi" w:hAnsiTheme="minorHAnsi"/>
          <w:color w:val="003366"/>
          <w:sz w:val="28"/>
          <w:szCs w:val="28"/>
        </w:rPr>
      </w:pPr>
      <w:bookmarkStart w:id="3" w:name="_Toc359587659"/>
      <w:r w:rsidRPr="00C46A9E">
        <w:rPr>
          <w:rFonts w:asciiTheme="minorHAnsi" w:hAnsiTheme="minorHAnsi"/>
          <w:color w:val="003366"/>
          <w:sz w:val="28"/>
          <w:szCs w:val="28"/>
        </w:rPr>
        <w:t>Úvod</w:t>
      </w:r>
      <w:bookmarkEnd w:id="0"/>
      <w:bookmarkEnd w:id="1"/>
      <w:bookmarkEnd w:id="2"/>
      <w:bookmarkEnd w:id="3"/>
    </w:p>
    <w:p w:rsidR="00A94858" w:rsidRPr="00523D12" w:rsidRDefault="00A94858" w:rsidP="00A94858">
      <w:pPr>
        <w:spacing w:before="120" w:after="60" w:line="288" w:lineRule="auto"/>
        <w:rPr>
          <w:rFonts w:asciiTheme="minorHAnsi" w:eastAsia="Arial Unicode MS" w:hAnsiTheme="minorHAnsi"/>
          <w:sz w:val="24"/>
          <w:szCs w:val="24"/>
        </w:rPr>
      </w:pPr>
      <w:r w:rsidRPr="00523D12">
        <w:rPr>
          <w:rFonts w:asciiTheme="minorHAnsi" w:eastAsia="Arial Unicode MS" w:hAnsiTheme="minorHAnsi"/>
          <w:sz w:val="24"/>
          <w:szCs w:val="24"/>
        </w:rPr>
        <w:t xml:space="preserve">V souvislosti s požadavkem Evropské komise (EK) zajistit dosahování prokazatelných výsledků intervencí, vzrůstá oproti období 2004–2006 a 2007–2013 důraz </w:t>
      </w:r>
      <w:r w:rsidR="00020E9B" w:rsidRPr="00523D12">
        <w:rPr>
          <w:rFonts w:asciiTheme="minorHAnsi" w:eastAsia="Arial Unicode MS" w:hAnsiTheme="minorHAnsi"/>
          <w:sz w:val="24"/>
          <w:szCs w:val="24"/>
        </w:rPr>
        <w:t xml:space="preserve">na </w:t>
      </w:r>
      <w:r w:rsidRPr="00523D12">
        <w:rPr>
          <w:rFonts w:asciiTheme="minorHAnsi" w:eastAsia="Arial Unicode MS" w:hAnsiTheme="minorHAnsi"/>
          <w:sz w:val="24"/>
          <w:szCs w:val="24"/>
        </w:rPr>
        <w:t>plnění předběžných podmínek pro čerpání</w:t>
      </w:r>
      <w:r w:rsidR="00611FFF" w:rsidRPr="00523D12">
        <w:rPr>
          <w:rFonts w:asciiTheme="minorHAnsi" w:eastAsia="Arial Unicode MS" w:hAnsiTheme="minorHAnsi"/>
          <w:sz w:val="24"/>
          <w:szCs w:val="24"/>
        </w:rPr>
        <w:t xml:space="preserve"> z</w:t>
      </w:r>
      <w:r w:rsidR="00E0778C">
        <w:rPr>
          <w:rFonts w:asciiTheme="minorHAnsi" w:eastAsia="Arial Unicode MS" w:hAnsiTheme="minorHAnsi"/>
          <w:sz w:val="24"/>
          <w:szCs w:val="24"/>
        </w:rPr>
        <w:t> Evropských strukturálních a investičních (</w:t>
      </w:r>
      <w:r w:rsidR="00C80B66">
        <w:rPr>
          <w:rFonts w:asciiTheme="minorHAnsi" w:eastAsia="Arial Unicode MS" w:hAnsiTheme="minorHAnsi"/>
          <w:sz w:val="24"/>
          <w:szCs w:val="24"/>
        </w:rPr>
        <w:t>SSR</w:t>
      </w:r>
      <w:r w:rsidR="00E0778C">
        <w:rPr>
          <w:rFonts w:asciiTheme="minorHAnsi" w:eastAsia="Arial Unicode MS" w:hAnsiTheme="minorHAnsi"/>
          <w:sz w:val="24"/>
          <w:szCs w:val="24"/>
        </w:rPr>
        <w:t xml:space="preserve"> fondy)</w:t>
      </w:r>
      <w:r w:rsidRPr="00523D12">
        <w:rPr>
          <w:rFonts w:asciiTheme="minorHAnsi" w:eastAsia="Arial Unicode MS" w:hAnsiTheme="minorHAnsi"/>
          <w:sz w:val="24"/>
          <w:szCs w:val="24"/>
        </w:rPr>
        <w:t xml:space="preserve">. Úkolem tohoto </w:t>
      </w:r>
      <w:r w:rsidR="0020212E">
        <w:rPr>
          <w:rFonts w:asciiTheme="minorHAnsi" w:eastAsia="Arial Unicode MS" w:hAnsiTheme="minorHAnsi"/>
          <w:sz w:val="24"/>
          <w:szCs w:val="24"/>
        </w:rPr>
        <w:t>akčního plánu</w:t>
      </w:r>
      <w:r w:rsidRPr="00523D12">
        <w:rPr>
          <w:rFonts w:asciiTheme="minorHAnsi" w:eastAsia="Arial Unicode MS" w:hAnsiTheme="minorHAnsi"/>
          <w:sz w:val="24"/>
          <w:szCs w:val="24"/>
        </w:rPr>
        <w:t xml:space="preserve"> je nastavit systém </w:t>
      </w:r>
      <w:r w:rsidR="00A73897" w:rsidRPr="00523D12">
        <w:rPr>
          <w:rFonts w:asciiTheme="minorHAnsi" w:eastAsia="Arial Unicode MS" w:hAnsiTheme="minorHAnsi"/>
          <w:sz w:val="24"/>
          <w:szCs w:val="24"/>
        </w:rPr>
        <w:t xml:space="preserve">řízení a </w:t>
      </w:r>
      <w:r w:rsidRPr="00523D12">
        <w:rPr>
          <w:rFonts w:asciiTheme="minorHAnsi" w:eastAsia="Arial Unicode MS" w:hAnsiTheme="minorHAnsi"/>
          <w:sz w:val="24"/>
          <w:szCs w:val="24"/>
        </w:rPr>
        <w:t>koordinace předběžných podmínek včetně stávajícího vyhodnocení, identifikac</w:t>
      </w:r>
      <w:r w:rsidR="00A73897" w:rsidRPr="00523D12">
        <w:rPr>
          <w:rFonts w:asciiTheme="minorHAnsi" w:eastAsia="Arial Unicode MS" w:hAnsiTheme="minorHAnsi"/>
          <w:sz w:val="24"/>
          <w:szCs w:val="24"/>
        </w:rPr>
        <w:t>e</w:t>
      </w:r>
      <w:r w:rsidRPr="00523D12">
        <w:rPr>
          <w:rFonts w:asciiTheme="minorHAnsi" w:eastAsia="Arial Unicode MS" w:hAnsiTheme="minorHAnsi"/>
          <w:sz w:val="24"/>
          <w:szCs w:val="24"/>
        </w:rPr>
        <w:t xml:space="preserve"> problematických předběžných podmínek s návrhem opatření a harmonogramem splnění. Nedílnou součástí </w:t>
      </w:r>
      <w:r w:rsidR="0020212E">
        <w:rPr>
          <w:rFonts w:asciiTheme="minorHAnsi" w:eastAsia="Arial Unicode MS" w:hAnsiTheme="minorHAnsi"/>
          <w:sz w:val="24"/>
          <w:szCs w:val="24"/>
        </w:rPr>
        <w:t>akčního plánu</w:t>
      </w:r>
      <w:r w:rsidR="00A73897" w:rsidRPr="00523D12">
        <w:rPr>
          <w:rFonts w:asciiTheme="minorHAnsi" w:eastAsia="Arial Unicode MS" w:hAnsiTheme="minorHAnsi"/>
          <w:sz w:val="24"/>
          <w:szCs w:val="24"/>
        </w:rPr>
        <w:t xml:space="preserve"> </w:t>
      </w:r>
      <w:r w:rsidRPr="00523D12">
        <w:rPr>
          <w:rFonts w:asciiTheme="minorHAnsi" w:eastAsia="Arial Unicode MS" w:hAnsiTheme="minorHAnsi"/>
          <w:sz w:val="24"/>
          <w:szCs w:val="24"/>
        </w:rPr>
        <w:t>je nastavení procesního rámce včetně odpovědností, rolí a nástrojů pro zajištění toků a informací jak směrem k Evropské unii, tak i mezi subjekty implementační</w:t>
      </w:r>
      <w:r w:rsidR="00250C23">
        <w:rPr>
          <w:rFonts w:asciiTheme="minorHAnsi" w:eastAsia="Arial Unicode MS" w:hAnsiTheme="minorHAnsi"/>
          <w:sz w:val="24"/>
          <w:szCs w:val="24"/>
        </w:rPr>
        <w:t>ho</w:t>
      </w:r>
      <w:r w:rsidRPr="00523D12">
        <w:rPr>
          <w:rFonts w:asciiTheme="minorHAnsi" w:eastAsia="Arial Unicode MS" w:hAnsiTheme="minorHAnsi"/>
          <w:sz w:val="24"/>
          <w:szCs w:val="24"/>
        </w:rPr>
        <w:t xml:space="preserve"> </w:t>
      </w:r>
      <w:r w:rsidR="004056C6">
        <w:rPr>
          <w:rFonts w:asciiTheme="minorHAnsi" w:eastAsia="Arial Unicode MS" w:hAnsiTheme="minorHAnsi"/>
          <w:sz w:val="24"/>
          <w:szCs w:val="24"/>
        </w:rPr>
        <w:t>systému</w:t>
      </w:r>
      <w:r w:rsidRPr="00523D12">
        <w:rPr>
          <w:rFonts w:asciiTheme="minorHAnsi" w:eastAsia="Arial Unicode MS" w:hAnsiTheme="minorHAnsi"/>
          <w:sz w:val="24"/>
          <w:szCs w:val="24"/>
        </w:rPr>
        <w:t xml:space="preserve"> v České republice.</w:t>
      </w:r>
    </w:p>
    <w:p w:rsidR="00A94858" w:rsidRPr="00523D12" w:rsidRDefault="00A94858" w:rsidP="00A94858">
      <w:pPr>
        <w:spacing w:before="120" w:after="60" w:line="288" w:lineRule="auto"/>
        <w:rPr>
          <w:rFonts w:asciiTheme="minorHAnsi" w:eastAsia="Arial Unicode MS" w:hAnsiTheme="minorHAnsi"/>
          <w:sz w:val="24"/>
          <w:szCs w:val="24"/>
        </w:rPr>
      </w:pPr>
      <w:r w:rsidRPr="00523D12">
        <w:rPr>
          <w:rFonts w:asciiTheme="minorHAnsi" w:eastAsia="Arial Unicode MS" w:hAnsiTheme="minorHAnsi"/>
          <w:sz w:val="24"/>
          <w:szCs w:val="24"/>
        </w:rPr>
        <w:t xml:space="preserve">Předběžné podmínky jsou definovány pro Společný strategický rámec fondů Evropské unie, tj. programů Evropského fondu pro regionální rozvoj (EFRR), Evropského sociálního fondu (ESF), Fondu soudržnosti (FS), Evropského zemědělského fondu pro rozvoj venkova (EZFRV) </w:t>
      </w:r>
      <w:r w:rsidR="00845F44">
        <w:rPr>
          <w:rFonts w:asciiTheme="minorHAnsi" w:eastAsia="Arial Unicode MS" w:hAnsiTheme="minorHAnsi"/>
          <w:sz w:val="24"/>
          <w:szCs w:val="24"/>
        </w:rPr>
        <w:br/>
      </w:r>
      <w:r w:rsidRPr="00523D12">
        <w:rPr>
          <w:rFonts w:asciiTheme="minorHAnsi" w:eastAsia="Arial Unicode MS" w:hAnsiTheme="minorHAnsi"/>
          <w:sz w:val="24"/>
          <w:szCs w:val="24"/>
        </w:rPr>
        <w:t>a Evropského námořního a rybářského fondu (ENRF) v programovém období 2014–2020.</w:t>
      </w:r>
    </w:p>
    <w:p w:rsidR="00A94858" w:rsidRPr="00523D12" w:rsidRDefault="0020212E" w:rsidP="00A94858">
      <w:pPr>
        <w:pStyle w:val="Styl1"/>
        <w:spacing w:before="120"/>
        <w:rPr>
          <w:rFonts w:asciiTheme="minorHAnsi" w:hAnsiTheme="minorHAnsi"/>
          <w:color w:val="000000"/>
          <w:sz w:val="24"/>
          <w:szCs w:val="24"/>
          <w:u w:color="000000"/>
        </w:rPr>
      </w:pPr>
      <w:r>
        <w:rPr>
          <w:rFonts w:asciiTheme="minorHAnsi" w:hAnsiTheme="minorHAnsi"/>
          <w:color w:val="000000"/>
          <w:sz w:val="24"/>
          <w:szCs w:val="24"/>
          <w:u w:color="000000"/>
        </w:rPr>
        <w:t>Akční plán</w:t>
      </w:r>
      <w:r w:rsidR="00A94858" w:rsidRPr="00523D12">
        <w:rPr>
          <w:rFonts w:asciiTheme="minorHAnsi" w:hAnsiTheme="minorHAnsi"/>
          <w:color w:val="000000"/>
          <w:sz w:val="24"/>
          <w:szCs w:val="24"/>
          <w:u w:color="000000"/>
        </w:rPr>
        <w:t xml:space="preserve"> bude průběžně aktualizován s ohledem na skutečnost, že stěžejní dokumenty nebyly dosud </w:t>
      </w:r>
      <w:r w:rsidR="000C0E01">
        <w:rPr>
          <w:rFonts w:asciiTheme="minorHAnsi" w:hAnsiTheme="minorHAnsi"/>
          <w:color w:val="000000"/>
          <w:sz w:val="24"/>
          <w:szCs w:val="24"/>
          <w:u w:color="000000"/>
        </w:rPr>
        <w:t>v EU</w:t>
      </w:r>
      <w:r w:rsidR="00065994">
        <w:rPr>
          <w:rFonts w:asciiTheme="minorHAnsi" w:hAnsiTheme="minorHAnsi"/>
          <w:color w:val="000000"/>
          <w:sz w:val="24"/>
          <w:szCs w:val="24"/>
          <w:u w:color="000000"/>
        </w:rPr>
        <w:t xml:space="preserve"> </w:t>
      </w:r>
      <w:r w:rsidR="00A73897" w:rsidRPr="00523D12">
        <w:rPr>
          <w:rFonts w:asciiTheme="minorHAnsi" w:hAnsiTheme="minorHAnsi"/>
          <w:color w:val="000000"/>
          <w:sz w:val="24"/>
          <w:szCs w:val="24"/>
          <w:u w:color="000000"/>
        </w:rPr>
        <w:t>schváleny v</w:t>
      </w:r>
      <w:r w:rsidR="00A94858" w:rsidRPr="00523D12">
        <w:rPr>
          <w:rFonts w:asciiTheme="minorHAnsi" w:hAnsiTheme="minorHAnsi"/>
          <w:color w:val="000000"/>
          <w:sz w:val="24"/>
          <w:szCs w:val="24"/>
          <w:u w:color="000000"/>
        </w:rPr>
        <w:t xml:space="preserve"> konečné</w:t>
      </w:r>
      <w:r w:rsidR="00A73897" w:rsidRPr="00523D12">
        <w:rPr>
          <w:rFonts w:asciiTheme="minorHAnsi" w:hAnsiTheme="minorHAnsi"/>
          <w:color w:val="000000"/>
          <w:sz w:val="24"/>
          <w:szCs w:val="24"/>
          <w:u w:color="000000"/>
        </w:rPr>
        <w:t>m</w:t>
      </w:r>
      <w:r w:rsidR="00A94858" w:rsidRPr="00523D12">
        <w:rPr>
          <w:rFonts w:asciiTheme="minorHAnsi" w:hAnsiTheme="minorHAnsi"/>
          <w:color w:val="000000"/>
          <w:sz w:val="24"/>
          <w:szCs w:val="24"/>
          <w:u w:color="000000"/>
        </w:rPr>
        <w:t xml:space="preserve"> znění. Ř</w:t>
      </w:r>
      <w:r w:rsidR="00A8079A" w:rsidRPr="00523D12">
        <w:rPr>
          <w:rFonts w:asciiTheme="minorHAnsi" w:hAnsiTheme="minorHAnsi"/>
          <w:color w:val="000000"/>
          <w:sz w:val="24"/>
          <w:szCs w:val="24"/>
          <w:u w:color="000000"/>
        </w:rPr>
        <w:t>ídící orgány</w:t>
      </w:r>
      <w:r w:rsidR="00B67D86" w:rsidRPr="00523D12">
        <w:rPr>
          <w:rFonts w:asciiTheme="minorHAnsi" w:hAnsiTheme="minorHAnsi"/>
          <w:color w:val="000000"/>
          <w:sz w:val="24"/>
          <w:szCs w:val="24"/>
          <w:u w:color="000000"/>
        </w:rPr>
        <w:t xml:space="preserve"> </w:t>
      </w:r>
      <w:r w:rsidR="00B67D86" w:rsidRPr="00523D12">
        <w:rPr>
          <w:rFonts w:asciiTheme="minorHAnsi" w:hAnsiTheme="minorHAnsi"/>
          <w:sz w:val="24"/>
          <w:szCs w:val="24"/>
        </w:rPr>
        <w:t>(ŘO)</w:t>
      </w:r>
      <w:r w:rsidR="00A8079A" w:rsidRPr="00523D12">
        <w:rPr>
          <w:rFonts w:asciiTheme="minorHAnsi" w:hAnsiTheme="minorHAnsi"/>
          <w:color w:val="000000"/>
          <w:sz w:val="24"/>
          <w:szCs w:val="24"/>
          <w:u w:color="000000"/>
        </w:rPr>
        <w:t>, ale i</w:t>
      </w:r>
      <w:r w:rsidR="00A94858" w:rsidRPr="00523D12">
        <w:rPr>
          <w:rFonts w:asciiTheme="minorHAnsi" w:hAnsiTheme="minorHAnsi"/>
          <w:color w:val="000000"/>
          <w:sz w:val="24"/>
          <w:szCs w:val="24"/>
          <w:u w:color="000000"/>
        </w:rPr>
        <w:t xml:space="preserve"> další subjekty </w:t>
      </w:r>
      <w:r w:rsidR="00ED5419">
        <w:rPr>
          <w:rFonts w:asciiTheme="minorHAnsi" w:hAnsiTheme="minorHAnsi"/>
          <w:color w:val="000000"/>
          <w:sz w:val="24"/>
          <w:szCs w:val="24"/>
          <w:u w:color="000000"/>
        </w:rPr>
        <w:t>v implementaci fondů SS</w:t>
      </w:r>
      <w:r w:rsidR="00A8079A" w:rsidRPr="00523D12">
        <w:rPr>
          <w:rFonts w:asciiTheme="minorHAnsi" w:hAnsiTheme="minorHAnsi"/>
          <w:color w:val="000000"/>
          <w:sz w:val="24"/>
          <w:szCs w:val="24"/>
          <w:u w:color="000000"/>
        </w:rPr>
        <w:t>R</w:t>
      </w:r>
      <w:r w:rsidR="0062372F">
        <w:rPr>
          <w:rFonts w:asciiTheme="minorHAnsi" w:hAnsiTheme="minorHAnsi"/>
          <w:color w:val="000000"/>
          <w:sz w:val="24"/>
          <w:szCs w:val="24"/>
          <w:u w:color="000000"/>
        </w:rPr>
        <w:t>,</w:t>
      </w:r>
      <w:r w:rsidR="00A8079A" w:rsidRPr="00523D12">
        <w:rPr>
          <w:rFonts w:asciiTheme="minorHAnsi" w:hAnsiTheme="minorHAnsi"/>
          <w:color w:val="000000"/>
          <w:sz w:val="24"/>
          <w:szCs w:val="24"/>
          <w:u w:color="000000"/>
        </w:rPr>
        <w:t xml:space="preserve"> </w:t>
      </w:r>
      <w:r w:rsidR="00A94858" w:rsidRPr="00523D12">
        <w:rPr>
          <w:rFonts w:asciiTheme="minorHAnsi" w:hAnsiTheme="minorHAnsi"/>
          <w:color w:val="000000"/>
          <w:sz w:val="24"/>
          <w:szCs w:val="24"/>
          <w:u w:color="000000"/>
        </w:rPr>
        <w:t xml:space="preserve">proto musí ve všech fázích přípravy a následné realizace respektovat aktuálně platná znění a zároveň sledovat průběh vyjednávání. </w:t>
      </w:r>
    </w:p>
    <w:p w:rsidR="00A94858" w:rsidRPr="00523D12" w:rsidRDefault="00EF2A3C" w:rsidP="00A94858">
      <w:pPr>
        <w:pStyle w:val="TextNOK"/>
        <w:spacing w:before="120" w:after="60" w:line="288" w:lineRule="auto"/>
        <w:rPr>
          <w:rFonts w:asciiTheme="minorHAnsi" w:hAnsiTheme="minorHAnsi"/>
          <w:sz w:val="24"/>
          <w:szCs w:val="24"/>
        </w:rPr>
      </w:pPr>
      <w:r>
        <w:rPr>
          <w:rFonts w:asciiTheme="minorHAnsi" w:hAnsiTheme="minorHAnsi"/>
          <w:sz w:val="24"/>
          <w:szCs w:val="24"/>
        </w:rPr>
        <w:t>P</w:t>
      </w:r>
      <w:r w:rsidR="00B67D86" w:rsidRPr="00523D12">
        <w:rPr>
          <w:rFonts w:asciiTheme="minorHAnsi" w:hAnsiTheme="minorHAnsi"/>
          <w:sz w:val="24"/>
          <w:szCs w:val="24"/>
        </w:rPr>
        <w:t xml:space="preserve">ředběžné podmínky </w:t>
      </w:r>
      <w:r>
        <w:rPr>
          <w:rFonts w:asciiTheme="minorHAnsi" w:hAnsiTheme="minorHAnsi"/>
          <w:sz w:val="24"/>
          <w:szCs w:val="24"/>
        </w:rPr>
        <w:t xml:space="preserve">jsou </w:t>
      </w:r>
      <w:r w:rsidR="00065994">
        <w:rPr>
          <w:rFonts w:asciiTheme="minorHAnsi" w:hAnsiTheme="minorHAnsi"/>
          <w:sz w:val="24"/>
          <w:szCs w:val="24"/>
        </w:rPr>
        <w:t>stanoveny</w:t>
      </w:r>
      <w:r w:rsidR="00065994" w:rsidRPr="00523D12">
        <w:rPr>
          <w:rFonts w:asciiTheme="minorHAnsi" w:hAnsiTheme="minorHAnsi"/>
          <w:sz w:val="24"/>
          <w:szCs w:val="24"/>
        </w:rPr>
        <w:t xml:space="preserve"> </w:t>
      </w:r>
      <w:r w:rsidR="00B67D86" w:rsidRPr="00523D12">
        <w:rPr>
          <w:rFonts w:asciiTheme="minorHAnsi" w:hAnsiTheme="minorHAnsi"/>
          <w:sz w:val="24"/>
          <w:szCs w:val="24"/>
        </w:rPr>
        <w:t>nařízením</w:t>
      </w:r>
      <w:r w:rsidR="006E128F">
        <w:rPr>
          <w:rFonts w:asciiTheme="minorHAnsi" w:hAnsiTheme="minorHAnsi"/>
          <w:sz w:val="24"/>
          <w:szCs w:val="24"/>
        </w:rPr>
        <w:t>i</w:t>
      </w:r>
      <w:r w:rsidR="00B67D86" w:rsidRPr="00523D12">
        <w:rPr>
          <w:rFonts w:asciiTheme="minorHAnsi" w:hAnsiTheme="minorHAnsi"/>
          <w:sz w:val="24"/>
          <w:szCs w:val="24"/>
        </w:rPr>
        <w:t xml:space="preserve"> EU</w:t>
      </w:r>
      <w:r>
        <w:rPr>
          <w:rFonts w:asciiTheme="minorHAnsi" w:hAnsiTheme="minorHAnsi"/>
          <w:sz w:val="24"/>
          <w:szCs w:val="24"/>
        </w:rPr>
        <w:t xml:space="preserve"> a dále upraveny </w:t>
      </w:r>
      <w:r w:rsidRPr="00EF2A3C">
        <w:rPr>
          <w:rFonts w:asciiTheme="minorHAnsi" w:hAnsiTheme="minorHAnsi"/>
          <w:sz w:val="24"/>
          <w:szCs w:val="24"/>
        </w:rPr>
        <w:t>Metodický</w:t>
      </w:r>
      <w:r>
        <w:rPr>
          <w:rFonts w:asciiTheme="minorHAnsi" w:hAnsiTheme="minorHAnsi"/>
          <w:sz w:val="24"/>
          <w:szCs w:val="24"/>
        </w:rPr>
        <w:t>m</w:t>
      </w:r>
      <w:r w:rsidRPr="00EF2A3C">
        <w:rPr>
          <w:rFonts w:asciiTheme="minorHAnsi" w:hAnsiTheme="minorHAnsi"/>
          <w:sz w:val="24"/>
          <w:szCs w:val="24"/>
        </w:rPr>
        <w:t xml:space="preserve"> pokyn</w:t>
      </w:r>
      <w:r>
        <w:rPr>
          <w:rFonts w:asciiTheme="minorHAnsi" w:hAnsiTheme="minorHAnsi"/>
          <w:sz w:val="24"/>
          <w:szCs w:val="24"/>
        </w:rPr>
        <w:t>em</w:t>
      </w:r>
      <w:r w:rsidRPr="00EF2A3C">
        <w:rPr>
          <w:rFonts w:asciiTheme="minorHAnsi" w:hAnsiTheme="minorHAnsi"/>
          <w:sz w:val="24"/>
          <w:szCs w:val="24"/>
        </w:rPr>
        <w:t xml:space="preserve"> pro přípravu programových dokumentů pro programové období 2014–2020</w:t>
      </w:r>
      <w:r w:rsidR="00B67D86" w:rsidRPr="00523D12">
        <w:rPr>
          <w:rFonts w:asciiTheme="minorHAnsi" w:hAnsiTheme="minorHAnsi"/>
          <w:sz w:val="24"/>
          <w:szCs w:val="24"/>
        </w:rPr>
        <w:t xml:space="preserve">, </w:t>
      </w:r>
      <w:r>
        <w:rPr>
          <w:rFonts w:asciiTheme="minorHAnsi" w:hAnsiTheme="minorHAnsi"/>
          <w:sz w:val="24"/>
          <w:szCs w:val="24"/>
        </w:rPr>
        <w:t xml:space="preserve">proto </w:t>
      </w:r>
      <w:r w:rsidR="00A94858" w:rsidRPr="00523D12">
        <w:rPr>
          <w:rFonts w:asciiTheme="minorHAnsi" w:hAnsiTheme="minorHAnsi"/>
          <w:sz w:val="24"/>
          <w:szCs w:val="24"/>
        </w:rPr>
        <w:t xml:space="preserve">je </w:t>
      </w:r>
      <w:r w:rsidR="00B67D86" w:rsidRPr="00523D12">
        <w:rPr>
          <w:rFonts w:asciiTheme="minorHAnsi" w:hAnsiTheme="minorHAnsi"/>
          <w:sz w:val="24"/>
          <w:szCs w:val="24"/>
        </w:rPr>
        <w:t xml:space="preserve">tento </w:t>
      </w:r>
      <w:r w:rsidR="0020212E">
        <w:rPr>
          <w:rFonts w:asciiTheme="minorHAnsi" w:hAnsiTheme="minorHAnsi"/>
          <w:sz w:val="24"/>
          <w:szCs w:val="24"/>
        </w:rPr>
        <w:t>akční plán</w:t>
      </w:r>
      <w:r w:rsidR="00A94858" w:rsidRPr="00523D12">
        <w:rPr>
          <w:rFonts w:asciiTheme="minorHAnsi" w:hAnsiTheme="minorHAnsi"/>
          <w:sz w:val="24"/>
          <w:szCs w:val="24"/>
        </w:rPr>
        <w:t xml:space="preserve"> závazný pro všechny subjekty implementace programového období 2014–2020, přičemž zohledňuje specifika jednotlivých fondů SSR.</w:t>
      </w:r>
    </w:p>
    <w:p w:rsidR="00482F4B" w:rsidRPr="00C80B66" w:rsidRDefault="00CD643D" w:rsidP="0062372F">
      <w:pPr>
        <w:pStyle w:val="TextNOK"/>
        <w:spacing w:before="120" w:line="288" w:lineRule="auto"/>
        <w:rPr>
          <w:rFonts w:asciiTheme="minorHAnsi" w:hAnsiTheme="minorHAnsi"/>
          <w:sz w:val="24"/>
          <w:szCs w:val="24"/>
        </w:rPr>
      </w:pPr>
      <w:r w:rsidRPr="00C80B66">
        <w:rPr>
          <w:rFonts w:asciiTheme="minorHAnsi" w:hAnsiTheme="minorHAnsi"/>
          <w:sz w:val="24"/>
          <w:szCs w:val="24"/>
        </w:rPr>
        <w:t>Z</w:t>
      </w:r>
      <w:r w:rsidR="00A94858" w:rsidRPr="00C80B66">
        <w:rPr>
          <w:rFonts w:asciiTheme="minorHAnsi" w:hAnsiTheme="minorHAnsi"/>
          <w:sz w:val="24"/>
          <w:szCs w:val="24"/>
        </w:rPr>
        <w:t xml:space="preserve"> usnesení vlády č. 42/2012 vyplývá mimo jiné</w:t>
      </w:r>
      <w:r w:rsidR="00482F4B" w:rsidRPr="00C80B66">
        <w:rPr>
          <w:rFonts w:asciiTheme="minorHAnsi" w:hAnsiTheme="minorHAnsi"/>
          <w:sz w:val="24"/>
          <w:szCs w:val="24"/>
        </w:rPr>
        <w:t>:</w:t>
      </w:r>
    </w:p>
    <w:p w:rsidR="00EA6327" w:rsidRPr="00C80B66" w:rsidRDefault="00F12826" w:rsidP="000C0E01">
      <w:pPr>
        <w:pStyle w:val="Styl2"/>
        <w:numPr>
          <w:ilvl w:val="0"/>
          <w:numId w:val="12"/>
        </w:numPr>
        <w:spacing w:before="0" w:line="264" w:lineRule="auto"/>
        <w:ind w:left="425" w:hanging="357"/>
        <w:rPr>
          <w:rFonts w:asciiTheme="minorHAnsi" w:hAnsiTheme="minorHAnsi"/>
          <w:sz w:val="24"/>
          <w:szCs w:val="24"/>
          <w:u w:color="000000"/>
        </w:rPr>
      </w:pPr>
      <w:r w:rsidRPr="00F12826">
        <w:rPr>
          <w:rFonts w:asciiTheme="minorHAnsi" w:hAnsiTheme="minorHAnsi"/>
          <w:sz w:val="24"/>
          <w:szCs w:val="24"/>
          <w:u w:color="000000"/>
        </w:rPr>
        <w:t>průběžně spolupracovat s ministrem pro místní rozvoj na aktualizaci analýz uvedených v bodě II/1a tohoto usnesení v závislosti na aktuálním vývoji jednání o návrzích nařízení k politice soudržnosti.</w:t>
      </w:r>
    </w:p>
    <w:p w:rsidR="00B106C9" w:rsidRPr="00C80B66" w:rsidRDefault="002821AE">
      <w:pPr>
        <w:pStyle w:val="Styl2"/>
        <w:spacing w:line="264" w:lineRule="auto"/>
        <w:ind w:left="66"/>
        <w:rPr>
          <w:rFonts w:asciiTheme="minorHAnsi" w:hAnsiTheme="minorHAnsi"/>
          <w:sz w:val="24"/>
          <w:szCs w:val="24"/>
          <w:u w:color="000000"/>
        </w:rPr>
      </w:pPr>
      <w:r w:rsidRPr="00C80B66">
        <w:rPr>
          <w:rFonts w:asciiTheme="minorHAnsi" w:hAnsiTheme="minorHAnsi"/>
          <w:sz w:val="24"/>
          <w:szCs w:val="24"/>
          <w:u w:color="000000"/>
        </w:rPr>
        <w:t>Z usnesení vlády</w:t>
      </w:r>
      <w:r w:rsidR="00E54E58">
        <w:rPr>
          <w:rFonts w:asciiTheme="minorHAnsi" w:hAnsiTheme="minorHAnsi"/>
          <w:sz w:val="24"/>
          <w:szCs w:val="24"/>
          <w:u w:color="000000"/>
        </w:rPr>
        <w:t xml:space="preserve"> ze dne 12. června 2013</w:t>
      </w:r>
      <w:r w:rsidRPr="00C80B66">
        <w:rPr>
          <w:rFonts w:asciiTheme="minorHAnsi" w:hAnsiTheme="minorHAnsi"/>
          <w:sz w:val="24"/>
          <w:szCs w:val="24"/>
          <w:u w:color="000000"/>
        </w:rPr>
        <w:t xml:space="preserve"> vyplývá mimo jiné povinnost jednotlivých gestorů a spolugestorů:</w:t>
      </w:r>
    </w:p>
    <w:p w:rsidR="000451C5" w:rsidRPr="00C80B66" w:rsidRDefault="00F12826" w:rsidP="000C0E01">
      <w:pPr>
        <w:pStyle w:val="Odstavecseseznamem"/>
        <w:numPr>
          <w:ilvl w:val="1"/>
          <w:numId w:val="37"/>
        </w:numPr>
        <w:overflowPunct w:val="0"/>
        <w:autoSpaceDE w:val="0"/>
        <w:autoSpaceDN w:val="0"/>
        <w:adjustRightInd w:val="0"/>
        <w:spacing w:after="120"/>
        <w:ind w:left="425" w:hanging="357"/>
        <w:contextualSpacing w:val="0"/>
        <w:textAlignment w:val="baseline"/>
        <w:rPr>
          <w:rFonts w:asciiTheme="minorHAnsi" w:hAnsiTheme="minorHAnsi"/>
        </w:rPr>
      </w:pPr>
      <w:r w:rsidRPr="00F12826">
        <w:rPr>
          <w:rFonts w:asciiTheme="minorHAnsi" w:hAnsiTheme="minorHAnsi"/>
        </w:rPr>
        <w:t xml:space="preserve">zajistit plnění předběžných podmínek vázáných na programy a Dohodu o partnerství </w:t>
      </w:r>
      <w:r w:rsidR="00E54E58">
        <w:rPr>
          <w:rFonts w:asciiTheme="minorHAnsi" w:hAnsiTheme="minorHAnsi"/>
        </w:rPr>
        <w:br/>
      </w:r>
      <w:r w:rsidRPr="00F12826">
        <w:rPr>
          <w:rFonts w:asciiTheme="minorHAnsi" w:hAnsiTheme="minorHAnsi"/>
        </w:rPr>
        <w:t xml:space="preserve">pro programové období 2014–2020 dle obecného nařízení EU a manuálu k předběžným podmínkám od EK, a postupovat v souladu s výše uvedenými dokumenty vč. vládou schváleného Metodického pokynu pro přípravu programových dokumentů </w:t>
      </w:r>
      <w:r w:rsidR="00E54E58">
        <w:rPr>
          <w:rFonts w:asciiTheme="minorHAnsi" w:hAnsiTheme="minorHAnsi"/>
        </w:rPr>
        <w:br/>
      </w:r>
      <w:r w:rsidRPr="00F12826">
        <w:rPr>
          <w:rFonts w:asciiTheme="minorHAnsi" w:hAnsiTheme="minorHAnsi"/>
        </w:rPr>
        <w:t>pro programové období 2014 – 2020 podle usnesení vlády ze dne 29. května 2013 č. 401 a s aktuálně platným zněním Akčního plánu řízení a koordinace předběžných podmínek,</w:t>
      </w:r>
    </w:p>
    <w:p w:rsidR="000451C5" w:rsidRPr="00C80B66" w:rsidRDefault="00F12826" w:rsidP="00C46A9E">
      <w:pPr>
        <w:pStyle w:val="Odstavecseseznamem"/>
        <w:numPr>
          <w:ilvl w:val="1"/>
          <w:numId w:val="37"/>
        </w:numPr>
        <w:overflowPunct w:val="0"/>
        <w:autoSpaceDE w:val="0"/>
        <w:autoSpaceDN w:val="0"/>
        <w:adjustRightInd w:val="0"/>
        <w:spacing w:after="120"/>
        <w:ind w:left="426" w:hanging="357"/>
        <w:contextualSpacing w:val="0"/>
        <w:textAlignment w:val="baseline"/>
        <w:rPr>
          <w:rFonts w:asciiTheme="minorHAnsi" w:hAnsiTheme="minorHAnsi"/>
        </w:rPr>
      </w:pPr>
      <w:r w:rsidRPr="00F12826">
        <w:rPr>
          <w:rFonts w:asciiTheme="minorHAnsi" w:hAnsiTheme="minorHAnsi"/>
        </w:rPr>
        <w:t>předložit ministru pro místní rozvoj do 30. června 2013 Kartu rizikových předběžných podmínek v souladu s obecným nařízením EU a manuálem k předběžným podmínkám od EK, vč. vládou schváleného Metodického pokynu pro přípravu programových dokument pro programové období 2014 – 2020 podle usnesení vlády ze dne 29. května 2013. Č. 401a s aktuálně platným zněním Akčního plánu řízení a koordinace předběžných podmínek,</w:t>
      </w:r>
    </w:p>
    <w:p w:rsidR="00B106C9" w:rsidRPr="000C0E01" w:rsidRDefault="00F12826" w:rsidP="00C46A9E">
      <w:pPr>
        <w:pStyle w:val="Odstavecseseznamem"/>
        <w:numPr>
          <w:ilvl w:val="1"/>
          <w:numId w:val="37"/>
        </w:numPr>
        <w:overflowPunct w:val="0"/>
        <w:autoSpaceDE w:val="0"/>
        <w:autoSpaceDN w:val="0"/>
        <w:adjustRightInd w:val="0"/>
        <w:spacing w:after="120"/>
        <w:ind w:left="426" w:hanging="357"/>
        <w:contextualSpacing w:val="0"/>
        <w:textAlignment w:val="baseline"/>
        <w:rPr>
          <w:rFonts w:asciiTheme="minorHAnsi" w:hAnsiTheme="minorHAnsi"/>
          <w:sz w:val="22"/>
          <w:szCs w:val="22"/>
        </w:rPr>
      </w:pPr>
      <w:r w:rsidRPr="00F12826">
        <w:rPr>
          <w:rFonts w:asciiTheme="minorHAnsi" w:hAnsiTheme="minorHAnsi"/>
        </w:rPr>
        <w:t xml:space="preserve">spolupracovat při naplňování předběžných podmínek s dalšími subjekty podílejícími </w:t>
      </w:r>
      <w:r w:rsidR="00CF4C8C">
        <w:rPr>
          <w:rFonts w:asciiTheme="minorHAnsi" w:hAnsiTheme="minorHAnsi"/>
        </w:rPr>
        <w:br/>
      </w:r>
      <w:r w:rsidRPr="00F12826">
        <w:rPr>
          <w:rFonts w:asciiTheme="minorHAnsi" w:hAnsiTheme="minorHAnsi"/>
        </w:rPr>
        <w:t>se na věcném a implementačním zajištění předběžných podmínek</w:t>
      </w:r>
      <w:r w:rsidR="000451C5" w:rsidRPr="000C0E01">
        <w:rPr>
          <w:rFonts w:asciiTheme="minorHAnsi" w:hAnsiTheme="minorHAnsi"/>
          <w:sz w:val="22"/>
          <w:szCs w:val="22"/>
        </w:rPr>
        <w:t>.</w:t>
      </w:r>
    </w:p>
    <w:p w:rsidR="00A94858" w:rsidRPr="004A481C" w:rsidRDefault="00A94858" w:rsidP="0062372F">
      <w:pPr>
        <w:pStyle w:val="Nadpis1"/>
        <w:numPr>
          <w:ilvl w:val="0"/>
          <w:numId w:val="2"/>
        </w:numPr>
        <w:spacing w:before="240" w:after="60"/>
        <w:ind w:left="425" w:hanging="357"/>
        <w:rPr>
          <w:rFonts w:asciiTheme="minorHAnsi" w:hAnsiTheme="minorHAnsi"/>
          <w:color w:val="003366"/>
          <w:sz w:val="28"/>
          <w:szCs w:val="28"/>
        </w:rPr>
      </w:pPr>
      <w:bookmarkStart w:id="4" w:name="_Toc334447769"/>
      <w:bookmarkStart w:id="5" w:name="_Toc359587660"/>
      <w:r w:rsidRPr="004A481C">
        <w:rPr>
          <w:rFonts w:asciiTheme="minorHAnsi" w:hAnsiTheme="minorHAnsi"/>
          <w:color w:val="003366"/>
          <w:sz w:val="28"/>
          <w:szCs w:val="28"/>
        </w:rPr>
        <w:t xml:space="preserve">koncept </w:t>
      </w:r>
      <w:bookmarkEnd w:id="4"/>
      <w:r w:rsidRPr="004A481C">
        <w:rPr>
          <w:rFonts w:asciiTheme="minorHAnsi" w:hAnsiTheme="minorHAnsi"/>
          <w:color w:val="003366"/>
          <w:sz w:val="28"/>
          <w:szCs w:val="28"/>
        </w:rPr>
        <w:t>předběžných podmínek</w:t>
      </w:r>
      <w:bookmarkEnd w:id="5"/>
    </w:p>
    <w:p w:rsidR="00A94858" w:rsidRPr="00523D12" w:rsidRDefault="00A94858" w:rsidP="0062372F">
      <w:pPr>
        <w:pStyle w:val="Styl2"/>
        <w:rPr>
          <w:rFonts w:asciiTheme="minorHAnsi" w:hAnsiTheme="minorHAnsi"/>
          <w:sz w:val="24"/>
          <w:szCs w:val="24"/>
          <w:u w:color="000000"/>
        </w:rPr>
      </w:pPr>
      <w:r w:rsidRPr="00523D12">
        <w:rPr>
          <w:rFonts w:asciiTheme="minorHAnsi" w:hAnsiTheme="minorHAnsi"/>
          <w:sz w:val="24"/>
          <w:szCs w:val="24"/>
          <w:u w:color="000000"/>
        </w:rPr>
        <w:t>Změnou v budoucím programovém období 2014 – 2020 oproti minulému i současnému období je zavedení předběžných podmínek (</w:t>
      </w:r>
      <w:r w:rsidR="006B4A5D" w:rsidRPr="00523D12">
        <w:rPr>
          <w:rFonts w:asciiTheme="minorHAnsi" w:hAnsiTheme="minorHAnsi"/>
          <w:sz w:val="24"/>
          <w:szCs w:val="24"/>
          <w:u w:color="000000"/>
        </w:rPr>
        <w:t>tzv.</w:t>
      </w:r>
      <w:r w:rsidRPr="00523D12">
        <w:rPr>
          <w:rFonts w:asciiTheme="minorHAnsi" w:hAnsiTheme="minorHAnsi"/>
          <w:sz w:val="24"/>
          <w:szCs w:val="24"/>
          <w:u w:color="000000"/>
        </w:rPr>
        <w:t xml:space="preserve"> ex-ante kondicionalit), které mají zajistit, aby čerpání z fondů </w:t>
      </w:r>
      <w:r w:rsidR="006B4A5D" w:rsidRPr="00523D12">
        <w:rPr>
          <w:rFonts w:asciiTheme="minorHAnsi" w:hAnsiTheme="minorHAnsi"/>
          <w:sz w:val="24"/>
          <w:szCs w:val="24"/>
          <w:u w:color="000000"/>
        </w:rPr>
        <w:t>SSR</w:t>
      </w:r>
      <w:r w:rsidRPr="00523D12">
        <w:rPr>
          <w:rFonts w:asciiTheme="minorHAnsi" w:hAnsiTheme="minorHAnsi"/>
          <w:sz w:val="24"/>
          <w:szCs w:val="24"/>
          <w:u w:color="000000"/>
        </w:rPr>
        <w:t xml:space="preserve"> probíhalo v rámci </w:t>
      </w:r>
      <w:r w:rsidR="00065994">
        <w:rPr>
          <w:rFonts w:asciiTheme="minorHAnsi" w:hAnsiTheme="minorHAnsi"/>
          <w:sz w:val="24"/>
          <w:szCs w:val="24"/>
          <w:u w:color="000000"/>
        </w:rPr>
        <w:t>správně</w:t>
      </w:r>
      <w:r w:rsidR="00065994" w:rsidRPr="00523D12">
        <w:rPr>
          <w:rFonts w:asciiTheme="minorHAnsi" w:hAnsiTheme="minorHAnsi"/>
          <w:sz w:val="24"/>
          <w:szCs w:val="24"/>
          <w:u w:color="000000"/>
        </w:rPr>
        <w:t xml:space="preserve"> </w:t>
      </w:r>
      <w:r w:rsidRPr="00523D12">
        <w:rPr>
          <w:rFonts w:asciiTheme="minorHAnsi" w:hAnsiTheme="minorHAnsi"/>
          <w:sz w:val="24"/>
          <w:szCs w:val="24"/>
          <w:u w:color="000000"/>
        </w:rPr>
        <w:t xml:space="preserve">nastaveného systému, čímž se </w:t>
      </w:r>
      <w:r w:rsidR="00B22196">
        <w:rPr>
          <w:rFonts w:asciiTheme="minorHAnsi" w:hAnsiTheme="minorHAnsi"/>
          <w:sz w:val="24"/>
          <w:szCs w:val="24"/>
          <w:u w:color="000000"/>
        </w:rPr>
        <w:t xml:space="preserve">má zvýšit </w:t>
      </w:r>
      <w:r w:rsidRPr="00523D12">
        <w:rPr>
          <w:rFonts w:asciiTheme="minorHAnsi" w:hAnsiTheme="minorHAnsi"/>
          <w:sz w:val="24"/>
          <w:szCs w:val="24"/>
          <w:u w:color="000000"/>
        </w:rPr>
        <w:t>efektivita a účinnost poskytnuté podpory.</w:t>
      </w:r>
    </w:p>
    <w:p w:rsidR="002503D5" w:rsidRPr="00523D12" w:rsidRDefault="002503D5" w:rsidP="002503D5">
      <w:pPr>
        <w:pStyle w:val="Styl2"/>
        <w:spacing w:before="120"/>
        <w:rPr>
          <w:rFonts w:asciiTheme="minorHAnsi" w:hAnsiTheme="minorHAnsi"/>
          <w:sz w:val="24"/>
          <w:szCs w:val="24"/>
          <w:u w:color="000000"/>
        </w:rPr>
      </w:pPr>
      <w:r w:rsidRPr="00523D12">
        <w:rPr>
          <w:rFonts w:asciiTheme="minorHAnsi" w:hAnsiTheme="minorHAnsi"/>
          <w:sz w:val="24"/>
          <w:szCs w:val="24"/>
          <w:u w:color="000000"/>
        </w:rPr>
        <w:t>Předběžná podmínka je „předem přesně vymezený podstatný faktor, který je nezbytným předpokladem pro účinné a efektivní splnění specifického cíle investiční priority nebo priority Unie, je s plněním tohoto cíle přímo a skutečně spojen a má na jeho účinné a efektivní splnění přímý vliv.“ (Návrh nařízení k fondům Společného strategického rámce</w:t>
      </w:r>
      <w:r w:rsidR="00B22196">
        <w:rPr>
          <w:rFonts w:asciiTheme="minorHAnsi" w:hAnsiTheme="minorHAnsi"/>
          <w:sz w:val="24"/>
          <w:szCs w:val="24"/>
          <w:u w:color="000000"/>
        </w:rPr>
        <w:t>, čl. 2</w:t>
      </w:r>
      <w:r w:rsidRPr="00523D12">
        <w:rPr>
          <w:rFonts w:asciiTheme="minorHAnsi" w:hAnsiTheme="minorHAnsi"/>
          <w:sz w:val="24"/>
          <w:szCs w:val="24"/>
          <w:u w:color="000000"/>
        </w:rPr>
        <w:t>).</w:t>
      </w:r>
    </w:p>
    <w:p w:rsidR="0076509F" w:rsidRDefault="00815CB5" w:rsidP="00CD7EB7">
      <w:pPr>
        <w:rPr>
          <w:rFonts w:asciiTheme="minorHAnsi" w:hAnsiTheme="minorHAnsi"/>
          <w:sz w:val="24"/>
          <w:szCs w:val="24"/>
          <w:u w:color="000000"/>
        </w:rPr>
      </w:pPr>
      <w:r>
        <w:rPr>
          <w:rFonts w:asciiTheme="minorHAnsi" w:hAnsiTheme="minorHAnsi"/>
          <w:sz w:val="24"/>
          <w:szCs w:val="24"/>
          <w:u w:color="000000"/>
        </w:rPr>
        <w:t xml:space="preserve">Předběžné podmínky jsou definovány i v dílčích nařízeních pro jednotlivé fondy. </w:t>
      </w:r>
      <w:r w:rsidR="00A94858" w:rsidRPr="00523D12">
        <w:rPr>
          <w:rFonts w:asciiTheme="minorHAnsi" w:hAnsiTheme="minorHAnsi"/>
          <w:sz w:val="24"/>
          <w:szCs w:val="24"/>
          <w:u w:color="000000"/>
        </w:rPr>
        <w:t>Návrh</w:t>
      </w:r>
      <w:r>
        <w:rPr>
          <w:rFonts w:asciiTheme="minorHAnsi" w:hAnsiTheme="minorHAnsi"/>
          <w:sz w:val="24"/>
          <w:szCs w:val="24"/>
          <w:u w:color="000000"/>
        </w:rPr>
        <w:t>y</w:t>
      </w:r>
      <w:r w:rsidR="00A94858" w:rsidRPr="00523D12">
        <w:rPr>
          <w:rFonts w:asciiTheme="minorHAnsi" w:hAnsiTheme="minorHAnsi"/>
          <w:sz w:val="24"/>
          <w:szCs w:val="24"/>
          <w:u w:color="000000"/>
        </w:rPr>
        <w:t xml:space="preserve"> nařízení </w:t>
      </w:r>
      <w:r>
        <w:rPr>
          <w:rFonts w:asciiTheme="minorHAnsi" w:hAnsiTheme="minorHAnsi"/>
          <w:sz w:val="24"/>
          <w:szCs w:val="24"/>
          <w:u w:color="000000"/>
        </w:rPr>
        <w:t>pro E</w:t>
      </w:r>
      <w:r w:rsidR="00C626C3">
        <w:rPr>
          <w:rFonts w:asciiTheme="minorHAnsi" w:hAnsiTheme="minorHAnsi"/>
          <w:sz w:val="24"/>
          <w:szCs w:val="24"/>
          <w:u w:color="000000"/>
        </w:rPr>
        <w:t>FRR</w:t>
      </w:r>
      <w:r>
        <w:rPr>
          <w:rFonts w:asciiTheme="minorHAnsi" w:hAnsiTheme="minorHAnsi"/>
          <w:sz w:val="24"/>
          <w:szCs w:val="24"/>
          <w:u w:color="000000"/>
        </w:rPr>
        <w:t>, FS a ESF dělí</w:t>
      </w:r>
      <w:r w:rsidR="00E0778C">
        <w:rPr>
          <w:rFonts w:asciiTheme="minorHAnsi" w:hAnsiTheme="minorHAnsi"/>
          <w:sz w:val="24"/>
          <w:szCs w:val="24"/>
          <w:u w:color="000000"/>
        </w:rPr>
        <w:t xml:space="preserve"> </w:t>
      </w:r>
      <w:r w:rsidR="00C626C3">
        <w:rPr>
          <w:rFonts w:asciiTheme="minorHAnsi" w:hAnsiTheme="minorHAnsi"/>
          <w:sz w:val="24"/>
          <w:szCs w:val="24"/>
          <w:u w:color="000000"/>
        </w:rPr>
        <w:t xml:space="preserve">předběžné podmínky na </w:t>
      </w:r>
      <w:r w:rsidR="00A94858" w:rsidRPr="00523D12">
        <w:rPr>
          <w:rFonts w:asciiTheme="minorHAnsi" w:hAnsiTheme="minorHAnsi"/>
          <w:sz w:val="24"/>
          <w:szCs w:val="24"/>
          <w:u w:color="000000"/>
        </w:rPr>
        <w:t xml:space="preserve">obecné </w:t>
      </w:r>
      <w:r w:rsidR="00C626C3">
        <w:rPr>
          <w:rFonts w:asciiTheme="minorHAnsi" w:hAnsiTheme="minorHAnsi"/>
          <w:sz w:val="24"/>
          <w:szCs w:val="24"/>
          <w:u w:color="000000"/>
        </w:rPr>
        <w:t>(</w:t>
      </w:r>
      <w:r w:rsidR="00A94858" w:rsidRPr="00523D12">
        <w:rPr>
          <w:rFonts w:asciiTheme="minorHAnsi" w:hAnsiTheme="minorHAnsi"/>
          <w:sz w:val="24"/>
          <w:szCs w:val="24"/>
          <w:u w:color="000000"/>
        </w:rPr>
        <w:t>platné pro všechny intervence</w:t>
      </w:r>
      <w:r w:rsidR="00C626C3">
        <w:rPr>
          <w:rFonts w:asciiTheme="minorHAnsi" w:hAnsiTheme="minorHAnsi"/>
          <w:sz w:val="24"/>
          <w:szCs w:val="24"/>
          <w:u w:color="000000"/>
        </w:rPr>
        <w:t>)</w:t>
      </w:r>
      <w:r w:rsidR="00A94858" w:rsidRPr="00523D12">
        <w:rPr>
          <w:rFonts w:asciiTheme="minorHAnsi" w:hAnsiTheme="minorHAnsi"/>
          <w:sz w:val="24"/>
          <w:szCs w:val="24"/>
          <w:u w:color="000000"/>
        </w:rPr>
        <w:t xml:space="preserve"> a tematické </w:t>
      </w:r>
      <w:r w:rsidR="00C626C3">
        <w:rPr>
          <w:rFonts w:asciiTheme="minorHAnsi" w:hAnsiTheme="minorHAnsi"/>
          <w:sz w:val="24"/>
          <w:szCs w:val="24"/>
          <w:u w:color="000000"/>
        </w:rPr>
        <w:t>(</w:t>
      </w:r>
      <w:r w:rsidR="00A94858" w:rsidRPr="00523D12">
        <w:rPr>
          <w:rFonts w:asciiTheme="minorHAnsi" w:hAnsiTheme="minorHAnsi"/>
          <w:sz w:val="24"/>
          <w:szCs w:val="24"/>
          <w:u w:color="000000"/>
        </w:rPr>
        <w:t>vztahující se k jednotlivým tematickým cílům a investičním prioritám</w:t>
      </w:r>
      <w:r w:rsidR="00C626C3">
        <w:rPr>
          <w:rFonts w:asciiTheme="minorHAnsi" w:hAnsiTheme="minorHAnsi"/>
          <w:sz w:val="24"/>
          <w:szCs w:val="24"/>
          <w:u w:color="000000"/>
        </w:rPr>
        <w:t>)</w:t>
      </w:r>
      <w:r w:rsidR="00A94858" w:rsidRPr="00523D12">
        <w:rPr>
          <w:rFonts w:asciiTheme="minorHAnsi" w:hAnsiTheme="minorHAnsi"/>
          <w:sz w:val="24"/>
          <w:szCs w:val="24"/>
          <w:u w:color="000000"/>
        </w:rPr>
        <w:t xml:space="preserve">. </w:t>
      </w:r>
      <w:r w:rsidR="00C626C3" w:rsidRPr="00523D12">
        <w:rPr>
          <w:rFonts w:asciiTheme="minorHAnsi" w:hAnsiTheme="minorHAnsi"/>
          <w:sz w:val="24"/>
          <w:szCs w:val="24"/>
          <w:u w:color="000000"/>
        </w:rPr>
        <w:t xml:space="preserve">Návrh nařízení </w:t>
      </w:r>
      <w:r w:rsidR="00C626C3">
        <w:rPr>
          <w:rFonts w:asciiTheme="minorHAnsi" w:hAnsiTheme="minorHAnsi"/>
          <w:sz w:val="24"/>
          <w:szCs w:val="24"/>
          <w:u w:color="000000"/>
        </w:rPr>
        <w:t>pro EZFRV dělí předběžné po</w:t>
      </w:r>
      <w:r w:rsidR="001E3896">
        <w:rPr>
          <w:rFonts w:asciiTheme="minorHAnsi" w:hAnsiTheme="minorHAnsi"/>
          <w:sz w:val="24"/>
          <w:szCs w:val="24"/>
          <w:u w:color="000000"/>
        </w:rPr>
        <w:t>d</w:t>
      </w:r>
      <w:r w:rsidR="00C626C3">
        <w:rPr>
          <w:rFonts w:asciiTheme="minorHAnsi" w:hAnsiTheme="minorHAnsi"/>
          <w:sz w:val="24"/>
          <w:szCs w:val="24"/>
          <w:u w:color="000000"/>
        </w:rPr>
        <w:t>mínky na horizontální a tematické</w:t>
      </w:r>
      <w:r w:rsidR="00E0778C">
        <w:rPr>
          <w:rFonts w:asciiTheme="minorHAnsi" w:hAnsiTheme="minorHAnsi"/>
          <w:sz w:val="24"/>
          <w:szCs w:val="24"/>
          <w:u w:color="000000"/>
        </w:rPr>
        <w:t>, návrh nařízení pro ENRF zase na obecné (ty jsou totožné s obecnými pro EFRR, FS a ESF) a tematické</w:t>
      </w:r>
      <w:r w:rsidR="0076509F">
        <w:rPr>
          <w:rFonts w:asciiTheme="minorHAnsi" w:hAnsiTheme="minorHAnsi"/>
          <w:sz w:val="24"/>
          <w:szCs w:val="24"/>
          <w:u w:color="000000"/>
        </w:rPr>
        <w:t xml:space="preserve"> (v</w:t>
      </w:r>
      <w:r w:rsidR="0076509F">
        <w:rPr>
          <w:rFonts w:asciiTheme="minorHAnsi" w:hAnsiTheme="minorHAnsi"/>
          <w:sz w:val="24"/>
          <w:szCs w:val="24"/>
        </w:rPr>
        <w:t xml:space="preserve">ýčet předběžných podmínek za všechny </w:t>
      </w:r>
      <w:r w:rsidR="00C80B66">
        <w:rPr>
          <w:rFonts w:asciiTheme="minorHAnsi" w:hAnsiTheme="minorHAnsi"/>
          <w:sz w:val="24"/>
          <w:szCs w:val="24"/>
        </w:rPr>
        <w:t>SSR</w:t>
      </w:r>
      <w:r w:rsidR="0076509F">
        <w:rPr>
          <w:rFonts w:asciiTheme="minorHAnsi" w:hAnsiTheme="minorHAnsi"/>
          <w:sz w:val="24"/>
          <w:szCs w:val="24"/>
        </w:rPr>
        <w:t xml:space="preserve"> fondy je uveden v příloze Akčního plánu; nejedná se o definitivní a schválený seznam požadavků, </w:t>
      </w:r>
      <w:r w:rsidR="00CD7EB7">
        <w:rPr>
          <w:rFonts w:asciiTheme="minorHAnsi" w:hAnsiTheme="minorHAnsi"/>
          <w:sz w:val="24"/>
          <w:szCs w:val="24"/>
        </w:rPr>
        <w:t>aktuální vývoj bude reflektovat finální dohody trialogu v EU)</w:t>
      </w:r>
      <w:r w:rsidR="0076509F">
        <w:rPr>
          <w:rFonts w:asciiTheme="minorHAnsi" w:hAnsiTheme="minorHAnsi"/>
          <w:sz w:val="24"/>
          <w:szCs w:val="24"/>
        </w:rPr>
        <w:t xml:space="preserve">. </w:t>
      </w:r>
    </w:p>
    <w:p w:rsidR="00A94858" w:rsidRPr="00523D12" w:rsidRDefault="00A94858" w:rsidP="00A94858">
      <w:pPr>
        <w:pStyle w:val="Styl2"/>
        <w:spacing w:before="120"/>
        <w:rPr>
          <w:rFonts w:asciiTheme="minorHAnsi" w:hAnsiTheme="minorHAnsi"/>
          <w:sz w:val="24"/>
          <w:szCs w:val="24"/>
          <w:u w:color="000000"/>
        </w:rPr>
      </w:pPr>
      <w:r w:rsidRPr="00523D12">
        <w:rPr>
          <w:rFonts w:asciiTheme="minorHAnsi" w:hAnsiTheme="minorHAnsi"/>
          <w:sz w:val="24"/>
          <w:szCs w:val="24"/>
          <w:u w:color="000000"/>
        </w:rPr>
        <w:t xml:space="preserve">Cílem </w:t>
      </w:r>
      <w:r w:rsidR="0076509F">
        <w:rPr>
          <w:rFonts w:asciiTheme="minorHAnsi" w:hAnsiTheme="minorHAnsi"/>
          <w:sz w:val="24"/>
          <w:szCs w:val="24"/>
          <w:u w:color="000000"/>
        </w:rPr>
        <w:t xml:space="preserve">naplňování předběžných podmínek </w:t>
      </w:r>
      <w:r w:rsidRPr="00523D12">
        <w:rPr>
          <w:rFonts w:asciiTheme="minorHAnsi" w:hAnsiTheme="minorHAnsi"/>
          <w:sz w:val="24"/>
          <w:szCs w:val="24"/>
          <w:u w:color="000000"/>
        </w:rPr>
        <w:t>je zabezpečit pro každou investiční prioritu splnění takových národních a regionálních podmínek, které umožní strategické zarámování podpory, a které povedou k maximalizaci přínosu a efektivity intervencí.</w:t>
      </w:r>
    </w:p>
    <w:p w:rsidR="00A94858" w:rsidRPr="00523D12" w:rsidRDefault="00F5367D" w:rsidP="002503D5">
      <w:pPr>
        <w:pStyle w:val="Styl2"/>
        <w:spacing w:before="120"/>
        <w:rPr>
          <w:rFonts w:asciiTheme="minorHAnsi" w:hAnsiTheme="minorHAnsi"/>
          <w:sz w:val="24"/>
          <w:szCs w:val="24"/>
          <w:u w:color="000000"/>
        </w:rPr>
      </w:pPr>
      <w:r>
        <w:rPr>
          <w:rFonts w:asciiTheme="minorHAnsi" w:hAnsiTheme="minorHAnsi"/>
          <w:sz w:val="24"/>
          <w:szCs w:val="24"/>
          <w:u w:color="000000"/>
        </w:rPr>
        <w:t>Předběžné podmínky</w:t>
      </w:r>
      <w:r w:rsidRPr="00523D12">
        <w:rPr>
          <w:rFonts w:asciiTheme="minorHAnsi" w:hAnsiTheme="minorHAnsi"/>
          <w:sz w:val="24"/>
          <w:szCs w:val="24"/>
          <w:u w:color="000000"/>
        </w:rPr>
        <w:t xml:space="preserve"> </w:t>
      </w:r>
      <w:r w:rsidR="00A94858" w:rsidRPr="00523D12">
        <w:rPr>
          <w:rFonts w:asciiTheme="minorHAnsi" w:hAnsiTheme="minorHAnsi"/>
          <w:sz w:val="24"/>
          <w:szCs w:val="24"/>
          <w:u w:color="000000"/>
        </w:rPr>
        <w:t xml:space="preserve">musí být členským státem splněny, nemá-li dojít </w:t>
      </w:r>
      <w:r w:rsidR="00634E54">
        <w:rPr>
          <w:rFonts w:asciiTheme="minorHAnsi" w:hAnsiTheme="minorHAnsi"/>
          <w:sz w:val="24"/>
          <w:szCs w:val="24"/>
          <w:u w:color="000000"/>
        </w:rPr>
        <w:t>k nezapočetí čerpání z</w:t>
      </w:r>
      <w:r w:rsidR="0065521B">
        <w:rPr>
          <w:rFonts w:asciiTheme="minorHAnsi" w:hAnsiTheme="minorHAnsi"/>
          <w:sz w:val="24"/>
          <w:szCs w:val="24"/>
          <w:u w:color="000000"/>
        </w:rPr>
        <w:t>e</w:t>
      </w:r>
      <w:r w:rsidR="00634E54">
        <w:rPr>
          <w:rFonts w:asciiTheme="minorHAnsi" w:hAnsiTheme="minorHAnsi"/>
          <w:sz w:val="24"/>
          <w:szCs w:val="24"/>
          <w:u w:color="000000"/>
        </w:rPr>
        <w:t> </w:t>
      </w:r>
      <w:r w:rsidR="00C80B66">
        <w:rPr>
          <w:rFonts w:asciiTheme="minorHAnsi" w:hAnsiTheme="minorHAnsi"/>
          <w:sz w:val="24"/>
          <w:szCs w:val="24"/>
          <w:u w:color="000000"/>
        </w:rPr>
        <w:t>SSR</w:t>
      </w:r>
      <w:r w:rsidR="00634E54">
        <w:rPr>
          <w:rFonts w:asciiTheme="minorHAnsi" w:hAnsiTheme="minorHAnsi"/>
          <w:sz w:val="24"/>
          <w:szCs w:val="24"/>
          <w:u w:color="000000"/>
        </w:rPr>
        <w:t xml:space="preserve"> fondů nebo </w:t>
      </w:r>
      <w:r w:rsidR="00A94858" w:rsidRPr="00523D12">
        <w:rPr>
          <w:rFonts w:asciiTheme="minorHAnsi" w:hAnsiTheme="minorHAnsi"/>
          <w:sz w:val="24"/>
          <w:szCs w:val="24"/>
          <w:u w:color="000000"/>
        </w:rPr>
        <w:t>pozastavení průběžné platby dotčené části programu ze strany E</w:t>
      </w:r>
      <w:r w:rsidR="00FD6DAD" w:rsidRPr="00523D12">
        <w:rPr>
          <w:rFonts w:asciiTheme="minorHAnsi" w:hAnsiTheme="minorHAnsi"/>
          <w:sz w:val="24"/>
          <w:szCs w:val="24"/>
          <w:u w:color="000000"/>
        </w:rPr>
        <w:t>vropské komise</w:t>
      </w:r>
      <w:r w:rsidR="00A94858" w:rsidRPr="00523D12">
        <w:rPr>
          <w:rFonts w:asciiTheme="minorHAnsi" w:hAnsiTheme="minorHAnsi"/>
          <w:sz w:val="24"/>
          <w:szCs w:val="24"/>
          <w:u w:color="000000"/>
        </w:rPr>
        <w:t xml:space="preserve">. Naplnění </w:t>
      </w:r>
      <w:r w:rsidR="00AA7D73">
        <w:rPr>
          <w:rFonts w:asciiTheme="minorHAnsi" w:hAnsiTheme="minorHAnsi"/>
          <w:sz w:val="24"/>
          <w:szCs w:val="24"/>
          <w:u w:color="000000"/>
        </w:rPr>
        <w:t>předběžných podmínek</w:t>
      </w:r>
      <w:r w:rsidR="00A94858" w:rsidRPr="00523D12">
        <w:rPr>
          <w:rFonts w:asciiTheme="minorHAnsi" w:hAnsiTheme="minorHAnsi"/>
          <w:sz w:val="24"/>
          <w:szCs w:val="24"/>
          <w:u w:color="000000"/>
        </w:rPr>
        <w:t>, popř. harmonogram jejich provádění</w:t>
      </w:r>
      <w:r w:rsidR="00634E54">
        <w:rPr>
          <w:rFonts w:asciiTheme="minorHAnsi" w:hAnsiTheme="minorHAnsi"/>
          <w:sz w:val="24"/>
          <w:szCs w:val="24"/>
          <w:u w:color="000000"/>
        </w:rPr>
        <w:t>,</w:t>
      </w:r>
      <w:r w:rsidR="00A94858" w:rsidRPr="00523D12">
        <w:rPr>
          <w:rFonts w:asciiTheme="minorHAnsi" w:hAnsiTheme="minorHAnsi"/>
          <w:sz w:val="24"/>
          <w:szCs w:val="24"/>
          <w:u w:color="000000"/>
        </w:rPr>
        <w:t xml:space="preserve"> bude součástí jak Dohody o partnerství, tak i jednotlivých programů</w:t>
      </w:r>
      <w:r w:rsidR="00606398">
        <w:rPr>
          <w:rFonts w:asciiTheme="minorHAnsi" w:hAnsiTheme="minorHAnsi"/>
          <w:sz w:val="24"/>
          <w:szCs w:val="24"/>
          <w:u w:color="000000"/>
        </w:rPr>
        <w:t>.</w:t>
      </w:r>
      <w:r w:rsidR="00A94858" w:rsidRPr="00523D12">
        <w:rPr>
          <w:rFonts w:asciiTheme="minorHAnsi" w:hAnsiTheme="minorHAnsi"/>
          <w:sz w:val="24"/>
          <w:szCs w:val="24"/>
          <w:u w:color="000000"/>
        </w:rPr>
        <w:t xml:space="preserve"> </w:t>
      </w:r>
    </w:p>
    <w:p w:rsidR="00C161F1" w:rsidRDefault="00A94858" w:rsidP="00A94858">
      <w:pPr>
        <w:pStyle w:val="Styl2"/>
        <w:spacing w:before="120"/>
        <w:rPr>
          <w:rFonts w:asciiTheme="minorHAnsi" w:hAnsiTheme="minorHAnsi"/>
          <w:sz w:val="24"/>
          <w:szCs w:val="24"/>
          <w:u w:color="000000"/>
        </w:rPr>
      </w:pPr>
      <w:r w:rsidRPr="00523D12">
        <w:rPr>
          <w:rFonts w:asciiTheme="minorHAnsi" w:hAnsiTheme="minorHAnsi"/>
          <w:sz w:val="24"/>
          <w:szCs w:val="24"/>
        </w:rPr>
        <w:t xml:space="preserve">Některé </w:t>
      </w:r>
      <w:r w:rsidR="002B2570">
        <w:rPr>
          <w:rFonts w:asciiTheme="minorHAnsi" w:hAnsiTheme="minorHAnsi"/>
          <w:sz w:val="24"/>
          <w:szCs w:val="24"/>
        </w:rPr>
        <w:t>předběžné podmínky</w:t>
      </w:r>
      <w:r w:rsidR="002B2570" w:rsidRPr="00523D12">
        <w:rPr>
          <w:rFonts w:asciiTheme="minorHAnsi" w:hAnsiTheme="minorHAnsi"/>
          <w:sz w:val="24"/>
          <w:szCs w:val="24"/>
        </w:rPr>
        <w:t xml:space="preserve"> </w:t>
      </w:r>
      <w:r w:rsidRPr="00523D12">
        <w:rPr>
          <w:rFonts w:asciiTheme="minorHAnsi" w:hAnsiTheme="minorHAnsi"/>
          <w:sz w:val="24"/>
          <w:szCs w:val="24"/>
        </w:rPr>
        <w:t>jsou stále</w:t>
      </w:r>
      <w:r w:rsidRPr="00523D12">
        <w:rPr>
          <w:rFonts w:asciiTheme="minorHAnsi" w:hAnsiTheme="minorHAnsi"/>
          <w:sz w:val="24"/>
          <w:szCs w:val="24"/>
          <w:u w:color="000000"/>
        </w:rPr>
        <w:t xml:space="preserve"> nejasné jak charakterem výkladu, tak i formou </w:t>
      </w:r>
      <w:r w:rsidR="0065521B">
        <w:rPr>
          <w:rFonts w:asciiTheme="minorHAnsi" w:hAnsiTheme="minorHAnsi"/>
          <w:sz w:val="24"/>
          <w:szCs w:val="24"/>
          <w:u w:color="000000"/>
        </w:rPr>
        <w:br/>
      </w:r>
      <w:r w:rsidRPr="00523D12">
        <w:rPr>
          <w:rFonts w:asciiTheme="minorHAnsi" w:hAnsiTheme="minorHAnsi"/>
          <w:sz w:val="24"/>
          <w:szCs w:val="24"/>
          <w:u w:color="000000"/>
        </w:rPr>
        <w:t>a rozsahem aplikace na české podmínky</w:t>
      </w:r>
      <w:r w:rsidR="00B22196">
        <w:rPr>
          <w:rFonts w:asciiTheme="minorHAnsi" w:hAnsiTheme="minorHAnsi"/>
          <w:sz w:val="24"/>
          <w:szCs w:val="24"/>
          <w:u w:color="000000"/>
        </w:rPr>
        <w:t xml:space="preserve">, proto bude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sidR="00B22196">
        <w:rPr>
          <w:rFonts w:asciiTheme="minorHAnsi" w:hAnsiTheme="minorHAnsi"/>
          <w:sz w:val="24"/>
          <w:szCs w:val="24"/>
          <w:u w:color="000000"/>
        </w:rPr>
        <w:t xml:space="preserve">v procesu přípravy </w:t>
      </w:r>
      <w:r w:rsidR="00CD5736">
        <w:rPr>
          <w:rFonts w:asciiTheme="minorHAnsi" w:hAnsiTheme="minorHAnsi"/>
          <w:sz w:val="24"/>
          <w:szCs w:val="24"/>
          <w:u w:color="000000"/>
        </w:rPr>
        <w:t>programového období 2014-2020 průběžně pojetí předběžných podmínek konzultovat i s EK</w:t>
      </w:r>
      <w:r w:rsidRPr="00523D12">
        <w:rPr>
          <w:rFonts w:asciiTheme="minorHAnsi" w:hAnsiTheme="minorHAnsi"/>
          <w:sz w:val="24"/>
          <w:szCs w:val="24"/>
          <w:u w:color="000000"/>
        </w:rPr>
        <w:t xml:space="preserve">. Existují </w:t>
      </w:r>
      <w:r w:rsidR="00CD5736">
        <w:rPr>
          <w:rFonts w:asciiTheme="minorHAnsi" w:hAnsiTheme="minorHAnsi"/>
          <w:sz w:val="24"/>
          <w:szCs w:val="24"/>
          <w:u w:color="000000"/>
        </w:rPr>
        <w:t xml:space="preserve">i </w:t>
      </w:r>
      <w:r w:rsidRPr="00523D12">
        <w:rPr>
          <w:rFonts w:asciiTheme="minorHAnsi" w:hAnsiTheme="minorHAnsi"/>
          <w:sz w:val="24"/>
          <w:szCs w:val="24"/>
          <w:u w:color="000000"/>
        </w:rPr>
        <w:t>další rizika plnění předběžných podmínek</w:t>
      </w:r>
      <w:r w:rsidR="00C36136">
        <w:rPr>
          <w:rFonts w:asciiTheme="minorHAnsi" w:hAnsiTheme="minorHAnsi"/>
          <w:sz w:val="24"/>
          <w:szCs w:val="24"/>
          <w:u w:color="000000"/>
        </w:rPr>
        <w:t>,</w:t>
      </w:r>
      <w:r w:rsidRPr="00523D12">
        <w:rPr>
          <w:rFonts w:asciiTheme="minorHAnsi" w:hAnsiTheme="minorHAnsi"/>
          <w:sz w:val="24"/>
          <w:szCs w:val="24"/>
          <w:u w:color="000000"/>
        </w:rPr>
        <w:t xml:space="preserve"> jako je termín splnění, územní charakter, gesce </w:t>
      </w:r>
      <w:r w:rsidR="00CD5736">
        <w:rPr>
          <w:rFonts w:asciiTheme="minorHAnsi" w:hAnsiTheme="minorHAnsi"/>
          <w:sz w:val="24"/>
          <w:szCs w:val="24"/>
          <w:u w:color="000000"/>
        </w:rPr>
        <w:t xml:space="preserve">za </w:t>
      </w:r>
      <w:r w:rsidRPr="00523D12">
        <w:rPr>
          <w:rFonts w:asciiTheme="minorHAnsi" w:hAnsiTheme="minorHAnsi"/>
          <w:sz w:val="24"/>
          <w:szCs w:val="24"/>
          <w:u w:color="000000"/>
        </w:rPr>
        <w:t xml:space="preserve">plnění </w:t>
      </w:r>
      <w:r w:rsidR="00F5367D">
        <w:rPr>
          <w:rFonts w:asciiTheme="minorHAnsi" w:hAnsiTheme="minorHAnsi"/>
          <w:sz w:val="24"/>
          <w:szCs w:val="24"/>
          <w:u w:color="000000"/>
        </w:rPr>
        <w:t>předběžné podmínky</w:t>
      </w:r>
      <w:r w:rsidRPr="00523D12">
        <w:rPr>
          <w:rFonts w:asciiTheme="minorHAnsi" w:hAnsiTheme="minorHAnsi"/>
          <w:sz w:val="24"/>
          <w:szCs w:val="24"/>
          <w:u w:color="000000"/>
        </w:rPr>
        <w:t xml:space="preserve">. </w:t>
      </w:r>
      <w:r w:rsidR="00BC5F8C" w:rsidRPr="00523D12">
        <w:rPr>
          <w:rFonts w:asciiTheme="minorHAnsi" w:hAnsiTheme="minorHAnsi"/>
          <w:sz w:val="24"/>
          <w:szCs w:val="24"/>
          <w:u w:color="000000"/>
        </w:rPr>
        <w:t xml:space="preserve">Proto je zpracováván tento </w:t>
      </w:r>
      <w:r w:rsidR="00CD5736">
        <w:rPr>
          <w:rFonts w:asciiTheme="minorHAnsi" w:hAnsiTheme="minorHAnsi"/>
          <w:sz w:val="24"/>
          <w:szCs w:val="24"/>
          <w:u w:color="000000"/>
        </w:rPr>
        <w:t>Akční plán</w:t>
      </w:r>
      <w:r w:rsidR="00BC5F8C" w:rsidRPr="00523D12">
        <w:rPr>
          <w:rFonts w:asciiTheme="minorHAnsi" w:hAnsiTheme="minorHAnsi"/>
          <w:sz w:val="24"/>
          <w:szCs w:val="24"/>
          <w:u w:color="000000"/>
        </w:rPr>
        <w:t xml:space="preserve"> tak, aby buď ve fázi </w:t>
      </w:r>
      <w:r w:rsidR="003415BE">
        <w:rPr>
          <w:rFonts w:asciiTheme="minorHAnsi" w:hAnsiTheme="minorHAnsi"/>
          <w:sz w:val="24"/>
          <w:szCs w:val="24"/>
          <w:u w:color="000000"/>
        </w:rPr>
        <w:t xml:space="preserve">prvního </w:t>
      </w:r>
      <w:r w:rsidR="00BC5F8C" w:rsidRPr="00523D12">
        <w:rPr>
          <w:rFonts w:asciiTheme="minorHAnsi" w:hAnsiTheme="minorHAnsi"/>
          <w:sz w:val="24"/>
          <w:szCs w:val="24"/>
          <w:u w:color="000000"/>
        </w:rPr>
        <w:t xml:space="preserve">předložení a vyjednávání Dohody o partnerství </w:t>
      </w:r>
      <w:r w:rsidR="00065994">
        <w:rPr>
          <w:rFonts w:asciiTheme="minorHAnsi" w:hAnsiTheme="minorHAnsi"/>
          <w:sz w:val="24"/>
          <w:szCs w:val="24"/>
          <w:u w:color="000000"/>
        </w:rPr>
        <w:t>a</w:t>
      </w:r>
      <w:r w:rsidR="00065994" w:rsidRPr="00523D12">
        <w:rPr>
          <w:rFonts w:asciiTheme="minorHAnsi" w:hAnsiTheme="minorHAnsi"/>
          <w:sz w:val="24"/>
          <w:szCs w:val="24"/>
          <w:u w:color="000000"/>
        </w:rPr>
        <w:t> </w:t>
      </w:r>
      <w:r w:rsidR="00BC5F8C" w:rsidRPr="00523D12">
        <w:rPr>
          <w:rFonts w:asciiTheme="minorHAnsi" w:hAnsiTheme="minorHAnsi"/>
          <w:sz w:val="24"/>
          <w:szCs w:val="24"/>
          <w:u w:color="000000"/>
        </w:rPr>
        <w:t xml:space="preserve">dílčích programů nebo ve fázi </w:t>
      </w:r>
      <w:r w:rsidR="003415BE">
        <w:rPr>
          <w:rFonts w:asciiTheme="minorHAnsi" w:hAnsiTheme="minorHAnsi"/>
          <w:sz w:val="24"/>
          <w:szCs w:val="24"/>
          <w:u w:color="000000"/>
        </w:rPr>
        <w:t>schvalování</w:t>
      </w:r>
      <w:r w:rsidR="00BC5F8C" w:rsidRPr="00523D12">
        <w:rPr>
          <w:rFonts w:asciiTheme="minorHAnsi" w:hAnsiTheme="minorHAnsi"/>
          <w:sz w:val="24"/>
          <w:szCs w:val="24"/>
          <w:u w:color="000000"/>
        </w:rPr>
        <w:t>, byly zajištěny všechny pro ČR relevantní předběžné podmínky a ne</w:t>
      </w:r>
      <w:r w:rsidR="001E1BFC" w:rsidRPr="00523D12">
        <w:rPr>
          <w:rFonts w:asciiTheme="minorHAnsi" w:hAnsiTheme="minorHAnsi"/>
          <w:sz w:val="24"/>
          <w:szCs w:val="24"/>
          <w:u w:color="000000"/>
        </w:rPr>
        <w:t>nastala situace nemožnosti čerpat pro dílčí intervence identifikované v programech.</w:t>
      </w:r>
    </w:p>
    <w:p w:rsidR="00C161F1" w:rsidRDefault="00C161F1">
      <w:pPr>
        <w:spacing w:before="360" w:after="200" w:line="276" w:lineRule="auto"/>
        <w:ind w:left="425"/>
        <w:rPr>
          <w:rFonts w:asciiTheme="minorHAnsi" w:eastAsia="Arial Unicode MS" w:hAnsiTheme="minorHAnsi"/>
          <w:sz w:val="24"/>
          <w:szCs w:val="24"/>
          <w:u w:color="000000"/>
        </w:rPr>
      </w:pPr>
      <w:r>
        <w:rPr>
          <w:rFonts w:asciiTheme="minorHAnsi" w:hAnsiTheme="minorHAnsi"/>
          <w:sz w:val="24"/>
          <w:szCs w:val="24"/>
          <w:u w:color="000000"/>
        </w:rPr>
        <w:br w:type="page"/>
      </w:r>
    </w:p>
    <w:p w:rsidR="00A94858" w:rsidRPr="004A481C" w:rsidRDefault="00A94858" w:rsidP="0062372F">
      <w:pPr>
        <w:pStyle w:val="Nadpis1"/>
        <w:numPr>
          <w:ilvl w:val="0"/>
          <w:numId w:val="2"/>
        </w:numPr>
        <w:spacing w:before="240"/>
        <w:ind w:left="425" w:hanging="357"/>
        <w:rPr>
          <w:rFonts w:asciiTheme="minorHAnsi" w:hAnsiTheme="minorHAnsi"/>
          <w:color w:val="003366"/>
          <w:sz w:val="28"/>
          <w:szCs w:val="28"/>
        </w:rPr>
      </w:pPr>
      <w:bookmarkStart w:id="6" w:name="_Toc334447770"/>
      <w:bookmarkStart w:id="7" w:name="_Toc359587661"/>
      <w:r w:rsidRPr="004A481C">
        <w:rPr>
          <w:rFonts w:asciiTheme="minorHAnsi" w:hAnsiTheme="minorHAnsi"/>
          <w:color w:val="003366"/>
          <w:sz w:val="28"/>
          <w:szCs w:val="28"/>
        </w:rPr>
        <w:t>legislativní základ</w:t>
      </w:r>
      <w:bookmarkEnd w:id="6"/>
      <w:bookmarkEnd w:id="7"/>
    </w:p>
    <w:p w:rsidR="00C02F58" w:rsidRPr="00523D12" w:rsidRDefault="00B22196" w:rsidP="00A94858">
      <w:pPr>
        <w:spacing w:before="120" w:after="60" w:line="288" w:lineRule="auto"/>
        <w:rPr>
          <w:rFonts w:asciiTheme="minorHAnsi" w:hAnsiTheme="minorHAnsi" w:cs="Arial"/>
          <w:sz w:val="24"/>
          <w:szCs w:val="24"/>
        </w:rPr>
      </w:pPr>
      <w:r>
        <w:rPr>
          <w:rFonts w:asciiTheme="minorHAnsi" w:hAnsiTheme="minorHAnsi" w:cs="Arial"/>
          <w:sz w:val="24"/>
          <w:szCs w:val="24"/>
        </w:rPr>
        <w:t>Akční plán</w:t>
      </w:r>
      <w:r w:rsidR="00A94858" w:rsidRPr="00523D12">
        <w:rPr>
          <w:rFonts w:asciiTheme="minorHAnsi" w:hAnsiTheme="minorHAnsi" w:cs="Arial"/>
          <w:sz w:val="24"/>
          <w:szCs w:val="24"/>
        </w:rPr>
        <w:t xml:space="preserve"> vychází z legislativních právních aktů, které upravují oblast předběžných podmínek a navazujících metodických pokynů připravovaných ze strany EK</w:t>
      </w:r>
      <w:r>
        <w:rPr>
          <w:rFonts w:asciiTheme="minorHAnsi" w:hAnsiTheme="minorHAnsi" w:cs="Arial"/>
          <w:sz w:val="24"/>
          <w:szCs w:val="24"/>
        </w:rPr>
        <w:t xml:space="preserve"> a České republiky</w:t>
      </w:r>
      <w:r w:rsidR="00A94858" w:rsidRPr="00523D12">
        <w:rPr>
          <w:rFonts w:asciiTheme="minorHAnsi" w:hAnsiTheme="minorHAnsi" w:cs="Arial"/>
          <w:sz w:val="24"/>
          <w:szCs w:val="24"/>
        </w:rPr>
        <w:t>. Mezi základní legislativní právní akty patří zejména Návrh Nařízení Evropského parlamentu a Rady o společných ustanoveních ohledně EFRR, ESF, FS, EZFRV a ENRF.</w:t>
      </w:r>
    </w:p>
    <w:p w:rsidR="00A94858" w:rsidRPr="00523D12" w:rsidRDefault="00CE1491" w:rsidP="00C02F58">
      <w:pPr>
        <w:pStyle w:val="Nadpis11"/>
        <w:numPr>
          <w:ilvl w:val="1"/>
          <w:numId w:val="2"/>
        </w:numPr>
        <w:spacing w:before="240" w:after="120"/>
        <w:ind w:left="567" w:hanging="567"/>
        <w:rPr>
          <w:rFonts w:asciiTheme="minorHAnsi" w:eastAsiaTheme="majorEastAsia" w:hAnsiTheme="minorHAnsi"/>
        </w:rPr>
      </w:pPr>
      <w:bookmarkStart w:id="8" w:name="_Toc359587662"/>
      <w:r>
        <w:rPr>
          <w:rFonts w:asciiTheme="minorHAnsi" w:eastAsiaTheme="majorEastAsia" w:hAnsiTheme="minorHAnsi"/>
        </w:rPr>
        <w:t>Návrh n</w:t>
      </w:r>
      <w:r w:rsidR="00A94858" w:rsidRPr="00523D12">
        <w:rPr>
          <w:rFonts w:asciiTheme="minorHAnsi" w:eastAsiaTheme="majorEastAsia" w:hAnsiTheme="minorHAnsi"/>
        </w:rPr>
        <w:t>ařízení</w:t>
      </w:r>
      <w:bookmarkEnd w:id="8"/>
    </w:p>
    <w:p w:rsidR="00A94858" w:rsidRDefault="00696245" w:rsidP="00A94858">
      <w:pPr>
        <w:pStyle w:val="Styl2"/>
        <w:spacing w:before="120"/>
        <w:rPr>
          <w:rFonts w:asciiTheme="minorHAnsi" w:hAnsiTheme="minorHAnsi"/>
          <w:sz w:val="24"/>
          <w:szCs w:val="24"/>
          <w:u w:color="000000"/>
        </w:rPr>
      </w:pPr>
      <w:r>
        <w:rPr>
          <w:rFonts w:asciiTheme="minorHAnsi" w:hAnsiTheme="minorHAnsi"/>
          <w:sz w:val="24"/>
          <w:szCs w:val="24"/>
          <w:u w:color="000000"/>
        </w:rPr>
        <w:t xml:space="preserve">Aktuální znění </w:t>
      </w:r>
      <w:r w:rsidR="00C02F58" w:rsidRPr="00523D12">
        <w:rPr>
          <w:rFonts w:asciiTheme="minorHAnsi" w:hAnsiTheme="minorHAnsi"/>
          <w:sz w:val="24"/>
          <w:szCs w:val="24"/>
          <w:u w:color="000000"/>
        </w:rPr>
        <w:t>předběžných podmín</w:t>
      </w:r>
      <w:r>
        <w:rPr>
          <w:rFonts w:asciiTheme="minorHAnsi" w:hAnsiTheme="minorHAnsi"/>
          <w:sz w:val="24"/>
          <w:szCs w:val="24"/>
          <w:u w:color="000000"/>
        </w:rPr>
        <w:t>e</w:t>
      </w:r>
      <w:r w:rsidR="00C02F58" w:rsidRPr="00523D12">
        <w:rPr>
          <w:rFonts w:asciiTheme="minorHAnsi" w:hAnsiTheme="minorHAnsi"/>
          <w:sz w:val="24"/>
          <w:szCs w:val="24"/>
          <w:u w:color="000000"/>
        </w:rPr>
        <w:t>k vy</w:t>
      </w:r>
      <w:r w:rsidR="00736698" w:rsidRPr="00523D12">
        <w:rPr>
          <w:rFonts w:asciiTheme="minorHAnsi" w:hAnsiTheme="minorHAnsi"/>
          <w:sz w:val="24"/>
          <w:szCs w:val="24"/>
          <w:u w:color="000000"/>
        </w:rPr>
        <w:t>c</w:t>
      </w:r>
      <w:r w:rsidR="00C02F58" w:rsidRPr="00523D12">
        <w:rPr>
          <w:rFonts w:asciiTheme="minorHAnsi" w:hAnsiTheme="minorHAnsi"/>
          <w:sz w:val="24"/>
          <w:szCs w:val="24"/>
          <w:u w:color="000000"/>
        </w:rPr>
        <w:t xml:space="preserve">hází </w:t>
      </w:r>
      <w:r w:rsidR="00736698" w:rsidRPr="00523D12">
        <w:rPr>
          <w:rFonts w:asciiTheme="minorHAnsi" w:hAnsiTheme="minorHAnsi"/>
          <w:sz w:val="24"/>
          <w:szCs w:val="24"/>
          <w:u w:color="000000"/>
        </w:rPr>
        <w:t>z textů nařízení schválené</w:t>
      </w:r>
      <w:r w:rsidR="00B60EFD">
        <w:rPr>
          <w:rFonts w:asciiTheme="minorHAnsi" w:hAnsiTheme="minorHAnsi"/>
          <w:sz w:val="24"/>
          <w:szCs w:val="24"/>
          <w:u w:color="000000"/>
        </w:rPr>
        <w:t>ho</w:t>
      </w:r>
      <w:r w:rsidR="00736698" w:rsidRPr="00523D12">
        <w:rPr>
          <w:rFonts w:asciiTheme="minorHAnsi" w:hAnsiTheme="minorHAnsi"/>
          <w:sz w:val="24"/>
          <w:szCs w:val="24"/>
          <w:u w:color="000000"/>
        </w:rPr>
        <w:t xml:space="preserve"> Radou EU během </w:t>
      </w:r>
      <w:r>
        <w:rPr>
          <w:rFonts w:asciiTheme="minorHAnsi" w:hAnsiTheme="minorHAnsi"/>
          <w:sz w:val="24"/>
          <w:szCs w:val="24"/>
          <w:u w:color="000000"/>
        </w:rPr>
        <w:t>D</w:t>
      </w:r>
      <w:r w:rsidR="00736698" w:rsidRPr="00523D12">
        <w:rPr>
          <w:rFonts w:asciiTheme="minorHAnsi" w:hAnsiTheme="minorHAnsi"/>
          <w:sz w:val="24"/>
          <w:szCs w:val="24"/>
          <w:u w:color="000000"/>
        </w:rPr>
        <w:t xml:space="preserve">ánského předsednictví formou částečného obecného přístupu pro </w:t>
      </w:r>
      <w:r w:rsidR="00C80B66">
        <w:rPr>
          <w:rFonts w:asciiTheme="minorHAnsi" w:hAnsiTheme="minorHAnsi"/>
          <w:sz w:val="24"/>
          <w:szCs w:val="24"/>
          <w:u w:color="000000"/>
        </w:rPr>
        <w:t>SSR</w:t>
      </w:r>
      <w:r w:rsidR="00A564AD">
        <w:rPr>
          <w:rFonts w:asciiTheme="minorHAnsi" w:hAnsiTheme="minorHAnsi"/>
          <w:sz w:val="24"/>
          <w:szCs w:val="24"/>
          <w:u w:color="000000"/>
        </w:rPr>
        <w:t xml:space="preserve"> </w:t>
      </w:r>
      <w:r w:rsidR="00736698" w:rsidRPr="00523D12">
        <w:rPr>
          <w:rFonts w:asciiTheme="minorHAnsi" w:hAnsiTheme="minorHAnsi"/>
          <w:sz w:val="24"/>
          <w:szCs w:val="24"/>
          <w:u w:color="000000"/>
        </w:rPr>
        <w:t>fondy</w:t>
      </w:r>
      <w:r w:rsidR="00A564AD">
        <w:rPr>
          <w:rFonts w:asciiTheme="minorHAnsi" w:hAnsiTheme="minorHAnsi"/>
          <w:sz w:val="24"/>
          <w:szCs w:val="24"/>
          <w:u w:color="000000"/>
        </w:rPr>
        <w:t xml:space="preserve"> </w:t>
      </w:r>
      <w:r w:rsidR="004A481C">
        <w:rPr>
          <w:rFonts w:asciiTheme="minorHAnsi" w:hAnsiTheme="minorHAnsi"/>
          <w:sz w:val="24"/>
          <w:szCs w:val="24"/>
          <w:u w:color="000000"/>
        </w:rPr>
        <w:t xml:space="preserve">a politiky </w:t>
      </w:r>
      <w:r w:rsidR="004A481C" w:rsidRPr="004A481C">
        <w:rPr>
          <w:rFonts w:asciiTheme="minorHAnsi" w:hAnsiTheme="minorHAnsi"/>
          <w:sz w:val="24"/>
          <w:szCs w:val="24"/>
          <w:u w:color="000000"/>
        </w:rPr>
        <w:t xml:space="preserve">soudržnosti. </w:t>
      </w:r>
      <w:r w:rsidR="00A94858" w:rsidRPr="004A481C">
        <w:rPr>
          <w:rFonts w:asciiTheme="minorHAnsi" w:hAnsiTheme="minorHAnsi"/>
          <w:sz w:val="24"/>
          <w:szCs w:val="24"/>
          <w:u w:color="000000"/>
        </w:rPr>
        <w:t>Výše zmíněný Návrh nařízení definuje</w:t>
      </w:r>
      <w:r w:rsidR="004A481C" w:rsidRPr="004A481C">
        <w:rPr>
          <w:rFonts w:asciiTheme="minorHAnsi" w:hAnsiTheme="minorHAnsi"/>
          <w:sz w:val="24"/>
          <w:szCs w:val="24"/>
          <w:u w:color="000000"/>
        </w:rPr>
        <w:t xml:space="preserve"> předběžné podmínky v několika článcích</w:t>
      </w:r>
      <w:r w:rsidR="00A564AD">
        <w:rPr>
          <w:rFonts w:asciiTheme="minorHAnsi" w:hAnsiTheme="minorHAnsi"/>
          <w:sz w:val="24"/>
          <w:szCs w:val="24"/>
          <w:u w:color="000000"/>
        </w:rPr>
        <w:t>:</w:t>
      </w:r>
    </w:p>
    <w:p w:rsidR="004A481C" w:rsidRPr="002701D7" w:rsidRDefault="003746A0" w:rsidP="00C161F1">
      <w:pPr>
        <w:pStyle w:val="Styl2"/>
        <w:numPr>
          <w:ilvl w:val="0"/>
          <w:numId w:val="12"/>
        </w:numPr>
        <w:spacing w:before="0" w:line="264" w:lineRule="auto"/>
        <w:ind w:left="425" w:hanging="357"/>
        <w:rPr>
          <w:rFonts w:asciiTheme="minorHAnsi" w:hAnsiTheme="minorHAnsi"/>
          <w:sz w:val="22"/>
          <w:u w:color="000000"/>
        </w:rPr>
      </w:pPr>
      <w:r w:rsidRPr="002701D7">
        <w:rPr>
          <w:rFonts w:asciiTheme="minorHAnsi" w:hAnsiTheme="minorHAnsi"/>
          <w:sz w:val="22"/>
          <w:u w:color="000000"/>
        </w:rPr>
        <w:t>O</w:t>
      </w:r>
      <w:r w:rsidR="009A3DD5" w:rsidRPr="002701D7">
        <w:rPr>
          <w:rFonts w:asciiTheme="minorHAnsi" w:hAnsiTheme="minorHAnsi"/>
          <w:sz w:val="22"/>
          <w:u w:color="000000"/>
        </w:rPr>
        <w:t>důvodnění, bod 17 je uveden průvodní text k předběžným podmínkám</w:t>
      </w:r>
      <w:r w:rsidR="00A564AD">
        <w:rPr>
          <w:rFonts w:asciiTheme="minorHAnsi" w:hAnsiTheme="minorHAnsi"/>
          <w:sz w:val="22"/>
          <w:u w:color="000000"/>
        </w:rPr>
        <w:t>.</w:t>
      </w:r>
    </w:p>
    <w:p w:rsidR="00A94858" w:rsidRPr="002701D7" w:rsidRDefault="00BE4642" w:rsidP="00C161F1">
      <w:pPr>
        <w:pStyle w:val="Styl2"/>
        <w:numPr>
          <w:ilvl w:val="0"/>
          <w:numId w:val="12"/>
        </w:numPr>
        <w:spacing w:before="0" w:line="264" w:lineRule="auto"/>
        <w:ind w:left="425" w:hanging="357"/>
        <w:rPr>
          <w:rFonts w:asciiTheme="minorHAnsi" w:hAnsiTheme="minorHAnsi"/>
          <w:sz w:val="22"/>
          <w:u w:color="000000"/>
        </w:rPr>
      </w:pPr>
      <w:r w:rsidRPr="002701D7">
        <w:rPr>
          <w:rFonts w:asciiTheme="minorHAnsi" w:hAnsiTheme="minorHAnsi"/>
          <w:sz w:val="22"/>
          <w:u w:color="000000"/>
        </w:rPr>
        <w:t>Č</w:t>
      </w:r>
      <w:r w:rsidR="00736698" w:rsidRPr="002701D7">
        <w:rPr>
          <w:rFonts w:asciiTheme="minorHAnsi" w:hAnsiTheme="minorHAnsi"/>
          <w:sz w:val="22"/>
          <w:u w:color="000000"/>
        </w:rPr>
        <w:t>lánek 2A</w:t>
      </w:r>
      <w:r w:rsidR="007470A6" w:rsidRPr="002701D7">
        <w:rPr>
          <w:rFonts w:asciiTheme="minorHAnsi" w:hAnsiTheme="minorHAnsi"/>
          <w:sz w:val="22"/>
          <w:u w:color="000000"/>
        </w:rPr>
        <w:t xml:space="preserve"> </w:t>
      </w:r>
      <w:r w:rsidR="003746A0" w:rsidRPr="002701D7">
        <w:rPr>
          <w:rFonts w:asciiTheme="minorHAnsi" w:hAnsiTheme="minorHAnsi"/>
          <w:sz w:val="22"/>
          <w:u w:color="000000"/>
        </w:rPr>
        <w:t>Definice předběžných podmínek</w:t>
      </w:r>
    </w:p>
    <w:p w:rsidR="00736698" w:rsidRPr="002701D7" w:rsidRDefault="00D96B08" w:rsidP="00C161F1">
      <w:pPr>
        <w:pStyle w:val="Styl2"/>
        <w:numPr>
          <w:ilvl w:val="0"/>
          <w:numId w:val="12"/>
        </w:numPr>
        <w:spacing w:before="0" w:line="264" w:lineRule="auto"/>
        <w:ind w:left="425" w:hanging="357"/>
        <w:rPr>
          <w:rFonts w:asciiTheme="minorHAnsi" w:hAnsiTheme="minorHAnsi"/>
          <w:sz w:val="22"/>
          <w:u w:color="000000"/>
        </w:rPr>
      </w:pPr>
      <w:r w:rsidRPr="002701D7">
        <w:rPr>
          <w:rFonts w:asciiTheme="minorHAnsi" w:hAnsiTheme="minorHAnsi"/>
          <w:sz w:val="22"/>
          <w:u w:color="000000"/>
        </w:rPr>
        <w:t>Č</w:t>
      </w:r>
      <w:r w:rsidR="00736698" w:rsidRPr="002701D7">
        <w:rPr>
          <w:rFonts w:asciiTheme="minorHAnsi" w:hAnsiTheme="minorHAnsi"/>
          <w:sz w:val="22"/>
          <w:u w:color="000000"/>
        </w:rPr>
        <w:t xml:space="preserve">lánek </w:t>
      </w:r>
      <w:r w:rsidR="008D2820" w:rsidRPr="002701D7">
        <w:rPr>
          <w:rFonts w:asciiTheme="minorHAnsi" w:hAnsiTheme="minorHAnsi"/>
          <w:sz w:val="22"/>
          <w:u w:color="000000"/>
        </w:rPr>
        <w:t>14/1b Obsah Dohody o partnerství</w:t>
      </w:r>
    </w:p>
    <w:p w:rsidR="00610D1D" w:rsidRPr="00A564AD" w:rsidRDefault="00100DB1" w:rsidP="00C161F1">
      <w:pPr>
        <w:pStyle w:val="Styl2"/>
        <w:numPr>
          <w:ilvl w:val="0"/>
          <w:numId w:val="12"/>
        </w:numPr>
        <w:spacing w:before="0" w:line="264" w:lineRule="auto"/>
        <w:ind w:left="425" w:hanging="357"/>
        <w:rPr>
          <w:rFonts w:asciiTheme="minorHAnsi" w:hAnsiTheme="minorHAnsi"/>
          <w:sz w:val="22"/>
          <w:u w:color="000000"/>
        </w:rPr>
      </w:pPr>
      <w:r w:rsidRPr="00A564AD">
        <w:rPr>
          <w:rFonts w:asciiTheme="minorHAnsi" w:hAnsiTheme="minorHAnsi"/>
          <w:sz w:val="22"/>
          <w:u w:color="000000"/>
        </w:rPr>
        <w:t>Č</w:t>
      </w:r>
      <w:r w:rsidR="00200BDC" w:rsidRPr="00A564AD">
        <w:rPr>
          <w:rFonts w:asciiTheme="minorHAnsi" w:hAnsiTheme="minorHAnsi"/>
          <w:sz w:val="22"/>
          <w:u w:color="000000"/>
        </w:rPr>
        <w:t xml:space="preserve">lánek </w:t>
      </w:r>
      <w:r w:rsidR="00610D1D" w:rsidRPr="00A564AD">
        <w:rPr>
          <w:rFonts w:asciiTheme="minorHAnsi" w:hAnsiTheme="minorHAnsi"/>
          <w:sz w:val="22"/>
          <w:u w:color="000000"/>
        </w:rPr>
        <w:t>17</w:t>
      </w:r>
      <w:r w:rsidRPr="00A564AD">
        <w:rPr>
          <w:rFonts w:asciiTheme="minorHAnsi" w:hAnsiTheme="minorHAnsi"/>
          <w:sz w:val="22"/>
          <w:u w:color="000000"/>
        </w:rPr>
        <w:t xml:space="preserve"> Předběžné podmínky</w:t>
      </w:r>
    </w:p>
    <w:p w:rsidR="00CE1491" w:rsidRPr="00A40567" w:rsidRDefault="00CE1491" w:rsidP="00C161F1">
      <w:pPr>
        <w:pStyle w:val="Styl2"/>
        <w:numPr>
          <w:ilvl w:val="0"/>
          <w:numId w:val="12"/>
        </w:numPr>
        <w:spacing w:before="0" w:line="264" w:lineRule="auto"/>
        <w:ind w:left="425" w:hanging="357"/>
        <w:rPr>
          <w:rFonts w:asciiTheme="minorHAnsi" w:hAnsiTheme="minorHAnsi"/>
          <w:sz w:val="22"/>
          <w:u w:color="000000"/>
        </w:rPr>
      </w:pPr>
      <w:r w:rsidRPr="00A40567">
        <w:rPr>
          <w:rFonts w:asciiTheme="minorHAnsi" w:hAnsiTheme="minorHAnsi"/>
          <w:sz w:val="22"/>
          <w:u w:color="000000"/>
        </w:rPr>
        <w:t>Článek 87/6b</w:t>
      </w:r>
      <w:r w:rsidR="009E7E98" w:rsidRPr="00A40567">
        <w:rPr>
          <w:rFonts w:asciiTheme="minorHAnsi" w:hAnsiTheme="minorHAnsi"/>
          <w:sz w:val="22"/>
          <w:u w:color="000000"/>
        </w:rPr>
        <w:t xml:space="preserve"> </w:t>
      </w:r>
      <w:r w:rsidRPr="00A40567">
        <w:rPr>
          <w:rFonts w:asciiTheme="minorHAnsi" w:hAnsiTheme="minorHAnsi"/>
          <w:sz w:val="22"/>
          <w:u w:color="000000"/>
        </w:rPr>
        <w:t>Obsah, přijetí a změna operačních programů v rámci cíle Investice pro růst a zaměstnanost</w:t>
      </w:r>
    </w:p>
    <w:p w:rsidR="00CE1491" w:rsidRPr="00A40567" w:rsidRDefault="005A3199" w:rsidP="00C161F1">
      <w:pPr>
        <w:pStyle w:val="Styl2"/>
        <w:numPr>
          <w:ilvl w:val="0"/>
          <w:numId w:val="12"/>
        </w:numPr>
        <w:spacing w:before="0" w:line="264" w:lineRule="auto"/>
        <w:ind w:left="425" w:hanging="357"/>
        <w:rPr>
          <w:rFonts w:asciiTheme="minorHAnsi" w:hAnsiTheme="minorHAnsi"/>
          <w:sz w:val="22"/>
          <w:u w:color="000000"/>
        </w:rPr>
      </w:pPr>
      <w:r w:rsidRPr="00A40567">
        <w:rPr>
          <w:rFonts w:asciiTheme="minorHAnsi" w:hAnsiTheme="minorHAnsi"/>
          <w:sz w:val="22"/>
          <w:u w:color="000000"/>
        </w:rPr>
        <w:t>Příloha</w:t>
      </w:r>
      <w:r w:rsidR="00CE1491" w:rsidRPr="00A40567">
        <w:rPr>
          <w:rFonts w:asciiTheme="minorHAnsi" w:hAnsiTheme="minorHAnsi"/>
          <w:sz w:val="22"/>
          <w:u w:color="000000"/>
        </w:rPr>
        <w:t xml:space="preserve"> IV</w:t>
      </w:r>
      <w:r w:rsidRPr="00A40567">
        <w:rPr>
          <w:rFonts w:asciiTheme="minorHAnsi" w:hAnsiTheme="minorHAnsi"/>
          <w:sz w:val="22"/>
          <w:u w:color="000000"/>
        </w:rPr>
        <w:t>. Předběžné podmínky</w:t>
      </w:r>
      <w:r w:rsidR="00A40567">
        <w:rPr>
          <w:rFonts w:asciiTheme="minorHAnsi" w:hAnsiTheme="minorHAnsi"/>
          <w:sz w:val="22"/>
          <w:u w:color="000000"/>
        </w:rPr>
        <w:t xml:space="preserve"> – seznam předběžných podmínek pro EFRR, FS a ESF</w:t>
      </w:r>
    </w:p>
    <w:p w:rsidR="00610D1D" w:rsidRPr="00C36136" w:rsidRDefault="002E1936" w:rsidP="00C161F1">
      <w:pPr>
        <w:pStyle w:val="Styl2"/>
        <w:numPr>
          <w:ilvl w:val="0"/>
          <w:numId w:val="12"/>
        </w:numPr>
        <w:spacing w:before="0" w:line="264" w:lineRule="auto"/>
        <w:ind w:left="425" w:hanging="357"/>
        <w:rPr>
          <w:rFonts w:asciiTheme="minorHAnsi" w:hAnsiTheme="minorHAnsi"/>
          <w:sz w:val="22"/>
          <w:u w:color="000000"/>
        </w:rPr>
      </w:pPr>
      <w:r w:rsidRPr="00C36136">
        <w:rPr>
          <w:rFonts w:asciiTheme="minorHAnsi" w:hAnsiTheme="minorHAnsi"/>
          <w:sz w:val="22"/>
          <w:u w:color="000000"/>
        </w:rPr>
        <w:t>Článek 44/3 Zprávy o provádění</w:t>
      </w:r>
      <w:r w:rsidR="000A0CD4" w:rsidRPr="00C36136">
        <w:rPr>
          <w:rFonts w:asciiTheme="minorHAnsi" w:hAnsiTheme="minorHAnsi"/>
          <w:sz w:val="22"/>
          <w:u w:color="000000"/>
        </w:rPr>
        <w:t>.</w:t>
      </w:r>
    </w:p>
    <w:p w:rsidR="00610D1D" w:rsidRPr="00C36136" w:rsidRDefault="00BE4642" w:rsidP="00C161F1">
      <w:pPr>
        <w:pStyle w:val="Styl2"/>
        <w:numPr>
          <w:ilvl w:val="0"/>
          <w:numId w:val="12"/>
        </w:numPr>
        <w:spacing w:before="0" w:line="264" w:lineRule="auto"/>
        <w:ind w:left="425" w:hanging="357"/>
        <w:rPr>
          <w:rFonts w:asciiTheme="minorHAnsi" w:hAnsiTheme="minorHAnsi"/>
          <w:sz w:val="22"/>
          <w:u w:color="000000"/>
        </w:rPr>
      </w:pPr>
      <w:r w:rsidRPr="00C36136">
        <w:rPr>
          <w:rFonts w:asciiTheme="minorHAnsi" w:hAnsiTheme="minorHAnsi"/>
          <w:sz w:val="22"/>
          <w:u w:color="000000"/>
        </w:rPr>
        <w:t xml:space="preserve">Článek 46/2c </w:t>
      </w:r>
      <w:r w:rsidR="002E1936" w:rsidRPr="00C36136">
        <w:rPr>
          <w:rFonts w:asciiTheme="minorHAnsi" w:hAnsiTheme="minorHAnsi"/>
          <w:sz w:val="22"/>
          <w:u w:color="000000"/>
        </w:rPr>
        <w:t>Zpráv</w:t>
      </w:r>
      <w:r w:rsidR="00402BC0" w:rsidRPr="00C36136">
        <w:rPr>
          <w:rFonts w:asciiTheme="minorHAnsi" w:hAnsiTheme="minorHAnsi"/>
          <w:sz w:val="22"/>
          <w:u w:color="000000"/>
        </w:rPr>
        <w:t>y</w:t>
      </w:r>
      <w:r w:rsidR="002E1936" w:rsidRPr="00C36136">
        <w:rPr>
          <w:rFonts w:asciiTheme="minorHAnsi" w:hAnsiTheme="minorHAnsi"/>
          <w:sz w:val="22"/>
          <w:u w:color="000000"/>
        </w:rPr>
        <w:t xml:space="preserve"> o pokroku</w:t>
      </w:r>
      <w:r w:rsidR="000A0CD4" w:rsidRPr="00C36136">
        <w:rPr>
          <w:rFonts w:asciiTheme="minorHAnsi" w:hAnsiTheme="minorHAnsi"/>
          <w:sz w:val="22"/>
          <w:u w:color="000000"/>
        </w:rPr>
        <w:t>.</w:t>
      </w:r>
    </w:p>
    <w:p w:rsidR="00BD13A6" w:rsidRDefault="00CE1491" w:rsidP="00C161F1">
      <w:pPr>
        <w:pStyle w:val="Styl2"/>
        <w:numPr>
          <w:ilvl w:val="0"/>
          <w:numId w:val="12"/>
        </w:numPr>
        <w:spacing w:before="0" w:line="264" w:lineRule="auto"/>
        <w:ind w:left="425" w:hanging="357"/>
        <w:rPr>
          <w:rFonts w:asciiTheme="minorHAnsi" w:hAnsiTheme="minorHAnsi"/>
          <w:sz w:val="22"/>
          <w:u w:color="000000"/>
        </w:rPr>
      </w:pPr>
      <w:r w:rsidRPr="00C36136">
        <w:rPr>
          <w:rFonts w:asciiTheme="minorHAnsi" w:hAnsiTheme="minorHAnsi"/>
          <w:sz w:val="22"/>
          <w:u w:color="000000"/>
        </w:rPr>
        <w:t>Článek 100/1h Funkce monitorovacího výboru</w:t>
      </w:r>
      <w:r w:rsidR="000A0CD4" w:rsidRPr="00C36136">
        <w:rPr>
          <w:rFonts w:asciiTheme="minorHAnsi" w:hAnsiTheme="minorHAnsi"/>
          <w:sz w:val="22"/>
          <w:u w:color="000000"/>
        </w:rPr>
        <w:t>.</w:t>
      </w:r>
    </w:p>
    <w:p w:rsidR="00052FA2" w:rsidRDefault="00A86BBC" w:rsidP="00052FA2">
      <w:pPr>
        <w:pStyle w:val="Styl2"/>
        <w:spacing w:before="120"/>
        <w:rPr>
          <w:rFonts w:asciiTheme="minorHAnsi" w:hAnsiTheme="minorHAnsi"/>
          <w:sz w:val="24"/>
          <w:szCs w:val="24"/>
          <w:u w:color="000000"/>
        </w:rPr>
      </w:pPr>
      <w:r>
        <w:rPr>
          <w:rFonts w:asciiTheme="minorHAnsi" w:hAnsiTheme="minorHAnsi"/>
          <w:sz w:val="24"/>
          <w:szCs w:val="24"/>
          <w:u w:color="000000"/>
        </w:rPr>
        <w:t xml:space="preserve">Detailní zaměření předběžných podmínek včetně kritérií plnění podle jednotlivých </w:t>
      </w:r>
      <w:r w:rsidR="00C80B66">
        <w:rPr>
          <w:rFonts w:asciiTheme="minorHAnsi" w:hAnsiTheme="minorHAnsi"/>
          <w:sz w:val="24"/>
          <w:szCs w:val="24"/>
          <w:u w:color="000000"/>
        </w:rPr>
        <w:t>SSR</w:t>
      </w:r>
      <w:r w:rsidR="00A40567">
        <w:rPr>
          <w:rFonts w:asciiTheme="minorHAnsi" w:hAnsiTheme="minorHAnsi"/>
          <w:sz w:val="24"/>
          <w:szCs w:val="24"/>
          <w:u w:color="000000"/>
        </w:rPr>
        <w:t xml:space="preserve"> </w:t>
      </w:r>
      <w:r>
        <w:rPr>
          <w:rFonts w:asciiTheme="minorHAnsi" w:hAnsiTheme="minorHAnsi"/>
          <w:sz w:val="24"/>
          <w:szCs w:val="24"/>
          <w:u w:color="000000"/>
        </w:rPr>
        <w:t>fondů je uvedeno v</w:t>
      </w:r>
      <w:r w:rsidR="00052FA2">
        <w:rPr>
          <w:rFonts w:asciiTheme="minorHAnsi" w:hAnsiTheme="minorHAnsi"/>
          <w:sz w:val="24"/>
          <w:szCs w:val="24"/>
          <w:u w:color="000000"/>
        </w:rPr>
        <w:t xml:space="preserve"> samotn</w:t>
      </w:r>
      <w:r>
        <w:rPr>
          <w:rFonts w:asciiTheme="minorHAnsi" w:hAnsiTheme="minorHAnsi"/>
          <w:sz w:val="24"/>
          <w:szCs w:val="24"/>
          <w:u w:color="000000"/>
        </w:rPr>
        <w:t>ých</w:t>
      </w:r>
      <w:r w:rsidR="00052FA2">
        <w:rPr>
          <w:rFonts w:asciiTheme="minorHAnsi" w:hAnsiTheme="minorHAnsi"/>
          <w:sz w:val="24"/>
          <w:szCs w:val="24"/>
          <w:u w:color="000000"/>
        </w:rPr>
        <w:t xml:space="preserve"> návr</w:t>
      </w:r>
      <w:r>
        <w:rPr>
          <w:rFonts w:asciiTheme="minorHAnsi" w:hAnsiTheme="minorHAnsi"/>
          <w:sz w:val="24"/>
          <w:szCs w:val="24"/>
          <w:u w:color="000000"/>
        </w:rPr>
        <w:t>zích</w:t>
      </w:r>
      <w:r w:rsidR="00052FA2">
        <w:rPr>
          <w:rFonts w:asciiTheme="minorHAnsi" w:hAnsiTheme="minorHAnsi"/>
          <w:sz w:val="24"/>
          <w:szCs w:val="24"/>
          <w:u w:color="000000"/>
        </w:rPr>
        <w:t xml:space="preserve"> nařízení k jednotlivým fondům, které specifikují své obecné i tematické předběžné podmínky. Jde tedy o:</w:t>
      </w:r>
    </w:p>
    <w:p w:rsidR="00052FA2" w:rsidRPr="00052FA2" w:rsidRDefault="00052FA2" w:rsidP="00C161F1">
      <w:pPr>
        <w:pStyle w:val="Styl2"/>
        <w:numPr>
          <w:ilvl w:val="0"/>
          <w:numId w:val="12"/>
        </w:numPr>
        <w:spacing w:before="0"/>
        <w:ind w:left="425" w:hanging="357"/>
        <w:rPr>
          <w:rFonts w:asciiTheme="minorHAnsi" w:hAnsiTheme="minorHAnsi"/>
          <w:sz w:val="22"/>
          <w:u w:color="000000"/>
        </w:rPr>
      </w:pPr>
      <w:r w:rsidRPr="00052FA2">
        <w:rPr>
          <w:rFonts w:asciiTheme="minorHAnsi" w:hAnsiTheme="minorHAnsi"/>
          <w:sz w:val="22"/>
          <w:u w:color="000000"/>
        </w:rPr>
        <w:t>Návrh nařízení EP a Rady o zvláštních ustanoveních týkajících se EFRR a cíle Investice pro růst a zaměstnanost a o zrušení nařízení (ES) č. 1080/2006 (dále také „návrh specifického nařízení k EFRR“),</w:t>
      </w:r>
    </w:p>
    <w:p w:rsidR="00052FA2" w:rsidRPr="00052FA2" w:rsidRDefault="00052FA2" w:rsidP="00C161F1">
      <w:pPr>
        <w:pStyle w:val="Styl2"/>
        <w:numPr>
          <w:ilvl w:val="0"/>
          <w:numId w:val="12"/>
        </w:numPr>
        <w:spacing w:before="0"/>
        <w:ind w:left="425" w:hanging="357"/>
        <w:rPr>
          <w:rFonts w:asciiTheme="minorHAnsi" w:hAnsiTheme="minorHAnsi"/>
          <w:sz w:val="22"/>
          <w:u w:color="000000"/>
        </w:rPr>
      </w:pPr>
      <w:r w:rsidRPr="00052FA2">
        <w:rPr>
          <w:rFonts w:asciiTheme="minorHAnsi" w:hAnsiTheme="minorHAnsi"/>
          <w:sz w:val="22"/>
          <w:u w:color="000000"/>
        </w:rPr>
        <w:t>Návrh nařízení EP a Rady o ESF a o zrušení nařízení (ES) č. 1081/2006 (dále také „návrh specifického nařízení k ESF“),</w:t>
      </w:r>
    </w:p>
    <w:p w:rsidR="00052FA2" w:rsidRPr="00052FA2" w:rsidRDefault="00052FA2" w:rsidP="00C161F1">
      <w:pPr>
        <w:pStyle w:val="Styl2"/>
        <w:numPr>
          <w:ilvl w:val="0"/>
          <w:numId w:val="12"/>
        </w:numPr>
        <w:spacing w:before="0"/>
        <w:ind w:left="425" w:hanging="357"/>
        <w:rPr>
          <w:rFonts w:asciiTheme="minorHAnsi" w:hAnsiTheme="minorHAnsi"/>
          <w:sz w:val="22"/>
          <w:u w:color="000000"/>
        </w:rPr>
      </w:pPr>
      <w:r w:rsidRPr="00052FA2">
        <w:rPr>
          <w:rFonts w:asciiTheme="minorHAnsi" w:hAnsiTheme="minorHAnsi"/>
          <w:sz w:val="22"/>
          <w:u w:color="000000"/>
        </w:rPr>
        <w:t>Návrh nařízení EP a Rady o FS a o zrušení nařízení Rady (ES) č. 1084/2006 (dále také „návrh specifického nařízení k FS“),</w:t>
      </w:r>
    </w:p>
    <w:p w:rsidR="00052FA2" w:rsidRPr="00052FA2" w:rsidRDefault="00052FA2" w:rsidP="00C161F1">
      <w:pPr>
        <w:pStyle w:val="Styl2"/>
        <w:numPr>
          <w:ilvl w:val="0"/>
          <w:numId w:val="12"/>
        </w:numPr>
        <w:spacing w:before="0"/>
        <w:ind w:left="425" w:hanging="357"/>
        <w:rPr>
          <w:rFonts w:asciiTheme="minorHAnsi" w:hAnsiTheme="minorHAnsi"/>
          <w:sz w:val="22"/>
          <w:u w:color="000000"/>
        </w:rPr>
      </w:pPr>
      <w:r w:rsidRPr="00052FA2">
        <w:rPr>
          <w:rFonts w:asciiTheme="minorHAnsi" w:hAnsiTheme="minorHAnsi"/>
          <w:sz w:val="22"/>
          <w:u w:color="000000"/>
        </w:rPr>
        <w:t>Návrh nařízení EP a Rady o podpoře rozvoje venkova z EZFRV (dále také „návrh specifického nařízení k EZFRV“),</w:t>
      </w:r>
    </w:p>
    <w:p w:rsidR="00B60EFD" w:rsidRPr="00A40567" w:rsidRDefault="00052FA2" w:rsidP="00C161F1">
      <w:pPr>
        <w:pStyle w:val="Styl2"/>
        <w:numPr>
          <w:ilvl w:val="0"/>
          <w:numId w:val="12"/>
        </w:numPr>
        <w:spacing w:before="0"/>
        <w:ind w:left="425" w:hanging="357"/>
        <w:rPr>
          <w:rFonts w:asciiTheme="minorHAnsi" w:hAnsiTheme="minorHAnsi"/>
          <w:sz w:val="22"/>
          <w:u w:color="000000"/>
        </w:rPr>
      </w:pPr>
      <w:r w:rsidRPr="00A40567">
        <w:rPr>
          <w:rFonts w:asciiTheme="minorHAnsi" w:hAnsiTheme="minorHAnsi"/>
          <w:sz w:val="22"/>
          <w:u w:color="000000"/>
        </w:rPr>
        <w:t>Návrh nařízení EP a Rady o ENRF zrušující nařízení Rady (ES) č. 1198/2006 a nařízení Rady (ES) č. 861/2006 a nařízení Rady (ES) č. XXX/2011 o integrované námořní politice (dále také „návrh specifického nařízení k ENRF“)</w:t>
      </w:r>
      <w:r w:rsidR="00A40567">
        <w:rPr>
          <w:rFonts w:asciiTheme="minorHAnsi" w:hAnsiTheme="minorHAnsi"/>
          <w:sz w:val="22"/>
          <w:u w:color="000000"/>
        </w:rPr>
        <w:t>.</w:t>
      </w:r>
    </w:p>
    <w:p w:rsidR="00C02F58" w:rsidRPr="00CE1491" w:rsidRDefault="003A745E" w:rsidP="00C02F58">
      <w:pPr>
        <w:pStyle w:val="Nadpis11"/>
        <w:numPr>
          <w:ilvl w:val="1"/>
          <w:numId w:val="2"/>
        </w:numPr>
        <w:spacing w:before="240" w:after="120"/>
        <w:ind w:left="567" w:hanging="567"/>
        <w:rPr>
          <w:rFonts w:asciiTheme="minorHAnsi" w:eastAsiaTheme="majorEastAsia" w:hAnsiTheme="minorHAnsi"/>
        </w:rPr>
      </w:pPr>
      <w:bookmarkStart w:id="9" w:name="_Toc359587663"/>
      <w:r>
        <w:rPr>
          <w:rFonts w:asciiTheme="minorHAnsi" w:eastAsiaTheme="majorEastAsia" w:hAnsiTheme="minorHAnsi"/>
        </w:rPr>
        <w:t xml:space="preserve">Prováděcí dokumenty </w:t>
      </w:r>
      <w:r w:rsidR="00ED5419">
        <w:rPr>
          <w:rFonts w:asciiTheme="minorHAnsi" w:eastAsiaTheme="majorEastAsia" w:hAnsiTheme="minorHAnsi"/>
        </w:rPr>
        <w:t>k fondům SS</w:t>
      </w:r>
      <w:r w:rsidRPr="003A745E">
        <w:rPr>
          <w:rFonts w:asciiTheme="minorHAnsi" w:eastAsiaTheme="majorEastAsia" w:hAnsiTheme="minorHAnsi"/>
        </w:rPr>
        <w:t>R</w:t>
      </w:r>
      <w:bookmarkEnd w:id="9"/>
      <w:r w:rsidRPr="003A745E">
        <w:rPr>
          <w:rFonts w:asciiTheme="minorHAnsi" w:eastAsiaTheme="majorEastAsia" w:hAnsiTheme="minorHAnsi"/>
        </w:rPr>
        <w:t xml:space="preserve"> </w:t>
      </w:r>
    </w:p>
    <w:p w:rsidR="005F6D46" w:rsidRDefault="00DA6E06" w:rsidP="005E049A">
      <w:pPr>
        <w:pStyle w:val="Styl2"/>
        <w:spacing w:before="120"/>
        <w:rPr>
          <w:rFonts w:asciiTheme="minorHAnsi" w:hAnsiTheme="minorHAnsi"/>
          <w:sz w:val="24"/>
          <w:szCs w:val="24"/>
          <w:u w:color="000000"/>
        </w:rPr>
      </w:pPr>
      <w:r>
        <w:rPr>
          <w:rFonts w:asciiTheme="minorHAnsi" w:hAnsiTheme="minorHAnsi"/>
          <w:sz w:val="24"/>
          <w:szCs w:val="24"/>
          <w:u w:color="000000"/>
        </w:rPr>
        <w:t>Ve vztahu k Dohodě o partnerství j</w:t>
      </w:r>
      <w:r w:rsidR="0065521B">
        <w:rPr>
          <w:rFonts w:asciiTheme="minorHAnsi" w:hAnsiTheme="minorHAnsi"/>
          <w:sz w:val="24"/>
          <w:szCs w:val="24"/>
          <w:u w:color="000000"/>
        </w:rPr>
        <w:t>sou důležité následující dokumenty.</w:t>
      </w:r>
      <w:r w:rsidR="005E049A" w:rsidRPr="005E049A">
        <w:rPr>
          <w:rFonts w:asciiTheme="minorHAnsi" w:hAnsiTheme="minorHAnsi"/>
          <w:sz w:val="24"/>
          <w:szCs w:val="24"/>
          <w:u w:color="000000"/>
        </w:rPr>
        <w:t xml:space="preserve"> </w:t>
      </w:r>
    </w:p>
    <w:p w:rsidR="005F6D46" w:rsidRPr="000C0E01" w:rsidRDefault="005F6D46" w:rsidP="005E049A">
      <w:pPr>
        <w:pStyle w:val="Styl2"/>
        <w:spacing w:before="120"/>
        <w:rPr>
          <w:rFonts w:asciiTheme="minorHAnsi" w:hAnsiTheme="minorHAnsi"/>
          <w:b/>
          <w:color w:val="002060"/>
          <w:sz w:val="24"/>
          <w:szCs w:val="24"/>
          <w:u w:color="000000"/>
        </w:rPr>
      </w:pPr>
      <w:r w:rsidRPr="000C0E01">
        <w:rPr>
          <w:rFonts w:asciiTheme="minorHAnsi" w:hAnsiTheme="minorHAnsi"/>
          <w:b/>
          <w:color w:val="002060"/>
          <w:sz w:val="24"/>
          <w:szCs w:val="24"/>
          <w:u w:color="000000"/>
        </w:rPr>
        <w:t>3.2.1</w:t>
      </w:r>
      <w:r w:rsidRPr="000C0E01">
        <w:rPr>
          <w:rFonts w:asciiTheme="minorHAnsi" w:hAnsiTheme="minorHAnsi"/>
          <w:b/>
          <w:color w:val="002060"/>
          <w:sz w:val="24"/>
          <w:szCs w:val="24"/>
          <w:u w:color="000000"/>
        </w:rPr>
        <w:tab/>
        <w:t>Šablony k programům a Dohodě o partnerství</w:t>
      </w:r>
    </w:p>
    <w:p w:rsidR="005E049A" w:rsidRPr="000C0E01" w:rsidRDefault="000C0E01" w:rsidP="005E049A">
      <w:pPr>
        <w:pStyle w:val="Styl2"/>
        <w:spacing w:before="120"/>
        <w:rPr>
          <w:rFonts w:asciiTheme="minorHAnsi" w:hAnsiTheme="minorHAnsi"/>
          <w:sz w:val="24"/>
          <w:szCs w:val="24"/>
        </w:rPr>
      </w:pPr>
      <w:r>
        <w:rPr>
          <w:rFonts w:asciiTheme="minorHAnsi" w:hAnsiTheme="minorHAnsi"/>
          <w:sz w:val="24"/>
          <w:szCs w:val="24"/>
          <w:u w:color="000000"/>
        </w:rPr>
        <w:t xml:space="preserve">Pro oblast </w:t>
      </w:r>
      <w:r w:rsidRPr="000C0E01">
        <w:rPr>
          <w:rFonts w:asciiTheme="minorHAnsi" w:hAnsiTheme="minorHAnsi"/>
          <w:sz w:val="24"/>
          <w:szCs w:val="24"/>
        </w:rPr>
        <w:t xml:space="preserve">dohody o partnerství to je </w:t>
      </w:r>
      <w:r w:rsidR="005E049A" w:rsidRPr="000C0E01">
        <w:rPr>
          <w:rFonts w:asciiTheme="minorHAnsi" w:hAnsiTheme="minorHAnsi"/>
          <w:sz w:val="24"/>
          <w:szCs w:val="24"/>
        </w:rPr>
        <w:t>„Draft template and guidelines the content of the Partnership agreement“</w:t>
      </w:r>
      <w:r w:rsidRPr="000C0E01">
        <w:rPr>
          <w:rFonts w:asciiTheme="minorHAnsi" w:hAnsiTheme="minorHAnsi"/>
          <w:sz w:val="24"/>
          <w:szCs w:val="24"/>
        </w:rPr>
        <w:t>.</w:t>
      </w:r>
      <w:r w:rsidR="005E049A" w:rsidRPr="000C0E01">
        <w:rPr>
          <w:rFonts w:asciiTheme="minorHAnsi" w:hAnsiTheme="minorHAnsi"/>
          <w:sz w:val="24"/>
          <w:szCs w:val="24"/>
        </w:rPr>
        <w:t xml:space="preserve"> V části 2.3 </w:t>
      </w:r>
      <w:r w:rsidR="005712F4" w:rsidRPr="000C0E01">
        <w:rPr>
          <w:rFonts w:asciiTheme="minorHAnsi" w:hAnsiTheme="minorHAnsi"/>
          <w:sz w:val="24"/>
          <w:szCs w:val="24"/>
        </w:rPr>
        <w:t xml:space="preserve">(verze 3 z 21.5.2013) </w:t>
      </w:r>
      <w:r w:rsidR="005E049A" w:rsidRPr="000C0E01">
        <w:rPr>
          <w:rFonts w:asciiTheme="minorHAnsi" w:hAnsiTheme="minorHAnsi"/>
          <w:sz w:val="24"/>
          <w:szCs w:val="24"/>
        </w:rPr>
        <w:t xml:space="preserve">je </w:t>
      </w:r>
      <w:r w:rsidRPr="000C0E01">
        <w:rPr>
          <w:rFonts w:asciiTheme="minorHAnsi" w:hAnsiTheme="minorHAnsi"/>
          <w:sz w:val="24"/>
          <w:szCs w:val="24"/>
        </w:rPr>
        <w:t>definováno</w:t>
      </w:r>
      <w:r w:rsidR="005E049A" w:rsidRPr="000C0E01">
        <w:rPr>
          <w:rFonts w:asciiTheme="minorHAnsi" w:hAnsiTheme="minorHAnsi"/>
          <w:sz w:val="24"/>
          <w:szCs w:val="24"/>
        </w:rPr>
        <w:t xml:space="preserve">, že členský stát uvede v Dohodě přehled hodnocení splnění příslušných předběžných podmínek, za které jsou zodpovědné národní orgány, a to s uvedením opatření, která je nutno přijmout, </w:t>
      </w:r>
      <w:r w:rsidR="00126397">
        <w:rPr>
          <w:rFonts w:asciiTheme="minorHAnsi" w:hAnsiTheme="minorHAnsi"/>
          <w:sz w:val="24"/>
          <w:szCs w:val="24"/>
        </w:rPr>
        <w:br/>
      </w:r>
      <w:r w:rsidR="005E049A" w:rsidRPr="000C0E01">
        <w:rPr>
          <w:rFonts w:asciiTheme="minorHAnsi" w:hAnsiTheme="minorHAnsi"/>
          <w:sz w:val="24"/>
          <w:szCs w:val="24"/>
        </w:rPr>
        <w:t>a harmonogramem jejich provádění u těch, které splněny nejsou. Prováděcí dokument stanovuje obsah a formu postoupených informací členského státu směrem k Evropské komisi – specifikace a forma je součástí Akčního plánu řízení a koordinace předběžných podmínek</w:t>
      </w:r>
      <w:r w:rsidR="005712F4" w:rsidRPr="000C0E01">
        <w:rPr>
          <w:rFonts w:asciiTheme="minorHAnsi" w:hAnsiTheme="minorHAnsi"/>
          <w:sz w:val="24"/>
          <w:szCs w:val="24"/>
        </w:rPr>
        <w:t xml:space="preserve"> </w:t>
      </w:r>
      <w:r w:rsidR="00126397">
        <w:rPr>
          <w:rFonts w:asciiTheme="minorHAnsi" w:hAnsiTheme="minorHAnsi"/>
          <w:sz w:val="24"/>
          <w:szCs w:val="24"/>
        </w:rPr>
        <w:br/>
      </w:r>
      <w:r w:rsidR="005712F4" w:rsidRPr="000C0E01">
        <w:rPr>
          <w:rFonts w:asciiTheme="minorHAnsi" w:hAnsiTheme="minorHAnsi"/>
          <w:sz w:val="24"/>
          <w:szCs w:val="24"/>
        </w:rPr>
        <w:t>a je uvedena níže v dokumentu</w:t>
      </w:r>
      <w:r w:rsidR="005E049A" w:rsidRPr="000C0E01">
        <w:rPr>
          <w:rFonts w:asciiTheme="minorHAnsi" w:hAnsiTheme="minorHAnsi"/>
          <w:sz w:val="24"/>
          <w:szCs w:val="24"/>
        </w:rPr>
        <w:t>.</w:t>
      </w:r>
    </w:p>
    <w:p w:rsidR="005E049A" w:rsidRPr="000C0E01" w:rsidRDefault="005E049A" w:rsidP="005E049A">
      <w:pPr>
        <w:pStyle w:val="Styl2"/>
        <w:spacing w:before="120"/>
        <w:rPr>
          <w:rFonts w:asciiTheme="minorHAnsi" w:hAnsiTheme="minorHAnsi"/>
          <w:sz w:val="24"/>
          <w:szCs w:val="24"/>
        </w:rPr>
      </w:pPr>
      <w:r w:rsidRPr="000C0E01">
        <w:rPr>
          <w:rFonts w:asciiTheme="minorHAnsi" w:hAnsiTheme="minorHAnsi"/>
          <w:sz w:val="24"/>
          <w:szCs w:val="24"/>
        </w:rPr>
        <w:t xml:space="preserve">Další prováděcí dokument EU je „Draft template and guidelines </w:t>
      </w:r>
      <w:r w:rsidR="00A4555A" w:rsidRPr="000C0E01">
        <w:rPr>
          <w:rFonts w:asciiTheme="minorHAnsi" w:hAnsiTheme="minorHAnsi"/>
          <w:sz w:val="24"/>
          <w:szCs w:val="24"/>
        </w:rPr>
        <w:t xml:space="preserve">for </w:t>
      </w:r>
      <w:r w:rsidRPr="000C0E01">
        <w:rPr>
          <w:rFonts w:asciiTheme="minorHAnsi" w:hAnsiTheme="minorHAnsi"/>
          <w:sz w:val="24"/>
          <w:szCs w:val="24"/>
        </w:rPr>
        <w:t xml:space="preserve">the content of the Operational programme“, který stejně jako u Dohody o partnerství uvádí, co bude uvedeno </w:t>
      </w:r>
      <w:r w:rsidR="00126397">
        <w:rPr>
          <w:rFonts w:asciiTheme="minorHAnsi" w:hAnsiTheme="minorHAnsi"/>
          <w:sz w:val="24"/>
          <w:szCs w:val="24"/>
        </w:rPr>
        <w:br/>
      </w:r>
      <w:r w:rsidRPr="000C0E01">
        <w:rPr>
          <w:rFonts w:asciiTheme="minorHAnsi" w:hAnsiTheme="minorHAnsi"/>
          <w:sz w:val="24"/>
          <w:szCs w:val="24"/>
        </w:rPr>
        <w:t xml:space="preserve">v dílčích programech v této oblasti. Jednotlivé požadavky na zhodnocení plnění předběžných podmínek rozvádí sekce </w:t>
      </w:r>
      <w:r w:rsidR="009B6D8D" w:rsidRPr="000C0E01">
        <w:rPr>
          <w:rFonts w:asciiTheme="minorHAnsi" w:hAnsiTheme="minorHAnsi"/>
          <w:sz w:val="24"/>
          <w:szCs w:val="24"/>
        </w:rPr>
        <w:t xml:space="preserve">9 </w:t>
      </w:r>
      <w:r w:rsidR="00A4555A" w:rsidRPr="000C0E01">
        <w:rPr>
          <w:rFonts w:asciiTheme="minorHAnsi" w:hAnsiTheme="minorHAnsi"/>
          <w:sz w:val="24"/>
          <w:szCs w:val="24"/>
        </w:rPr>
        <w:t>(verze 3 z 21.5.2013)</w:t>
      </w:r>
      <w:r w:rsidR="009B6D8D" w:rsidRPr="000C0E01">
        <w:rPr>
          <w:rFonts w:asciiTheme="minorHAnsi" w:hAnsiTheme="minorHAnsi"/>
          <w:sz w:val="24"/>
          <w:szCs w:val="24"/>
        </w:rPr>
        <w:t xml:space="preserve"> </w:t>
      </w:r>
      <w:r w:rsidRPr="000C0E01">
        <w:rPr>
          <w:rFonts w:asciiTheme="minorHAnsi" w:hAnsiTheme="minorHAnsi"/>
          <w:sz w:val="24"/>
          <w:szCs w:val="24"/>
        </w:rPr>
        <w:t>tohoto dokumentu.</w:t>
      </w:r>
    </w:p>
    <w:p w:rsidR="00A8478F" w:rsidRPr="000C0E01" w:rsidRDefault="00A8478F" w:rsidP="005E049A">
      <w:pPr>
        <w:pStyle w:val="Styl2"/>
        <w:spacing w:before="120"/>
        <w:rPr>
          <w:rFonts w:asciiTheme="minorHAnsi" w:hAnsiTheme="minorHAnsi"/>
          <w:sz w:val="24"/>
          <w:szCs w:val="24"/>
        </w:rPr>
      </w:pPr>
      <w:r w:rsidRPr="000C0E01">
        <w:rPr>
          <w:rFonts w:asciiTheme="minorHAnsi" w:hAnsiTheme="minorHAnsi"/>
          <w:sz w:val="24"/>
          <w:szCs w:val="24"/>
        </w:rPr>
        <w:t xml:space="preserve">Pro OP Rybářství existuje specifická šablona „Draft template and guidelines on the </w:t>
      </w:r>
      <w:r w:rsidR="00B60EFD" w:rsidRPr="000C0E01">
        <w:rPr>
          <w:rFonts w:asciiTheme="minorHAnsi" w:hAnsiTheme="minorHAnsi"/>
          <w:sz w:val="24"/>
          <w:szCs w:val="24"/>
        </w:rPr>
        <w:t xml:space="preserve">content </w:t>
      </w:r>
      <w:r w:rsidRPr="000C0E01">
        <w:rPr>
          <w:rFonts w:asciiTheme="minorHAnsi" w:hAnsiTheme="minorHAnsi"/>
          <w:sz w:val="24"/>
          <w:szCs w:val="24"/>
        </w:rPr>
        <w:t>of the EMFF operational programme 2014-2020“. Specifická je i kapitola k naplňování předběžných podmínek</w:t>
      </w:r>
      <w:r w:rsidR="00DA1AF9" w:rsidRPr="000C0E01">
        <w:rPr>
          <w:rFonts w:asciiTheme="minorHAnsi" w:hAnsiTheme="minorHAnsi"/>
          <w:sz w:val="24"/>
          <w:szCs w:val="24"/>
        </w:rPr>
        <w:t xml:space="preserve"> (sekce 6 „Naplňování předběžných podmínek“)</w:t>
      </w:r>
      <w:r w:rsidR="00AC0164" w:rsidRPr="000C0E01">
        <w:rPr>
          <w:rFonts w:asciiTheme="minorHAnsi" w:hAnsiTheme="minorHAnsi"/>
          <w:sz w:val="24"/>
          <w:szCs w:val="24"/>
        </w:rPr>
        <w:t xml:space="preserve"> – podrobná specifikace je uvedena níže v dokumentu.</w:t>
      </w:r>
    </w:p>
    <w:p w:rsidR="00AC0164" w:rsidRPr="000C0E01" w:rsidRDefault="00B60EFD" w:rsidP="000C0E01">
      <w:pPr>
        <w:pStyle w:val="Styl2"/>
        <w:spacing w:before="120"/>
        <w:rPr>
          <w:rFonts w:asciiTheme="minorHAnsi" w:hAnsiTheme="minorHAnsi"/>
          <w:sz w:val="24"/>
          <w:szCs w:val="24"/>
        </w:rPr>
      </w:pPr>
      <w:r w:rsidRPr="000C0E01">
        <w:rPr>
          <w:rFonts w:asciiTheme="minorHAnsi" w:hAnsiTheme="minorHAnsi"/>
          <w:sz w:val="24"/>
          <w:szCs w:val="24"/>
        </w:rPr>
        <w:t>Dosud platný „</w:t>
      </w:r>
      <w:r w:rsidR="00AC0164" w:rsidRPr="000C0E01">
        <w:rPr>
          <w:rFonts w:asciiTheme="minorHAnsi" w:hAnsiTheme="minorHAnsi"/>
          <w:sz w:val="24"/>
          <w:szCs w:val="24"/>
        </w:rPr>
        <w:t xml:space="preserve">Draft </w:t>
      </w:r>
      <w:r w:rsidR="00641339" w:rsidRPr="000C0E01">
        <w:rPr>
          <w:rFonts w:asciiTheme="minorHAnsi" w:hAnsiTheme="minorHAnsi"/>
          <w:sz w:val="24"/>
          <w:szCs w:val="24"/>
        </w:rPr>
        <w:t>template and guidelines on the c</w:t>
      </w:r>
      <w:r w:rsidR="00AC0164" w:rsidRPr="000C0E01">
        <w:rPr>
          <w:rFonts w:asciiTheme="minorHAnsi" w:hAnsiTheme="minorHAnsi"/>
          <w:sz w:val="24"/>
          <w:szCs w:val="24"/>
        </w:rPr>
        <w:t>ontent of the EAFRD operational programme 2014-2020</w:t>
      </w:r>
      <w:r w:rsidRPr="000C0E01">
        <w:rPr>
          <w:rFonts w:asciiTheme="minorHAnsi" w:hAnsiTheme="minorHAnsi"/>
          <w:sz w:val="24"/>
          <w:szCs w:val="24"/>
        </w:rPr>
        <w:t xml:space="preserve">“ nespecifikuje naplňování předběžných podmínek. </w:t>
      </w:r>
    </w:p>
    <w:p w:rsidR="005F6D46" w:rsidRPr="00C161F1" w:rsidRDefault="005F6D46" w:rsidP="005F6D46">
      <w:pPr>
        <w:pStyle w:val="Styl2"/>
        <w:spacing w:before="240" w:after="0"/>
        <w:rPr>
          <w:rFonts w:asciiTheme="minorHAnsi" w:hAnsiTheme="minorHAnsi"/>
          <w:color w:val="002060"/>
          <w:sz w:val="24"/>
          <w:szCs w:val="24"/>
          <w:u w:color="000000"/>
        </w:rPr>
      </w:pPr>
      <w:r w:rsidRPr="00C161F1">
        <w:rPr>
          <w:rFonts w:asciiTheme="minorHAnsi" w:hAnsiTheme="minorHAnsi"/>
          <w:b/>
          <w:color w:val="002060"/>
          <w:sz w:val="24"/>
          <w:szCs w:val="24"/>
          <w:u w:color="000000"/>
        </w:rPr>
        <w:t>3.2.</w:t>
      </w:r>
      <w:r w:rsidR="00C161F1" w:rsidRPr="00C161F1">
        <w:rPr>
          <w:rFonts w:asciiTheme="minorHAnsi" w:hAnsiTheme="minorHAnsi"/>
          <w:b/>
          <w:color w:val="002060"/>
          <w:sz w:val="24"/>
          <w:szCs w:val="24"/>
          <w:u w:color="000000"/>
        </w:rPr>
        <w:t>2</w:t>
      </w:r>
      <w:r w:rsidRPr="00C161F1">
        <w:rPr>
          <w:rFonts w:asciiTheme="minorHAnsi" w:hAnsiTheme="minorHAnsi"/>
          <w:b/>
          <w:color w:val="002060"/>
          <w:sz w:val="24"/>
          <w:szCs w:val="24"/>
          <w:u w:color="000000"/>
        </w:rPr>
        <w:tab/>
        <w:t>Metodické dokumenty Komise –</w:t>
      </w:r>
      <w:r w:rsidR="00126397">
        <w:rPr>
          <w:rFonts w:asciiTheme="minorHAnsi" w:hAnsiTheme="minorHAnsi"/>
          <w:b/>
          <w:color w:val="002060"/>
          <w:sz w:val="24"/>
          <w:szCs w:val="24"/>
          <w:u w:color="000000"/>
        </w:rPr>
        <w:t xml:space="preserve"> </w:t>
      </w:r>
      <w:r w:rsidRPr="00C161F1">
        <w:rPr>
          <w:rFonts w:asciiTheme="minorHAnsi" w:hAnsiTheme="minorHAnsi"/>
          <w:b/>
          <w:color w:val="002060"/>
          <w:sz w:val="24"/>
          <w:szCs w:val="24"/>
          <w:u w:color="000000"/>
        </w:rPr>
        <w:t>guidances</w:t>
      </w:r>
    </w:p>
    <w:p w:rsidR="00F11FEB" w:rsidRDefault="00F11FEB" w:rsidP="00034512">
      <w:pPr>
        <w:pStyle w:val="Styl2"/>
        <w:rPr>
          <w:rFonts w:asciiTheme="minorHAnsi" w:hAnsiTheme="minorHAnsi"/>
          <w:sz w:val="24"/>
          <w:szCs w:val="24"/>
          <w:u w:color="000000"/>
        </w:rPr>
      </w:pPr>
      <w:r>
        <w:rPr>
          <w:rFonts w:asciiTheme="minorHAnsi" w:hAnsiTheme="minorHAnsi"/>
          <w:sz w:val="24"/>
          <w:szCs w:val="24"/>
          <w:u w:color="000000"/>
        </w:rPr>
        <w:t xml:space="preserve">Evropská komise pro jednotlivé fondy vydává </w:t>
      </w:r>
      <w:r w:rsidR="00282FFB">
        <w:rPr>
          <w:rFonts w:asciiTheme="minorHAnsi" w:hAnsiTheme="minorHAnsi"/>
          <w:sz w:val="24"/>
          <w:szCs w:val="24"/>
          <w:u w:color="000000"/>
        </w:rPr>
        <w:t>metodické návody k předběžným podmínkám.</w:t>
      </w:r>
      <w:r w:rsidR="00641339">
        <w:rPr>
          <w:rFonts w:asciiTheme="minorHAnsi" w:hAnsiTheme="minorHAnsi"/>
          <w:sz w:val="24"/>
          <w:szCs w:val="24"/>
          <w:u w:color="000000"/>
        </w:rPr>
        <w:t xml:space="preserve"> </w:t>
      </w:r>
    </w:p>
    <w:p w:rsidR="005F6C7F" w:rsidRDefault="00282FFB" w:rsidP="00034512">
      <w:pPr>
        <w:pStyle w:val="Styl2"/>
        <w:rPr>
          <w:rFonts w:asciiTheme="minorHAnsi" w:hAnsiTheme="minorHAnsi"/>
          <w:sz w:val="24"/>
          <w:szCs w:val="24"/>
          <w:u w:color="000000"/>
        </w:rPr>
      </w:pPr>
      <w:r>
        <w:rPr>
          <w:rFonts w:asciiTheme="minorHAnsi" w:hAnsiTheme="minorHAnsi"/>
          <w:sz w:val="24"/>
          <w:szCs w:val="24"/>
          <w:u w:color="000000"/>
        </w:rPr>
        <w:t xml:space="preserve">Metodickým dokumentem Komise pro EFRR, ESF a FS je </w:t>
      </w:r>
      <w:r w:rsidR="00A4555A" w:rsidRPr="00A4555A">
        <w:rPr>
          <w:rFonts w:asciiTheme="minorHAnsi" w:hAnsiTheme="minorHAnsi"/>
          <w:b/>
          <w:sz w:val="24"/>
          <w:szCs w:val="24"/>
          <w:u w:color="000000"/>
        </w:rPr>
        <w:t>„</w:t>
      </w:r>
      <w:r w:rsidR="009B6D8D" w:rsidRPr="00A4555A">
        <w:rPr>
          <w:rFonts w:asciiTheme="minorHAnsi" w:hAnsiTheme="minorHAnsi"/>
          <w:b/>
          <w:sz w:val="24"/>
          <w:szCs w:val="24"/>
          <w:u w:color="000000"/>
        </w:rPr>
        <w:t>Draft</w:t>
      </w:r>
      <w:r w:rsidR="004C7A9E" w:rsidRPr="00A4555A">
        <w:rPr>
          <w:rFonts w:asciiTheme="minorHAnsi" w:hAnsiTheme="minorHAnsi"/>
          <w:b/>
          <w:sz w:val="24"/>
          <w:szCs w:val="24"/>
          <w:u w:color="000000"/>
        </w:rPr>
        <w:t xml:space="preserve"> </w:t>
      </w:r>
      <w:r w:rsidR="00B957CB" w:rsidRPr="00A4555A">
        <w:rPr>
          <w:rFonts w:asciiTheme="minorHAnsi" w:hAnsiTheme="minorHAnsi"/>
          <w:b/>
          <w:sz w:val="24"/>
          <w:szCs w:val="24"/>
          <w:u w:color="000000"/>
        </w:rPr>
        <w:t>Guidance on ex ante Conditionalities</w:t>
      </w:r>
      <w:r w:rsidR="00A4555A" w:rsidRPr="00A4555A">
        <w:rPr>
          <w:rFonts w:asciiTheme="minorHAnsi" w:hAnsiTheme="minorHAnsi"/>
          <w:b/>
          <w:sz w:val="24"/>
          <w:szCs w:val="24"/>
          <w:u w:color="000000"/>
        </w:rPr>
        <w:t>“</w:t>
      </w:r>
      <w:r w:rsidR="00A4555A">
        <w:rPr>
          <w:rFonts w:asciiTheme="minorHAnsi" w:hAnsiTheme="minorHAnsi"/>
          <w:sz w:val="24"/>
          <w:szCs w:val="24"/>
          <w:u w:color="000000"/>
        </w:rPr>
        <w:t xml:space="preserve"> (part I. a part II </w:t>
      </w:r>
      <w:r w:rsidR="00B957CB" w:rsidRPr="00D75057">
        <w:rPr>
          <w:rFonts w:asciiTheme="minorHAnsi" w:hAnsiTheme="minorHAnsi"/>
          <w:sz w:val="24"/>
          <w:szCs w:val="24"/>
          <w:u w:color="000000"/>
        </w:rPr>
        <w:t xml:space="preserve">včetně </w:t>
      </w:r>
      <w:r w:rsidR="00A4555A">
        <w:rPr>
          <w:rFonts w:asciiTheme="minorHAnsi" w:hAnsiTheme="minorHAnsi"/>
          <w:sz w:val="24"/>
          <w:szCs w:val="24"/>
          <w:u w:color="000000"/>
        </w:rPr>
        <w:t>tzv. „hodnotících tabulek). Guidance</w:t>
      </w:r>
      <w:r w:rsidR="004C7A9E">
        <w:rPr>
          <w:rFonts w:asciiTheme="minorHAnsi" w:hAnsiTheme="minorHAnsi"/>
          <w:sz w:val="24"/>
          <w:szCs w:val="24"/>
          <w:u w:color="000000"/>
        </w:rPr>
        <w:t xml:space="preserve"> představuje další prostředek k upřesnění výkladu a způsobu plnění předběžných podmínek. V materiálu je blíže specifikována problematika hodnocení</w:t>
      </w:r>
      <w:r w:rsidR="002F5237">
        <w:rPr>
          <w:rFonts w:asciiTheme="minorHAnsi" w:hAnsiTheme="minorHAnsi"/>
          <w:sz w:val="24"/>
          <w:szCs w:val="24"/>
          <w:u w:color="000000"/>
        </w:rPr>
        <w:t xml:space="preserve"> předběžných podmínek členským státem, a to jak z pohledu aplikovatelnosti předběžných podmínek na dané priority programů, </w:t>
      </w:r>
      <w:r w:rsidR="00126397">
        <w:rPr>
          <w:rFonts w:asciiTheme="minorHAnsi" w:hAnsiTheme="minorHAnsi"/>
          <w:sz w:val="24"/>
          <w:szCs w:val="24"/>
          <w:u w:color="000000"/>
        </w:rPr>
        <w:br/>
      </w:r>
      <w:r w:rsidR="002F5237">
        <w:rPr>
          <w:rFonts w:asciiTheme="minorHAnsi" w:hAnsiTheme="minorHAnsi"/>
          <w:sz w:val="24"/>
          <w:szCs w:val="24"/>
          <w:u w:color="000000"/>
        </w:rPr>
        <w:t xml:space="preserve">tak i z hlediska relevantního posouzení jejich plnění. Dále pak materiál blíže specifikuje </w:t>
      </w:r>
      <w:r w:rsidR="002D6E8B">
        <w:rPr>
          <w:rFonts w:asciiTheme="minorHAnsi" w:hAnsiTheme="minorHAnsi"/>
          <w:sz w:val="24"/>
          <w:szCs w:val="24"/>
          <w:u w:color="000000"/>
        </w:rPr>
        <w:t>posuzování předběžných podmínek ze strany Evropské komise, včetně úpravy procedurálního postupu vedoucího k nespuštění případně pozastavení plateb ze strany Evropské komise</w:t>
      </w:r>
      <w:r w:rsidR="00C11397">
        <w:rPr>
          <w:rFonts w:asciiTheme="minorHAnsi" w:hAnsiTheme="minorHAnsi"/>
          <w:sz w:val="24"/>
          <w:szCs w:val="24"/>
          <w:u w:color="000000"/>
        </w:rPr>
        <w:t>.</w:t>
      </w:r>
      <w:r w:rsidR="000C0E01">
        <w:rPr>
          <w:rFonts w:asciiTheme="minorHAnsi" w:hAnsiTheme="minorHAnsi"/>
          <w:sz w:val="24"/>
          <w:szCs w:val="24"/>
          <w:u w:color="000000"/>
        </w:rPr>
        <w:t xml:space="preserve"> </w:t>
      </w:r>
      <w:r w:rsidR="00641339">
        <w:rPr>
          <w:rFonts w:asciiTheme="minorHAnsi" w:hAnsiTheme="minorHAnsi"/>
          <w:sz w:val="24"/>
          <w:szCs w:val="24"/>
          <w:u w:color="000000"/>
        </w:rPr>
        <w:t xml:space="preserve">Součástí Draftu guidance jsou i níže uvedené podstatné faktory naplňování předběžných podmínek (plný text </w:t>
      </w:r>
      <w:r w:rsidR="007B1623">
        <w:rPr>
          <w:rFonts w:asciiTheme="minorHAnsi" w:hAnsiTheme="minorHAnsi"/>
          <w:sz w:val="24"/>
          <w:szCs w:val="24"/>
          <w:u w:color="000000"/>
        </w:rPr>
        <w:t>je uved</w:t>
      </w:r>
      <w:r w:rsidR="00B60EFD">
        <w:rPr>
          <w:rFonts w:asciiTheme="minorHAnsi" w:hAnsiTheme="minorHAnsi"/>
          <w:sz w:val="24"/>
          <w:szCs w:val="24"/>
          <w:u w:color="000000"/>
        </w:rPr>
        <w:t>en v samotném draftu guidance).</w:t>
      </w:r>
    </w:p>
    <w:p w:rsidR="00FD3CF6" w:rsidRPr="00B60EFD" w:rsidRDefault="0009569B" w:rsidP="007B1623">
      <w:pPr>
        <w:pStyle w:val="Styl2"/>
        <w:spacing w:before="120" w:after="0"/>
        <w:rPr>
          <w:rFonts w:asciiTheme="minorHAnsi" w:hAnsiTheme="minorHAnsi"/>
          <w:sz w:val="24"/>
          <w:szCs w:val="24"/>
          <w:u w:val="single"/>
        </w:rPr>
      </w:pPr>
      <w:r w:rsidRPr="00B60EFD">
        <w:rPr>
          <w:rFonts w:asciiTheme="minorHAnsi" w:hAnsiTheme="minorHAnsi"/>
          <w:sz w:val="24"/>
          <w:szCs w:val="24"/>
          <w:u w:val="single"/>
        </w:rPr>
        <w:t>Hodnocení aplikovatelnosti předběžné podmínky</w:t>
      </w:r>
    </w:p>
    <w:p w:rsidR="0009569B" w:rsidRPr="00B60EFD" w:rsidRDefault="007E3A09" w:rsidP="007B1623">
      <w:pPr>
        <w:pStyle w:val="Styl2"/>
        <w:spacing w:before="0" w:after="0"/>
        <w:rPr>
          <w:rFonts w:asciiTheme="minorHAnsi" w:hAnsiTheme="minorHAnsi"/>
          <w:sz w:val="24"/>
          <w:szCs w:val="24"/>
          <w:u w:color="000000"/>
        </w:rPr>
      </w:pPr>
      <w:r w:rsidRPr="00B60EFD">
        <w:rPr>
          <w:rFonts w:asciiTheme="minorHAnsi" w:hAnsiTheme="minorHAnsi"/>
          <w:sz w:val="24"/>
          <w:szCs w:val="24"/>
          <w:u w:color="000000"/>
        </w:rPr>
        <w:t>Použitelnou předběžnou podmínkou</w:t>
      </w:r>
      <w:r w:rsidR="00504377" w:rsidRPr="00B60EFD">
        <w:rPr>
          <w:rFonts w:asciiTheme="minorHAnsi" w:hAnsiTheme="minorHAnsi"/>
          <w:sz w:val="24"/>
          <w:szCs w:val="24"/>
          <w:u w:color="000000"/>
        </w:rPr>
        <w:t xml:space="preserve"> se rozumí předem přesně vymezený podstatný faktor, který je nezbytným předpokladem pro účinné a efektivní splnění specifického cíle investiční priority nebo prority Unie, je s plněním tohoto cíle přímo a skutečně spojen a má na jeho účinné a efektivní splnění přímý vliv.</w:t>
      </w:r>
      <w:r w:rsidR="008C3774" w:rsidRPr="00B60EFD">
        <w:rPr>
          <w:rFonts w:asciiTheme="minorHAnsi" w:hAnsiTheme="minorHAnsi"/>
          <w:sz w:val="24"/>
          <w:szCs w:val="24"/>
          <w:u w:color="000000"/>
        </w:rPr>
        <w:t xml:space="preserve"> Specifický cíl je výsledek, k jehož dosažení má investiční priorita nebo priorita Unie</w:t>
      </w:r>
      <w:r w:rsidR="00153CE3" w:rsidRPr="00B60EFD">
        <w:rPr>
          <w:rFonts w:asciiTheme="minorHAnsi" w:hAnsiTheme="minorHAnsi"/>
          <w:sz w:val="24"/>
          <w:szCs w:val="24"/>
          <w:u w:color="000000"/>
        </w:rPr>
        <w:t xml:space="preserve"> přispět prostřednictvím kroků či opatření přijatých v rámci určité priority.</w:t>
      </w:r>
    </w:p>
    <w:p w:rsidR="00CD2835" w:rsidRPr="00B60EFD" w:rsidRDefault="00CD2835" w:rsidP="007B1623">
      <w:pPr>
        <w:pStyle w:val="Styl2"/>
        <w:spacing w:before="120" w:after="0"/>
        <w:rPr>
          <w:rFonts w:asciiTheme="minorHAnsi" w:hAnsiTheme="minorHAnsi"/>
          <w:sz w:val="24"/>
          <w:szCs w:val="24"/>
          <w:u w:color="000000"/>
        </w:rPr>
      </w:pPr>
      <w:r w:rsidRPr="00B60EFD">
        <w:rPr>
          <w:rFonts w:asciiTheme="minorHAnsi" w:hAnsiTheme="minorHAnsi"/>
          <w:sz w:val="24"/>
          <w:szCs w:val="24"/>
          <w:u w:color="000000"/>
        </w:rPr>
        <w:t xml:space="preserve">Specifické cíle jsou stanoveny v dohodách mezi členskými státy a Evropskou komisí </w:t>
      </w:r>
      <w:r w:rsidR="00126397">
        <w:rPr>
          <w:rFonts w:asciiTheme="minorHAnsi" w:hAnsiTheme="minorHAnsi"/>
          <w:sz w:val="24"/>
          <w:szCs w:val="24"/>
          <w:u w:color="000000"/>
        </w:rPr>
        <w:br/>
      </w:r>
      <w:r w:rsidRPr="00B60EFD">
        <w:rPr>
          <w:rFonts w:asciiTheme="minorHAnsi" w:hAnsiTheme="minorHAnsi"/>
          <w:sz w:val="24"/>
          <w:szCs w:val="24"/>
          <w:u w:color="000000"/>
        </w:rPr>
        <w:t>a odpovídají výsledkům</w:t>
      </w:r>
      <w:r w:rsidR="0063689B" w:rsidRPr="00B60EFD">
        <w:rPr>
          <w:rFonts w:asciiTheme="minorHAnsi" w:hAnsiTheme="minorHAnsi"/>
          <w:sz w:val="24"/>
          <w:szCs w:val="24"/>
          <w:u w:color="000000"/>
        </w:rPr>
        <w:t>, kterých má být dosaženo prostřednictvím opatření v rámci priorit. Je zcela nezbytné, aby byly specifické cíle jednoznačně a přesně nadefinovány</w:t>
      </w:r>
      <w:r w:rsidR="006D3EC6" w:rsidRPr="00B60EFD">
        <w:rPr>
          <w:rFonts w:asciiTheme="minorHAnsi" w:hAnsiTheme="minorHAnsi"/>
          <w:sz w:val="24"/>
          <w:szCs w:val="24"/>
          <w:u w:color="000000"/>
        </w:rPr>
        <w:t xml:space="preserve">. </w:t>
      </w:r>
      <w:r w:rsidR="00C628BD" w:rsidRPr="00B60EFD">
        <w:rPr>
          <w:rFonts w:asciiTheme="minorHAnsi" w:hAnsiTheme="minorHAnsi"/>
          <w:sz w:val="24"/>
          <w:szCs w:val="24"/>
          <w:u w:color="000000"/>
        </w:rPr>
        <w:t>Nejsou-li specifické cíle adekvátně vyjádřeny, může být předběžná podmínk</w:t>
      </w:r>
      <w:r w:rsidR="00641339" w:rsidRPr="00B60EFD">
        <w:rPr>
          <w:rFonts w:asciiTheme="minorHAnsi" w:hAnsiTheme="minorHAnsi"/>
          <w:sz w:val="24"/>
          <w:szCs w:val="24"/>
          <w:u w:color="000000"/>
        </w:rPr>
        <w:t>a</w:t>
      </w:r>
      <w:r w:rsidR="00C628BD" w:rsidRPr="00B60EFD">
        <w:rPr>
          <w:rFonts w:asciiTheme="minorHAnsi" w:hAnsiTheme="minorHAnsi"/>
          <w:sz w:val="24"/>
          <w:szCs w:val="24"/>
          <w:u w:color="000000"/>
        </w:rPr>
        <w:t xml:space="preserve"> mylně interpretována jako neaplikovatelná i přesto, že má přímý vliv </w:t>
      </w:r>
      <w:r w:rsidR="002146F4" w:rsidRPr="00B60EFD">
        <w:rPr>
          <w:rFonts w:asciiTheme="minorHAnsi" w:hAnsiTheme="minorHAnsi"/>
          <w:sz w:val="24"/>
          <w:szCs w:val="24"/>
          <w:u w:color="000000"/>
        </w:rPr>
        <w:t>na účinnost a efektivitu</w:t>
      </w:r>
      <w:r w:rsidR="0051076E" w:rsidRPr="00B60EFD">
        <w:rPr>
          <w:rFonts w:asciiTheme="minorHAnsi" w:hAnsiTheme="minorHAnsi"/>
          <w:sz w:val="24"/>
          <w:szCs w:val="24"/>
          <w:u w:color="000000"/>
        </w:rPr>
        <w:t xml:space="preserve"> podpory. Proces vyhodnocení použitelnosti předběžných podmínek je nutné realizovat ještě před formálním předložením programů Evropské komisi.</w:t>
      </w:r>
    </w:p>
    <w:p w:rsidR="00764716" w:rsidRPr="00B60EFD" w:rsidRDefault="00764716" w:rsidP="007B1623">
      <w:pPr>
        <w:pStyle w:val="Styl2"/>
        <w:spacing w:before="120" w:after="0"/>
        <w:rPr>
          <w:rFonts w:asciiTheme="minorHAnsi" w:hAnsiTheme="minorHAnsi"/>
          <w:sz w:val="24"/>
          <w:szCs w:val="24"/>
          <w:u w:color="000000"/>
        </w:rPr>
      </w:pPr>
      <w:r w:rsidRPr="00B60EFD">
        <w:rPr>
          <w:rFonts w:asciiTheme="minorHAnsi" w:hAnsiTheme="minorHAnsi"/>
          <w:sz w:val="24"/>
          <w:szCs w:val="24"/>
          <w:u w:color="000000"/>
        </w:rPr>
        <w:t>Nejdříve je nutné vyhodnotit, zda existuje vazba mezi předběžnou podmínkou a investiční prioritou nebo prioritou Unie definovanou ve speciálních nařízeních pro fondy.</w:t>
      </w:r>
      <w:r w:rsidR="00D825CB" w:rsidRPr="00B60EFD">
        <w:rPr>
          <w:rFonts w:asciiTheme="minorHAnsi" w:hAnsiTheme="minorHAnsi"/>
          <w:sz w:val="24"/>
          <w:szCs w:val="24"/>
          <w:u w:color="000000"/>
        </w:rPr>
        <w:t xml:space="preserve"> Jestliže je předběžná podmínka považována za použitelnou, má se zároveň za to, že </w:t>
      </w:r>
      <w:r w:rsidR="00CB2798" w:rsidRPr="00B60EFD">
        <w:rPr>
          <w:rFonts w:asciiTheme="minorHAnsi" w:hAnsiTheme="minorHAnsi"/>
          <w:sz w:val="24"/>
          <w:szCs w:val="24"/>
          <w:u w:color="000000"/>
        </w:rPr>
        <w:t xml:space="preserve">je souvislost </w:t>
      </w:r>
      <w:r w:rsidR="001A5A8E">
        <w:rPr>
          <w:rFonts w:asciiTheme="minorHAnsi" w:hAnsiTheme="minorHAnsi"/>
          <w:sz w:val="24"/>
          <w:szCs w:val="24"/>
          <w:u w:color="000000"/>
        </w:rPr>
        <w:br/>
      </w:r>
      <w:r w:rsidR="00CB2798" w:rsidRPr="00B60EFD">
        <w:rPr>
          <w:rFonts w:asciiTheme="minorHAnsi" w:hAnsiTheme="minorHAnsi"/>
          <w:sz w:val="24"/>
          <w:szCs w:val="24"/>
          <w:u w:color="000000"/>
        </w:rPr>
        <w:t>i mezi specifickým cílem/pri</w:t>
      </w:r>
      <w:r w:rsidR="00CA4C26" w:rsidRPr="00B60EFD">
        <w:rPr>
          <w:rFonts w:asciiTheme="minorHAnsi" w:hAnsiTheme="minorHAnsi"/>
          <w:sz w:val="24"/>
          <w:szCs w:val="24"/>
          <w:u w:color="000000"/>
        </w:rPr>
        <w:t>o</w:t>
      </w:r>
      <w:r w:rsidR="00CB2798" w:rsidRPr="00B60EFD">
        <w:rPr>
          <w:rFonts w:asciiTheme="minorHAnsi" w:hAnsiTheme="minorHAnsi"/>
          <w:sz w:val="24"/>
          <w:szCs w:val="24"/>
          <w:u w:color="000000"/>
        </w:rPr>
        <w:t>ritní oblastí a předběžnou podmínkou. Kde nelze vyhodnotit předběžnou podmínku jako použitelnou</w:t>
      </w:r>
      <w:r w:rsidR="009351A2" w:rsidRPr="00B60EFD">
        <w:rPr>
          <w:rFonts w:asciiTheme="minorHAnsi" w:hAnsiTheme="minorHAnsi"/>
          <w:sz w:val="24"/>
          <w:szCs w:val="24"/>
          <w:u w:color="000000"/>
        </w:rPr>
        <w:t xml:space="preserve"> na základě </w:t>
      </w:r>
      <w:r w:rsidR="00155EC5" w:rsidRPr="00B60EFD">
        <w:rPr>
          <w:rFonts w:asciiTheme="minorHAnsi" w:hAnsiTheme="minorHAnsi"/>
          <w:sz w:val="24"/>
          <w:szCs w:val="24"/>
          <w:u w:color="000000"/>
        </w:rPr>
        <w:t xml:space="preserve">ustanovení specifických nařízení, použitelnost </w:t>
      </w:r>
      <w:r w:rsidR="00CA4C26" w:rsidRPr="00B60EFD">
        <w:rPr>
          <w:rFonts w:asciiTheme="minorHAnsi" w:hAnsiTheme="minorHAnsi"/>
          <w:sz w:val="24"/>
          <w:szCs w:val="24"/>
          <w:u w:color="000000"/>
        </w:rPr>
        <w:t xml:space="preserve">tematických </w:t>
      </w:r>
      <w:r w:rsidR="00155EC5" w:rsidRPr="00B60EFD">
        <w:rPr>
          <w:rFonts w:asciiTheme="minorHAnsi" w:hAnsiTheme="minorHAnsi"/>
          <w:sz w:val="24"/>
          <w:szCs w:val="24"/>
          <w:u w:color="000000"/>
        </w:rPr>
        <w:t>předběžn</w:t>
      </w:r>
      <w:r w:rsidR="00CA4C26" w:rsidRPr="00B60EFD">
        <w:rPr>
          <w:rFonts w:asciiTheme="minorHAnsi" w:hAnsiTheme="minorHAnsi"/>
          <w:sz w:val="24"/>
          <w:szCs w:val="24"/>
          <w:u w:color="000000"/>
        </w:rPr>
        <w:t>ých</w:t>
      </w:r>
      <w:r w:rsidR="00155EC5" w:rsidRPr="00B60EFD">
        <w:rPr>
          <w:rFonts w:asciiTheme="minorHAnsi" w:hAnsiTheme="minorHAnsi"/>
          <w:sz w:val="24"/>
          <w:szCs w:val="24"/>
          <w:u w:color="000000"/>
        </w:rPr>
        <w:t xml:space="preserve"> podmín</w:t>
      </w:r>
      <w:r w:rsidR="00CA4C26" w:rsidRPr="00B60EFD">
        <w:rPr>
          <w:rFonts w:asciiTheme="minorHAnsi" w:hAnsiTheme="minorHAnsi"/>
          <w:sz w:val="24"/>
          <w:szCs w:val="24"/>
          <w:u w:color="000000"/>
        </w:rPr>
        <w:t xml:space="preserve">ek má být posuzována specifického cíle/prioritní oblasti. </w:t>
      </w:r>
    </w:p>
    <w:p w:rsidR="00BD6950" w:rsidRPr="00B60EFD" w:rsidRDefault="00CA4C26" w:rsidP="007B1623">
      <w:pPr>
        <w:pStyle w:val="Styl2"/>
        <w:spacing w:before="120" w:after="0"/>
        <w:rPr>
          <w:rFonts w:asciiTheme="minorHAnsi" w:hAnsiTheme="minorHAnsi"/>
          <w:sz w:val="24"/>
          <w:szCs w:val="24"/>
          <w:u w:color="000000"/>
        </w:rPr>
      </w:pPr>
      <w:r w:rsidRPr="00B60EFD">
        <w:rPr>
          <w:rFonts w:asciiTheme="minorHAnsi" w:hAnsiTheme="minorHAnsi"/>
          <w:sz w:val="24"/>
          <w:szCs w:val="24"/>
          <w:u w:color="000000"/>
        </w:rPr>
        <w:t>Předběžná podmínka musí být</w:t>
      </w:r>
      <w:r w:rsidR="00E2167C" w:rsidRPr="00B60EFD">
        <w:rPr>
          <w:rFonts w:asciiTheme="minorHAnsi" w:hAnsiTheme="minorHAnsi"/>
          <w:sz w:val="24"/>
          <w:szCs w:val="24"/>
          <w:u w:color="000000"/>
        </w:rPr>
        <w:t xml:space="preserve"> předvídatelná</w:t>
      </w:r>
      <w:r w:rsidR="007B1623" w:rsidRPr="00B60EFD">
        <w:rPr>
          <w:rFonts w:asciiTheme="minorHAnsi" w:hAnsiTheme="minorHAnsi"/>
          <w:sz w:val="24"/>
          <w:szCs w:val="24"/>
          <w:u w:color="000000"/>
        </w:rPr>
        <w:t>,</w:t>
      </w:r>
      <w:r w:rsidR="00E2167C" w:rsidRPr="00B60EFD">
        <w:rPr>
          <w:rFonts w:asciiTheme="minorHAnsi" w:hAnsiTheme="minorHAnsi"/>
          <w:sz w:val="24"/>
          <w:szCs w:val="24"/>
          <w:u w:color="000000"/>
        </w:rPr>
        <w:t xml:space="preserve"> tzn. že je m</w:t>
      </w:r>
      <w:r w:rsidR="00F35251" w:rsidRPr="00B60EFD">
        <w:rPr>
          <w:rFonts w:asciiTheme="minorHAnsi" w:hAnsiTheme="minorHAnsi"/>
          <w:sz w:val="24"/>
          <w:szCs w:val="24"/>
          <w:u w:color="000000"/>
        </w:rPr>
        <w:t>ožné prokázat, že dosažení specifického cíle/prioritní oblasti bude více účinné a efektivní s předběžnou podmínkou než bez ní. Dále je možné prokázat vazbu mezi</w:t>
      </w:r>
      <w:r w:rsidR="0024078F" w:rsidRPr="00B60EFD">
        <w:rPr>
          <w:rFonts w:asciiTheme="minorHAnsi" w:hAnsiTheme="minorHAnsi"/>
          <w:sz w:val="24"/>
          <w:szCs w:val="24"/>
          <w:u w:color="000000"/>
        </w:rPr>
        <w:t xml:space="preserve"> nesplněním předběžné podmínky a významným snížením účinnosti a efektivity dosahování specifických cílů. Předběžná podmínky musí mít přímý dopad</w:t>
      </w:r>
      <w:r w:rsidR="00BD6950" w:rsidRPr="00B60EFD">
        <w:rPr>
          <w:rFonts w:asciiTheme="minorHAnsi" w:hAnsiTheme="minorHAnsi"/>
          <w:sz w:val="24"/>
          <w:szCs w:val="24"/>
          <w:u w:color="000000"/>
        </w:rPr>
        <w:t xml:space="preserve">, tzn. že je možné prokázat, že nerespektování předběžné podmínky povede k potenciálnímu riziku nedosažení výsledků nebo efektivity, případně vysokým nákladům </w:t>
      </w:r>
      <w:r w:rsidR="001A5A8E">
        <w:rPr>
          <w:rFonts w:asciiTheme="minorHAnsi" w:hAnsiTheme="minorHAnsi"/>
          <w:sz w:val="24"/>
          <w:szCs w:val="24"/>
          <w:u w:color="000000"/>
        </w:rPr>
        <w:br/>
      </w:r>
      <w:r w:rsidR="00BD6950" w:rsidRPr="00B60EFD">
        <w:rPr>
          <w:rFonts w:asciiTheme="minorHAnsi" w:hAnsiTheme="minorHAnsi"/>
          <w:sz w:val="24"/>
          <w:szCs w:val="24"/>
          <w:u w:color="000000"/>
        </w:rPr>
        <w:t>a zdržením v souvislosti s implementací.</w:t>
      </w:r>
    </w:p>
    <w:p w:rsidR="00860A38" w:rsidRPr="00B60EFD" w:rsidRDefault="00BD6950" w:rsidP="007B1623">
      <w:pPr>
        <w:pStyle w:val="Styl2"/>
        <w:spacing w:before="120" w:after="0"/>
        <w:rPr>
          <w:rFonts w:asciiTheme="minorHAnsi" w:hAnsiTheme="minorHAnsi"/>
          <w:sz w:val="24"/>
          <w:szCs w:val="24"/>
          <w:u w:color="000000"/>
        </w:rPr>
      </w:pPr>
      <w:r w:rsidRPr="00B60EFD">
        <w:rPr>
          <w:rFonts w:asciiTheme="minorHAnsi" w:hAnsiTheme="minorHAnsi"/>
          <w:sz w:val="24"/>
          <w:szCs w:val="24"/>
          <w:u w:color="000000"/>
        </w:rPr>
        <w:t xml:space="preserve">Je doporučováno začít nejdříve s vyhodnocením dopadů </w:t>
      </w:r>
      <w:r w:rsidR="00091BCC" w:rsidRPr="00B60EFD">
        <w:rPr>
          <w:rFonts w:asciiTheme="minorHAnsi" w:hAnsiTheme="minorHAnsi"/>
          <w:sz w:val="24"/>
          <w:szCs w:val="24"/>
          <w:u w:color="000000"/>
        </w:rPr>
        <w:t xml:space="preserve">předběžné podmínky na účinnost </w:t>
      </w:r>
      <w:r w:rsidR="001A5A8E">
        <w:rPr>
          <w:rFonts w:asciiTheme="minorHAnsi" w:hAnsiTheme="minorHAnsi"/>
          <w:sz w:val="24"/>
          <w:szCs w:val="24"/>
          <w:u w:color="000000"/>
        </w:rPr>
        <w:br/>
      </w:r>
      <w:r w:rsidR="00091BCC" w:rsidRPr="00B60EFD">
        <w:rPr>
          <w:rFonts w:asciiTheme="minorHAnsi" w:hAnsiTheme="minorHAnsi"/>
          <w:sz w:val="24"/>
          <w:szCs w:val="24"/>
          <w:u w:color="000000"/>
        </w:rPr>
        <w:t>a efektivitu. V případě, že žádny dopad není identifikován, je možné předběžnou podmínku vyhodnotit jako n</w:t>
      </w:r>
      <w:r w:rsidR="007B1623" w:rsidRPr="00B60EFD">
        <w:rPr>
          <w:rFonts w:asciiTheme="minorHAnsi" w:hAnsiTheme="minorHAnsi"/>
          <w:sz w:val="24"/>
          <w:szCs w:val="24"/>
          <w:u w:color="000000"/>
        </w:rPr>
        <w:t>e</w:t>
      </w:r>
      <w:r w:rsidR="00091BCC" w:rsidRPr="00B60EFD">
        <w:rPr>
          <w:rFonts w:asciiTheme="minorHAnsi" w:hAnsiTheme="minorHAnsi"/>
          <w:sz w:val="24"/>
          <w:szCs w:val="24"/>
          <w:u w:color="000000"/>
        </w:rPr>
        <w:t>aplikovatelnou.</w:t>
      </w:r>
    </w:p>
    <w:p w:rsidR="002A54A5" w:rsidRPr="00B60EFD" w:rsidRDefault="00860A38" w:rsidP="007B1623">
      <w:pPr>
        <w:pStyle w:val="Styl2"/>
        <w:spacing w:before="120" w:after="0"/>
        <w:rPr>
          <w:rFonts w:asciiTheme="minorHAnsi" w:hAnsiTheme="minorHAnsi"/>
          <w:sz w:val="24"/>
          <w:szCs w:val="24"/>
          <w:u w:color="000000"/>
        </w:rPr>
      </w:pPr>
      <w:r w:rsidRPr="00B60EFD">
        <w:rPr>
          <w:rFonts w:asciiTheme="minorHAnsi" w:hAnsiTheme="minorHAnsi"/>
          <w:sz w:val="24"/>
          <w:szCs w:val="24"/>
          <w:u w:color="000000"/>
        </w:rPr>
        <w:t>Evropská komise bude vždy předpokládat, že t</w:t>
      </w:r>
      <w:r w:rsidR="007B1623" w:rsidRPr="00B60EFD">
        <w:rPr>
          <w:rFonts w:asciiTheme="minorHAnsi" w:hAnsiTheme="minorHAnsi"/>
          <w:sz w:val="24"/>
          <w:szCs w:val="24"/>
          <w:u w:color="000000"/>
        </w:rPr>
        <w:t>e</w:t>
      </w:r>
      <w:r w:rsidRPr="00B60EFD">
        <w:rPr>
          <w:rFonts w:asciiTheme="minorHAnsi" w:hAnsiTheme="minorHAnsi"/>
          <w:sz w:val="24"/>
          <w:szCs w:val="24"/>
          <w:u w:color="000000"/>
        </w:rPr>
        <w:t>matické předběžné podmínky jsou vždy použitelné v případě, že investiční priorita/priorita Unie je vybrána do daného operačního programu. V případě, že členský stát vyhodnotí předběžnou podmínku jako neaplikovatelnou, je nutné takovéto vyhodnocení náležitě zdůvodnit.</w:t>
      </w:r>
    </w:p>
    <w:p w:rsidR="00CA4C26" w:rsidRPr="00B60EFD" w:rsidRDefault="002A54A5" w:rsidP="007B1623">
      <w:pPr>
        <w:pStyle w:val="Styl2"/>
        <w:spacing w:before="120" w:after="0"/>
        <w:rPr>
          <w:rFonts w:asciiTheme="minorHAnsi" w:hAnsiTheme="minorHAnsi"/>
          <w:sz w:val="24"/>
          <w:szCs w:val="24"/>
          <w:u w:color="000000"/>
        </w:rPr>
      </w:pPr>
      <w:r w:rsidRPr="00B60EFD">
        <w:rPr>
          <w:rFonts w:asciiTheme="minorHAnsi" w:hAnsiTheme="minorHAnsi"/>
          <w:sz w:val="24"/>
          <w:szCs w:val="24"/>
          <w:u w:color="000000"/>
        </w:rPr>
        <w:t xml:space="preserve">V případě obecných předběžných podmínek je nutné vždy ověřit jejich aplikovatelnost </w:t>
      </w:r>
      <w:r w:rsidR="001A5A8E">
        <w:rPr>
          <w:rFonts w:asciiTheme="minorHAnsi" w:hAnsiTheme="minorHAnsi"/>
          <w:sz w:val="24"/>
          <w:szCs w:val="24"/>
          <w:u w:color="000000"/>
        </w:rPr>
        <w:br/>
      </w:r>
      <w:r w:rsidRPr="00B60EFD">
        <w:rPr>
          <w:rFonts w:asciiTheme="minorHAnsi" w:hAnsiTheme="minorHAnsi"/>
          <w:sz w:val="24"/>
          <w:szCs w:val="24"/>
          <w:u w:color="000000"/>
        </w:rPr>
        <w:t>ve vztahu ke specifickým cílům všech investičních priorit a priorit Unie.</w:t>
      </w:r>
      <w:r w:rsidR="0077483B" w:rsidRPr="00B60EFD">
        <w:rPr>
          <w:rFonts w:asciiTheme="minorHAnsi" w:hAnsiTheme="minorHAnsi"/>
          <w:sz w:val="24"/>
          <w:szCs w:val="24"/>
          <w:u w:color="000000"/>
        </w:rPr>
        <w:t xml:space="preserve"> </w:t>
      </w:r>
      <w:r w:rsidR="007B1623" w:rsidRPr="00B60EFD">
        <w:rPr>
          <w:rFonts w:asciiTheme="minorHAnsi" w:hAnsiTheme="minorHAnsi"/>
          <w:sz w:val="24"/>
          <w:szCs w:val="24"/>
          <w:u w:color="000000"/>
        </w:rPr>
        <w:t>O</w:t>
      </w:r>
      <w:r w:rsidR="0077483B" w:rsidRPr="00B60EFD">
        <w:rPr>
          <w:rFonts w:asciiTheme="minorHAnsi" w:hAnsiTheme="minorHAnsi"/>
          <w:sz w:val="24"/>
          <w:szCs w:val="24"/>
          <w:u w:color="000000"/>
        </w:rPr>
        <w:t>becná předběžná podmínka bude aplikovatelná na úrovni programů nebo priorit za předpokladu, že má obdobné typy intervencí, příjemců a cílových skupin.</w:t>
      </w:r>
      <w:r w:rsidR="0024078F" w:rsidRPr="00B60EFD">
        <w:rPr>
          <w:rFonts w:asciiTheme="minorHAnsi" w:hAnsiTheme="minorHAnsi"/>
          <w:sz w:val="24"/>
          <w:szCs w:val="24"/>
          <w:u w:color="000000"/>
        </w:rPr>
        <w:t xml:space="preserve"> </w:t>
      </w:r>
    </w:p>
    <w:p w:rsidR="003257AA" w:rsidRPr="00B60EFD" w:rsidRDefault="003257AA" w:rsidP="007B1623">
      <w:pPr>
        <w:pStyle w:val="Styl2"/>
        <w:spacing w:before="120" w:after="0"/>
        <w:rPr>
          <w:rFonts w:asciiTheme="minorHAnsi" w:hAnsiTheme="minorHAnsi"/>
          <w:sz w:val="24"/>
          <w:szCs w:val="24"/>
          <w:u w:val="single"/>
        </w:rPr>
      </w:pPr>
      <w:r w:rsidRPr="00B60EFD">
        <w:rPr>
          <w:rFonts w:asciiTheme="minorHAnsi" w:hAnsiTheme="minorHAnsi"/>
          <w:sz w:val="24"/>
          <w:szCs w:val="24"/>
          <w:u w:val="single"/>
        </w:rPr>
        <w:t>Hodnocení splnění předběžné podmínky</w:t>
      </w:r>
    </w:p>
    <w:p w:rsidR="00764716" w:rsidRPr="00B60EFD" w:rsidRDefault="00E97CDF" w:rsidP="007B1623">
      <w:pPr>
        <w:pStyle w:val="Styl2"/>
        <w:spacing w:before="0" w:after="0"/>
        <w:rPr>
          <w:rFonts w:asciiTheme="minorHAnsi" w:hAnsiTheme="minorHAnsi"/>
          <w:sz w:val="24"/>
          <w:szCs w:val="24"/>
          <w:u w:color="000000"/>
        </w:rPr>
      </w:pPr>
      <w:r w:rsidRPr="00B60EFD">
        <w:rPr>
          <w:rFonts w:asciiTheme="minorHAnsi" w:hAnsiTheme="minorHAnsi"/>
          <w:sz w:val="24"/>
          <w:szCs w:val="24"/>
          <w:u w:color="000000"/>
        </w:rPr>
        <w:t>P</w:t>
      </w:r>
      <w:r w:rsidR="003257AA" w:rsidRPr="00B60EFD">
        <w:rPr>
          <w:rFonts w:asciiTheme="minorHAnsi" w:hAnsiTheme="minorHAnsi"/>
          <w:sz w:val="24"/>
          <w:szCs w:val="24"/>
          <w:u w:color="000000"/>
        </w:rPr>
        <w:t>ředběžná podmínka je považována za splněnou, jsou-li splněny všechna kriteria. Je tedy nutné vyhodnotit každé jednotlivé kriterium</w:t>
      </w:r>
      <w:r w:rsidRPr="00B60EFD">
        <w:rPr>
          <w:rFonts w:asciiTheme="minorHAnsi" w:hAnsiTheme="minorHAnsi"/>
          <w:sz w:val="24"/>
          <w:szCs w:val="24"/>
          <w:u w:color="000000"/>
        </w:rPr>
        <w:t xml:space="preserve"> zvlášť</w:t>
      </w:r>
      <w:r w:rsidR="003257AA" w:rsidRPr="00B60EFD">
        <w:rPr>
          <w:rFonts w:asciiTheme="minorHAnsi" w:hAnsiTheme="minorHAnsi"/>
          <w:sz w:val="24"/>
          <w:szCs w:val="24"/>
          <w:u w:color="000000"/>
        </w:rPr>
        <w:t>.</w:t>
      </w:r>
      <w:r w:rsidRPr="00B60EFD">
        <w:rPr>
          <w:rFonts w:asciiTheme="minorHAnsi" w:hAnsiTheme="minorHAnsi"/>
          <w:sz w:val="24"/>
          <w:szCs w:val="24"/>
          <w:u w:color="000000"/>
        </w:rPr>
        <w:t xml:space="preserve"> V části II Guidance jsou uvedeny </w:t>
      </w:r>
      <w:r w:rsidR="00C930C2" w:rsidRPr="00B60EFD">
        <w:rPr>
          <w:rFonts w:asciiTheme="minorHAnsi" w:hAnsiTheme="minorHAnsi"/>
          <w:sz w:val="24"/>
          <w:szCs w:val="24"/>
          <w:u w:color="000000"/>
        </w:rPr>
        <w:t>asses</w:t>
      </w:r>
      <w:r w:rsidR="003523ED" w:rsidRPr="00B60EFD">
        <w:rPr>
          <w:rFonts w:asciiTheme="minorHAnsi" w:hAnsiTheme="minorHAnsi"/>
          <w:sz w:val="24"/>
          <w:szCs w:val="24"/>
          <w:u w:color="000000"/>
        </w:rPr>
        <w:t>sment grids</w:t>
      </w:r>
      <w:r w:rsidR="00C930C2" w:rsidRPr="00B60EFD">
        <w:rPr>
          <w:rFonts w:asciiTheme="minorHAnsi" w:hAnsiTheme="minorHAnsi"/>
          <w:sz w:val="24"/>
          <w:szCs w:val="24"/>
          <w:u w:color="000000"/>
        </w:rPr>
        <w:t>, které obsahují veškeré relevantní prvky, jež musí vyhodnocení obsahovat.</w:t>
      </w:r>
    </w:p>
    <w:p w:rsidR="00155A15" w:rsidRPr="00B60EFD" w:rsidRDefault="003523ED" w:rsidP="007B1623">
      <w:pPr>
        <w:pStyle w:val="Styl2"/>
        <w:spacing w:before="120" w:after="0"/>
        <w:rPr>
          <w:rFonts w:asciiTheme="minorHAnsi" w:hAnsiTheme="minorHAnsi"/>
          <w:sz w:val="24"/>
          <w:szCs w:val="24"/>
          <w:u w:color="000000"/>
        </w:rPr>
      </w:pPr>
      <w:r w:rsidRPr="00B60EFD">
        <w:rPr>
          <w:rFonts w:asciiTheme="minorHAnsi" w:hAnsiTheme="minorHAnsi"/>
          <w:sz w:val="24"/>
          <w:szCs w:val="24"/>
          <w:u w:color="000000"/>
        </w:rPr>
        <w:t>V případě, že předběžná podmínka není splněná, členské státy uvedou ve svých operačních programech, taková opatření</w:t>
      </w:r>
      <w:r w:rsidR="00AA4A18" w:rsidRPr="00B60EFD">
        <w:rPr>
          <w:rFonts w:asciiTheme="minorHAnsi" w:hAnsiTheme="minorHAnsi"/>
          <w:sz w:val="24"/>
          <w:szCs w:val="24"/>
          <w:u w:color="000000"/>
        </w:rPr>
        <w:t>,</w:t>
      </w:r>
      <w:r w:rsidRPr="00B60EFD">
        <w:rPr>
          <w:rFonts w:asciiTheme="minorHAnsi" w:hAnsiTheme="minorHAnsi"/>
          <w:sz w:val="24"/>
          <w:szCs w:val="24"/>
          <w:u w:color="000000"/>
        </w:rPr>
        <w:t xml:space="preserve"> která se chystají přijmout případně zrealizovat</w:t>
      </w:r>
      <w:r w:rsidR="00D81A4C" w:rsidRPr="00B60EFD">
        <w:rPr>
          <w:rFonts w:asciiTheme="minorHAnsi" w:hAnsiTheme="minorHAnsi"/>
          <w:sz w:val="24"/>
          <w:szCs w:val="24"/>
          <w:u w:color="000000"/>
        </w:rPr>
        <w:t>, aby bylo zajištěno splnění nejpozději na konci roku 2016. V této souvislosti bude vypracován Akční plán. V akčním plánu musí být detailně popsán</w:t>
      </w:r>
      <w:r w:rsidR="004F22DF" w:rsidRPr="00B60EFD">
        <w:rPr>
          <w:rFonts w:asciiTheme="minorHAnsi" w:hAnsiTheme="minorHAnsi"/>
          <w:sz w:val="24"/>
          <w:szCs w:val="24"/>
          <w:u w:color="000000"/>
        </w:rPr>
        <w:t>a opatření k zajištění splnění, identifikovány odpovědné subjekty a zároveň musí obsahovat harmonogram.</w:t>
      </w:r>
    </w:p>
    <w:p w:rsidR="002E39AA" w:rsidRPr="00B60EFD" w:rsidRDefault="002E39AA" w:rsidP="007B1623">
      <w:pPr>
        <w:pStyle w:val="Styl2"/>
        <w:spacing w:before="120" w:after="0"/>
        <w:rPr>
          <w:rFonts w:asciiTheme="minorHAnsi" w:hAnsiTheme="minorHAnsi"/>
          <w:sz w:val="24"/>
          <w:szCs w:val="24"/>
          <w:u w:color="000000"/>
        </w:rPr>
      </w:pPr>
      <w:r w:rsidRPr="00B60EFD">
        <w:rPr>
          <w:rFonts w:asciiTheme="minorHAnsi" w:hAnsiTheme="minorHAnsi"/>
          <w:sz w:val="24"/>
          <w:szCs w:val="24"/>
          <w:u w:color="000000"/>
        </w:rPr>
        <w:t xml:space="preserve">V případě, že je předběžná podmínka splněna, je nezbytné uvést relevantní odkazy </w:t>
      </w:r>
      <w:r w:rsidR="001A5A8E">
        <w:rPr>
          <w:rFonts w:asciiTheme="minorHAnsi" w:hAnsiTheme="minorHAnsi"/>
          <w:sz w:val="24"/>
          <w:szCs w:val="24"/>
          <w:u w:color="000000"/>
        </w:rPr>
        <w:br/>
      </w:r>
      <w:r w:rsidRPr="00B60EFD">
        <w:rPr>
          <w:rFonts w:asciiTheme="minorHAnsi" w:hAnsiTheme="minorHAnsi"/>
          <w:sz w:val="24"/>
          <w:szCs w:val="24"/>
          <w:u w:color="000000"/>
        </w:rPr>
        <w:t>na dokumenty, zákony atd.</w:t>
      </w:r>
    </w:p>
    <w:p w:rsidR="002E3AA6" w:rsidRPr="00B60EFD" w:rsidRDefault="002E3AA6" w:rsidP="007B1623">
      <w:pPr>
        <w:pStyle w:val="Styl2"/>
        <w:spacing w:before="120" w:after="0"/>
        <w:rPr>
          <w:rFonts w:asciiTheme="minorHAnsi" w:hAnsiTheme="minorHAnsi"/>
          <w:sz w:val="24"/>
          <w:szCs w:val="24"/>
          <w:u w:val="single"/>
        </w:rPr>
      </w:pPr>
      <w:r w:rsidRPr="00B60EFD">
        <w:rPr>
          <w:rFonts w:asciiTheme="minorHAnsi" w:hAnsiTheme="minorHAnsi"/>
          <w:sz w:val="24"/>
          <w:szCs w:val="24"/>
          <w:u w:val="single"/>
        </w:rPr>
        <w:t>Significant prejudice</w:t>
      </w:r>
    </w:p>
    <w:p w:rsidR="002E3AA6" w:rsidRPr="00B60EFD" w:rsidRDefault="002E3AA6" w:rsidP="007B1623">
      <w:pPr>
        <w:pStyle w:val="Styl2"/>
        <w:spacing w:before="0" w:after="0"/>
        <w:rPr>
          <w:rFonts w:asciiTheme="minorHAnsi" w:hAnsiTheme="minorHAnsi"/>
          <w:sz w:val="24"/>
          <w:szCs w:val="24"/>
          <w:u w:color="000000"/>
        </w:rPr>
      </w:pPr>
      <w:r w:rsidRPr="00B60EFD">
        <w:rPr>
          <w:rFonts w:asciiTheme="minorHAnsi" w:hAnsiTheme="minorHAnsi"/>
          <w:sz w:val="24"/>
          <w:szCs w:val="24"/>
          <w:u w:color="000000"/>
        </w:rPr>
        <w:t xml:space="preserve">V případě, že předběžná podmínka není splněná v době předkládání programu, provede Evropská komise vyhodnocení, zda se nejedná o tzv. signifiant prejudice </w:t>
      </w:r>
      <w:r w:rsidR="00AA4A18" w:rsidRPr="00B60EFD">
        <w:rPr>
          <w:rFonts w:asciiTheme="minorHAnsi" w:hAnsiTheme="minorHAnsi"/>
          <w:sz w:val="24"/>
          <w:szCs w:val="24"/>
          <w:u w:color="000000"/>
        </w:rPr>
        <w:t>neboli</w:t>
      </w:r>
      <w:r w:rsidR="00C97084">
        <w:rPr>
          <w:rFonts w:asciiTheme="minorHAnsi" w:hAnsiTheme="minorHAnsi"/>
          <w:sz w:val="24"/>
          <w:szCs w:val="24"/>
          <w:u w:color="000000"/>
        </w:rPr>
        <w:t xml:space="preserve"> </w:t>
      </w:r>
      <w:r w:rsidRPr="00B60EFD">
        <w:rPr>
          <w:rFonts w:asciiTheme="minorHAnsi" w:hAnsiTheme="minorHAnsi"/>
          <w:sz w:val="24"/>
          <w:szCs w:val="24"/>
          <w:u w:color="000000"/>
        </w:rPr>
        <w:t>významné snížení účinnosti a efektivity dosahování specifických cílů</w:t>
      </w:r>
      <w:r w:rsidR="005B2D91" w:rsidRPr="00B60EFD">
        <w:rPr>
          <w:rFonts w:asciiTheme="minorHAnsi" w:hAnsiTheme="minorHAnsi"/>
          <w:sz w:val="24"/>
          <w:szCs w:val="24"/>
          <w:u w:color="000000"/>
        </w:rPr>
        <w:t xml:space="preserve">, které by mohlo vést k rozhodnutí </w:t>
      </w:r>
      <w:r w:rsidR="00C97084">
        <w:rPr>
          <w:rFonts w:asciiTheme="minorHAnsi" w:hAnsiTheme="minorHAnsi"/>
          <w:sz w:val="24"/>
          <w:szCs w:val="24"/>
          <w:u w:color="000000"/>
        </w:rPr>
        <w:br/>
      </w:r>
      <w:r w:rsidR="005B2D91" w:rsidRPr="00B60EFD">
        <w:rPr>
          <w:rFonts w:asciiTheme="minorHAnsi" w:hAnsiTheme="minorHAnsi"/>
          <w:sz w:val="24"/>
          <w:szCs w:val="24"/>
          <w:u w:color="000000"/>
        </w:rPr>
        <w:t xml:space="preserve">o pozastavení všech nebo částí příslušných plateb. Evropská komise vezme v potaz </w:t>
      </w:r>
      <w:r w:rsidR="00013F69" w:rsidRPr="00B60EFD">
        <w:rPr>
          <w:rFonts w:asciiTheme="minorHAnsi" w:hAnsiTheme="minorHAnsi"/>
          <w:sz w:val="24"/>
          <w:szCs w:val="24"/>
          <w:u w:color="000000"/>
        </w:rPr>
        <w:t>stupeň nesplnění, míru rizika a dále pak posoudí adekvátnost opatření navrhovaných v Akčním plánu.</w:t>
      </w:r>
    </w:p>
    <w:p w:rsidR="004C7A9E" w:rsidRPr="00B60EFD" w:rsidRDefault="0062259C" w:rsidP="007B1623">
      <w:pPr>
        <w:pStyle w:val="Styl2"/>
        <w:spacing w:before="120" w:after="0"/>
        <w:rPr>
          <w:rFonts w:asciiTheme="minorHAnsi" w:hAnsiTheme="minorHAnsi"/>
          <w:sz w:val="24"/>
          <w:szCs w:val="24"/>
          <w:u w:color="000000"/>
        </w:rPr>
      </w:pPr>
      <w:r w:rsidRPr="00B60EFD">
        <w:rPr>
          <w:rFonts w:asciiTheme="minorHAnsi" w:hAnsiTheme="minorHAnsi"/>
          <w:sz w:val="24"/>
          <w:szCs w:val="24"/>
          <w:u w:color="000000"/>
        </w:rPr>
        <w:t>Vzhledem k tomu, že se jedná o pracovní materiál a z tohoto materiálu vyplývají i mnohé nejasnosti ohledně výkladu, je nutné i nadále sledovat aktuální vývoj.</w:t>
      </w:r>
    </w:p>
    <w:p w:rsidR="000C0E01" w:rsidRPr="000C0E01" w:rsidRDefault="00282FFB" w:rsidP="000C0E01">
      <w:pPr>
        <w:pStyle w:val="Styl2"/>
        <w:spacing w:before="120" w:after="0"/>
        <w:rPr>
          <w:rFonts w:asciiTheme="minorHAnsi" w:hAnsiTheme="minorHAnsi"/>
          <w:sz w:val="24"/>
          <w:szCs w:val="24"/>
          <w:u w:color="000000"/>
        </w:rPr>
      </w:pPr>
      <w:r>
        <w:rPr>
          <w:rFonts w:asciiTheme="minorHAnsi" w:hAnsiTheme="minorHAnsi"/>
          <w:sz w:val="24"/>
          <w:szCs w:val="24"/>
          <w:u w:color="000000"/>
        </w:rPr>
        <w:t xml:space="preserve">Pro oblast rybářství je metodickým dokumentem Komise </w:t>
      </w:r>
      <w:r w:rsidRPr="000C0E01">
        <w:rPr>
          <w:rFonts w:asciiTheme="minorHAnsi" w:hAnsiTheme="minorHAnsi"/>
          <w:sz w:val="24"/>
          <w:szCs w:val="24"/>
          <w:u w:color="000000"/>
        </w:rPr>
        <w:t>„Draft Guidance on EMFF specific Ex Ante Conditionalities“.</w:t>
      </w:r>
      <w:r w:rsidRPr="00282FFB">
        <w:rPr>
          <w:rFonts w:asciiTheme="minorHAnsi" w:hAnsiTheme="minorHAnsi"/>
          <w:sz w:val="24"/>
          <w:szCs w:val="24"/>
          <w:u w:color="000000"/>
        </w:rPr>
        <w:t xml:space="preserve"> </w:t>
      </w:r>
      <w:r w:rsidR="00641339" w:rsidRPr="00B60EFD">
        <w:rPr>
          <w:rFonts w:asciiTheme="minorHAnsi" w:hAnsiTheme="minorHAnsi"/>
          <w:sz w:val="24"/>
          <w:szCs w:val="24"/>
          <w:u w:color="000000"/>
        </w:rPr>
        <w:t>P</w:t>
      </w:r>
      <w:r w:rsidRPr="00B60EFD">
        <w:rPr>
          <w:rFonts w:asciiTheme="minorHAnsi" w:hAnsiTheme="minorHAnsi"/>
          <w:sz w:val="24"/>
          <w:szCs w:val="24"/>
          <w:u w:color="000000"/>
        </w:rPr>
        <w:t xml:space="preserve">ro </w:t>
      </w:r>
      <w:r w:rsidR="00641339" w:rsidRPr="00B60EFD">
        <w:rPr>
          <w:rFonts w:asciiTheme="minorHAnsi" w:hAnsiTheme="minorHAnsi"/>
          <w:sz w:val="24"/>
          <w:szCs w:val="24"/>
          <w:u w:color="000000"/>
        </w:rPr>
        <w:t>EZFRV</w:t>
      </w:r>
      <w:r w:rsidRPr="00B60EFD">
        <w:rPr>
          <w:rFonts w:asciiTheme="minorHAnsi" w:hAnsiTheme="minorHAnsi"/>
          <w:sz w:val="24"/>
          <w:szCs w:val="24"/>
          <w:u w:color="000000"/>
        </w:rPr>
        <w:t xml:space="preserve"> dosud Komis</w:t>
      </w:r>
      <w:r w:rsidR="00641339" w:rsidRPr="00B60EFD">
        <w:rPr>
          <w:rFonts w:asciiTheme="minorHAnsi" w:hAnsiTheme="minorHAnsi"/>
          <w:sz w:val="24"/>
          <w:szCs w:val="24"/>
          <w:u w:color="000000"/>
        </w:rPr>
        <w:t>e</w:t>
      </w:r>
      <w:r w:rsidRPr="00B60EFD">
        <w:rPr>
          <w:rFonts w:asciiTheme="minorHAnsi" w:hAnsiTheme="minorHAnsi"/>
          <w:sz w:val="24"/>
          <w:szCs w:val="24"/>
          <w:u w:color="000000"/>
        </w:rPr>
        <w:t xml:space="preserve"> Draft guidance </w:t>
      </w:r>
      <w:r w:rsidR="00641339" w:rsidRPr="00B60EFD">
        <w:rPr>
          <w:rFonts w:asciiTheme="minorHAnsi" w:hAnsiTheme="minorHAnsi"/>
          <w:sz w:val="24"/>
          <w:szCs w:val="24"/>
          <w:u w:color="000000"/>
        </w:rPr>
        <w:t>nevydala</w:t>
      </w:r>
      <w:r w:rsidR="00641339">
        <w:rPr>
          <w:rFonts w:asciiTheme="minorHAnsi" w:hAnsiTheme="minorHAnsi"/>
          <w:sz w:val="24"/>
          <w:szCs w:val="24"/>
          <w:u w:color="000000"/>
        </w:rPr>
        <w:t>.</w:t>
      </w:r>
    </w:p>
    <w:p w:rsidR="009C212D" w:rsidRPr="004A481C" w:rsidRDefault="00895C14" w:rsidP="0062372F">
      <w:pPr>
        <w:pStyle w:val="Nadpis1"/>
        <w:numPr>
          <w:ilvl w:val="0"/>
          <w:numId w:val="2"/>
        </w:numPr>
        <w:spacing w:before="240" w:after="0"/>
        <w:ind w:left="425" w:hanging="425"/>
        <w:rPr>
          <w:rFonts w:asciiTheme="minorHAnsi" w:hAnsiTheme="minorHAnsi"/>
          <w:color w:val="003366"/>
          <w:sz w:val="28"/>
          <w:szCs w:val="28"/>
        </w:rPr>
      </w:pPr>
      <w:bookmarkStart w:id="10" w:name="_Toc359587664"/>
      <w:r>
        <w:rPr>
          <w:rFonts w:asciiTheme="minorHAnsi" w:hAnsiTheme="minorHAnsi"/>
          <w:color w:val="003366"/>
          <w:sz w:val="28"/>
          <w:szCs w:val="28"/>
        </w:rPr>
        <w:t xml:space="preserve">nesplnění </w:t>
      </w:r>
      <w:r w:rsidR="009C212D" w:rsidRPr="004A481C">
        <w:rPr>
          <w:rFonts w:asciiTheme="minorHAnsi" w:hAnsiTheme="minorHAnsi"/>
          <w:color w:val="003366"/>
          <w:sz w:val="28"/>
          <w:szCs w:val="28"/>
        </w:rPr>
        <w:t>předběžn</w:t>
      </w:r>
      <w:r>
        <w:rPr>
          <w:rFonts w:asciiTheme="minorHAnsi" w:hAnsiTheme="minorHAnsi"/>
          <w:color w:val="003366"/>
          <w:sz w:val="28"/>
          <w:szCs w:val="28"/>
        </w:rPr>
        <w:t>ých</w:t>
      </w:r>
      <w:r w:rsidR="009C212D" w:rsidRPr="004A481C">
        <w:rPr>
          <w:rFonts w:asciiTheme="minorHAnsi" w:hAnsiTheme="minorHAnsi"/>
          <w:color w:val="003366"/>
          <w:sz w:val="28"/>
          <w:szCs w:val="28"/>
        </w:rPr>
        <w:t xml:space="preserve"> podmín</w:t>
      </w:r>
      <w:r>
        <w:rPr>
          <w:rFonts w:asciiTheme="minorHAnsi" w:hAnsiTheme="minorHAnsi"/>
          <w:color w:val="003366"/>
          <w:sz w:val="28"/>
          <w:szCs w:val="28"/>
        </w:rPr>
        <w:t>e</w:t>
      </w:r>
      <w:r w:rsidR="009C212D" w:rsidRPr="004A481C">
        <w:rPr>
          <w:rFonts w:asciiTheme="minorHAnsi" w:hAnsiTheme="minorHAnsi"/>
          <w:color w:val="003366"/>
          <w:sz w:val="28"/>
          <w:szCs w:val="28"/>
        </w:rPr>
        <w:t>k</w:t>
      </w:r>
      <w:bookmarkEnd w:id="10"/>
    </w:p>
    <w:p w:rsidR="009C212D" w:rsidRPr="0051764B" w:rsidRDefault="009C212D" w:rsidP="009C212D">
      <w:pPr>
        <w:spacing w:before="60" w:after="60" w:line="288" w:lineRule="auto"/>
        <w:rPr>
          <w:rFonts w:asciiTheme="minorHAnsi" w:hAnsiTheme="minorHAnsi" w:cs="Arial"/>
          <w:sz w:val="24"/>
          <w:szCs w:val="24"/>
        </w:rPr>
      </w:pPr>
      <w:r w:rsidRPr="0051764B">
        <w:rPr>
          <w:rFonts w:asciiTheme="minorHAnsi" w:hAnsiTheme="minorHAnsi"/>
          <w:sz w:val="24"/>
          <w:szCs w:val="24"/>
          <w:u w:color="000000"/>
        </w:rPr>
        <w:t>Ne</w:t>
      </w:r>
      <w:r w:rsidR="00895C14" w:rsidRPr="0051764B">
        <w:rPr>
          <w:rFonts w:asciiTheme="minorHAnsi" w:hAnsiTheme="minorHAnsi"/>
          <w:sz w:val="24"/>
          <w:szCs w:val="24"/>
          <w:u w:color="000000"/>
        </w:rPr>
        <w:t>splnění předběžných podmínek respektive ne</w:t>
      </w:r>
      <w:r w:rsidRPr="0051764B">
        <w:rPr>
          <w:rFonts w:asciiTheme="minorHAnsi" w:hAnsiTheme="minorHAnsi"/>
          <w:sz w:val="24"/>
          <w:szCs w:val="24"/>
          <w:u w:color="000000"/>
        </w:rPr>
        <w:t xml:space="preserve">dokončení </w:t>
      </w:r>
      <w:r w:rsidR="00895C14" w:rsidRPr="0051764B">
        <w:rPr>
          <w:rFonts w:asciiTheme="minorHAnsi" w:hAnsiTheme="minorHAnsi"/>
          <w:sz w:val="24"/>
          <w:szCs w:val="24"/>
          <w:u w:color="000000"/>
        </w:rPr>
        <w:t xml:space="preserve">identifikovaných </w:t>
      </w:r>
      <w:r w:rsidRPr="0051764B">
        <w:rPr>
          <w:rFonts w:asciiTheme="minorHAnsi" w:hAnsiTheme="minorHAnsi"/>
          <w:sz w:val="24"/>
          <w:szCs w:val="24"/>
          <w:u w:color="000000"/>
        </w:rPr>
        <w:t xml:space="preserve">opatření </w:t>
      </w:r>
      <w:r w:rsidR="00C97084">
        <w:rPr>
          <w:rFonts w:asciiTheme="minorHAnsi" w:hAnsiTheme="minorHAnsi"/>
          <w:sz w:val="24"/>
          <w:szCs w:val="24"/>
          <w:u w:color="000000"/>
        </w:rPr>
        <w:br/>
      </w:r>
      <w:r w:rsidRPr="0051764B">
        <w:rPr>
          <w:rFonts w:asciiTheme="minorHAnsi" w:hAnsiTheme="minorHAnsi"/>
          <w:sz w:val="24"/>
          <w:szCs w:val="24"/>
          <w:u w:color="000000"/>
        </w:rPr>
        <w:t xml:space="preserve">ke splnění předběžných podmínek ve lhůtě stanovené </w:t>
      </w:r>
      <w:r w:rsidR="0048600E" w:rsidRPr="0048600E">
        <w:rPr>
          <w:rFonts w:asciiTheme="minorHAnsi" w:hAnsiTheme="minorHAnsi"/>
          <w:sz w:val="24"/>
          <w:szCs w:val="24"/>
          <w:u w:color="000000"/>
        </w:rPr>
        <w:t xml:space="preserve">Dohodě o partnerství a </w:t>
      </w:r>
      <w:r w:rsidR="0048600E">
        <w:rPr>
          <w:rFonts w:asciiTheme="minorHAnsi" w:hAnsiTheme="minorHAnsi"/>
          <w:sz w:val="24"/>
          <w:szCs w:val="24"/>
          <w:u w:color="000000"/>
        </w:rPr>
        <w:t xml:space="preserve">v </w:t>
      </w:r>
      <w:r w:rsidR="0048600E" w:rsidRPr="0048600E">
        <w:rPr>
          <w:rFonts w:asciiTheme="minorHAnsi" w:hAnsiTheme="minorHAnsi"/>
          <w:sz w:val="24"/>
          <w:szCs w:val="24"/>
          <w:u w:color="000000"/>
        </w:rPr>
        <w:t xml:space="preserve">jednotlivých </w:t>
      </w:r>
      <w:r w:rsidRPr="0051764B">
        <w:rPr>
          <w:rFonts w:asciiTheme="minorHAnsi" w:hAnsiTheme="minorHAnsi"/>
          <w:sz w:val="24"/>
          <w:szCs w:val="24"/>
          <w:u w:color="000000"/>
        </w:rPr>
        <w:t>program</w:t>
      </w:r>
      <w:r w:rsidR="0048600E">
        <w:rPr>
          <w:rFonts w:asciiTheme="minorHAnsi" w:hAnsiTheme="minorHAnsi"/>
          <w:sz w:val="24"/>
          <w:szCs w:val="24"/>
          <w:u w:color="000000"/>
        </w:rPr>
        <w:t>ech</w:t>
      </w:r>
      <w:r w:rsidRPr="0051764B">
        <w:rPr>
          <w:rFonts w:asciiTheme="minorHAnsi" w:hAnsiTheme="minorHAnsi"/>
          <w:sz w:val="24"/>
          <w:szCs w:val="24"/>
          <w:u w:color="000000"/>
        </w:rPr>
        <w:t xml:space="preserve"> je důvodem pro pozastavení všech nebo části plateb na příslušnou prioritu daného programu ze strany EK.</w:t>
      </w:r>
      <w:r w:rsidRPr="0051764B">
        <w:rPr>
          <w:rFonts w:asciiTheme="minorHAnsi" w:hAnsiTheme="minorHAnsi" w:cs="Arial"/>
          <w:sz w:val="24"/>
          <w:szCs w:val="24"/>
        </w:rPr>
        <w:t xml:space="preserve"> Případné pozastavení plateb by se týkalo pouze příslušné priority nikoliv programu jako celku. Členský stát bude </w:t>
      </w:r>
      <w:r w:rsidR="0048600E">
        <w:rPr>
          <w:rFonts w:asciiTheme="minorHAnsi" w:hAnsiTheme="minorHAnsi" w:cs="Arial"/>
          <w:sz w:val="24"/>
          <w:szCs w:val="24"/>
        </w:rPr>
        <w:t xml:space="preserve">mít možnost </w:t>
      </w:r>
      <w:r w:rsidRPr="0051764B">
        <w:rPr>
          <w:rFonts w:asciiTheme="minorHAnsi" w:hAnsiTheme="minorHAnsi" w:cs="Arial"/>
          <w:sz w:val="24"/>
          <w:szCs w:val="24"/>
        </w:rPr>
        <w:t>rozhodnout o přesunu pozastavených prostředků na jin</w:t>
      </w:r>
      <w:r w:rsidR="0048600E">
        <w:rPr>
          <w:rFonts w:asciiTheme="minorHAnsi" w:hAnsiTheme="minorHAnsi" w:cs="Arial"/>
          <w:sz w:val="24"/>
          <w:szCs w:val="24"/>
        </w:rPr>
        <w:t>é</w:t>
      </w:r>
      <w:r w:rsidRPr="0051764B">
        <w:rPr>
          <w:rFonts w:asciiTheme="minorHAnsi" w:hAnsiTheme="minorHAnsi" w:cs="Arial"/>
          <w:sz w:val="24"/>
          <w:szCs w:val="24"/>
        </w:rPr>
        <w:t xml:space="preserve"> priority, kter</w:t>
      </w:r>
      <w:r w:rsidR="0048600E">
        <w:rPr>
          <w:rFonts w:asciiTheme="minorHAnsi" w:hAnsiTheme="minorHAnsi" w:cs="Arial"/>
          <w:sz w:val="24"/>
          <w:szCs w:val="24"/>
        </w:rPr>
        <w:t>é</w:t>
      </w:r>
      <w:r w:rsidRPr="0051764B">
        <w:rPr>
          <w:rFonts w:asciiTheme="minorHAnsi" w:hAnsiTheme="minorHAnsi" w:cs="Arial"/>
          <w:sz w:val="24"/>
          <w:szCs w:val="24"/>
        </w:rPr>
        <w:t xml:space="preserve"> bud</w:t>
      </w:r>
      <w:r w:rsidR="0048600E">
        <w:rPr>
          <w:rFonts w:asciiTheme="minorHAnsi" w:hAnsiTheme="minorHAnsi" w:cs="Arial"/>
          <w:sz w:val="24"/>
          <w:szCs w:val="24"/>
        </w:rPr>
        <w:t>ou</w:t>
      </w:r>
      <w:r w:rsidRPr="0051764B">
        <w:rPr>
          <w:rFonts w:asciiTheme="minorHAnsi" w:hAnsiTheme="minorHAnsi" w:cs="Arial"/>
          <w:sz w:val="24"/>
          <w:szCs w:val="24"/>
        </w:rPr>
        <w:t xml:space="preserve"> svou předběžnou podmínku splňovat. </w:t>
      </w:r>
      <w:r w:rsidR="005D55CA">
        <w:rPr>
          <w:rFonts w:asciiTheme="minorHAnsi" w:hAnsiTheme="minorHAnsi" w:cs="Arial"/>
          <w:sz w:val="24"/>
          <w:szCs w:val="24"/>
        </w:rPr>
        <w:t>To neplatí v případě, že se bude jednat o plnění obecných předběžných podmínek, které je vyžadováno napříč všemi podporovanými oblastmi.</w:t>
      </w:r>
      <w:r w:rsidR="005D55CA" w:rsidRPr="0051764B">
        <w:rPr>
          <w:rFonts w:asciiTheme="minorHAnsi" w:hAnsiTheme="minorHAnsi" w:cs="Arial"/>
          <w:sz w:val="24"/>
          <w:szCs w:val="24"/>
        </w:rPr>
        <w:t xml:space="preserve"> </w:t>
      </w:r>
      <w:r w:rsidR="0051764B" w:rsidRPr="0051764B">
        <w:rPr>
          <w:rFonts w:asciiTheme="minorHAnsi" w:hAnsiTheme="minorHAnsi" w:cs="Arial"/>
          <w:sz w:val="24"/>
          <w:szCs w:val="24"/>
        </w:rPr>
        <w:t xml:space="preserve">Opětovné spuštění průběžných plateb bude znovu možné až po splnění předběžné podmínky nebo v případě, že program bude pozměněn a dotčená </w:t>
      </w:r>
      <w:r w:rsidR="00AA7D73">
        <w:rPr>
          <w:rFonts w:asciiTheme="minorHAnsi" w:hAnsiTheme="minorHAnsi" w:cs="Arial"/>
          <w:sz w:val="24"/>
          <w:szCs w:val="24"/>
        </w:rPr>
        <w:t>předběžná podmínka</w:t>
      </w:r>
      <w:r w:rsidR="0051764B" w:rsidRPr="0051764B">
        <w:rPr>
          <w:rFonts w:asciiTheme="minorHAnsi" w:hAnsiTheme="minorHAnsi" w:cs="Arial"/>
          <w:sz w:val="24"/>
          <w:szCs w:val="24"/>
        </w:rPr>
        <w:t xml:space="preserve"> přestane být relevantní.</w:t>
      </w:r>
    </w:p>
    <w:p w:rsidR="009C212D" w:rsidRPr="00523D12" w:rsidRDefault="009C212D" w:rsidP="009C212D">
      <w:pPr>
        <w:spacing w:before="60" w:after="60" w:line="288" w:lineRule="auto"/>
        <w:rPr>
          <w:rFonts w:asciiTheme="minorHAnsi" w:hAnsiTheme="minorHAnsi" w:cs="Arial"/>
          <w:sz w:val="24"/>
          <w:szCs w:val="24"/>
        </w:rPr>
      </w:pPr>
      <w:r w:rsidRPr="0051764B">
        <w:rPr>
          <w:rFonts w:asciiTheme="minorHAnsi" w:hAnsiTheme="minorHAnsi" w:cs="Arial"/>
          <w:sz w:val="24"/>
          <w:szCs w:val="24"/>
        </w:rPr>
        <w:t>Nejzazší termín pro splnění předběžných podmínek stanovuj</w:t>
      </w:r>
      <w:r w:rsidR="003617B8">
        <w:rPr>
          <w:rFonts w:asciiTheme="minorHAnsi" w:hAnsiTheme="minorHAnsi" w:cs="Arial"/>
          <w:sz w:val="24"/>
          <w:szCs w:val="24"/>
        </w:rPr>
        <w:t>í</w:t>
      </w:r>
      <w:r w:rsidRPr="0051764B">
        <w:rPr>
          <w:rFonts w:asciiTheme="minorHAnsi" w:hAnsiTheme="minorHAnsi" w:cs="Arial"/>
          <w:sz w:val="24"/>
          <w:szCs w:val="24"/>
        </w:rPr>
        <w:t xml:space="preserve"> nařízení k</w:t>
      </w:r>
      <w:r w:rsidR="00AA4A18">
        <w:rPr>
          <w:rFonts w:asciiTheme="minorHAnsi" w:hAnsiTheme="minorHAnsi" w:cs="Arial"/>
          <w:sz w:val="24"/>
          <w:szCs w:val="24"/>
        </w:rPr>
        <w:t> </w:t>
      </w:r>
      <w:r w:rsidR="00C80B66">
        <w:rPr>
          <w:rFonts w:asciiTheme="minorHAnsi" w:hAnsiTheme="minorHAnsi" w:cs="Arial"/>
          <w:sz w:val="24"/>
          <w:szCs w:val="24"/>
        </w:rPr>
        <w:t>SSR</w:t>
      </w:r>
      <w:r w:rsidR="00AA4A18">
        <w:rPr>
          <w:rFonts w:asciiTheme="minorHAnsi" w:hAnsiTheme="minorHAnsi" w:cs="Arial"/>
          <w:sz w:val="24"/>
          <w:szCs w:val="24"/>
        </w:rPr>
        <w:t xml:space="preserve"> </w:t>
      </w:r>
      <w:r w:rsidRPr="0051764B">
        <w:rPr>
          <w:rFonts w:asciiTheme="minorHAnsi" w:hAnsiTheme="minorHAnsi" w:cs="Arial"/>
          <w:sz w:val="24"/>
          <w:szCs w:val="24"/>
        </w:rPr>
        <w:t xml:space="preserve">fondům </w:t>
      </w:r>
      <w:r w:rsidR="00C97084">
        <w:rPr>
          <w:rFonts w:asciiTheme="minorHAnsi" w:hAnsiTheme="minorHAnsi" w:cs="Arial"/>
          <w:sz w:val="24"/>
          <w:szCs w:val="24"/>
        </w:rPr>
        <w:br/>
      </w:r>
      <w:r w:rsidR="00AA4A18">
        <w:rPr>
          <w:rFonts w:asciiTheme="minorHAnsi" w:hAnsiTheme="minorHAnsi" w:cs="Arial"/>
          <w:sz w:val="24"/>
          <w:szCs w:val="24"/>
        </w:rPr>
        <w:t xml:space="preserve">a Draft Guidance </w:t>
      </w:r>
      <w:r w:rsidR="003617B8">
        <w:rPr>
          <w:rFonts w:asciiTheme="minorHAnsi" w:hAnsiTheme="minorHAnsi" w:cs="Arial"/>
          <w:sz w:val="24"/>
          <w:szCs w:val="24"/>
        </w:rPr>
        <w:t xml:space="preserve">do dvou let od přijetí Dohody o partnerství nebo do </w:t>
      </w:r>
      <w:r w:rsidRPr="0051764B">
        <w:rPr>
          <w:rFonts w:asciiTheme="minorHAnsi" w:hAnsiTheme="minorHAnsi" w:cs="Arial"/>
          <w:sz w:val="24"/>
          <w:szCs w:val="24"/>
        </w:rPr>
        <w:t>31. prosinc</w:t>
      </w:r>
      <w:r w:rsidR="003617B8">
        <w:rPr>
          <w:rFonts w:asciiTheme="minorHAnsi" w:hAnsiTheme="minorHAnsi" w:cs="Arial"/>
          <w:sz w:val="24"/>
          <w:szCs w:val="24"/>
        </w:rPr>
        <w:t>e</w:t>
      </w:r>
      <w:r w:rsidRPr="0051764B">
        <w:rPr>
          <w:rFonts w:asciiTheme="minorHAnsi" w:hAnsiTheme="minorHAnsi" w:cs="Arial"/>
          <w:sz w:val="24"/>
          <w:szCs w:val="24"/>
        </w:rPr>
        <w:t xml:space="preserve"> 2016.</w:t>
      </w:r>
      <w:r w:rsidRPr="00523D12">
        <w:rPr>
          <w:rFonts w:asciiTheme="minorHAnsi" w:hAnsiTheme="minorHAnsi" w:cs="Arial"/>
          <w:sz w:val="24"/>
          <w:szCs w:val="24"/>
        </w:rPr>
        <w:t xml:space="preserve"> </w:t>
      </w:r>
      <w:r w:rsidR="00EC667C">
        <w:rPr>
          <w:rFonts w:asciiTheme="minorHAnsi" w:hAnsiTheme="minorHAnsi" w:cs="Arial"/>
          <w:sz w:val="24"/>
          <w:szCs w:val="24"/>
        </w:rPr>
        <w:t>Nicméně Evropská komise může zároveň již při schv</w:t>
      </w:r>
      <w:r w:rsidR="00AA4A18">
        <w:rPr>
          <w:rFonts w:asciiTheme="minorHAnsi" w:hAnsiTheme="minorHAnsi" w:cs="Arial"/>
          <w:sz w:val="24"/>
          <w:szCs w:val="24"/>
        </w:rPr>
        <w:t>a</w:t>
      </w:r>
      <w:r w:rsidR="00EC667C">
        <w:rPr>
          <w:rFonts w:asciiTheme="minorHAnsi" w:hAnsiTheme="minorHAnsi" w:cs="Arial"/>
          <w:sz w:val="24"/>
          <w:szCs w:val="24"/>
        </w:rPr>
        <w:t>lování program</w:t>
      </w:r>
      <w:r w:rsidR="00AA4A18">
        <w:rPr>
          <w:rFonts w:asciiTheme="minorHAnsi" w:hAnsiTheme="minorHAnsi" w:cs="Arial"/>
          <w:sz w:val="24"/>
          <w:szCs w:val="24"/>
        </w:rPr>
        <w:t>ů</w:t>
      </w:r>
      <w:r w:rsidR="00EC667C">
        <w:rPr>
          <w:rFonts w:asciiTheme="minorHAnsi" w:hAnsiTheme="minorHAnsi" w:cs="Arial"/>
          <w:sz w:val="24"/>
          <w:szCs w:val="24"/>
        </w:rPr>
        <w:t xml:space="preserve"> rozhodnout </w:t>
      </w:r>
      <w:r w:rsidR="00C97084">
        <w:rPr>
          <w:rFonts w:asciiTheme="minorHAnsi" w:hAnsiTheme="minorHAnsi" w:cs="Arial"/>
          <w:sz w:val="24"/>
          <w:szCs w:val="24"/>
        </w:rPr>
        <w:br/>
      </w:r>
      <w:r w:rsidR="00F53C6B">
        <w:rPr>
          <w:rFonts w:asciiTheme="minorHAnsi" w:hAnsiTheme="minorHAnsi" w:cs="Arial"/>
          <w:sz w:val="24"/>
          <w:szCs w:val="24"/>
        </w:rPr>
        <w:t xml:space="preserve">o pozastavení všech nebo částí průběžných plateb na příslušnou prioritu tohoto programu, dokud nedojde k dokončení opatření, pokud je to nezbytné pro to, aby se předešlo významnému snížení účinnosti a efektivity dosahování specifických cílů dané priority (čl. </w:t>
      </w:r>
      <w:r w:rsidR="0062259C">
        <w:rPr>
          <w:rFonts w:asciiTheme="minorHAnsi" w:hAnsiTheme="minorHAnsi" w:cs="Arial"/>
          <w:sz w:val="24"/>
          <w:szCs w:val="24"/>
        </w:rPr>
        <w:t>17 odst. 5 nařízení).</w:t>
      </w:r>
      <w:r w:rsidR="00EC667C">
        <w:rPr>
          <w:rFonts w:asciiTheme="minorHAnsi" w:hAnsiTheme="minorHAnsi" w:cs="Arial"/>
          <w:sz w:val="24"/>
          <w:szCs w:val="24"/>
        </w:rPr>
        <w:t xml:space="preserve"> </w:t>
      </w:r>
    </w:p>
    <w:p w:rsidR="00EB591F" w:rsidRPr="004A481C" w:rsidRDefault="00EB591F" w:rsidP="00DD490C">
      <w:pPr>
        <w:pStyle w:val="Nadpis1"/>
        <w:numPr>
          <w:ilvl w:val="0"/>
          <w:numId w:val="2"/>
        </w:numPr>
        <w:spacing w:before="360"/>
        <w:ind w:left="425" w:hanging="425"/>
        <w:rPr>
          <w:rFonts w:asciiTheme="minorHAnsi" w:hAnsiTheme="minorHAnsi"/>
          <w:color w:val="003366"/>
          <w:sz w:val="28"/>
          <w:szCs w:val="28"/>
        </w:rPr>
      </w:pPr>
      <w:bookmarkStart w:id="11" w:name="_Toc359587665"/>
      <w:r w:rsidRPr="004A481C">
        <w:rPr>
          <w:rFonts w:asciiTheme="minorHAnsi" w:hAnsiTheme="minorHAnsi"/>
          <w:color w:val="003366"/>
          <w:sz w:val="28"/>
          <w:szCs w:val="28"/>
        </w:rPr>
        <w:t>Akční plán řízení a koordinace</w:t>
      </w:r>
      <w:r w:rsidR="001D4B4E">
        <w:rPr>
          <w:rFonts w:asciiTheme="minorHAnsi" w:hAnsiTheme="minorHAnsi"/>
          <w:color w:val="003366"/>
          <w:sz w:val="28"/>
          <w:szCs w:val="28"/>
        </w:rPr>
        <w:t xml:space="preserve"> předběžný</w:t>
      </w:r>
      <w:r w:rsidR="008A6A53">
        <w:rPr>
          <w:rFonts w:asciiTheme="minorHAnsi" w:hAnsiTheme="minorHAnsi"/>
          <w:color w:val="003366"/>
          <w:sz w:val="28"/>
          <w:szCs w:val="28"/>
        </w:rPr>
        <w:t>c</w:t>
      </w:r>
      <w:r w:rsidR="001D4B4E">
        <w:rPr>
          <w:rFonts w:asciiTheme="minorHAnsi" w:hAnsiTheme="minorHAnsi"/>
          <w:color w:val="003366"/>
          <w:sz w:val="28"/>
          <w:szCs w:val="28"/>
        </w:rPr>
        <w:t>h podmínek</w:t>
      </w:r>
      <w:bookmarkEnd w:id="11"/>
    </w:p>
    <w:p w:rsidR="00535567" w:rsidRDefault="001D4B4E" w:rsidP="00535567">
      <w:pPr>
        <w:spacing w:before="60" w:after="60" w:line="288" w:lineRule="auto"/>
        <w:rPr>
          <w:rFonts w:asciiTheme="minorHAnsi" w:hAnsiTheme="minorHAnsi"/>
          <w:sz w:val="24"/>
          <w:szCs w:val="24"/>
        </w:rPr>
      </w:pPr>
      <w:r>
        <w:rPr>
          <w:rFonts w:asciiTheme="minorHAnsi" w:hAnsiTheme="minorHAnsi"/>
          <w:sz w:val="24"/>
          <w:szCs w:val="24"/>
        </w:rPr>
        <w:t xml:space="preserve">Akční plán je vytvářen na základě výchozí analýzy předběžných podmínek, která byla provedena </w:t>
      </w:r>
      <w:r w:rsidR="00535567">
        <w:rPr>
          <w:rFonts w:asciiTheme="minorHAnsi" w:hAnsiTheme="minorHAnsi"/>
          <w:sz w:val="24"/>
          <w:szCs w:val="24"/>
        </w:rPr>
        <w:t>mezi MMR</w:t>
      </w:r>
      <w:r w:rsidR="003428C0">
        <w:rPr>
          <w:rFonts w:asciiTheme="minorHAnsi" w:hAnsiTheme="minorHAnsi"/>
          <w:sz w:val="24"/>
          <w:szCs w:val="24"/>
        </w:rPr>
        <w:t>,</w:t>
      </w:r>
      <w:r w:rsidR="00535567">
        <w:rPr>
          <w:rFonts w:asciiTheme="minorHAnsi" w:hAnsiTheme="minorHAnsi"/>
          <w:sz w:val="24"/>
          <w:szCs w:val="24"/>
        </w:rPr>
        <w:t xml:space="preserve"> dílčími relevantními resorty a kraji </w:t>
      </w:r>
      <w:r>
        <w:rPr>
          <w:rFonts w:asciiTheme="minorHAnsi" w:hAnsiTheme="minorHAnsi"/>
          <w:sz w:val="24"/>
          <w:szCs w:val="24"/>
        </w:rPr>
        <w:t xml:space="preserve">v roce 2012. </w:t>
      </w:r>
      <w:r w:rsidR="00535567" w:rsidRPr="00523D12">
        <w:rPr>
          <w:rFonts w:asciiTheme="minorHAnsi" w:hAnsiTheme="minorHAnsi" w:cs="Arial"/>
          <w:sz w:val="24"/>
          <w:szCs w:val="24"/>
        </w:rPr>
        <w:t xml:space="preserve">V návaznosti na to jsou </w:t>
      </w:r>
      <w:r w:rsidR="00AA7D73">
        <w:rPr>
          <w:rFonts w:asciiTheme="minorHAnsi" w:hAnsiTheme="minorHAnsi" w:cs="Arial"/>
          <w:sz w:val="24"/>
          <w:szCs w:val="24"/>
        </w:rPr>
        <w:t>předběžné podmínky</w:t>
      </w:r>
      <w:r w:rsidR="00AA7D73" w:rsidRPr="00523D12">
        <w:rPr>
          <w:rFonts w:asciiTheme="minorHAnsi" w:hAnsiTheme="minorHAnsi" w:cs="Arial"/>
          <w:sz w:val="24"/>
          <w:szCs w:val="24"/>
        </w:rPr>
        <w:t xml:space="preserve"> </w:t>
      </w:r>
      <w:r w:rsidR="00535567" w:rsidRPr="00523D12">
        <w:rPr>
          <w:rFonts w:asciiTheme="minorHAnsi" w:hAnsiTheme="minorHAnsi" w:cs="Arial"/>
          <w:sz w:val="24"/>
          <w:szCs w:val="24"/>
        </w:rPr>
        <w:t xml:space="preserve">rozpracovávány co do svého zaměření, hloubky plnění, časování </w:t>
      </w:r>
      <w:r w:rsidR="00C97084">
        <w:rPr>
          <w:rFonts w:asciiTheme="minorHAnsi" w:hAnsiTheme="minorHAnsi" w:cs="Arial"/>
          <w:sz w:val="24"/>
          <w:szCs w:val="24"/>
        </w:rPr>
        <w:br/>
      </w:r>
      <w:r w:rsidR="00535567" w:rsidRPr="00523D12">
        <w:rPr>
          <w:rFonts w:asciiTheme="minorHAnsi" w:hAnsiTheme="minorHAnsi" w:cs="Arial"/>
          <w:sz w:val="24"/>
          <w:szCs w:val="24"/>
        </w:rPr>
        <w:t>a odpovědností za dané předběžné podmínky</w:t>
      </w:r>
      <w:r w:rsidR="00535567">
        <w:rPr>
          <w:rFonts w:asciiTheme="minorHAnsi" w:hAnsiTheme="minorHAnsi" w:cs="Arial"/>
          <w:sz w:val="24"/>
          <w:szCs w:val="24"/>
        </w:rPr>
        <w:t>.</w:t>
      </w:r>
      <w:r w:rsidR="00AD2EB8">
        <w:rPr>
          <w:rFonts w:asciiTheme="minorHAnsi" w:hAnsiTheme="minorHAnsi" w:cs="Arial"/>
          <w:sz w:val="24"/>
          <w:szCs w:val="24"/>
        </w:rPr>
        <w:t xml:space="preserve"> </w:t>
      </w:r>
    </w:p>
    <w:p w:rsidR="001D4B4E" w:rsidRDefault="00527353" w:rsidP="00EB591F">
      <w:pPr>
        <w:spacing w:before="60" w:after="60" w:line="288" w:lineRule="auto"/>
        <w:rPr>
          <w:rFonts w:asciiTheme="minorHAnsi" w:hAnsiTheme="minorHAnsi"/>
          <w:sz w:val="24"/>
          <w:szCs w:val="24"/>
        </w:rPr>
      </w:pPr>
      <w:r>
        <w:rPr>
          <w:rFonts w:asciiTheme="minorHAnsi" w:hAnsiTheme="minorHAnsi"/>
          <w:sz w:val="24"/>
          <w:szCs w:val="24"/>
        </w:rPr>
        <w:t>Seznam předběžných podmínek a kritérií splnění bude nadále rozpracováván podle aktuálně schválených verzí nařízení EU a dalších klíčových podkladů jak na úrovni EU, tak i ze strany partnerů v České republice.</w:t>
      </w:r>
      <w:r w:rsidR="00CE263B">
        <w:rPr>
          <w:rFonts w:asciiTheme="minorHAnsi" w:hAnsiTheme="minorHAnsi"/>
          <w:sz w:val="24"/>
          <w:szCs w:val="24"/>
        </w:rPr>
        <w:t xml:space="preserve"> Předběžné podmínky </w:t>
      </w:r>
      <w:r w:rsidR="00AD2EB8">
        <w:rPr>
          <w:rFonts w:asciiTheme="minorHAnsi" w:hAnsiTheme="minorHAnsi"/>
          <w:sz w:val="24"/>
          <w:szCs w:val="24"/>
        </w:rPr>
        <w:t xml:space="preserve">jsou </w:t>
      </w:r>
      <w:r w:rsidR="00CE263B">
        <w:rPr>
          <w:rFonts w:asciiTheme="minorHAnsi" w:hAnsiTheme="minorHAnsi"/>
          <w:sz w:val="24"/>
          <w:szCs w:val="24"/>
        </w:rPr>
        <w:t xml:space="preserve">součástí jak Dohody o partnerství tak </w:t>
      </w:r>
      <w:r w:rsidR="00C97084">
        <w:rPr>
          <w:rFonts w:asciiTheme="minorHAnsi" w:hAnsiTheme="minorHAnsi"/>
          <w:sz w:val="24"/>
          <w:szCs w:val="24"/>
        </w:rPr>
        <w:br/>
      </w:r>
      <w:r w:rsidR="00CE263B">
        <w:rPr>
          <w:rFonts w:asciiTheme="minorHAnsi" w:hAnsiTheme="minorHAnsi"/>
          <w:sz w:val="24"/>
          <w:szCs w:val="24"/>
        </w:rPr>
        <w:t xml:space="preserve">i jednotlivých programů </w:t>
      </w:r>
      <w:r w:rsidR="00AD2EB8">
        <w:rPr>
          <w:rFonts w:asciiTheme="minorHAnsi" w:hAnsiTheme="minorHAnsi"/>
          <w:sz w:val="24"/>
          <w:szCs w:val="24"/>
        </w:rPr>
        <w:t>podle šablon Evropské komise. Použitelnost předběžných podmínek se vždy vztahuje k up</w:t>
      </w:r>
      <w:r w:rsidR="002A0E13">
        <w:rPr>
          <w:rFonts w:asciiTheme="minorHAnsi" w:hAnsiTheme="minorHAnsi"/>
          <w:sz w:val="24"/>
          <w:szCs w:val="24"/>
        </w:rPr>
        <w:t>l</w:t>
      </w:r>
      <w:r w:rsidR="00AD2EB8">
        <w:rPr>
          <w:rFonts w:asciiTheme="minorHAnsi" w:hAnsiTheme="minorHAnsi"/>
          <w:sz w:val="24"/>
          <w:szCs w:val="24"/>
        </w:rPr>
        <w:t xml:space="preserve">atnění investičních priorit a specifických cílů v daných programech, </w:t>
      </w:r>
      <w:r w:rsidR="00C97084">
        <w:rPr>
          <w:rFonts w:asciiTheme="minorHAnsi" w:hAnsiTheme="minorHAnsi"/>
          <w:sz w:val="24"/>
          <w:szCs w:val="24"/>
        </w:rPr>
        <w:br/>
      </w:r>
      <w:r w:rsidR="00AD2EB8">
        <w:rPr>
          <w:rFonts w:asciiTheme="minorHAnsi" w:hAnsiTheme="minorHAnsi"/>
          <w:sz w:val="24"/>
          <w:szCs w:val="24"/>
        </w:rPr>
        <w:t xml:space="preserve">za něž odpovídá </w:t>
      </w:r>
      <w:r w:rsidR="00CE263B">
        <w:rPr>
          <w:rFonts w:asciiTheme="minorHAnsi" w:hAnsiTheme="minorHAnsi"/>
          <w:sz w:val="24"/>
          <w:szCs w:val="24"/>
        </w:rPr>
        <w:t>řídící orgán</w:t>
      </w:r>
      <w:r w:rsidR="00AD2EB8">
        <w:rPr>
          <w:rFonts w:asciiTheme="minorHAnsi" w:hAnsiTheme="minorHAnsi"/>
          <w:sz w:val="24"/>
          <w:szCs w:val="24"/>
        </w:rPr>
        <w:t xml:space="preserve"> (ve spolupráci s </w:t>
      </w:r>
      <w:r w:rsidR="00CE263B">
        <w:rPr>
          <w:rFonts w:asciiTheme="minorHAnsi" w:hAnsiTheme="minorHAnsi"/>
          <w:sz w:val="24"/>
          <w:szCs w:val="24"/>
        </w:rPr>
        <w:t>gestor</w:t>
      </w:r>
      <w:r w:rsidR="002A0E13">
        <w:rPr>
          <w:rFonts w:asciiTheme="minorHAnsi" w:hAnsiTheme="minorHAnsi"/>
          <w:sz w:val="24"/>
          <w:szCs w:val="24"/>
        </w:rPr>
        <w:t>y a spolugestory)</w:t>
      </w:r>
    </w:p>
    <w:p w:rsidR="00B240CB" w:rsidRPr="00A0628E" w:rsidRDefault="00C54AF6" w:rsidP="00A0628E">
      <w:pPr>
        <w:pStyle w:val="Nadpis11"/>
        <w:numPr>
          <w:ilvl w:val="1"/>
          <w:numId w:val="2"/>
        </w:numPr>
        <w:spacing w:before="240" w:after="120"/>
        <w:ind w:left="567" w:hanging="567"/>
        <w:rPr>
          <w:rFonts w:asciiTheme="minorHAnsi" w:eastAsiaTheme="majorEastAsia" w:hAnsiTheme="minorHAnsi"/>
        </w:rPr>
      </w:pPr>
      <w:bookmarkStart w:id="12" w:name="_Toc359587666"/>
      <w:r>
        <w:rPr>
          <w:rFonts w:asciiTheme="minorHAnsi" w:eastAsiaTheme="majorEastAsia" w:hAnsiTheme="minorHAnsi"/>
        </w:rPr>
        <w:t>Řízení a koordinace předběžných podmínek podle fází</w:t>
      </w:r>
      <w:bookmarkEnd w:id="12"/>
    </w:p>
    <w:p w:rsidR="007B2AA0" w:rsidRPr="00B06804" w:rsidRDefault="007B2AA0" w:rsidP="007B2AA0">
      <w:pPr>
        <w:spacing w:before="60" w:after="60" w:line="288" w:lineRule="auto"/>
        <w:rPr>
          <w:rFonts w:asciiTheme="minorHAnsi" w:hAnsiTheme="minorHAnsi" w:cs="Arial"/>
          <w:sz w:val="24"/>
          <w:szCs w:val="24"/>
        </w:rPr>
      </w:pPr>
      <w:r w:rsidRPr="00B06804">
        <w:rPr>
          <w:rFonts w:asciiTheme="minorHAnsi" w:hAnsiTheme="minorHAnsi" w:cs="Arial"/>
          <w:sz w:val="24"/>
          <w:szCs w:val="24"/>
        </w:rPr>
        <w:t>Průběh naplňování předběžných podmínek je rozdě</w:t>
      </w:r>
      <w:r w:rsidR="00F016D6">
        <w:rPr>
          <w:rFonts w:asciiTheme="minorHAnsi" w:hAnsiTheme="minorHAnsi" w:cs="Arial"/>
          <w:sz w:val="24"/>
          <w:szCs w:val="24"/>
        </w:rPr>
        <w:t xml:space="preserve">len </w:t>
      </w:r>
      <w:r w:rsidRPr="00B06804">
        <w:rPr>
          <w:rFonts w:asciiTheme="minorHAnsi" w:hAnsiTheme="minorHAnsi" w:cs="Arial"/>
          <w:sz w:val="24"/>
          <w:szCs w:val="24"/>
        </w:rPr>
        <w:t xml:space="preserve">do několika </w:t>
      </w:r>
      <w:r w:rsidR="002D4006" w:rsidRPr="00B06804">
        <w:rPr>
          <w:rFonts w:asciiTheme="minorHAnsi" w:hAnsiTheme="minorHAnsi" w:cs="Arial"/>
          <w:sz w:val="24"/>
          <w:szCs w:val="24"/>
        </w:rPr>
        <w:t>fází</w:t>
      </w:r>
      <w:r w:rsidRPr="00B06804">
        <w:rPr>
          <w:rFonts w:asciiTheme="minorHAnsi" w:hAnsiTheme="minorHAnsi" w:cs="Arial"/>
          <w:sz w:val="24"/>
          <w:szCs w:val="24"/>
        </w:rPr>
        <w:t xml:space="preserve">, které na sebe budou průběžně navazovat. </w:t>
      </w:r>
      <w:r w:rsidR="00F016D6">
        <w:rPr>
          <w:rFonts w:asciiTheme="minorHAnsi" w:hAnsiTheme="minorHAnsi" w:cs="Arial"/>
          <w:sz w:val="24"/>
          <w:szCs w:val="24"/>
        </w:rPr>
        <w:t>Byla ukončena první fáze „</w:t>
      </w:r>
      <w:r w:rsidR="00F016D6" w:rsidRPr="00F016D6">
        <w:rPr>
          <w:rFonts w:asciiTheme="minorHAnsi" w:hAnsiTheme="minorHAnsi" w:cs="Arial"/>
          <w:sz w:val="24"/>
          <w:szCs w:val="24"/>
        </w:rPr>
        <w:t>Identifikace a prvotní rozpracování předběžných podmínek pro Dohodu a programy</w:t>
      </w:r>
      <w:r w:rsidR="00F016D6">
        <w:rPr>
          <w:rFonts w:asciiTheme="minorHAnsi" w:hAnsiTheme="minorHAnsi" w:cs="Arial"/>
          <w:sz w:val="24"/>
          <w:szCs w:val="24"/>
        </w:rPr>
        <w:t>“ (její obsah byl v první verzi AP)</w:t>
      </w:r>
      <w:r w:rsidR="00CF2082">
        <w:rPr>
          <w:rFonts w:asciiTheme="minorHAnsi" w:hAnsiTheme="minorHAnsi" w:cs="Arial"/>
          <w:sz w:val="24"/>
          <w:szCs w:val="24"/>
        </w:rPr>
        <w:t>.</w:t>
      </w:r>
      <w:r w:rsidR="00E33AF8">
        <w:rPr>
          <w:rFonts w:asciiTheme="minorHAnsi" w:hAnsiTheme="minorHAnsi" w:cs="Arial"/>
          <w:sz w:val="24"/>
          <w:szCs w:val="24"/>
        </w:rPr>
        <w:t xml:space="preserve"> </w:t>
      </w:r>
    </w:p>
    <w:p w:rsidR="002656F3" w:rsidRPr="009A1EBA" w:rsidRDefault="002656F3" w:rsidP="00836BB7">
      <w:pPr>
        <w:pBdr>
          <w:top w:val="single" w:sz="4" w:space="1" w:color="auto"/>
          <w:left w:val="single" w:sz="4" w:space="0" w:color="auto"/>
          <w:bottom w:val="single" w:sz="4" w:space="1" w:color="auto"/>
          <w:right w:val="single" w:sz="4" w:space="4" w:color="auto"/>
        </w:pBdr>
        <w:shd w:val="clear" w:color="auto" w:fill="DBE5F1" w:themeFill="accent1" w:themeFillTint="33"/>
        <w:spacing w:before="240" w:after="60" w:line="288" w:lineRule="auto"/>
        <w:rPr>
          <w:rFonts w:asciiTheme="minorHAnsi" w:hAnsiTheme="minorHAnsi" w:cs="Arial"/>
          <w:b/>
          <w:sz w:val="24"/>
          <w:szCs w:val="24"/>
        </w:rPr>
      </w:pPr>
      <w:r w:rsidRPr="009A1EBA">
        <w:rPr>
          <w:rFonts w:asciiTheme="minorHAnsi" w:hAnsiTheme="minorHAnsi" w:cs="Arial"/>
          <w:b/>
          <w:sz w:val="24"/>
          <w:szCs w:val="24"/>
        </w:rPr>
        <w:t>Fáze</w:t>
      </w:r>
      <w:r w:rsidR="00C52C70">
        <w:rPr>
          <w:rFonts w:asciiTheme="minorHAnsi" w:hAnsiTheme="minorHAnsi" w:cs="Arial"/>
          <w:b/>
          <w:sz w:val="24"/>
          <w:szCs w:val="24"/>
        </w:rPr>
        <w:t xml:space="preserve"> II</w:t>
      </w:r>
      <w:r w:rsidR="00804B92" w:rsidRPr="009A1EBA">
        <w:rPr>
          <w:rFonts w:asciiTheme="minorHAnsi" w:hAnsiTheme="minorHAnsi" w:cs="Arial"/>
          <w:b/>
          <w:sz w:val="24"/>
          <w:szCs w:val="24"/>
        </w:rPr>
        <w:t xml:space="preserve">: Rozpracování </w:t>
      </w:r>
      <w:r w:rsidR="004B0D4D">
        <w:rPr>
          <w:rFonts w:asciiTheme="minorHAnsi" w:hAnsiTheme="minorHAnsi" w:cs="Arial"/>
          <w:b/>
          <w:sz w:val="24"/>
          <w:szCs w:val="24"/>
        </w:rPr>
        <w:t>předběžných podmínek</w:t>
      </w:r>
      <w:r w:rsidR="00804B92" w:rsidRPr="009A1EBA">
        <w:rPr>
          <w:rFonts w:asciiTheme="minorHAnsi" w:hAnsiTheme="minorHAnsi" w:cs="Arial"/>
          <w:b/>
          <w:sz w:val="24"/>
          <w:szCs w:val="24"/>
        </w:rPr>
        <w:t xml:space="preserve"> v rámci dopracování Dohody </w:t>
      </w:r>
      <w:r w:rsidR="00B029B6">
        <w:rPr>
          <w:rFonts w:asciiTheme="minorHAnsi" w:hAnsiTheme="minorHAnsi" w:cs="Arial"/>
          <w:b/>
          <w:sz w:val="24"/>
          <w:szCs w:val="24"/>
        </w:rPr>
        <w:t xml:space="preserve">o partnerství </w:t>
      </w:r>
      <w:r w:rsidR="00350C72">
        <w:rPr>
          <w:rFonts w:asciiTheme="minorHAnsi" w:hAnsiTheme="minorHAnsi" w:cs="Arial"/>
          <w:b/>
          <w:sz w:val="24"/>
          <w:szCs w:val="24"/>
        </w:rPr>
        <w:br/>
      </w:r>
      <w:r w:rsidR="00804B92" w:rsidRPr="009A1EBA">
        <w:rPr>
          <w:rFonts w:asciiTheme="minorHAnsi" w:hAnsiTheme="minorHAnsi" w:cs="Arial"/>
          <w:b/>
          <w:sz w:val="24"/>
          <w:szCs w:val="24"/>
        </w:rPr>
        <w:t>a programů</w:t>
      </w:r>
      <w:r w:rsidR="0001494C">
        <w:rPr>
          <w:rFonts w:asciiTheme="minorHAnsi" w:hAnsiTheme="minorHAnsi" w:cs="Arial"/>
          <w:b/>
          <w:sz w:val="24"/>
          <w:szCs w:val="24"/>
        </w:rPr>
        <w:t xml:space="preserve"> a předložení EK</w:t>
      </w:r>
    </w:p>
    <w:p w:rsidR="00836BB7" w:rsidRPr="00C52C70" w:rsidRDefault="00836BB7" w:rsidP="00F40812">
      <w:pPr>
        <w:spacing w:before="120" w:after="60" w:line="288" w:lineRule="auto"/>
        <w:rPr>
          <w:rFonts w:asciiTheme="minorHAnsi" w:hAnsiTheme="minorHAnsi" w:cs="Arial"/>
          <w:sz w:val="24"/>
          <w:szCs w:val="24"/>
          <w:u w:val="single"/>
        </w:rPr>
      </w:pPr>
      <w:r w:rsidRPr="00C52C70">
        <w:rPr>
          <w:rFonts w:asciiTheme="minorHAnsi" w:hAnsiTheme="minorHAnsi" w:cs="Arial"/>
          <w:sz w:val="24"/>
          <w:szCs w:val="24"/>
          <w:u w:val="single"/>
        </w:rPr>
        <w:t>Popis</w:t>
      </w:r>
    </w:p>
    <w:p w:rsidR="00F40812" w:rsidRPr="00C52C70" w:rsidRDefault="00F40812" w:rsidP="00F40812">
      <w:pPr>
        <w:spacing w:before="60" w:after="60" w:line="288" w:lineRule="auto"/>
        <w:rPr>
          <w:rFonts w:asciiTheme="minorHAnsi" w:hAnsiTheme="minorHAnsi" w:cs="Arial"/>
          <w:sz w:val="24"/>
          <w:szCs w:val="24"/>
        </w:rPr>
      </w:pPr>
      <w:r w:rsidRPr="00C52C70">
        <w:rPr>
          <w:rFonts w:asciiTheme="minorHAnsi" w:hAnsiTheme="minorHAnsi" w:cs="Arial"/>
          <w:sz w:val="24"/>
          <w:szCs w:val="24"/>
        </w:rPr>
        <w:t>V návaznosti na první fázi budou (dle harmonogramu) rozpracovány</w:t>
      </w:r>
      <w:r w:rsidR="00B83C9B" w:rsidRPr="00C52C70">
        <w:rPr>
          <w:rFonts w:asciiTheme="minorHAnsi" w:hAnsiTheme="minorHAnsi" w:cs="Arial"/>
          <w:sz w:val="24"/>
          <w:szCs w:val="24"/>
        </w:rPr>
        <w:t xml:space="preserve"> předběžné podmínky </w:t>
      </w:r>
      <w:r w:rsidR="00350C72">
        <w:rPr>
          <w:rFonts w:asciiTheme="minorHAnsi" w:hAnsiTheme="minorHAnsi" w:cs="Arial"/>
          <w:sz w:val="24"/>
          <w:szCs w:val="24"/>
        </w:rPr>
        <w:br/>
      </w:r>
      <w:r w:rsidR="005C4305">
        <w:rPr>
          <w:rFonts w:asciiTheme="minorHAnsi" w:hAnsiTheme="minorHAnsi" w:cs="Arial"/>
          <w:sz w:val="24"/>
          <w:szCs w:val="24"/>
        </w:rPr>
        <w:t>do</w:t>
      </w:r>
      <w:r w:rsidR="00B83C9B" w:rsidRPr="00C52C70">
        <w:rPr>
          <w:rFonts w:asciiTheme="minorHAnsi" w:hAnsiTheme="minorHAnsi" w:cs="Arial"/>
          <w:sz w:val="24"/>
          <w:szCs w:val="24"/>
        </w:rPr>
        <w:t xml:space="preserve"> jednotlivých programů a Dohody o partnerství. Bude nutné potvrdit splněné předběžné podmínky, </w:t>
      </w:r>
      <w:r w:rsidR="005C4305">
        <w:rPr>
          <w:rFonts w:asciiTheme="minorHAnsi" w:hAnsiTheme="minorHAnsi"/>
          <w:sz w:val="24"/>
          <w:szCs w:val="24"/>
          <w:u w:color="000000"/>
        </w:rPr>
        <w:t>u</w:t>
      </w:r>
      <w:r w:rsidR="005C4305" w:rsidRPr="00AF50EA">
        <w:rPr>
          <w:rFonts w:asciiTheme="minorHAnsi" w:hAnsiTheme="minorHAnsi"/>
          <w:sz w:val="24"/>
          <w:szCs w:val="24"/>
          <w:u w:color="000000"/>
        </w:rPr>
        <w:t xml:space="preserve"> nesplněných předběžných podmínek je nutné uvést přehled opatření, která mají být přijata, a har</w:t>
      </w:r>
      <w:r w:rsidR="005C4305">
        <w:rPr>
          <w:rFonts w:asciiTheme="minorHAnsi" w:hAnsiTheme="minorHAnsi"/>
          <w:sz w:val="24"/>
          <w:szCs w:val="24"/>
          <w:u w:color="000000"/>
        </w:rPr>
        <w:t>monogram jejich provádění</w:t>
      </w:r>
      <w:r w:rsidR="005C4305" w:rsidRPr="00AF50EA">
        <w:rPr>
          <w:rFonts w:asciiTheme="minorHAnsi" w:hAnsiTheme="minorHAnsi"/>
          <w:sz w:val="24"/>
          <w:szCs w:val="24"/>
          <w:u w:color="000000"/>
        </w:rPr>
        <w:t xml:space="preserve">. </w:t>
      </w:r>
    </w:p>
    <w:p w:rsidR="000C0E01" w:rsidRDefault="00F6356D" w:rsidP="00836BB7">
      <w:pPr>
        <w:spacing w:before="180" w:after="60" w:line="288" w:lineRule="auto"/>
        <w:rPr>
          <w:rFonts w:asciiTheme="minorHAnsi" w:hAnsiTheme="minorHAnsi"/>
          <w:sz w:val="24"/>
          <w:szCs w:val="24"/>
          <w:u w:color="000000"/>
        </w:rPr>
      </w:pPr>
      <w:r w:rsidRPr="00C52C70">
        <w:rPr>
          <w:rFonts w:asciiTheme="minorHAnsi" w:hAnsiTheme="minorHAnsi"/>
          <w:sz w:val="24"/>
          <w:szCs w:val="24"/>
          <w:u w:color="000000"/>
        </w:rPr>
        <w:t xml:space="preserve">Pokud i v momentě postoupení jednotlivých programů a Dohody o partnerství ke schválení </w:t>
      </w:r>
      <w:r w:rsidR="00EC4972">
        <w:rPr>
          <w:rFonts w:asciiTheme="minorHAnsi" w:hAnsiTheme="minorHAnsi"/>
          <w:sz w:val="24"/>
          <w:szCs w:val="24"/>
          <w:u w:color="000000"/>
        </w:rPr>
        <w:t>v</w:t>
      </w:r>
      <w:r w:rsidRPr="00C52C70">
        <w:rPr>
          <w:rFonts w:asciiTheme="minorHAnsi" w:hAnsiTheme="minorHAnsi"/>
          <w:sz w:val="24"/>
          <w:szCs w:val="24"/>
          <w:u w:color="000000"/>
        </w:rPr>
        <w:t>ládou a následně ke zhodnocení Evropskou komisí nebudou některé předběžné podmínky splněny, je nutné toto uvést do Šablon včetně aktualizovaných navržených opatření a harmonogramu splnění.</w:t>
      </w:r>
    </w:p>
    <w:p w:rsidR="00B029B6" w:rsidRDefault="00836BB7" w:rsidP="000C0E01">
      <w:pPr>
        <w:spacing w:before="180" w:after="60" w:line="288" w:lineRule="auto"/>
        <w:rPr>
          <w:rFonts w:asciiTheme="minorHAnsi" w:hAnsiTheme="minorHAnsi"/>
          <w:sz w:val="24"/>
          <w:szCs w:val="24"/>
          <w:u w:color="000000"/>
        </w:rPr>
      </w:pPr>
      <w:r w:rsidRPr="00736615">
        <w:rPr>
          <w:rFonts w:asciiTheme="minorHAnsi" w:hAnsiTheme="minorHAnsi" w:cs="Arial"/>
          <w:sz w:val="24"/>
          <w:szCs w:val="24"/>
          <w:u w:val="single"/>
        </w:rPr>
        <w:t>Odpovědnosti</w:t>
      </w:r>
    </w:p>
    <w:p w:rsidR="008B03F8" w:rsidRDefault="005C4305" w:rsidP="005C4305">
      <w:pPr>
        <w:spacing w:before="60" w:after="60" w:line="288" w:lineRule="auto"/>
        <w:rPr>
          <w:rFonts w:asciiTheme="minorHAnsi" w:hAnsiTheme="minorHAnsi" w:cs="Arial"/>
          <w:sz w:val="24"/>
          <w:szCs w:val="24"/>
        </w:rPr>
      </w:pPr>
      <w:r w:rsidRPr="0051764B">
        <w:rPr>
          <w:rFonts w:asciiTheme="minorHAnsi" w:hAnsiTheme="minorHAnsi" w:cs="Arial"/>
          <w:sz w:val="24"/>
          <w:szCs w:val="24"/>
        </w:rPr>
        <w:t xml:space="preserve">Klíčovou roli v oblasti předběžných podmínek </w:t>
      </w:r>
      <w:r>
        <w:rPr>
          <w:rFonts w:asciiTheme="minorHAnsi" w:hAnsiTheme="minorHAnsi" w:cs="Arial"/>
          <w:sz w:val="24"/>
          <w:szCs w:val="24"/>
        </w:rPr>
        <w:t>má</w:t>
      </w:r>
      <w:r w:rsidRPr="0051764B">
        <w:rPr>
          <w:rFonts w:asciiTheme="minorHAnsi" w:hAnsiTheme="minorHAnsi" w:cs="Arial"/>
          <w:sz w:val="24"/>
          <w:szCs w:val="24"/>
        </w:rPr>
        <w:t xml:space="preserve"> </w:t>
      </w:r>
      <w:r w:rsidRPr="00175FC4">
        <w:rPr>
          <w:rFonts w:asciiTheme="minorHAnsi" w:hAnsiTheme="minorHAnsi" w:cs="Arial"/>
          <w:b/>
          <w:sz w:val="24"/>
          <w:szCs w:val="24"/>
        </w:rPr>
        <w:t>Ministerstv</w:t>
      </w:r>
      <w:r>
        <w:rPr>
          <w:rFonts w:asciiTheme="minorHAnsi" w:hAnsiTheme="minorHAnsi" w:cs="Arial"/>
          <w:b/>
          <w:sz w:val="24"/>
          <w:szCs w:val="24"/>
        </w:rPr>
        <w:t>o</w:t>
      </w:r>
      <w:r w:rsidRPr="00175FC4">
        <w:rPr>
          <w:rFonts w:asciiTheme="minorHAnsi" w:hAnsiTheme="minorHAnsi" w:cs="Arial"/>
          <w:b/>
          <w:sz w:val="24"/>
          <w:szCs w:val="24"/>
        </w:rPr>
        <w:t xml:space="preserve"> pro místní rozvoj</w:t>
      </w:r>
      <w:r w:rsidRPr="0051764B">
        <w:rPr>
          <w:rFonts w:asciiTheme="minorHAnsi" w:hAnsiTheme="minorHAnsi" w:cs="Arial"/>
          <w:sz w:val="24"/>
          <w:szCs w:val="24"/>
        </w:rPr>
        <w:t xml:space="preserve">, a to jak v rámci přípravy budoucího programového období, tak i ve fázi implementace. </w:t>
      </w:r>
      <w:r w:rsidRPr="00175FC4">
        <w:rPr>
          <w:rFonts w:asciiTheme="minorHAnsi" w:hAnsiTheme="minorHAnsi"/>
          <w:sz w:val="24"/>
          <w:szCs w:val="24"/>
        </w:rPr>
        <w:t>Ministerstv</w:t>
      </w:r>
      <w:r>
        <w:rPr>
          <w:rFonts w:asciiTheme="minorHAnsi" w:hAnsiTheme="minorHAnsi"/>
          <w:sz w:val="24"/>
          <w:szCs w:val="24"/>
        </w:rPr>
        <w:t>o</w:t>
      </w:r>
      <w:r w:rsidRPr="00175FC4">
        <w:rPr>
          <w:rFonts w:asciiTheme="minorHAnsi" w:hAnsiTheme="minorHAnsi"/>
          <w:sz w:val="24"/>
          <w:szCs w:val="24"/>
        </w:rPr>
        <w:t xml:space="preserve"> pro místní rozvoj </w:t>
      </w:r>
      <w:r w:rsidRPr="0051764B">
        <w:rPr>
          <w:rFonts w:asciiTheme="minorHAnsi" w:hAnsiTheme="minorHAnsi" w:cs="Arial"/>
          <w:sz w:val="24"/>
          <w:szCs w:val="24"/>
        </w:rPr>
        <w:t>dohlíž</w:t>
      </w:r>
      <w:r>
        <w:rPr>
          <w:rFonts w:asciiTheme="minorHAnsi" w:hAnsiTheme="minorHAnsi" w:cs="Arial"/>
          <w:sz w:val="24"/>
          <w:szCs w:val="24"/>
        </w:rPr>
        <w:t>í</w:t>
      </w:r>
      <w:r w:rsidRPr="0051764B">
        <w:rPr>
          <w:rFonts w:asciiTheme="minorHAnsi" w:hAnsiTheme="minorHAnsi" w:cs="Arial"/>
          <w:sz w:val="24"/>
          <w:szCs w:val="24"/>
        </w:rPr>
        <w:t xml:space="preserve"> nad tím, zda jsou ze strany řídících orgánů a dalších partnerů předběžné podmínky splněny</w:t>
      </w:r>
      <w:r>
        <w:rPr>
          <w:rFonts w:asciiTheme="minorHAnsi" w:hAnsiTheme="minorHAnsi" w:cs="Arial"/>
          <w:sz w:val="24"/>
          <w:szCs w:val="24"/>
        </w:rPr>
        <w:t xml:space="preserve">. Za tímto účelem jsou řídící orgány povinny nahlásit </w:t>
      </w:r>
      <w:r w:rsidRPr="00175FC4">
        <w:rPr>
          <w:rFonts w:asciiTheme="minorHAnsi" w:hAnsiTheme="minorHAnsi"/>
          <w:sz w:val="24"/>
          <w:szCs w:val="24"/>
        </w:rPr>
        <w:t>Ministerstv</w:t>
      </w:r>
      <w:r>
        <w:rPr>
          <w:rFonts w:asciiTheme="minorHAnsi" w:hAnsiTheme="minorHAnsi"/>
          <w:sz w:val="24"/>
          <w:szCs w:val="24"/>
        </w:rPr>
        <w:t>u</w:t>
      </w:r>
      <w:r w:rsidRPr="00175FC4">
        <w:rPr>
          <w:rFonts w:asciiTheme="minorHAnsi" w:hAnsiTheme="minorHAnsi"/>
          <w:sz w:val="24"/>
          <w:szCs w:val="24"/>
        </w:rPr>
        <w:t xml:space="preserve"> pro místní rozvoj </w:t>
      </w:r>
      <w:r>
        <w:rPr>
          <w:rFonts w:asciiTheme="minorHAnsi" w:hAnsiTheme="minorHAnsi" w:cs="Arial"/>
          <w:sz w:val="24"/>
          <w:szCs w:val="24"/>
        </w:rPr>
        <w:t xml:space="preserve">bez zbytečného odkladu, nejpozději však do </w:t>
      </w:r>
      <w:r w:rsidRPr="00137D07">
        <w:rPr>
          <w:rFonts w:asciiTheme="minorHAnsi" w:hAnsiTheme="minorHAnsi" w:cs="Arial"/>
          <w:sz w:val="24"/>
          <w:szCs w:val="24"/>
        </w:rPr>
        <w:t>5 pracovních dnů</w:t>
      </w:r>
      <w:r>
        <w:rPr>
          <w:rFonts w:asciiTheme="minorHAnsi" w:hAnsiTheme="minorHAnsi" w:cs="Arial"/>
          <w:sz w:val="24"/>
          <w:szCs w:val="24"/>
        </w:rPr>
        <w:t>, veškeré změny, které mají nebo by mohly mít vliv na splnění předběžné podmínky (jedná se např. o nově zahájená řízení, včetně formálních upozornění, řízení před Ústavním soudem a případně jakékoliv další relevantní legislativní i nelegislativní překážky na vnitrostátní úrovni</w:t>
      </w:r>
      <w:r w:rsidR="008B03F8">
        <w:rPr>
          <w:rFonts w:asciiTheme="minorHAnsi" w:hAnsiTheme="minorHAnsi" w:cs="Arial"/>
          <w:sz w:val="24"/>
          <w:szCs w:val="24"/>
        </w:rPr>
        <w:t>; schválení strategie apod.</w:t>
      </w:r>
      <w:r>
        <w:rPr>
          <w:rFonts w:asciiTheme="minorHAnsi" w:hAnsiTheme="minorHAnsi" w:cs="Arial"/>
          <w:sz w:val="24"/>
          <w:szCs w:val="24"/>
        </w:rPr>
        <w:t>).</w:t>
      </w:r>
      <w:r w:rsidRPr="0051764B">
        <w:rPr>
          <w:rFonts w:asciiTheme="minorHAnsi" w:hAnsiTheme="minorHAnsi" w:cs="Arial"/>
          <w:sz w:val="24"/>
          <w:szCs w:val="24"/>
        </w:rPr>
        <w:t xml:space="preserve"> </w:t>
      </w:r>
      <w:r>
        <w:rPr>
          <w:rFonts w:asciiTheme="minorHAnsi" w:hAnsiTheme="minorHAnsi" w:cs="Arial"/>
          <w:sz w:val="24"/>
          <w:szCs w:val="24"/>
        </w:rPr>
        <w:t>U</w:t>
      </w:r>
      <w:r w:rsidRPr="0051764B">
        <w:rPr>
          <w:rFonts w:asciiTheme="minorHAnsi" w:hAnsiTheme="minorHAnsi" w:cs="Arial"/>
          <w:sz w:val="24"/>
          <w:szCs w:val="24"/>
        </w:rPr>
        <w:t xml:space="preserve"> nesplněných </w:t>
      </w:r>
      <w:r>
        <w:rPr>
          <w:rFonts w:asciiTheme="minorHAnsi" w:hAnsiTheme="minorHAnsi" w:cs="Arial"/>
          <w:sz w:val="24"/>
          <w:szCs w:val="24"/>
        </w:rPr>
        <w:t xml:space="preserve">podmínek </w:t>
      </w:r>
      <w:r w:rsidRPr="0051764B">
        <w:rPr>
          <w:rFonts w:asciiTheme="minorHAnsi" w:hAnsiTheme="minorHAnsi" w:cs="Arial"/>
          <w:sz w:val="24"/>
          <w:szCs w:val="24"/>
        </w:rPr>
        <w:t>pak koordin</w:t>
      </w:r>
      <w:r>
        <w:rPr>
          <w:rFonts w:asciiTheme="minorHAnsi" w:hAnsiTheme="minorHAnsi" w:cs="Arial"/>
          <w:sz w:val="24"/>
          <w:szCs w:val="24"/>
        </w:rPr>
        <w:t>uje</w:t>
      </w:r>
      <w:r w:rsidRPr="0051764B">
        <w:rPr>
          <w:rFonts w:asciiTheme="minorHAnsi" w:hAnsiTheme="minorHAnsi" w:cs="Arial"/>
          <w:sz w:val="24"/>
          <w:szCs w:val="24"/>
        </w:rPr>
        <w:t xml:space="preserve"> následné splnění v daném termínu a rozsahu.</w:t>
      </w:r>
      <w:r>
        <w:rPr>
          <w:rFonts w:asciiTheme="minorHAnsi" w:hAnsiTheme="minorHAnsi" w:cs="Arial"/>
          <w:sz w:val="24"/>
          <w:szCs w:val="24"/>
        </w:rPr>
        <w:t xml:space="preserve"> </w:t>
      </w:r>
      <w:r w:rsidRPr="00175FC4">
        <w:rPr>
          <w:rFonts w:asciiTheme="minorHAnsi" w:hAnsiTheme="minorHAnsi"/>
          <w:sz w:val="24"/>
          <w:szCs w:val="24"/>
        </w:rPr>
        <w:t>M</w:t>
      </w:r>
      <w:r w:rsidR="008B03F8">
        <w:rPr>
          <w:rFonts w:asciiTheme="minorHAnsi" w:hAnsiTheme="minorHAnsi"/>
          <w:sz w:val="24"/>
          <w:szCs w:val="24"/>
        </w:rPr>
        <w:t>MR</w:t>
      </w:r>
      <w:r w:rsidRPr="00175FC4">
        <w:rPr>
          <w:rFonts w:asciiTheme="minorHAnsi" w:hAnsiTheme="minorHAnsi"/>
          <w:sz w:val="24"/>
          <w:szCs w:val="24"/>
        </w:rPr>
        <w:t xml:space="preserve"> </w:t>
      </w:r>
      <w:r>
        <w:rPr>
          <w:rFonts w:asciiTheme="minorHAnsi" w:hAnsiTheme="minorHAnsi" w:cs="Arial"/>
          <w:sz w:val="24"/>
          <w:szCs w:val="24"/>
        </w:rPr>
        <w:t xml:space="preserve">také zajišťuje </w:t>
      </w:r>
      <w:r w:rsidRPr="0051764B">
        <w:rPr>
          <w:rFonts w:asciiTheme="minorHAnsi" w:hAnsiTheme="minorHAnsi" w:cs="Arial"/>
          <w:sz w:val="24"/>
          <w:szCs w:val="24"/>
        </w:rPr>
        <w:t>v</w:t>
      </w:r>
      <w:r>
        <w:rPr>
          <w:rFonts w:asciiTheme="minorHAnsi" w:hAnsiTheme="minorHAnsi" w:cs="Arial"/>
          <w:sz w:val="24"/>
          <w:szCs w:val="24"/>
        </w:rPr>
        <w:t xml:space="preserve"> oblasti předběžných podmínek </w:t>
      </w:r>
      <w:r w:rsidRPr="0051764B">
        <w:rPr>
          <w:rFonts w:asciiTheme="minorHAnsi" w:hAnsiTheme="minorHAnsi" w:cs="Arial"/>
          <w:sz w:val="24"/>
          <w:szCs w:val="24"/>
        </w:rPr>
        <w:t>komunikac</w:t>
      </w:r>
      <w:r>
        <w:rPr>
          <w:rFonts w:asciiTheme="minorHAnsi" w:hAnsiTheme="minorHAnsi" w:cs="Arial"/>
          <w:sz w:val="24"/>
          <w:szCs w:val="24"/>
        </w:rPr>
        <w:t>i</w:t>
      </w:r>
      <w:r w:rsidRPr="0051764B">
        <w:rPr>
          <w:rFonts w:asciiTheme="minorHAnsi" w:hAnsiTheme="minorHAnsi" w:cs="Arial"/>
          <w:sz w:val="24"/>
          <w:szCs w:val="24"/>
        </w:rPr>
        <w:t xml:space="preserve"> mezi Českou republikou a Evropskou komisí</w:t>
      </w:r>
      <w:r>
        <w:rPr>
          <w:rFonts w:asciiTheme="minorHAnsi" w:hAnsiTheme="minorHAnsi" w:cs="Arial"/>
          <w:sz w:val="24"/>
          <w:szCs w:val="24"/>
        </w:rPr>
        <w:t>.</w:t>
      </w:r>
    </w:p>
    <w:p w:rsidR="005C4305" w:rsidRDefault="005C4305" w:rsidP="005C4305">
      <w:pPr>
        <w:spacing w:before="60" w:after="60" w:line="288" w:lineRule="auto"/>
        <w:rPr>
          <w:rFonts w:asciiTheme="minorHAnsi" w:hAnsiTheme="minorHAnsi" w:cs="Arial"/>
        </w:rPr>
      </w:pPr>
      <w:r w:rsidRPr="002821AE">
        <w:rPr>
          <w:rFonts w:asciiTheme="minorHAnsi" w:hAnsiTheme="minorHAnsi" w:cs="Arial"/>
          <w:sz w:val="24"/>
          <w:szCs w:val="24"/>
        </w:rPr>
        <w:t xml:space="preserve">Zásadní věcnou </w:t>
      </w:r>
      <w:r w:rsidR="008B03F8">
        <w:rPr>
          <w:rFonts w:asciiTheme="minorHAnsi" w:hAnsiTheme="minorHAnsi" w:cs="Arial"/>
          <w:sz w:val="24"/>
          <w:szCs w:val="24"/>
        </w:rPr>
        <w:t xml:space="preserve">a gesční </w:t>
      </w:r>
      <w:r w:rsidRPr="002821AE">
        <w:rPr>
          <w:rFonts w:asciiTheme="minorHAnsi" w:hAnsiTheme="minorHAnsi" w:cs="Arial"/>
          <w:sz w:val="24"/>
          <w:szCs w:val="24"/>
        </w:rPr>
        <w:t xml:space="preserve">roli hrají </w:t>
      </w:r>
      <w:r w:rsidRPr="002821AE">
        <w:rPr>
          <w:rFonts w:asciiTheme="minorHAnsi" w:hAnsiTheme="minorHAnsi" w:cs="Arial"/>
          <w:b/>
          <w:sz w:val="24"/>
          <w:szCs w:val="24"/>
        </w:rPr>
        <w:t>řídící orgány,</w:t>
      </w:r>
      <w:r w:rsidRPr="002821AE">
        <w:rPr>
          <w:rFonts w:asciiTheme="minorHAnsi" w:hAnsiTheme="minorHAnsi" w:cs="Arial"/>
          <w:sz w:val="24"/>
          <w:szCs w:val="24"/>
        </w:rPr>
        <w:t xml:space="preserve"> ty identifikují a </w:t>
      </w:r>
      <w:r w:rsidRPr="002821AE">
        <w:rPr>
          <w:rFonts w:asciiTheme="minorHAnsi" w:hAnsiTheme="minorHAnsi"/>
          <w:sz w:val="24"/>
          <w:szCs w:val="24"/>
          <w:u w:color="000000"/>
        </w:rPr>
        <w:t xml:space="preserve">stanoví plnění předběžné podmínky vždy k danému programu a také k dané prioritě programu. Řídící orgány </w:t>
      </w:r>
      <w:r w:rsidR="00350C72">
        <w:rPr>
          <w:rFonts w:asciiTheme="minorHAnsi" w:hAnsiTheme="minorHAnsi"/>
          <w:sz w:val="24"/>
          <w:szCs w:val="24"/>
          <w:u w:color="000000"/>
        </w:rPr>
        <w:br/>
      </w:r>
      <w:r w:rsidRPr="002821AE">
        <w:rPr>
          <w:rFonts w:asciiTheme="minorHAnsi" w:hAnsiTheme="minorHAnsi"/>
          <w:sz w:val="24"/>
          <w:szCs w:val="24"/>
          <w:u w:color="000000"/>
        </w:rPr>
        <w:t xml:space="preserve">ve spolupráci s dalšími dotčenými subjekty definují jak plnění předběžných podmínek, tak i časový a věcný rozsah k dané předběžné podmínce. </w:t>
      </w:r>
      <w:r w:rsidRPr="002821AE">
        <w:rPr>
          <w:rFonts w:asciiTheme="minorHAnsi" w:hAnsiTheme="minorHAnsi" w:cs="Arial"/>
          <w:sz w:val="24"/>
          <w:szCs w:val="24"/>
        </w:rPr>
        <w:t xml:space="preserve">Protože se některé předběžné podmínky mohou dotýkat více prioritních os i </w:t>
      </w:r>
      <w:r w:rsidR="00BE4703">
        <w:rPr>
          <w:rFonts w:asciiTheme="minorHAnsi" w:hAnsiTheme="minorHAnsi" w:cs="Arial"/>
          <w:sz w:val="24"/>
          <w:szCs w:val="24"/>
        </w:rPr>
        <w:t xml:space="preserve">více </w:t>
      </w:r>
      <w:r w:rsidRPr="002821AE">
        <w:rPr>
          <w:rFonts w:asciiTheme="minorHAnsi" w:hAnsiTheme="minorHAnsi" w:cs="Arial"/>
          <w:sz w:val="24"/>
          <w:szCs w:val="24"/>
        </w:rPr>
        <w:t>programů a protože gesce za naplnění určité předběžné podmínky nemusí vždy náležet danému ŘO příslušného OP, je nezbytné v takovém případě k tomuto naplňování přistupovat multilaterálně ve spolupráci s </w:t>
      </w:r>
      <w:r w:rsidRPr="002821AE">
        <w:rPr>
          <w:rFonts w:asciiTheme="minorHAnsi" w:hAnsiTheme="minorHAnsi" w:cs="Arial"/>
          <w:b/>
          <w:sz w:val="24"/>
          <w:szCs w:val="24"/>
        </w:rPr>
        <w:t>dalšími subjekty zapojenými do implementace</w:t>
      </w:r>
      <w:r w:rsidRPr="002821AE">
        <w:rPr>
          <w:rFonts w:asciiTheme="minorHAnsi" w:hAnsiTheme="minorHAnsi" w:cs="Arial"/>
          <w:sz w:val="24"/>
          <w:szCs w:val="24"/>
        </w:rPr>
        <w:t xml:space="preserve"> fondů SSR</w:t>
      </w:r>
      <w:r w:rsidR="00BE4703">
        <w:rPr>
          <w:rFonts w:asciiTheme="minorHAnsi" w:hAnsiTheme="minorHAnsi" w:cs="Arial"/>
          <w:sz w:val="24"/>
          <w:szCs w:val="24"/>
        </w:rPr>
        <w:t xml:space="preserve"> (t</w:t>
      </w:r>
      <w:r w:rsidRPr="002821AE">
        <w:rPr>
          <w:rFonts w:asciiTheme="minorHAnsi" w:hAnsiTheme="minorHAnsi" w:cs="Arial"/>
          <w:sz w:val="24"/>
          <w:szCs w:val="24"/>
        </w:rPr>
        <w:t>ěmito subjekty se myslí zejména gestoři a spolugestoři předběžných podmínek</w:t>
      </w:r>
      <w:r w:rsidR="00BE4703">
        <w:rPr>
          <w:rFonts w:asciiTheme="minorHAnsi" w:hAnsiTheme="minorHAnsi" w:cs="Arial"/>
          <w:sz w:val="24"/>
          <w:szCs w:val="24"/>
        </w:rPr>
        <w:t>)</w:t>
      </w:r>
      <w:r w:rsidRPr="002821AE">
        <w:rPr>
          <w:rFonts w:asciiTheme="minorHAnsi" w:hAnsiTheme="minorHAnsi" w:cs="Arial"/>
          <w:sz w:val="24"/>
          <w:szCs w:val="24"/>
        </w:rPr>
        <w:t xml:space="preserve">. </w:t>
      </w:r>
      <w:r w:rsidR="00BE4703">
        <w:rPr>
          <w:rFonts w:asciiTheme="minorHAnsi" w:hAnsiTheme="minorHAnsi" w:cs="Arial"/>
          <w:sz w:val="24"/>
          <w:szCs w:val="24"/>
        </w:rPr>
        <w:t>Řídící orgán nese plnou odpovědnost za správnou a úplnou aktualizaci stavu předběžných podmínek.</w:t>
      </w:r>
    </w:p>
    <w:p w:rsidR="005C4305" w:rsidRDefault="005C4305" w:rsidP="005C4305">
      <w:pPr>
        <w:spacing w:before="60" w:after="60" w:line="288" w:lineRule="auto"/>
        <w:rPr>
          <w:rFonts w:asciiTheme="minorHAnsi" w:hAnsiTheme="minorHAnsi"/>
          <w:sz w:val="24"/>
          <w:szCs w:val="24"/>
        </w:rPr>
      </w:pPr>
      <w:r w:rsidRPr="002821AE">
        <w:rPr>
          <w:rFonts w:asciiTheme="minorHAnsi" w:hAnsiTheme="minorHAnsi" w:cs="Arial"/>
          <w:sz w:val="24"/>
          <w:szCs w:val="24"/>
        </w:rPr>
        <w:t xml:space="preserve">Gestorům </w:t>
      </w:r>
      <w:r w:rsidRPr="00137D07">
        <w:rPr>
          <w:rFonts w:asciiTheme="minorHAnsi" w:hAnsiTheme="minorHAnsi" w:cs="Arial"/>
          <w:sz w:val="24"/>
          <w:szCs w:val="24"/>
        </w:rPr>
        <w:t>a spolugestorům</w:t>
      </w:r>
      <w:r w:rsidRPr="002821AE">
        <w:rPr>
          <w:rFonts w:asciiTheme="minorHAnsi" w:hAnsiTheme="minorHAnsi" w:cs="Arial"/>
          <w:sz w:val="24"/>
          <w:szCs w:val="24"/>
        </w:rPr>
        <w:t xml:space="preserve"> </w:t>
      </w:r>
      <w:r w:rsidR="00BE4703">
        <w:rPr>
          <w:rFonts w:asciiTheme="minorHAnsi" w:hAnsiTheme="minorHAnsi" w:cs="Arial"/>
          <w:sz w:val="24"/>
          <w:szCs w:val="24"/>
        </w:rPr>
        <w:t xml:space="preserve">(přičemž </w:t>
      </w:r>
      <w:r w:rsidR="00BE4703" w:rsidRPr="002821AE">
        <w:rPr>
          <w:rFonts w:asciiTheme="minorHAnsi" w:hAnsiTheme="minorHAnsi" w:cs="Arial"/>
          <w:sz w:val="24"/>
          <w:szCs w:val="24"/>
        </w:rPr>
        <w:t xml:space="preserve">ve většině případů </w:t>
      </w:r>
      <w:r w:rsidR="00BE4703">
        <w:rPr>
          <w:rFonts w:asciiTheme="minorHAnsi" w:hAnsiTheme="minorHAnsi" w:cs="Arial"/>
          <w:sz w:val="24"/>
          <w:szCs w:val="24"/>
        </w:rPr>
        <w:t xml:space="preserve">jsou gestory a spolugestory právě </w:t>
      </w:r>
      <w:r w:rsidR="00BE4703" w:rsidRPr="002821AE">
        <w:rPr>
          <w:rFonts w:asciiTheme="minorHAnsi" w:hAnsiTheme="minorHAnsi" w:cs="Arial"/>
          <w:sz w:val="24"/>
          <w:szCs w:val="24"/>
        </w:rPr>
        <w:t>řídící o</w:t>
      </w:r>
      <w:r w:rsidR="00BE4703">
        <w:rPr>
          <w:rFonts w:asciiTheme="minorHAnsi" w:hAnsiTheme="minorHAnsi" w:cs="Arial"/>
          <w:sz w:val="24"/>
          <w:szCs w:val="24"/>
        </w:rPr>
        <w:t>rgány)</w:t>
      </w:r>
      <w:r w:rsidR="00BE4703" w:rsidRPr="002821AE">
        <w:rPr>
          <w:rFonts w:asciiTheme="minorHAnsi" w:hAnsiTheme="minorHAnsi" w:cs="Arial"/>
          <w:sz w:val="24"/>
          <w:szCs w:val="24"/>
        </w:rPr>
        <w:t xml:space="preserve"> </w:t>
      </w:r>
      <w:r w:rsidRPr="002821AE">
        <w:rPr>
          <w:rFonts w:asciiTheme="minorHAnsi" w:hAnsiTheme="minorHAnsi" w:cs="Arial"/>
          <w:sz w:val="24"/>
          <w:szCs w:val="24"/>
        </w:rPr>
        <w:t xml:space="preserve">předběžných podmínek vyplývá z usnesení vlády povinnost zajistit plnění předběžných podmínek vázaných na programy a Dohodu o partnerství, spolupracovat </w:t>
      </w:r>
      <w:r w:rsidRPr="002821AE">
        <w:rPr>
          <w:rFonts w:asciiTheme="minorHAnsi" w:hAnsiTheme="minorHAnsi"/>
          <w:sz w:val="24"/>
          <w:szCs w:val="24"/>
        </w:rPr>
        <w:t xml:space="preserve">při naplňování předběžných podmínek s dalšími subjekty podílejícími se na věcném </w:t>
      </w:r>
      <w:r w:rsidR="00350C72">
        <w:rPr>
          <w:rFonts w:asciiTheme="minorHAnsi" w:hAnsiTheme="minorHAnsi"/>
          <w:sz w:val="24"/>
          <w:szCs w:val="24"/>
        </w:rPr>
        <w:br/>
      </w:r>
      <w:r w:rsidRPr="002821AE">
        <w:rPr>
          <w:rFonts w:asciiTheme="minorHAnsi" w:hAnsiTheme="minorHAnsi"/>
          <w:sz w:val="24"/>
          <w:szCs w:val="24"/>
        </w:rPr>
        <w:t>a implementačním zajištění předběžných podmínek</w:t>
      </w:r>
      <w:r w:rsidR="00BF1F32">
        <w:rPr>
          <w:rFonts w:asciiTheme="minorHAnsi" w:hAnsiTheme="minorHAnsi"/>
          <w:sz w:val="24"/>
          <w:szCs w:val="24"/>
        </w:rPr>
        <w:t xml:space="preserve">, </w:t>
      </w:r>
      <w:r>
        <w:rPr>
          <w:rFonts w:asciiTheme="minorHAnsi" w:hAnsiTheme="minorHAnsi"/>
          <w:sz w:val="24"/>
          <w:szCs w:val="24"/>
        </w:rPr>
        <w:t>a do 30.</w:t>
      </w:r>
      <w:r w:rsidR="00BF1F32">
        <w:rPr>
          <w:rFonts w:asciiTheme="minorHAnsi" w:hAnsiTheme="minorHAnsi"/>
          <w:sz w:val="24"/>
          <w:szCs w:val="24"/>
        </w:rPr>
        <w:t xml:space="preserve"> </w:t>
      </w:r>
      <w:r>
        <w:rPr>
          <w:rFonts w:asciiTheme="minorHAnsi" w:hAnsiTheme="minorHAnsi"/>
          <w:sz w:val="24"/>
          <w:szCs w:val="24"/>
        </w:rPr>
        <w:t xml:space="preserve">6. předložit ministrovi pro místní rozvoj Kartu </w:t>
      </w:r>
      <w:r w:rsidR="00137D07">
        <w:rPr>
          <w:rFonts w:asciiTheme="minorHAnsi" w:hAnsiTheme="minorHAnsi"/>
          <w:sz w:val="24"/>
          <w:szCs w:val="24"/>
        </w:rPr>
        <w:t>rizikových předběžných podmínek</w:t>
      </w:r>
      <w:r>
        <w:rPr>
          <w:rFonts w:asciiTheme="minorHAnsi" w:hAnsiTheme="minorHAnsi"/>
          <w:sz w:val="24"/>
          <w:szCs w:val="24"/>
        </w:rPr>
        <w:t>.</w:t>
      </w:r>
    </w:p>
    <w:p w:rsidR="005C4305" w:rsidRPr="007C7778" w:rsidRDefault="005C4305" w:rsidP="005C4305">
      <w:pPr>
        <w:spacing w:before="60" w:after="60" w:line="288" w:lineRule="auto"/>
        <w:rPr>
          <w:rFonts w:asciiTheme="minorHAnsi" w:hAnsiTheme="minorHAnsi" w:cs="Arial"/>
          <w:sz w:val="24"/>
          <w:szCs w:val="24"/>
        </w:rPr>
      </w:pPr>
      <w:r w:rsidRPr="007C7778">
        <w:rPr>
          <w:rFonts w:asciiTheme="minorHAnsi" w:hAnsiTheme="minorHAnsi" w:cs="Arial"/>
          <w:sz w:val="24"/>
          <w:szCs w:val="24"/>
        </w:rPr>
        <w:t xml:space="preserve">I z těchto důvodů bude v rámci celého procesu řízení a koordinace předběžných podmínek v programovém období 2014-2020 (včetně jeho přípravy) </w:t>
      </w:r>
      <w:r w:rsidRPr="00175FC4">
        <w:rPr>
          <w:rFonts w:asciiTheme="minorHAnsi" w:hAnsiTheme="minorHAnsi"/>
          <w:sz w:val="24"/>
          <w:szCs w:val="24"/>
        </w:rPr>
        <w:t>Ministerstv</w:t>
      </w:r>
      <w:r>
        <w:rPr>
          <w:rFonts w:asciiTheme="minorHAnsi" w:hAnsiTheme="minorHAnsi"/>
          <w:sz w:val="24"/>
          <w:szCs w:val="24"/>
        </w:rPr>
        <w:t>o</w:t>
      </w:r>
      <w:r w:rsidRPr="00175FC4">
        <w:rPr>
          <w:rFonts w:asciiTheme="minorHAnsi" w:hAnsiTheme="minorHAnsi"/>
          <w:sz w:val="24"/>
          <w:szCs w:val="24"/>
        </w:rPr>
        <w:t xml:space="preserve"> pro místní rozvoj </w:t>
      </w:r>
      <w:r w:rsidR="00BF1F32">
        <w:rPr>
          <w:rFonts w:asciiTheme="minorHAnsi" w:hAnsiTheme="minorHAnsi"/>
          <w:sz w:val="24"/>
          <w:szCs w:val="24"/>
        </w:rPr>
        <w:br/>
      </w:r>
      <w:r w:rsidRPr="007C7778">
        <w:rPr>
          <w:rFonts w:asciiTheme="minorHAnsi" w:hAnsiTheme="minorHAnsi" w:cs="Arial"/>
          <w:sz w:val="24"/>
          <w:szCs w:val="24"/>
        </w:rPr>
        <w:t xml:space="preserve">od řídících orgánů vyžadovat úzkou spolupráci s orgány, které </w:t>
      </w:r>
      <w:r>
        <w:rPr>
          <w:rFonts w:asciiTheme="minorHAnsi" w:hAnsiTheme="minorHAnsi" w:cs="Arial"/>
          <w:sz w:val="24"/>
          <w:szCs w:val="24"/>
        </w:rPr>
        <w:t>participují na dané předběžné podmínce.</w:t>
      </w:r>
    </w:p>
    <w:p w:rsidR="000C0E01" w:rsidRDefault="005C4305" w:rsidP="00836BB7">
      <w:pPr>
        <w:spacing w:before="180" w:after="60" w:line="288" w:lineRule="auto"/>
        <w:rPr>
          <w:rFonts w:asciiTheme="minorHAnsi" w:hAnsiTheme="minorHAnsi"/>
          <w:sz w:val="24"/>
          <w:szCs w:val="24"/>
          <w:u w:color="000000"/>
        </w:rPr>
      </w:pPr>
      <w:r w:rsidRPr="00E86578">
        <w:rPr>
          <w:rFonts w:asciiTheme="minorHAnsi" w:hAnsiTheme="minorHAnsi"/>
          <w:b/>
          <w:sz w:val="24"/>
          <w:szCs w:val="24"/>
          <w:u w:color="000000"/>
        </w:rPr>
        <w:t>Evropsk</w:t>
      </w:r>
      <w:r w:rsidR="00DF640B">
        <w:rPr>
          <w:rFonts w:asciiTheme="minorHAnsi" w:hAnsiTheme="minorHAnsi"/>
          <w:b/>
          <w:sz w:val="24"/>
          <w:szCs w:val="24"/>
          <w:u w:color="000000"/>
        </w:rPr>
        <w:t>á</w:t>
      </w:r>
      <w:r w:rsidRPr="00E86578">
        <w:rPr>
          <w:rFonts w:asciiTheme="minorHAnsi" w:hAnsiTheme="minorHAnsi"/>
          <w:b/>
          <w:sz w:val="24"/>
          <w:szCs w:val="24"/>
          <w:u w:color="000000"/>
        </w:rPr>
        <w:t xml:space="preserve"> komis</w:t>
      </w:r>
      <w:r w:rsidR="00DF640B">
        <w:rPr>
          <w:rFonts w:asciiTheme="minorHAnsi" w:hAnsiTheme="minorHAnsi"/>
          <w:b/>
          <w:sz w:val="24"/>
          <w:szCs w:val="24"/>
          <w:u w:color="000000"/>
        </w:rPr>
        <w:t>e</w:t>
      </w:r>
      <w:r>
        <w:rPr>
          <w:rFonts w:asciiTheme="minorHAnsi" w:hAnsiTheme="minorHAnsi"/>
          <w:sz w:val="24"/>
          <w:szCs w:val="24"/>
          <w:u w:color="000000"/>
        </w:rPr>
        <w:t xml:space="preserve"> </w:t>
      </w:r>
      <w:r w:rsidR="00DF640B">
        <w:rPr>
          <w:rFonts w:asciiTheme="minorHAnsi" w:hAnsiTheme="minorHAnsi"/>
          <w:sz w:val="24"/>
          <w:szCs w:val="24"/>
          <w:u w:color="000000"/>
        </w:rPr>
        <w:t>diskutuje o zam</w:t>
      </w:r>
      <w:r w:rsidR="00BF1F32">
        <w:rPr>
          <w:rFonts w:asciiTheme="minorHAnsi" w:hAnsiTheme="minorHAnsi"/>
          <w:sz w:val="24"/>
          <w:szCs w:val="24"/>
          <w:u w:color="000000"/>
        </w:rPr>
        <w:t>ě</w:t>
      </w:r>
      <w:r w:rsidR="00DF640B">
        <w:rPr>
          <w:rFonts w:asciiTheme="minorHAnsi" w:hAnsiTheme="minorHAnsi"/>
          <w:sz w:val="24"/>
          <w:szCs w:val="24"/>
          <w:u w:color="000000"/>
        </w:rPr>
        <w:t>ření některých p</w:t>
      </w:r>
      <w:r>
        <w:rPr>
          <w:rFonts w:asciiTheme="minorHAnsi" w:hAnsiTheme="minorHAnsi"/>
          <w:sz w:val="24"/>
          <w:szCs w:val="24"/>
          <w:u w:color="000000"/>
        </w:rPr>
        <w:t>ředběžných podmínek</w:t>
      </w:r>
      <w:r w:rsidR="00DF640B">
        <w:rPr>
          <w:rFonts w:asciiTheme="minorHAnsi" w:hAnsiTheme="minorHAnsi"/>
          <w:sz w:val="24"/>
          <w:szCs w:val="24"/>
          <w:u w:color="000000"/>
        </w:rPr>
        <w:t xml:space="preserve"> v rámci neformálního dialogu</w:t>
      </w:r>
      <w:r>
        <w:rPr>
          <w:rFonts w:asciiTheme="minorHAnsi" w:hAnsiTheme="minorHAnsi"/>
          <w:sz w:val="24"/>
          <w:szCs w:val="24"/>
          <w:u w:color="000000"/>
        </w:rPr>
        <w:t xml:space="preserve">, </w:t>
      </w:r>
      <w:r w:rsidR="00DF640B">
        <w:rPr>
          <w:rFonts w:asciiTheme="minorHAnsi" w:hAnsiTheme="minorHAnsi"/>
          <w:sz w:val="24"/>
          <w:szCs w:val="24"/>
          <w:u w:color="000000"/>
        </w:rPr>
        <w:t>v rámci formálního dialogu po obdržení Dohody a programů bude pos</w:t>
      </w:r>
      <w:r w:rsidRPr="00E86578">
        <w:rPr>
          <w:rFonts w:asciiTheme="minorHAnsi" w:hAnsiTheme="minorHAnsi"/>
          <w:sz w:val="24"/>
          <w:szCs w:val="24"/>
          <w:u w:color="000000"/>
        </w:rPr>
        <w:t>uz</w:t>
      </w:r>
      <w:r w:rsidR="00DF640B">
        <w:rPr>
          <w:rFonts w:asciiTheme="minorHAnsi" w:hAnsiTheme="minorHAnsi"/>
          <w:sz w:val="24"/>
          <w:szCs w:val="24"/>
          <w:u w:color="000000"/>
        </w:rPr>
        <w:t>ovat naplňování</w:t>
      </w:r>
      <w:r w:rsidRPr="00E86578">
        <w:rPr>
          <w:rFonts w:asciiTheme="minorHAnsi" w:hAnsiTheme="minorHAnsi"/>
          <w:sz w:val="24"/>
          <w:szCs w:val="24"/>
          <w:u w:color="000000"/>
        </w:rPr>
        <w:t xml:space="preserve"> </w:t>
      </w:r>
      <w:r w:rsidR="00DF640B">
        <w:rPr>
          <w:rFonts w:asciiTheme="minorHAnsi" w:hAnsiTheme="minorHAnsi"/>
          <w:sz w:val="24"/>
          <w:szCs w:val="24"/>
          <w:u w:color="000000"/>
        </w:rPr>
        <w:t>předběžných podmínek.</w:t>
      </w:r>
    </w:p>
    <w:p w:rsidR="00836BB7" w:rsidRPr="000F62DB" w:rsidRDefault="00262A7E" w:rsidP="00836BB7">
      <w:pPr>
        <w:spacing w:before="180" w:after="60" w:line="288" w:lineRule="auto"/>
        <w:rPr>
          <w:rFonts w:asciiTheme="minorHAnsi" w:hAnsiTheme="minorHAnsi" w:cs="Arial"/>
          <w:sz w:val="24"/>
          <w:szCs w:val="24"/>
          <w:u w:val="single"/>
        </w:rPr>
      </w:pPr>
      <w:r w:rsidRPr="000F62DB">
        <w:rPr>
          <w:rFonts w:asciiTheme="minorHAnsi" w:hAnsiTheme="minorHAnsi" w:cs="Arial"/>
          <w:sz w:val="24"/>
          <w:szCs w:val="24"/>
          <w:u w:val="single"/>
        </w:rPr>
        <w:t>Milníky a nástroje</w:t>
      </w:r>
    </w:p>
    <w:p w:rsidR="00B029B6" w:rsidRDefault="00B029B6" w:rsidP="00B029B6">
      <w:pPr>
        <w:spacing w:before="60" w:after="60" w:line="288" w:lineRule="auto"/>
        <w:rPr>
          <w:rFonts w:asciiTheme="minorHAnsi" w:hAnsiTheme="minorHAnsi" w:cs="Arial"/>
          <w:color w:val="000000"/>
          <w:sz w:val="24"/>
          <w:szCs w:val="24"/>
          <w:u w:color="000000"/>
        </w:rPr>
      </w:pPr>
      <w:r>
        <w:rPr>
          <w:rFonts w:asciiTheme="minorHAnsi" w:hAnsiTheme="minorHAnsi" w:cs="Arial"/>
          <w:sz w:val="24"/>
          <w:szCs w:val="24"/>
        </w:rPr>
        <w:t>Ří</w:t>
      </w:r>
      <w:r w:rsidRPr="005068A5">
        <w:rPr>
          <w:rFonts w:asciiTheme="minorHAnsi" w:hAnsiTheme="minorHAnsi" w:cs="Arial"/>
          <w:sz w:val="24"/>
          <w:szCs w:val="24"/>
        </w:rPr>
        <w:t xml:space="preserve">dící orgány </w:t>
      </w:r>
      <w:r>
        <w:rPr>
          <w:rFonts w:asciiTheme="minorHAnsi" w:hAnsiTheme="minorHAnsi" w:cs="Arial"/>
          <w:sz w:val="24"/>
          <w:szCs w:val="24"/>
        </w:rPr>
        <w:t xml:space="preserve">(gestoři a spolugestoři) uvádějí informace k naplňování předběžných podmínek do </w:t>
      </w:r>
      <w:r w:rsidRPr="005068A5">
        <w:rPr>
          <w:rFonts w:asciiTheme="minorHAnsi" w:hAnsiTheme="minorHAnsi" w:cs="Arial"/>
          <w:sz w:val="24"/>
          <w:szCs w:val="24"/>
        </w:rPr>
        <w:t xml:space="preserve">Šablon Evropské komise </w:t>
      </w:r>
      <w:r w:rsidRPr="005068A5">
        <w:rPr>
          <w:rFonts w:asciiTheme="minorHAnsi" w:hAnsiTheme="minorHAnsi" w:cs="Arial"/>
          <w:color w:val="000000"/>
          <w:sz w:val="24"/>
          <w:szCs w:val="24"/>
          <w:u w:color="000000"/>
        </w:rPr>
        <w:t xml:space="preserve">k identifikaci odpovídajících předběžných podmínek s ohledem na tematické cíle a vybrané investiční priority a opatření, které budou podporovány. </w:t>
      </w:r>
      <w:r w:rsidR="00E33AF8">
        <w:rPr>
          <w:rFonts w:asciiTheme="minorHAnsi" w:hAnsiTheme="minorHAnsi" w:cs="Arial"/>
          <w:color w:val="000000"/>
          <w:sz w:val="24"/>
          <w:szCs w:val="24"/>
          <w:u w:color="000000"/>
        </w:rPr>
        <w:t>D</w:t>
      </w:r>
      <w:r>
        <w:rPr>
          <w:rFonts w:asciiTheme="minorHAnsi" w:hAnsiTheme="minorHAnsi" w:cs="Arial"/>
          <w:color w:val="000000"/>
          <w:sz w:val="24"/>
          <w:szCs w:val="24"/>
          <w:u w:color="000000"/>
        </w:rPr>
        <w:t>alším nástrojem, který mají k dispozici je Karta rizikových předběžných podmínek</w:t>
      </w:r>
      <w:r w:rsidR="00BF1F32">
        <w:rPr>
          <w:rFonts w:asciiTheme="minorHAnsi" w:hAnsiTheme="minorHAnsi" w:cs="Arial"/>
          <w:color w:val="000000"/>
          <w:sz w:val="24"/>
          <w:szCs w:val="24"/>
          <w:u w:color="000000"/>
        </w:rPr>
        <w:t>,</w:t>
      </w:r>
      <w:r>
        <w:rPr>
          <w:rFonts w:asciiTheme="minorHAnsi" w:hAnsiTheme="minorHAnsi" w:cs="Arial"/>
          <w:color w:val="000000"/>
          <w:sz w:val="24"/>
          <w:szCs w:val="24"/>
          <w:u w:color="000000"/>
        </w:rPr>
        <w:t xml:space="preserve"> je</w:t>
      </w:r>
      <w:r w:rsidR="00BF1F32">
        <w:rPr>
          <w:rFonts w:asciiTheme="minorHAnsi" w:hAnsiTheme="minorHAnsi" w:cs="Arial"/>
          <w:color w:val="000000"/>
          <w:sz w:val="24"/>
          <w:szCs w:val="24"/>
          <w:u w:color="000000"/>
        </w:rPr>
        <w:t>jíž</w:t>
      </w:r>
      <w:r>
        <w:rPr>
          <w:rFonts w:asciiTheme="minorHAnsi" w:hAnsiTheme="minorHAnsi" w:cs="Arial"/>
          <w:color w:val="000000"/>
          <w:sz w:val="24"/>
          <w:szCs w:val="24"/>
          <w:u w:color="000000"/>
        </w:rPr>
        <w:t xml:space="preserve"> součástí je i tzv. Screening </w:t>
      </w:r>
      <w:r w:rsidR="00EE4D47">
        <w:rPr>
          <w:rFonts w:asciiTheme="minorHAnsi" w:hAnsiTheme="minorHAnsi" w:cs="Arial"/>
          <w:color w:val="000000"/>
          <w:sz w:val="24"/>
          <w:szCs w:val="24"/>
          <w:u w:color="000000"/>
        </w:rPr>
        <w:t>řízení.</w:t>
      </w:r>
    </w:p>
    <w:p w:rsidR="00EE4D47" w:rsidRDefault="00B029B6" w:rsidP="00B029B6">
      <w:pPr>
        <w:spacing w:before="60" w:after="60" w:line="288" w:lineRule="auto"/>
        <w:rPr>
          <w:rFonts w:asciiTheme="minorHAnsi" w:hAnsiTheme="minorHAnsi"/>
          <w:sz w:val="24"/>
          <w:szCs w:val="24"/>
          <w:u w:color="000000"/>
        </w:rPr>
      </w:pPr>
      <w:r>
        <w:rPr>
          <w:rFonts w:asciiTheme="minorHAnsi" w:hAnsiTheme="minorHAnsi" w:cs="Arial"/>
          <w:sz w:val="24"/>
          <w:szCs w:val="24"/>
        </w:rPr>
        <w:t xml:space="preserve">Jak již bylo zmíněno, </w:t>
      </w:r>
      <w:r w:rsidRPr="00BC40F6">
        <w:rPr>
          <w:rFonts w:asciiTheme="minorHAnsi" w:hAnsiTheme="minorHAnsi" w:cs="Arial"/>
          <w:sz w:val="24"/>
          <w:szCs w:val="24"/>
        </w:rPr>
        <w:t xml:space="preserve">některé </w:t>
      </w:r>
      <w:r>
        <w:rPr>
          <w:rFonts w:asciiTheme="minorHAnsi" w:hAnsiTheme="minorHAnsi" w:cs="Arial"/>
          <w:sz w:val="24"/>
          <w:szCs w:val="24"/>
        </w:rPr>
        <w:t>předběžné podmínky se</w:t>
      </w:r>
      <w:r w:rsidRPr="00BC40F6">
        <w:rPr>
          <w:rFonts w:asciiTheme="minorHAnsi" w:hAnsiTheme="minorHAnsi" w:cs="Arial"/>
          <w:sz w:val="24"/>
          <w:szCs w:val="24"/>
        </w:rPr>
        <w:t xml:space="preserve"> mohou dotýkat více prioritních os </w:t>
      </w:r>
      <w:r w:rsidR="00BF1F32">
        <w:rPr>
          <w:rFonts w:asciiTheme="minorHAnsi" w:hAnsiTheme="minorHAnsi" w:cs="Arial"/>
          <w:sz w:val="24"/>
          <w:szCs w:val="24"/>
        </w:rPr>
        <w:br/>
      </w:r>
      <w:r w:rsidRPr="00A907DA">
        <w:rPr>
          <w:rFonts w:asciiTheme="minorHAnsi" w:hAnsiTheme="minorHAnsi"/>
          <w:sz w:val="24"/>
          <w:szCs w:val="24"/>
          <w:u w:color="000000"/>
        </w:rPr>
        <w:t xml:space="preserve">i programů a gesce za naplnění určité předběžné podmínky nemusí vždy náležet danému ŘO příslušného </w:t>
      </w:r>
      <w:r>
        <w:rPr>
          <w:rFonts w:asciiTheme="minorHAnsi" w:hAnsiTheme="minorHAnsi"/>
          <w:sz w:val="24"/>
          <w:szCs w:val="24"/>
          <w:u w:color="000000"/>
        </w:rPr>
        <w:t>programu</w:t>
      </w:r>
      <w:r w:rsidRPr="00A907DA">
        <w:rPr>
          <w:rFonts w:asciiTheme="minorHAnsi" w:hAnsiTheme="minorHAnsi"/>
          <w:sz w:val="24"/>
          <w:szCs w:val="24"/>
          <w:u w:color="000000"/>
        </w:rPr>
        <w:t xml:space="preserve">. </w:t>
      </w:r>
    </w:p>
    <w:p w:rsidR="00EE4D47" w:rsidRDefault="00EE4D47" w:rsidP="00B029B6">
      <w:pPr>
        <w:spacing w:before="60" w:after="60" w:line="288" w:lineRule="auto"/>
        <w:rPr>
          <w:rFonts w:asciiTheme="minorHAnsi" w:hAnsiTheme="minorHAnsi"/>
          <w:sz w:val="24"/>
          <w:szCs w:val="24"/>
          <w:u w:color="000000"/>
        </w:rPr>
      </w:pPr>
      <w:r>
        <w:rPr>
          <w:rFonts w:asciiTheme="minorHAnsi" w:hAnsiTheme="minorHAnsi"/>
          <w:sz w:val="24"/>
          <w:szCs w:val="24"/>
          <w:u w:color="000000"/>
        </w:rPr>
        <w:t>Na konci dané etapy budou ŘO vyplňovat Šablonu EK (verze pro EK), před tímto milníkem s předpokladem červenec-srpen zpracují Šablonu EK v extenzivní verzi (tzv. self-assessement)</w:t>
      </w:r>
      <w:r w:rsidR="00F4124C">
        <w:rPr>
          <w:rFonts w:asciiTheme="minorHAnsi" w:hAnsiTheme="minorHAnsi"/>
          <w:sz w:val="24"/>
          <w:szCs w:val="24"/>
          <w:u w:color="000000"/>
        </w:rPr>
        <w:t xml:space="preserve">, v němž uvedou rozsáhlejší popis zhodnocení naplňování, limitů a problémů </w:t>
      </w:r>
      <w:r w:rsidR="00BF1F32">
        <w:rPr>
          <w:rFonts w:asciiTheme="minorHAnsi" w:hAnsiTheme="minorHAnsi"/>
          <w:sz w:val="24"/>
          <w:szCs w:val="24"/>
          <w:u w:color="000000"/>
        </w:rPr>
        <w:br/>
      </w:r>
      <w:r w:rsidR="00F4124C">
        <w:rPr>
          <w:rFonts w:asciiTheme="minorHAnsi" w:hAnsiTheme="minorHAnsi"/>
          <w:sz w:val="24"/>
          <w:szCs w:val="24"/>
          <w:u w:color="000000"/>
        </w:rPr>
        <w:t>a navržených opatření s harmonogramem. Toto self-assessment bude sloužit jako vstup pro užší verzi pro program a EK.</w:t>
      </w:r>
    </w:p>
    <w:p w:rsidR="00F4124C" w:rsidRDefault="00F4124C" w:rsidP="00B029B6">
      <w:pPr>
        <w:spacing w:before="60" w:after="60" w:line="288" w:lineRule="auto"/>
        <w:rPr>
          <w:rFonts w:asciiTheme="minorHAnsi" w:hAnsiTheme="minorHAnsi"/>
          <w:sz w:val="24"/>
          <w:szCs w:val="24"/>
          <w:u w:color="000000"/>
        </w:rPr>
      </w:pPr>
      <w:r>
        <w:rPr>
          <w:rFonts w:asciiTheme="minorHAnsi" w:hAnsiTheme="minorHAnsi"/>
          <w:sz w:val="24"/>
          <w:szCs w:val="24"/>
          <w:u w:color="000000"/>
        </w:rPr>
        <w:t>Všechny šablony jsou vedeny v tabulkové podobě a kopírují vzory z Template OP a Dohody (výjimkou je Karta rizikových PP).</w:t>
      </w:r>
    </w:p>
    <w:p w:rsidR="00074F2B" w:rsidRDefault="00D9242D" w:rsidP="000C0E01">
      <w:pPr>
        <w:spacing w:before="60" w:after="60" w:line="288" w:lineRule="auto"/>
        <w:rPr>
          <w:rFonts w:asciiTheme="minorHAnsi" w:hAnsiTheme="minorHAnsi"/>
          <w:sz w:val="24"/>
          <w:szCs w:val="24"/>
          <w:u w:color="000000"/>
        </w:rPr>
      </w:pPr>
      <w:r>
        <w:rPr>
          <w:rFonts w:asciiTheme="minorHAnsi" w:hAnsiTheme="minorHAnsi"/>
          <w:sz w:val="24"/>
          <w:szCs w:val="24"/>
          <w:u w:color="000000"/>
        </w:rPr>
        <w:t>Dané nástroje budou průběžně aktualizovány,</w:t>
      </w:r>
      <w:r w:rsidR="000F62DB">
        <w:rPr>
          <w:rFonts w:asciiTheme="minorHAnsi" w:hAnsiTheme="minorHAnsi" w:cs="Arial"/>
          <w:sz w:val="24"/>
          <w:szCs w:val="24"/>
        </w:rPr>
        <w:t xml:space="preserve"> a to jak s ohledem na změny stavu (ne)splněných předběžných podmínek, tak i s ohledem na vývoj schvalování </w:t>
      </w:r>
      <w:r w:rsidR="00886142">
        <w:rPr>
          <w:rFonts w:asciiTheme="minorHAnsi" w:hAnsiTheme="minorHAnsi" w:cs="Arial"/>
          <w:sz w:val="24"/>
          <w:szCs w:val="24"/>
        </w:rPr>
        <w:t xml:space="preserve">legislativy </w:t>
      </w:r>
      <w:r w:rsidR="00BF1F32">
        <w:rPr>
          <w:rFonts w:asciiTheme="minorHAnsi" w:hAnsiTheme="minorHAnsi" w:cs="Arial"/>
          <w:sz w:val="24"/>
          <w:szCs w:val="24"/>
        </w:rPr>
        <w:br/>
      </w:r>
      <w:r w:rsidR="00115517">
        <w:rPr>
          <w:rFonts w:asciiTheme="minorHAnsi" w:hAnsiTheme="minorHAnsi" w:cs="Arial"/>
          <w:sz w:val="24"/>
          <w:szCs w:val="24"/>
        </w:rPr>
        <w:t xml:space="preserve">a strategických podkladů </w:t>
      </w:r>
      <w:r w:rsidR="00886142">
        <w:rPr>
          <w:rFonts w:asciiTheme="minorHAnsi" w:hAnsiTheme="minorHAnsi" w:cs="Arial"/>
          <w:sz w:val="24"/>
          <w:szCs w:val="24"/>
        </w:rPr>
        <w:t>EU k</w:t>
      </w:r>
      <w:r w:rsidR="00137D07">
        <w:rPr>
          <w:rFonts w:asciiTheme="minorHAnsi" w:hAnsiTheme="minorHAnsi" w:cs="Arial"/>
          <w:sz w:val="24"/>
          <w:szCs w:val="24"/>
        </w:rPr>
        <w:t> </w:t>
      </w:r>
      <w:r w:rsidR="00C80B66">
        <w:rPr>
          <w:rFonts w:asciiTheme="minorHAnsi" w:hAnsiTheme="minorHAnsi" w:cs="Arial"/>
          <w:sz w:val="24"/>
          <w:szCs w:val="24"/>
        </w:rPr>
        <w:t>SSR</w:t>
      </w:r>
      <w:r w:rsidR="00137D07">
        <w:rPr>
          <w:rFonts w:asciiTheme="minorHAnsi" w:hAnsiTheme="minorHAnsi" w:cs="Arial"/>
          <w:sz w:val="24"/>
          <w:szCs w:val="24"/>
        </w:rPr>
        <w:t xml:space="preserve"> </w:t>
      </w:r>
      <w:r w:rsidR="00886142">
        <w:rPr>
          <w:rFonts w:asciiTheme="minorHAnsi" w:hAnsiTheme="minorHAnsi" w:cs="Arial"/>
          <w:sz w:val="24"/>
          <w:szCs w:val="24"/>
        </w:rPr>
        <w:t>fondům.</w:t>
      </w:r>
    </w:p>
    <w:p w:rsidR="006A562C" w:rsidRDefault="006A562C" w:rsidP="006A562C">
      <w:pPr>
        <w:spacing w:before="120" w:after="60" w:line="288" w:lineRule="auto"/>
        <w:rPr>
          <w:rFonts w:asciiTheme="minorHAnsi" w:hAnsiTheme="minorHAnsi"/>
          <w:sz w:val="24"/>
          <w:szCs w:val="24"/>
          <w:u w:color="000000"/>
        </w:rPr>
      </w:pPr>
      <w:r w:rsidRPr="006A562C">
        <w:rPr>
          <w:rFonts w:asciiTheme="minorHAnsi" w:hAnsiTheme="minorHAnsi"/>
          <w:sz w:val="24"/>
          <w:szCs w:val="24"/>
          <w:u w:color="000000"/>
        </w:rPr>
        <w:t>Byla vypuštěna a nadále nebude sledována Karta PP (nástroj pozbyl potřebnosti po skončení první fáze); dané aktuální informace budou již zaznamenávány v Šablonách EK – pro potřeby self-asssessement bude šablona řešena extenzivní formou (předpoklad v srpnu)</w:t>
      </w:r>
      <w:r w:rsidR="00252353">
        <w:rPr>
          <w:rFonts w:asciiTheme="minorHAnsi" w:hAnsiTheme="minorHAnsi"/>
          <w:sz w:val="24"/>
          <w:szCs w:val="24"/>
          <w:u w:color="000000"/>
        </w:rPr>
        <w:t>.</w:t>
      </w:r>
    </w:p>
    <w:p w:rsidR="00074F2B" w:rsidRDefault="00074F2B" w:rsidP="00074F2B">
      <w:pPr>
        <w:spacing w:after="60" w:line="288" w:lineRule="auto"/>
        <w:rPr>
          <w:rFonts w:asciiTheme="minorHAnsi" w:hAnsiTheme="minorHAnsi"/>
          <w:sz w:val="24"/>
          <w:szCs w:val="24"/>
          <w:u w:color="000000"/>
        </w:rPr>
      </w:pPr>
      <w:r w:rsidRPr="007E51B0">
        <w:rPr>
          <w:rFonts w:asciiTheme="minorHAnsi" w:hAnsiTheme="minorHAnsi"/>
          <w:sz w:val="24"/>
          <w:szCs w:val="24"/>
          <w:u w:color="000000"/>
        </w:rPr>
        <w:t xml:space="preserve">Tabulka </w:t>
      </w:r>
      <w:r>
        <w:rPr>
          <w:rFonts w:asciiTheme="minorHAnsi" w:hAnsiTheme="minorHAnsi"/>
          <w:sz w:val="24"/>
          <w:szCs w:val="24"/>
          <w:u w:color="000000"/>
        </w:rPr>
        <w:t xml:space="preserve">2 </w:t>
      </w:r>
      <w:r w:rsidRPr="007E51B0">
        <w:rPr>
          <w:rFonts w:asciiTheme="minorHAnsi" w:hAnsiTheme="minorHAnsi"/>
          <w:sz w:val="24"/>
          <w:szCs w:val="24"/>
          <w:u w:color="000000"/>
        </w:rPr>
        <w:t>stanovuje obecné a tematické předběžné podmínky, za jejichž splnění nes</w:t>
      </w:r>
      <w:r>
        <w:rPr>
          <w:rFonts w:asciiTheme="minorHAnsi" w:hAnsiTheme="minorHAnsi"/>
          <w:sz w:val="24"/>
          <w:szCs w:val="24"/>
          <w:u w:color="000000"/>
        </w:rPr>
        <w:t>ou</w:t>
      </w:r>
      <w:r w:rsidRPr="007E51B0">
        <w:rPr>
          <w:rFonts w:asciiTheme="minorHAnsi" w:hAnsiTheme="minorHAnsi"/>
          <w:sz w:val="24"/>
          <w:szCs w:val="24"/>
          <w:u w:color="000000"/>
        </w:rPr>
        <w:t xml:space="preserve"> odpovědnost národní orgán</w:t>
      </w:r>
      <w:r>
        <w:rPr>
          <w:rFonts w:asciiTheme="minorHAnsi" w:hAnsiTheme="minorHAnsi"/>
          <w:sz w:val="24"/>
          <w:szCs w:val="24"/>
          <w:u w:color="000000"/>
        </w:rPr>
        <w:t>y</w:t>
      </w:r>
      <w:r w:rsidRPr="007E51B0">
        <w:rPr>
          <w:rFonts w:asciiTheme="minorHAnsi" w:hAnsiTheme="minorHAnsi"/>
          <w:sz w:val="24"/>
          <w:szCs w:val="24"/>
          <w:u w:color="000000"/>
        </w:rPr>
        <w:t>. Pro každou předběžnou podmínku je nezbytné identifikovat, zda toto plnění poskytuje vysvětlení tam, kde je to vhodné.</w:t>
      </w:r>
      <w:r>
        <w:rPr>
          <w:rFonts w:asciiTheme="minorHAnsi" w:hAnsiTheme="minorHAnsi"/>
          <w:sz w:val="24"/>
          <w:szCs w:val="24"/>
          <w:u w:color="000000"/>
        </w:rPr>
        <w:t xml:space="preserve"> Na úrovni jednotlivých programů bude tabulka obsahovat všechny položky včetně části „Prioritní osa nebo osy, ke kterým se podmínka vztahuje“, která nemusí být součástí Dohody o partnerství.</w:t>
      </w:r>
      <w:r w:rsidRPr="007E51B0">
        <w:rPr>
          <w:rFonts w:asciiTheme="minorHAnsi" w:hAnsiTheme="minorHAnsi"/>
          <w:sz w:val="24"/>
          <w:szCs w:val="24"/>
          <w:u w:color="000000"/>
        </w:rPr>
        <w:t xml:space="preserve"> </w:t>
      </w:r>
    </w:p>
    <w:p w:rsidR="00074F2B" w:rsidRPr="007E51B0" w:rsidRDefault="0001494C" w:rsidP="00074F2B">
      <w:pPr>
        <w:spacing w:before="240" w:after="60" w:line="288" w:lineRule="auto"/>
        <w:jc w:val="left"/>
        <w:rPr>
          <w:rFonts w:asciiTheme="minorHAnsi" w:hAnsiTheme="minorHAnsi"/>
          <w:sz w:val="24"/>
          <w:szCs w:val="24"/>
          <w:u w:color="000000"/>
        </w:rPr>
      </w:pPr>
      <w:r>
        <w:rPr>
          <w:rFonts w:asciiTheme="minorHAnsi" w:hAnsiTheme="minorHAnsi" w:cs="Arial"/>
          <w:b/>
          <w:sz w:val="24"/>
          <w:szCs w:val="24"/>
        </w:rPr>
        <w:t xml:space="preserve">I. </w:t>
      </w:r>
      <w:r w:rsidR="00074F2B" w:rsidRPr="004871EE">
        <w:rPr>
          <w:rFonts w:asciiTheme="minorHAnsi" w:hAnsiTheme="minorHAnsi" w:cs="Arial"/>
          <w:b/>
          <w:sz w:val="24"/>
          <w:szCs w:val="24"/>
        </w:rPr>
        <w:t>Šablony Komise pro EFRR, ES, FS</w:t>
      </w:r>
      <w:r w:rsidR="00074F2B">
        <w:rPr>
          <w:rFonts w:asciiTheme="minorHAnsi" w:hAnsiTheme="minorHAnsi" w:cs="Arial"/>
          <w:b/>
          <w:sz w:val="24"/>
          <w:szCs w:val="24"/>
        </w:rPr>
        <w:t xml:space="preserve">, </w:t>
      </w:r>
      <w:r w:rsidR="00074F2B" w:rsidRPr="00137D07">
        <w:rPr>
          <w:rFonts w:asciiTheme="minorHAnsi" w:hAnsiTheme="minorHAnsi" w:cs="Arial"/>
          <w:b/>
          <w:sz w:val="24"/>
          <w:szCs w:val="24"/>
        </w:rPr>
        <w:t>EZFRV</w:t>
      </w:r>
    </w:p>
    <w:p w:rsidR="00074F2B" w:rsidRPr="00137D07" w:rsidRDefault="00074F2B" w:rsidP="00EE0A06">
      <w:pPr>
        <w:spacing w:before="120" w:after="60" w:line="288" w:lineRule="auto"/>
        <w:rPr>
          <w:rFonts w:asciiTheme="minorHAnsi" w:hAnsiTheme="minorHAnsi" w:cs="Arial"/>
          <w:u w:val="single"/>
        </w:rPr>
      </w:pPr>
      <w:r w:rsidRPr="00137D07">
        <w:rPr>
          <w:rFonts w:asciiTheme="minorHAnsi" w:hAnsiTheme="minorHAnsi" w:cs="Arial"/>
          <w:u w:val="single"/>
        </w:rPr>
        <w:t xml:space="preserve">Tab. </w:t>
      </w:r>
      <w:r w:rsidR="00EE0A06" w:rsidRPr="00137D07">
        <w:rPr>
          <w:rFonts w:asciiTheme="minorHAnsi" w:hAnsiTheme="minorHAnsi" w:cs="Arial"/>
          <w:u w:val="single"/>
        </w:rPr>
        <w:t>1</w:t>
      </w:r>
      <w:r w:rsidRPr="00137D07">
        <w:rPr>
          <w:rFonts w:asciiTheme="minorHAnsi" w:hAnsiTheme="minorHAnsi" w:cs="Arial"/>
          <w:u w:val="single"/>
        </w:rPr>
        <w:t>: Šablona E</w:t>
      </w:r>
      <w:r w:rsidR="00137D07" w:rsidRPr="00137D07">
        <w:rPr>
          <w:rFonts w:asciiTheme="minorHAnsi" w:hAnsiTheme="minorHAnsi" w:cs="Arial"/>
          <w:u w:val="single"/>
        </w:rPr>
        <w:t>K</w:t>
      </w:r>
      <w:r w:rsidRPr="00137D07">
        <w:rPr>
          <w:rFonts w:asciiTheme="minorHAnsi" w:hAnsiTheme="minorHAnsi" w:cs="Arial"/>
          <w:u w:val="single"/>
        </w:rPr>
        <w:t xml:space="preserve"> pro EFRR, ES, FS, EZFRV – všechny </w:t>
      </w:r>
      <w:r w:rsidR="00137D07" w:rsidRPr="00137D07">
        <w:rPr>
          <w:rFonts w:asciiTheme="minorHAnsi" w:hAnsiTheme="minorHAnsi" w:cs="Arial"/>
          <w:u w:val="single"/>
        </w:rPr>
        <w:t xml:space="preserve">předběžné </w:t>
      </w:r>
      <w:r w:rsidRPr="00137D07">
        <w:rPr>
          <w:rFonts w:asciiTheme="minorHAnsi" w:hAnsiTheme="minorHAnsi" w:cs="Arial"/>
          <w:u w:val="single"/>
        </w:rPr>
        <w:t>podmínky a kritéria</w:t>
      </w:r>
    </w:p>
    <w:tbl>
      <w:tblPr>
        <w:tblStyle w:val="Mkatabulky"/>
        <w:tblW w:w="0" w:type="auto"/>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84"/>
        <w:gridCol w:w="1651"/>
        <w:gridCol w:w="1371"/>
        <w:gridCol w:w="897"/>
        <w:gridCol w:w="1090"/>
        <w:gridCol w:w="1555"/>
        <w:gridCol w:w="1421"/>
      </w:tblGrid>
      <w:tr w:rsidR="00074F2B" w:rsidRPr="005F130B" w:rsidTr="006E39F5">
        <w:trPr>
          <w:trHeight w:val="431"/>
        </w:trPr>
        <w:tc>
          <w:tcPr>
            <w:tcW w:w="1184" w:type="dxa"/>
            <w:shd w:val="clear" w:color="auto" w:fill="B8CCE4" w:themeFill="accent1" w:themeFillTint="66"/>
            <w:vAlign w:val="center"/>
          </w:tcPr>
          <w:p w:rsidR="00074F2B" w:rsidRPr="00E51EEB" w:rsidRDefault="00074F2B" w:rsidP="006E39F5">
            <w:pPr>
              <w:pStyle w:val="Default"/>
              <w:jc w:val="both"/>
              <w:rPr>
                <w:rFonts w:asciiTheme="minorHAnsi" w:hAnsiTheme="minorHAnsi"/>
                <w:sz w:val="20"/>
                <w:szCs w:val="20"/>
              </w:rPr>
            </w:pPr>
            <w:r w:rsidRPr="00ED4F90">
              <w:rPr>
                <w:rFonts w:asciiTheme="minorHAnsi" w:eastAsiaTheme="minorHAnsi" w:hAnsiTheme="minorHAnsi"/>
                <w:b/>
                <w:bCs/>
                <w:sz w:val="20"/>
                <w:szCs w:val="20"/>
                <w:lang w:eastAsia="en-US"/>
              </w:rPr>
              <w:t>Použitelná předběžná podmínka na národní úrovni</w:t>
            </w:r>
          </w:p>
        </w:tc>
        <w:tc>
          <w:tcPr>
            <w:tcW w:w="1651" w:type="dxa"/>
            <w:shd w:val="clear" w:color="auto" w:fill="B8CCE4" w:themeFill="accent1" w:themeFillTint="66"/>
            <w:vAlign w:val="center"/>
          </w:tcPr>
          <w:p w:rsidR="00074F2B" w:rsidRPr="00E51EEB" w:rsidRDefault="00074F2B" w:rsidP="006E39F5">
            <w:pPr>
              <w:pStyle w:val="Default"/>
              <w:rPr>
                <w:rFonts w:asciiTheme="minorHAnsi" w:hAnsiTheme="minorHAnsi"/>
                <w:color w:val="FF0000"/>
                <w:sz w:val="20"/>
                <w:szCs w:val="20"/>
                <w:highlight w:val="yellow"/>
              </w:rPr>
            </w:pPr>
            <w:r w:rsidRPr="00ED4F90">
              <w:rPr>
                <w:rFonts w:asciiTheme="minorHAnsi" w:eastAsiaTheme="minorHAnsi" w:hAnsiTheme="minorHAnsi"/>
                <w:b/>
                <w:bCs/>
                <w:color w:val="FF0000"/>
                <w:sz w:val="20"/>
                <w:szCs w:val="20"/>
                <w:lang w:eastAsia="en-US"/>
              </w:rPr>
              <w:t>Prioritní osa nebo osy, ke kterým se podmínka vztahuje</w:t>
            </w:r>
          </w:p>
        </w:tc>
        <w:tc>
          <w:tcPr>
            <w:tcW w:w="1371" w:type="dxa"/>
            <w:shd w:val="clear" w:color="auto" w:fill="B8CCE4" w:themeFill="accent1" w:themeFillTint="66"/>
            <w:vAlign w:val="center"/>
          </w:tcPr>
          <w:p w:rsidR="00074F2B" w:rsidRPr="00E51EEB" w:rsidRDefault="00074F2B" w:rsidP="006E39F5">
            <w:pPr>
              <w:pStyle w:val="Default"/>
              <w:jc w:val="both"/>
              <w:rPr>
                <w:rFonts w:asciiTheme="minorHAnsi" w:hAnsiTheme="minorHAnsi"/>
                <w:sz w:val="20"/>
                <w:szCs w:val="20"/>
              </w:rPr>
            </w:pPr>
            <w:r w:rsidRPr="00ED4F90">
              <w:rPr>
                <w:rFonts w:asciiTheme="minorHAnsi" w:eastAsiaTheme="minorHAnsi" w:hAnsiTheme="minorHAnsi"/>
                <w:b/>
                <w:bCs/>
                <w:sz w:val="20"/>
                <w:szCs w:val="20"/>
                <w:lang w:eastAsia="en-US"/>
              </w:rPr>
              <w:t>Splnění předběžné podmínky (ano/ne /částečně)</w:t>
            </w:r>
          </w:p>
        </w:tc>
        <w:tc>
          <w:tcPr>
            <w:tcW w:w="897" w:type="dxa"/>
            <w:shd w:val="clear" w:color="auto" w:fill="B8CCE4" w:themeFill="accent1" w:themeFillTint="66"/>
            <w:vAlign w:val="center"/>
          </w:tcPr>
          <w:p w:rsidR="00074F2B" w:rsidRPr="00E51EEB" w:rsidRDefault="00074F2B" w:rsidP="006E39F5">
            <w:pPr>
              <w:pStyle w:val="Default"/>
              <w:jc w:val="both"/>
              <w:rPr>
                <w:rFonts w:asciiTheme="minorHAnsi" w:hAnsiTheme="minorHAnsi"/>
                <w:sz w:val="20"/>
                <w:szCs w:val="20"/>
              </w:rPr>
            </w:pPr>
            <w:r w:rsidRPr="00ED4F90">
              <w:rPr>
                <w:rFonts w:asciiTheme="minorHAnsi" w:eastAsiaTheme="minorHAnsi" w:hAnsiTheme="minorHAnsi"/>
                <w:b/>
                <w:bCs/>
                <w:sz w:val="20"/>
                <w:szCs w:val="20"/>
                <w:lang w:eastAsia="en-US"/>
              </w:rPr>
              <w:t>Kritéria splnění</w:t>
            </w:r>
          </w:p>
        </w:tc>
        <w:tc>
          <w:tcPr>
            <w:tcW w:w="1090" w:type="dxa"/>
            <w:shd w:val="clear" w:color="auto" w:fill="B8CCE4" w:themeFill="accent1" w:themeFillTint="66"/>
            <w:vAlign w:val="center"/>
          </w:tcPr>
          <w:p w:rsidR="00074F2B" w:rsidRPr="00E51EEB" w:rsidRDefault="00074F2B" w:rsidP="006E39F5">
            <w:pPr>
              <w:pStyle w:val="DAVA"/>
              <w:spacing w:before="0"/>
              <w:jc w:val="both"/>
              <w:rPr>
                <w:rFonts w:asciiTheme="minorHAnsi" w:hAnsiTheme="minorHAnsi"/>
                <w:sz w:val="20"/>
                <w:szCs w:val="20"/>
              </w:rPr>
            </w:pPr>
            <w:r w:rsidRPr="00ED4F90">
              <w:rPr>
                <w:rFonts w:asciiTheme="minorHAnsi" w:hAnsiTheme="minorHAnsi"/>
                <w:b/>
                <w:bCs/>
                <w:sz w:val="20"/>
                <w:szCs w:val="20"/>
              </w:rPr>
              <w:t>Splnění kritéria (ano / ne)</w:t>
            </w:r>
          </w:p>
        </w:tc>
        <w:tc>
          <w:tcPr>
            <w:tcW w:w="1555" w:type="dxa"/>
            <w:shd w:val="clear" w:color="auto" w:fill="B8CCE4" w:themeFill="accent1" w:themeFillTint="66"/>
            <w:vAlign w:val="center"/>
          </w:tcPr>
          <w:p w:rsidR="00074F2B" w:rsidRPr="00E51EEB" w:rsidRDefault="00074F2B" w:rsidP="006E39F5">
            <w:pPr>
              <w:pStyle w:val="Default"/>
              <w:jc w:val="both"/>
              <w:rPr>
                <w:rFonts w:asciiTheme="minorHAnsi" w:hAnsiTheme="minorHAnsi"/>
                <w:sz w:val="20"/>
                <w:szCs w:val="20"/>
              </w:rPr>
            </w:pPr>
            <w:r w:rsidRPr="00ED4F90">
              <w:rPr>
                <w:rFonts w:asciiTheme="minorHAnsi" w:eastAsiaTheme="minorHAnsi" w:hAnsiTheme="minorHAnsi"/>
                <w:b/>
                <w:bCs/>
                <w:sz w:val="20"/>
                <w:szCs w:val="20"/>
                <w:lang w:eastAsia="en-US"/>
              </w:rPr>
              <w:t xml:space="preserve">Odkazy (u splněných podmínek) </w:t>
            </w:r>
            <w:r w:rsidRPr="00ED4F90">
              <w:rPr>
                <w:rStyle w:val="Znakapoznpodarou"/>
                <w:rFonts w:asciiTheme="minorHAnsi" w:eastAsiaTheme="minorHAnsi" w:hAnsiTheme="minorHAnsi"/>
                <w:b/>
                <w:bCs/>
                <w:sz w:val="20"/>
                <w:szCs w:val="20"/>
                <w:lang w:eastAsia="en-US"/>
              </w:rPr>
              <w:footnoteReference w:id="3"/>
            </w:r>
          </w:p>
        </w:tc>
        <w:tc>
          <w:tcPr>
            <w:tcW w:w="1421" w:type="dxa"/>
            <w:shd w:val="clear" w:color="auto" w:fill="B8CCE4" w:themeFill="accent1" w:themeFillTint="66"/>
            <w:vAlign w:val="center"/>
          </w:tcPr>
          <w:p w:rsidR="00074F2B" w:rsidRPr="00E51EEB" w:rsidRDefault="00074F2B" w:rsidP="006E39F5">
            <w:pPr>
              <w:pStyle w:val="Default"/>
              <w:jc w:val="both"/>
              <w:rPr>
                <w:rFonts w:asciiTheme="minorHAnsi" w:hAnsiTheme="minorHAnsi"/>
                <w:sz w:val="20"/>
                <w:szCs w:val="20"/>
              </w:rPr>
            </w:pPr>
            <w:r w:rsidRPr="00ED4F90">
              <w:rPr>
                <w:rFonts w:asciiTheme="minorHAnsi" w:eastAsiaTheme="minorHAnsi" w:hAnsiTheme="minorHAnsi"/>
                <w:b/>
                <w:bCs/>
                <w:sz w:val="20"/>
                <w:szCs w:val="20"/>
                <w:lang w:eastAsia="en-US"/>
              </w:rPr>
              <w:t>Vysvětlení (tam, kde je to vhodné)</w:t>
            </w:r>
          </w:p>
        </w:tc>
      </w:tr>
      <w:tr w:rsidR="00074F2B" w:rsidRPr="005F130B" w:rsidTr="006E39F5">
        <w:trPr>
          <w:trHeight w:val="346"/>
        </w:trPr>
        <w:tc>
          <w:tcPr>
            <w:tcW w:w="1184" w:type="dxa"/>
          </w:tcPr>
          <w:p w:rsidR="00074F2B" w:rsidRPr="008C2CEF" w:rsidRDefault="00074F2B" w:rsidP="006E39F5">
            <w:pPr>
              <w:pStyle w:val="DAVA"/>
              <w:spacing w:before="0"/>
              <w:rPr>
                <w:rFonts w:asciiTheme="minorHAnsi" w:hAnsiTheme="minorHAnsi"/>
                <w:sz w:val="22"/>
                <w:szCs w:val="22"/>
              </w:rPr>
            </w:pPr>
          </w:p>
        </w:tc>
        <w:tc>
          <w:tcPr>
            <w:tcW w:w="1651" w:type="dxa"/>
          </w:tcPr>
          <w:p w:rsidR="00074F2B" w:rsidRPr="008C2CEF" w:rsidRDefault="00074F2B" w:rsidP="006E39F5">
            <w:pPr>
              <w:pStyle w:val="DAVA"/>
              <w:spacing w:before="0"/>
              <w:rPr>
                <w:rFonts w:asciiTheme="minorHAnsi" w:hAnsiTheme="minorHAnsi"/>
                <w:sz w:val="22"/>
                <w:szCs w:val="22"/>
                <w:highlight w:val="yellow"/>
              </w:rPr>
            </w:pPr>
          </w:p>
        </w:tc>
        <w:tc>
          <w:tcPr>
            <w:tcW w:w="1371" w:type="dxa"/>
          </w:tcPr>
          <w:p w:rsidR="00074F2B" w:rsidRPr="008C2CEF" w:rsidRDefault="00074F2B" w:rsidP="006E39F5">
            <w:pPr>
              <w:pStyle w:val="DAVA"/>
              <w:spacing w:before="0"/>
              <w:rPr>
                <w:sz w:val="22"/>
                <w:szCs w:val="22"/>
              </w:rPr>
            </w:pPr>
          </w:p>
        </w:tc>
        <w:tc>
          <w:tcPr>
            <w:tcW w:w="897" w:type="dxa"/>
          </w:tcPr>
          <w:p w:rsidR="00074F2B" w:rsidRPr="008C2CEF" w:rsidRDefault="00074F2B" w:rsidP="006E39F5">
            <w:pPr>
              <w:pStyle w:val="DAVA"/>
              <w:spacing w:before="0"/>
              <w:rPr>
                <w:rFonts w:asciiTheme="minorHAnsi" w:hAnsiTheme="minorHAnsi"/>
                <w:sz w:val="22"/>
                <w:szCs w:val="22"/>
              </w:rPr>
            </w:pPr>
          </w:p>
        </w:tc>
        <w:tc>
          <w:tcPr>
            <w:tcW w:w="1090" w:type="dxa"/>
          </w:tcPr>
          <w:p w:rsidR="00074F2B" w:rsidRPr="008C2CEF" w:rsidRDefault="00074F2B" w:rsidP="006E39F5">
            <w:pPr>
              <w:pStyle w:val="DAVA"/>
              <w:spacing w:before="0"/>
              <w:rPr>
                <w:rFonts w:asciiTheme="minorHAnsi" w:hAnsiTheme="minorHAnsi"/>
                <w:sz w:val="22"/>
                <w:szCs w:val="22"/>
              </w:rPr>
            </w:pPr>
          </w:p>
        </w:tc>
        <w:tc>
          <w:tcPr>
            <w:tcW w:w="1555" w:type="dxa"/>
          </w:tcPr>
          <w:p w:rsidR="00074F2B" w:rsidRPr="008C2CEF" w:rsidRDefault="00074F2B" w:rsidP="006E39F5">
            <w:pPr>
              <w:pStyle w:val="DAVA"/>
              <w:spacing w:before="0"/>
              <w:rPr>
                <w:rFonts w:asciiTheme="minorHAnsi" w:hAnsiTheme="minorHAnsi"/>
                <w:sz w:val="22"/>
                <w:szCs w:val="22"/>
              </w:rPr>
            </w:pPr>
          </w:p>
        </w:tc>
        <w:tc>
          <w:tcPr>
            <w:tcW w:w="1421" w:type="dxa"/>
          </w:tcPr>
          <w:p w:rsidR="00074F2B" w:rsidRPr="008C2CEF" w:rsidRDefault="00074F2B" w:rsidP="006E39F5">
            <w:pPr>
              <w:pStyle w:val="DAVA"/>
              <w:spacing w:before="0"/>
              <w:rPr>
                <w:rFonts w:asciiTheme="minorHAnsi" w:hAnsiTheme="minorHAnsi"/>
                <w:sz w:val="22"/>
                <w:szCs w:val="22"/>
              </w:rPr>
            </w:pPr>
          </w:p>
        </w:tc>
      </w:tr>
      <w:tr w:rsidR="00074F2B" w:rsidRPr="005F130B" w:rsidTr="000C0E01">
        <w:trPr>
          <w:trHeight w:val="244"/>
        </w:trPr>
        <w:tc>
          <w:tcPr>
            <w:tcW w:w="1184" w:type="dxa"/>
          </w:tcPr>
          <w:p w:rsidR="00074F2B" w:rsidRPr="008C2CEF" w:rsidRDefault="00074F2B" w:rsidP="006E39F5">
            <w:pPr>
              <w:pStyle w:val="DAVA"/>
              <w:spacing w:before="0"/>
              <w:rPr>
                <w:rFonts w:asciiTheme="minorHAnsi" w:hAnsiTheme="minorHAnsi"/>
                <w:sz w:val="22"/>
                <w:szCs w:val="22"/>
              </w:rPr>
            </w:pPr>
          </w:p>
        </w:tc>
        <w:tc>
          <w:tcPr>
            <w:tcW w:w="1651" w:type="dxa"/>
          </w:tcPr>
          <w:p w:rsidR="00074F2B" w:rsidRPr="008C2CEF" w:rsidRDefault="00074F2B" w:rsidP="006E39F5">
            <w:pPr>
              <w:pStyle w:val="DAVA"/>
              <w:spacing w:before="0"/>
              <w:rPr>
                <w:rFonts w:asciiTheme="minorHAnsi" w:hAnsiTheme="minorHAnsi"/>
                <w:sz w:val="22"/>
                <w:szCs w:val="22"/>
                <w:highlight w:val="yellow"/>
              </w:rPr>
            </w:pPr>
          </w:p>
        </w:tc>
        <w:tc>
          <w:tcPr>
            <w:tcW w:w="1371" w:type="dxa"/>
          </w:tcPr>
          <w:p w:rsidR="00074F2B" w:rsidRPr="008C2CEF" w:rsidRDefault="00074F2B" w:rsidP="006E39F5">
            <w:pPr>
              <w:pStyle w:val="DAVA"/>
              <w:spacing w:before="0"/>
              <w:rPr>
                <w:sz w:val="22"/>
                <w:szCs w:val="22"/>
              </w:rPr>
            </w:pPr>
          </w:p>
        </w:tc>
        <w:tc>
          <w:tcPr>
            <w:tcW w:w="897" w:type="dxa"/>
          </w:tcPr>
          <w:p w:rsidR="00074F2B" w:rsidRPr="008C2CEF" w:rsidRDefault="00074F2B" w:rsidP="006E39F5">
            <w:pPr>
              <w:pStyle w:val="DAVA"/>
              <w:spacing w:before="0"/>
              <w:rPr>
                <w:rFonts w:asciiTheme="minorHAnsi" w:hAnsiTheme="minorHAnsi"/>
                <w:sz w:val="22"/>
                <w:szCs w:val="22"/>
              </w:rPr>
            </w:pPr>
          </w:p>
        </w:tc>
        <w:tc>
          <w:tcPr>
            <w:tcW w:w="1090" w:type="dxa"/>
          </w:tcPr>
          <w:p w:rsidR="00074F2B" w:rsidRPr="008C2CEF" w:rsidRDefault="00074F2B" w:rsidP="006E39F5">
            <w:pPr>
              <w:pStyle w:val="DAVA"/>
              <w:spacing w:before="0"/>
              <w:rPr>
                <w:rFonts w:asciiTheme="minorHAnsi" w:hAnsiTheme="minorHAnsi"/>
                <w:sz w:val="22"/>
                <w:szCs w:val="22"/>
              </w:rPr>
            </w:pPr>
          </w:p>
        </w:tc>
        <w:tc>
          <w:tcPr>
            <w:tcW w:w="1555" w:type="dxa"/>
          </w:tcPr>
          <w:p w:rsidR="00074F2B" w:rsidRPr="008C2CEF" w:rsidRDefault="00074F2B" w:rsidP="006E39F5">
            <w:pPr>
              <w:pStyle w:val="DAVA"/>
              <w:spacing w:before="0"/>
              <w:rPr>
                <w:rFonts w:asciiTheme="minorHAnsi" w:hAnsiTheme="minorHAnsi"/>
                <w:sz w:val="22"/>
                <w:szCs w:val="22"/>
              </w:rPr>
            </w:pPr>
          </w:p>
        </w:tc>
        <w:tc>
          <w:tcPr>
            <w:tcW w:w="1421" w:type="dxa"/>
          </w:tcPr>
          <w:p w:rsidR="00074F2B" w:rsidRPr="008C2CEF" w:rsidRDefault="00074F2B" w:rsidP="006E39F5">
            <w:pPr>
              <w:pStyle w:val="DAVA"/>
              <w:spacing w:before="0"/>
              <w:rPr>
                <w:rFonts w:asciiTheme="minorHAnsi" w:hAnsiTheme="minorHAnsi"/>
                <w:sz w:val="22"/>
                <w:szCs w:val="22"/>
              </w:rPr>
            </w:pPr>
          </w:p>
        </w:tc>
      </w:tr>
      <w:tr w:rsidR="00074F2B" w:rsidRPr="005F130B" w:rsidTr="000C0E01">
        <w:trPr>
          <w:trHeight w:val="248"/>
        </w:trPr>
        <w:tc>
          <w:tcPr>
            <w:tcW w:w="1184" w:type="dxa"/>
          </w:tcPr>
          <w:p w:rsidR="00074F2B" w:rsidRPr="008C2CEF" w:rsidRDefault="00074F2B" w:rsidP="006E39F5">
            <w:pPr>
              <w:pStyle w:val="DAVA"/>
              <w:spacing w:before="0"/>
              <w:rPr>
                <w:rFonts w:asciiTheme="minorHAnsi" w:hAnsiTheme="minorHAnsi"/>
                <w:sz w:val="22"/>
                <w:szCs w:val="22"/>
              </w:rPr>
            </w:pPr>
          </w:p>
        </w:tc>
        <w:tc>
          <w:tcPr>
            <w:tcW w:w="1651" w:type="dxa"/>
          </w:tcPr>
          <w:p w:rsidR="00074F2B" w:rsidRPr="008C2CEF" w:rsidRDefault="00074F2B" w:rsidP="006E39F5">
            <w:pPr>
              <w:pStyle w:val="DAVA"/>
              <w:spacing w:before="0"/>
              <w:rPr>
                <w:rFonts w:asciiTheme="minorHAnsi" w:hAnsiTheme="minorHAnsi"/>
                <w:sz w:val="22"/>
                <w:szCs w:val="22"/>
                <w:highlight w:val="yellow"/>
              </w:rPr>
            </w:pPr>
          </w:p>
        </w:tc>
        <w:tc>
          <w:tcPr>
            <w:tcW w:w="1371" w:type="dxa"/>
          </w:tcPr>
          <w:p w:rsidR="00074F2B" w:rsidRPr="008C2CEF" w:rsidRDefault="00074F2B" w:rsidP="006E39F5">
            <w:pPr>
              <w:pStyle w:val="DAVA"/>
              <w:spacing w:before="0"/>
              <w:rPr>
                <w:sz w:val="22"/>
                <w:szCs w:val="22"/>
              </w:rPr>
            </w:pPr>
          </w:p>
        </w:tc>
        <w:tc>
          <w:tcPr>
            <w:tcW w:w="897" w:type="dxa"/>
          </w:tcPr>
          <w:p w:rsidR="00074F2B" w:rsidRPr="008C2CEF" w:rsidRDefault="00074F2B" w:rsidP="006E39F5">
            <w:pPr>
              <w:pStyle w:val="DAVA"/>
              <w:spacing w:before="0"/>
              <w:rPr>
                <w:rFonts w:asciiTheme="minorHAnsi" w:hAnsiTheme="minorHAnsi"/>
                <w:sz w:val="22"/>
                <w:szCs w:val="22"/>
              </w:rPr>
            </w:pPr>
          </w:p>
        </w:tc>
        <w:tc>
          <w:tcPr>
            <w:tcW w:w="1090" w:type="dxa"/>
          </w:tcPr>
          <w:p w:rsidR="00074F2B" w:rsidRPr="008C2CEF" w:rsidRDefault="00074F2B" w:rsidP="006E39F5">
            <w:pPr>
              <w:pStyle w:val="DAVA"/>
              <w:spacing w:before="0"/>
              <w:rPr>
                <w:rFonts w:asciiTheme="minorHAnsi" w:hAnsiTheme="minorHAnsi"/>
                <w:sz w:val="22"/>
                <w:szCs w:val="22"/>
              </w:rPr>
            </w:pPr>
          </w:p>
        </w:tc>
        <w:tc>
          <w:tcPr>
            <w:tcW w:w="1555" w:type="dxa"/>
          </w:tcPr>
          <w:p w:rsidR="00074F2B" w:rsidRPr="008C2CEF" w:rsidRDefault="00074F2B" w:rsidP="006E39F5">
            <w:pPr>
              <w:pStyle w:val="DAVA"/>
              <w:spacing w:before="0"/>
              <w:rPr>
                <w:rFonts w:asciiTheme="minorHAnsi" w:hAnsiTheme="minorHAnsi"/>
                <w:sz w:val="22"/>
                <w:szCs w:val="22"/>
              </w:rPr>
            </w:pPr>
          </w:p>
        </w:tc>
        <w:tc>
          <w:tcPr>
            <w:tcW w:w="1421" w:type="dxa"/>
          </w:tcPr>
          <w:p w:rsidR="00074F2B" w:rsidRPr="008C2CEF" w:rsidRDefault="00074F2B" w:rsidP="006E39F5">
            <w:pPr>
              <w:pStyle w:val="DAVA"/>
              <w:spacing w:before="0"/>
              <w:rPr>
                <w:rFonts w:asciiTheme="minorHAnsi" w:hAnsiTheme="minorHAnsi"/>
                <w:sz w:val="22"/>
                <w:szCs w:val="22"/>
              </w:rPr>
            </w:pPr>
          </w:p>
        </w:tc>
      </w:tr>
    </w:tbl>
    <w:p w:rsidR="00074F2B" w:rsidRDefault="00074F2B" w:rsidP="00074F2B">
      <w:pPr>
        <w:spacing w:before="120" w:after="60" w:line="288" w:lineRule="auto"/>
        <w:rPr>
          <w:rFonts w:asciiTheme="minorHAnsi" w:hAnsiTheme="minorHAnsi" w:cs="Arial"/>
          <w:b/>
        </w:rPr>
      </w:pPr>
      <w:r w:rsidRPr="00426A4D">
        <w:rPr>
          <w:rFonts w:asciiTheme="minorHAnsi" w:hAnsiTheme="minorHAnsi"/>
          <w:sz w:val="24"/>
          <w:szCs w:val="24"/>
          <w:u w:color="000000"/>
        </w:rPr>
        <w:t>Pro příslušnou obecnou a tematickou předběžnou podmínku, která je částečně splněna nebo nesplněna vůbec, uvedou odpovědné subjekty opatření, která je nutné přijmout na národní úrovni a harmonogram jejich realizace.</w:t>
      </w:r>
      <w:r>
        <w:rPr>
          <w:rFonts w:asciiTheme="minorHAnsi" w:hAnsiTheme="minorHAnsi"/>
          <w:sz w:val="24"/>
          <w:szCs w:val="24"/>
          <w:u w:color="000000"/>
        </w:rPr>
        <w:t xml:space="preserve"> Tzn., že v </w:t>
      </w:r>
      <w:r w:rsidRPr="005068A5">
        <w:rPr>
          <w:rFonts w:asciiTheme="minorHAnsi" w:hAnsiTheme="minorHAnsi" w:cs="Arial"/>
          <w:color w:val="000000"/>
          <w:sz w:val="24"/>
          <w:szCs w:val="24"/>
          <w:u w:color="000000"/>
        </w:rPr>
        <w:t>programech řídící orgán</w:t>
      </w:r>
      <w:r>
        <w:rPr>
          <w:rFonts w:asciiTheme="minorHAnsi" w:hAnsiTheme="minorHAnsi" w:cs="Arial"/>
          <w:color w:val="000000"/>
          <w:sz w:val="24"/>
          <w:szCs w:val="24"/>
          <w:u w:color="000000"/>
        </w:rPr>
        <w:t>y</w:t>
      </w:r>
      <w:r w:rsidRPr="005068A5">
        <w:rPr>
          <w:rFonts w:asciiTheme="minorHAnsi" w:hAnsiTheme="minorHAnsi" w:cs="Arial"/>
          <w:color w:val="000000"/>
          <w:sz w:val="24"/>
          <w:szCs w:val="24"/>
          <w:u w:color="000000"/>
        </w:rPr>
        <w:t xml:space="preserve"> uved</w:t>
      </w:r>
      <w:r>
        <w:rPr>
          <w:rFonts w:asciiTheme="minorHAnsi" w:hAnsiTheme="minorHAnsi" w:cs="Arial"/>
          <w:color w:val="000000"/>
          <w:sz w:val="24"/>
          <w:szCs w:val="24"/>
          <w:u w:color="000000"/>
        </w:rPr>
        <w:t>ou požadované informace, viz tabulky 3 a 4.</w:t>
      </w:r>
    </w:p>
    <w:p w:rsidR="00074F2B" w:rsidRPr="00137D07" w:rsidRDefault="00074F2B" w:rsidP="00074F2B">
      <w:pPr>
        <w:spacing w:before="180" w:after="60" w:line="288" w:lineRule="auto"/>
        <w:rPr>
          <w:rFonts w:asciiTheme="minorHAnsi" w:hAnsiTheme="minorHAnsi" w:cs="Arial"/>
          <w:u w:val="single"/>
        </w:rPr>
      </w:pPr>
      <w:r w:rsidRPr="00137D07">
        <w:rPr>
          <w:rFonts w:asciiTheme="minorHAnsi" w:hAnsiTheme="minorHAnsi" w:cs="Arial"/>
          <w:u w:val="single"/>
        </w:rPr>
        <w:t xml:space="preserve">Tab. </w:t>
      </w:r>
      <w:r w:rsidR="00EE0A06" w:rsidRPr="00137D07">
        <w:rPr>
          <w:rFonts w:asciiTheme="minorHAnsi" w:hAnsiTheme="minorHAnsi" w:cs="Arial"/>
          <w:u w:val="single"/>
        </w:rPr>
        <w:t>2</w:t>
      </w:r>
      <w:r w:rsidRPr="00137D07">
        <w:rPr>
          <w:rFonts w:asciiTheme="minorHAnsi" w:hAnsiTheme="minorHAnsi" w:cs="Arial"/>
          <w:u w:val="single"/>
        </w:rPr>
        <w:t>: Šablona E</w:t>
      </w:r>
      <w:r w:rsidR="00137D07">
        <w:rPr>
          <w:rFonts w:asciiTheme="minorHAnsi" w:hAnsiTheme="minorHAnsi" w:cs="Arial"/>
          <w:u w:val="single"/>
        </w:rPr>
        <w:t>K</w:t>
      </w:r>
      <w:r w:rsidRPr="00137D07">
        <w:rPr>
          <w:rFonts w:asciiTheme="minorHAnsi" w:hAnsiTheme="minorHAnsi" w:cs="Arial"/>
          <w:u w:val="single"/>
        </w:rPr>
        <w:t xml:space="preserve"> pro EFRR, ES, FS, EZFRV – částečně splněné či nesplněné obecné </w:t>
      </w:r>
      <w:r w:rsidR="00137D07">
        <w:rPr>
          <w:rFonts w:asciiTheme="minorHAnsi" w:hAnsiTheme="minorHAnsi" w:cs="Arial"/>
          <w:u w:val="single"/>
        </w:rPr>
        <w:t>PP</w:t>
      </w:r>
    </w:p>
    <w:tbl>
      <w:tblPr>
        <w:tblStyle w:val="Mkatabulky"/>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559"/>
        <w:gridCol w:w="1843"/>
        <w:gridCol w:w="1701"/>
        <w:gridCol w:w="1559"/>
      </w:tblGrid>
      <w:tr w:rsidR="00074F2B" w:rsidRPr="005B194F" w:rsidTr="006E39F5">
        <w:trPr>
          <w:trHeight w:val="431"/>
        </w:trPr>
        <w:tc>
          <w:tcPr>
            <w:tcW w:w="2410" w:type="dxa"/>
            <w:shd w:val="clear" w:color="auto" w:fill="B8CCE4" w:themeFill="accent1" w:themeFillTint="66"/>
            <w:vAlign w:val="center"/>
          </w:tcPr>
          <w:p w:rsidR="00074F2B" w:rsidRPr="00E51EEB" w:rsidRDefault="00074F2B" w:rsidP="006E39F5">
            <w:pPr>
              <w:pStyle w:val="Default"/>
              <w:rPr>
                <w:rFonts w:asciiTheme="minorHAnsi" w:eastAsiaTheme="minorHAnsi" w:hAnsiTheme="minorHAnsi"/>
                <w:b/>
                <w:bCs/>
                <w:sz w:val="20"/>
                <w:szCs w:val="20"/>
                <w:lang w:eastAsia="en-US"/>
              </w:rPr>
            </w:pPr>
            <w:r w:rsidRPr="00ED4F90">
              <w:rPr>
                <w:rFonts w:asciiTheme="minorHAnsi" w:eastAsiaTheme="minorHAnsi" w:hAnsiTheme="minorHAnsi"/>
                <w:b/>
                <w:bCs/>
                <w:sz w:val="20"/>
                <w:szCs w:val="20"/>
                <w:lang w:eastAsia="en-US"/>
              </w:rPr>
              <w:t xml:space="preserve">Nesplněná nebo částečně splněná použitelná </w:t>
            </w:r>
            <w:r w:rsidRPr="00ED4F90">
              <w:rPr>
                <w:rFonts w:asciiTheme="minorHAnsi" w:eastAsiaTheme="minorHAnsi" w:hAnsiTheme="minorHAnsi"/>
                <w:b/>
                <w:bCs/>
                <w:sz w:val="20"/>
                <w:szCs w:val="20"/>
                <w:u w:val="single"/>
                <w:lang w:eastAsia="en-US"/>
              </w:rPr>
              <w:t>obecná</w:t>
            </w:r>
            <w:r w:rsidRPr="00ED4F90">
              <w:rPr>
                <w:rFonts w:asciiTheme="minorHAnsi" w:eastAsiaTheme="minorHAnsi" w:hAnsiTheme="minorHAnsi"/>
                <w:b/>
                <w:bCs/>
                <w:sz w:val="20"/>
                <w:szCs w:val="20"/>
                <w:lang w:eastAsia="en-US"/>
              </w:rPr>
              <w:t xml:space="preserve"> předběžná podmínka</w:t>
            </w:r>
          </w:p>
        </w:tc>
        <w:tc>
          <w:tcPr>
            <w:tcW w:w="1559" w:type="dxa"/>
            <w:shd w:val="clear" w:color="auto" w:fill="B8CCE4" w:themeFill="accent1" w:themeFillTint="66"/>
            <w:vAlign w:val="center"/>
          </w:tcPr>
          <w:p w:rsidR="00074F2B" w:rsidRPr="00E51EEB" w:rsidRDefault="00074F2B" w:rsidP="006E39F5">
            <w:pPr>
              <w:pStyle w:val="Default"/>
              <w:rPr>
                <w:rFonts w:asciiTheme="minorHAnsi" w:eastAsiaTheme="minorHAnsi" w:hAnsiTheme="minorHAnsi"/>
                <w:b/>
                <w:bCs/>
                <w:sz w:val="20"/>
                <w:szCs w:val="20"/>
                <w:lang w:eastAsia="en-US"/>
              </w:rPr>
            </w:pPr>
            <w:r w:rsidRPr="00ED4F90">
              <w:rPr>
                <w:rFonts w:asciiTheme="minorHAnsi" w:eastAsiaTheme="minorHAnsi" w:hAnsiTheme="minorHAnsi"/>
                <w:b/>
                <w:bCs/>
                <w:sz w:val="20"/>
                <w:szCs w:val="20"/>
                <w:lang w:eastAsia="en-US"/>
              </w:rPr>
              <w:t xml:space="preserve">Nesplněná kritéria </w:t>
            </w:r>
          </w:p>
        </w:tc>
        <w:tc>
          <w:tcPr>
            <w:tcW w:w="1843" w:type="dxa"/>
            <w:shd w:val="clear" w:color="auto" w:fill="B8CCE4" w:themeFill="accent1" w:themeFillTint="66"/>
            <w:vAlign w:val="center"/>
          </w:tcPr>
          <w:p w:rsidR="00074F2B" w:rsidRPr="00E51EEB" w:rsidRDefault="00074F2B" w:rsidP="006E39F5">
            <w:pPr>
              <w:pStyle w:val="Default"/>
              <w:rPr>
                <w:rFonts w:asciiTheme="minorHAnsi" w:eastAsiaTheme="minorHAnsi" w:hAnsiTheme="minorHAnsi"/>
                <w:b/>
                <w:bCs/>
                <w:sz w:val="20"/>
                <w:szCs w:val="20"/>
                <w:lang w:eastAsia="en-US"/>
              </w:rPr>
            </w:pPr>
            <w:r w:rsidRPr="00ED4F90">
              <w:rPr>
                <w:rFonts w:asciiTheme="minorHAnsi" w:eastAsiaTheme="minorHAnsi" w:hAnsiTheme="minorHAnsi"/>
                <w:b/>
                <w:bCs/>
                <w:sz w:val="20"/>
                <w:szCs w:val="20"/>
                <w:lang w:eastAsia="en-US"/>
              </w:rPr>
              <w:t xml:space="preserve">Opatření, která je nutno přijmout </w:t>
            </w:r>
          </w:p>
        </w:tc>
        <w:tc>
          <w:tcPr>
            <w:tcW w:w="1701" w:type="dxa"/>
            <w:shd w:val="clear" w:color="auto" w:fill="B8CCE4" w:themeFill="accent1" w:themeFillTint="66"/>
            <w:vAlign w:val="center"/>
          </w:tcPr>
          <w:p w:rsidR="00074F2B" w:rsidRPr="00E51EEB" w:rsidRDefault="00074F2B" w:rsidP="006E39F5">
            <w:pPr>
              <w:pStyle w:val="Default"/>
              <w:rPr>
                <w:rFonts w:asciiTheme="minorHAnsi" w:eastAsiaTheme="minorHAnsi" w:hAnsiTheme="minorHAnsi"/>
                <w:b/>
                <w:bCs/>
                <w:sz w:val="20"/>
                <w:szCs w:val="20"/>
                <w:lang w:eastAsia="en-US"/>
              </w:rPr>
            </w:pPr>
            <w:r w:rsidRPr="00ED4F90">
              <w:rPr>
                <w:rFonts w:asciiTheme="minorHAnsi" w:eastAsiaTheme="minorHAnsi" w:hAnsiTheme="minorHAnsi"/>
                <w:b/>
                <w:bCs/>
                <w:sz w:val="20"/>
                <w:szCs w:val="20"/>
                <w:lang w:eastAsia="en-US"/>
              </w:rPr>
              <w:t>Termín splnění (datum)</w:t>
            </w:r>
          </w:p>
        </w:tc>
        <w:tc>
          <w:tcPr>
            <w:tcW w:w="1559" w:type="dxa"/>
            <w:shd w:val="clear" w:color="auto" w:fill="B8CCE4" w:themeFill="accent1" w:themeFillTint="66"/>
            <w:vAlign w:val="center"/>
          </w:tcPr>
          <w:p w:rsidR="00074F2B" w:rsidRPr="00E51EEB" w:rsidRDefault="00074F2B" w:rsidP="006E39F5">
            <w:pPr>
              <w:pStyle w:val="Default"/>
              <w:rPr>
                <w:rFonts w:asciiTheme="minorHAnsi" w:eastAsiaTheme="minorHAnsi" w:hAnsiTheme="minorHAnsi"/>
                <w:b/>
                <w:bCs/>
                <w:sz w:val="20"/>
                <w:szCs w:val="20"/>
                <w:lang w:eastAsia="en-US"/>
              </w:rPr>
            </w:pPr>
            <w:r w:rsidRPr="00ED4F90">
              <w:rPr>
                <w:rFonts w:asciiTheme="minorHAnsi" w:eastAsiaTheme="minorHAnsi" w:hAnsiTheme="minorHAnsi"/>
                <w:b/>
                <w:bCs/>
                <w:sz w:val="20"/>
                <w:szCs w:val="20"/>
                <w:lang w:eastAsia="en-US"/>
              </w:rPr>
              <w:t>Orgány zodpovědné za plnění</w:t>
            </w:r>
          </w:p>
        </w:tc>
      </w:tr>
      <w:tr w:rsidR="00074F2B" w:rsidRPr="005F130B" w:rsidTr="000C0E01">
        <w:trPr>
          <w:trHeight w:val="424"/>
        </w:trPr>
        <w:tc>
          <w:tcPr>
            <w:tcW w:w="2410" w:type="dxa"/>
            <w:vAlign w:val="center"/>
          </w:tcPr>
          <w:p w:rsidR="00074F2B" w:rsidRPr="00A3635F" w:rsidRDefault="00074F2B" w:rsidP="006E39F5">
            <w:pPr>
              <w:pStyle w:val="DAVA"/>
              <w:spacing w:before="0"/>
              <w:rPr>
                <w:rFonts w:asciiTheme="minorHAnsi" w:hAnsiTheme="minorHAnsi"/>
                <w:sz w:val="22"/>
                <w:szCs w:val="22"/>
              </w:rPr>
            </w:pPr>
          </w:p>
        </w:tc>
        <w:tc>
          <w:tcPr>
            <w:tcW w:w="1559" w:type="dxa"/>
            <w:vAlign w:val="center"/>
          </w:tcPr>
          <w:p w:rsidR="00074F2B" w:rsidRPr="00A3635F" w:rsidRDefault="00074F2B" w:rsidP="006E39F5">
            <w:pPr>
              <w:pStyle w:val="DAVA"/>
              <w:spacing w:before="0"/>
              <w:rPr>
                <w:rFonts w:asciiTheme="minorHAnsi" w:hAnsiTheme="minorHAnsi"/>
                <w:sz w:val="22"/>
                <w:szCs w:val="22"/>
              </w:rPr>
            </w:pPr>
          </w:p>
        </w:tc>
        <w:tc>
          <w:tcPr>
            <w:tcW w:w="1843" w:type="dxa"/>
            <w:vAlign w:val="center"/>
          </w:tcPr>
          <w:p w:rsidR="00074F2B" w:rsidRPr="00A3635F" w:rsidRDefault="00074F2B" w:rsidP="006E39F5">
            <w:pPr>
              <w:pStyle w:val="DAVA"/>
              <w:spacing w:before="0"/>
              <w:rPr>
                <w:rFonts w:asciiTheme="minorHAnsi" w:hAnsiTheme="minorHAnsi"/>
                <w:sz w:val="22"/>
                <w:szCs w:val="22"/>
              </w:rPr>
            </w:pPr>
          </w:p>
        </w:tc>
        <w:tc>
          <w:tcPr>
            <w:tcW w:w="1701" w:type="dxa"/>
            <w:vAlign w:val="center"/>
          </w:tcPr>
          <w:p w:rsidR="00074F2B" w:rsidRPr="00A3635F" w:rsidRDefault="00074F2B" w:rsidP="006E39F5">
            <w:pPr>
              <w:pStyle w:val="DAVA"/>
              <w:spacing w:before="0"/>
              <w:rPr>
                <w:rFonts w:asciiTheme="minorHAnsi" w:hAnsiTheme="minorHAnsi"/>
                <w:sz w:val="22"/>
                <w:szCs w:val="22"/>
              </w:rPr>
            </w:pPr>
          </w:p>
        </w:tc>
        <w:tc>
          <w:tcPr>
            <w:tcW w:w="1559" w:type="dxa"/>
            <w:vAlign w:val="center"/>
          </w:tcPr>
          <w:p w:rsidR="00074F2B" w:rsidRPr="00A3635F" w:rsidRDefault="00074F2B" w:rsidP="006E39F5">
            <w:pPr>
              <w:pStyle w:val="DAVA"/>
              <w:spacing w:before="0"/>
              <w:rPr>
                <w:rFonts w:asciiTheme="minorHAnsi" w:hAnsiTheme="minorHAnsi"/>
                <w:sz w:val="22"/>
                <w:szCs w:val="22"/>
              </w:rPr>
            </w:pPr>
          </w:p>
        </w:tc>
      </w:tr>
      <w:tr w:rsidR="00074F2B" w:rsidRPr="005F130B" w:rsidTr="000C0E01">
        <w:trPr>
          <w:trHeight w:val="416"/>
        </w:trPr>
        <w:tc>
          <w:tcPr>
            <w:tcW w:w="2410" w:type="dxa"/>
            <w:vAlign w:val="center"/>
          </w:tcPr>
          <w:p w:rsidR="00074F2B" w:rsidRPr="00A3635F" w:rsidRDefault="00074F2B" w:rsidP="006E39F5">
            <w:pPr>
              <w:pStyle w:val="DAVA"/>
              <w:spacing w:before="0"/>
              <w:rPr>
                <w:rFonts w:asciiTheme="minorHAnsi" w:hAnsiTheme="minorHAnsi"/>
                <w:sz w:val="22"/>
                <w:szCs w:val="22"/>
              </w:rPr>
            </w:pPr>
          </w:p>
        </w:tc>
        <w:tc>
          <w:tcPr>
            <w:tcW w:w="1559" w:type="dxa"/>
            <w:vAlign w:val="center"/>
          </w:tcPr>
          <w:p w:rsidR="00074F2B" w:rsidRPr="00A3635F" w:rsidRDefault="00074F2B" w:rsidP="006E39F5">
            <w:pPr>
              <w:pStyle w:val="DAVA"/>
              <w:spacing w:before="0"/>
              <w:rPr>
                <w:rFonts w:asciiTheme="minorHAnsi" w:hAnsiTheme="minorHAnsi"/>
                <w:sz w:val="22"/>
                <w:szCs w:val="22"/>
              </w:rPr>
            </w:pPr>
          </w:p>
        </w:tc>
        <w:tc>
          <w:tcPr>
            <w:tcW w:w="1843" w:type="dxa"/>
            <w:vAlign w:val="center"/>
          </w:tcPr>
          <w:p w:rsidR="00074F2B" w:rsidRPr="00A3635F" w:rsidRDefault="00074F2B" w:rsidP="006E39F5">
            <w:pPr>
              <w:pStyle w:val="DAVA"/>
              <w:spacing w:before="0"/>
              <w:rPr>
                <w:rFonts w:asciiTheme="minorHAnsi" w:hAnsiTheme="minorHAnsi"/>
                <w:sz w:val="22"/>
                <w:szCs w:val="22"/>
              </w:rPr>
            </w:pPr>
          </w:p>
        </w:tc>
        <w:tc>
          <w:tcPr>
            <w:tcW w:w="1701" w:type="dxa"/>
            <w:vAlign w:val="center"/>
          </w:tcPr>
          <w:p w:rsidR="00074F2B" w:rsidRPr="00A3635F" w:rsidRDefault="00074F2B" w:rsidP="006E39F5">
            <w:pPr>
              <w:pStyle w:val="DAVA"/>
              <w:spacing w:before="0"/>
              <w:rPr>
                <w:rFonts w:asciiTheme="minorHAnsi" w:hAnsiTheme="minorHAnsi"/>
                <w:sz w:val="22"/>
                <w:szCs w:val="22"/>
              </w:rPr>
            </w:pPr>
          </w:p>
        </w:tc>
        <w:tc>
          <w:tcPr>
            <w:tcW w:w="1559" w:type="dxa"/>
            <w:vAlign w:val="center"/>
          </w:tcPr>
          <w:p w:rsidR="00074F2B" w:rsidRPr="00A3635F" w:rsidRDefault="00074F2B" w:rsidP="006E39F5">
            <w:pPr>
              <w:pStyle w:val="DAVA"/>
              <w:spacing w:before="0"/>
              <w:rPr>
                <w:rFonts w:asciiTheme="minorHAnsi" w:hAnsiTheme="minorHAnsi"/>
                <w:sz w:val="22"/>
                <w:szCs w:val="22"/>
              </w:rPr>
            </w:pPr>
          </w:p>
        </w:tc>
      </w:tr>
      <w:tr w:rsidR="00074F2B" w:rsidRPr="005F130B" w:rsidTr="006E39F5">
        <w:trPr>
          <w:trHeight w:val="411"/>
        </w:trPr>
        <w:tc>
          <w:tcPr>
            <w:tcW w:w="2410" w:type="dxa"/>
            <w:vAlign w:val="center"/>
          </w:tcPr>
          <w:p w:rsidR="00074F2B" w:rsidRPr="00A3635F" w:rsidRDefault="00074F2B" w:rsidP="006E39F5">
            <w:pPr>
              <w:pStyle w:val="DAVA"/>
              <w:spacing w:before="0"/>
              <w:rPr>
                <w:rFonts w:asciiTheme="minorHAnsi" w:hAnsiTheme="minorHAnsi"/>
                <w:sz w:val="22"/>
                <w:szCs w:val="22"/>
              </w:rPr>
            </w:pPr>
          </w:p>
        </w:tc>
        <w:tc>
          <w:tcPr>
            <w:tcW w:w="1559" w:type="dxa"/>
            <w:vAlign w:val="center"/>
          </w:tcPr>
          <w:p w:rsidR="00074F2B" w:rsidRPr="00A3635F" w:rsidRDefault="00074F2B" w:rsidP="006E39F5">
            <w:pPr>
              <w:pStyle w:val="DAVA"/>
              <w:spacing w:before="0"/>
              <w:rPr>
                <w:rFonts w:asciiTheme="minorHAnsi" w:hAnsiTheme="minorHAnsi"/>
                <w:sz w:val="22"/>
                <w:szCs w:val="22"/>
              </w:rPr>
            </w:pPr>
          </w:p>
        </w:tc>
        <w:tc>
          <w:tcPr>
            <w:tcW w:w="1843" w:type="dxa"/>
            <w:vAlign w:val="center"/>
          </w:tcPr>
          <w:p w:rsidR="00074F2B" w:rsidRPr="00A3635F" w:rsidRDefault="00074F2B" w:rsidP="006E39F5">
            <w:pPr>
              <w:pStyle w:val="DAVA"/>
              <w:spacing w:before="0"/>
              <w:rPr>
                <w:rFonts w:asciiTheme="minorHAnsi" w:hAnsiTheme="minorHAnsi"/>
                <w:sz w:val="22"/>
                <w:szCs w:val="22"/>
              </w:rPr>
            </w:pPr>
          </w:p>
        </w:tc>
        <w:tc>
          <w:tcPr>
            <w:tcW w:w="1701" w:type="dxa"/>
            <w:vAlign w:val="center"/>
          </w:tcPr>
          <w:p w:rsidR="00074F2B" w:rsidRPr="00A3635F" w:rsidRDefault="00074F2B" w:rsidP="006E39F5">
            <w:pPr>
              <w:pStyle w:val="DAVA"/>
              <w:spacing w:before="0"/>
              <w:rPr>
                <w:rFonts w:asciiTheme="minorHAnsi" w:hAnsiTheme="minorHAnsi"/>
                <w:sz w:val="22"/>
                <w:szCs w:val="22"/>
              </w:rPr>
            </w:pPr>
          </w:p>
        </w:tc>
        <w:tc>
          <w:tcPr>
            <w:tcW w:w="1559" w:type="dxa"/>
            <w:vAlign w:val="center"/>
          </w:tcPr>
          <w:p w:rsidR="00074F2B" w:rsidRPr="00A3635F" w:rsidRDefault="00074F2B" w:rsidP="006E39F5">
            <w:pPr>
              <w:pStyle w:val="DAVA"/>
              <w:spacing w:before="0"/>
              <w:rPr>
                <w:rFonts w:asciiTheme="minorHAnsi" w:hAnsiTheme="minorHAnsi"/>
                <w:sz w:val="22"/>
                <w:szCs w:val="22"/>
              </w:rPr>
            </w:pPr>
          </w:p>
        </w:tc>
      </w:tr>
    </w:tbl>
    <w:p w:rsidR="00074F2B" w:rsidRPr="00137D07" w:rsidRDefault="00074F2B" w:rsidP="0001494C">
      <w:pPr>
        <w:spacing w:before="240" w:after="60" w:line="288" w:lineRule="auto"/>
        <w:rPr>
          <w:u w:val="single"/>
        </w:rPr>
      </w:pPr>
      <w:r w:rsidRPr="00137D07">
        <w:rPr>
          <w:rFonts w:asciiTheme="minorHAnsi" w:hAnsiTheme="minorHAnsi" w:cs="Arial"/>
          <w:u w:val="single"/>
        </w:rPr>
        <w:t xml:space="preserve">Tab. </w:t>
      </w:r>
      <w:r w:rsidR="00EE0A06" w:rsidRPr="00137D07">
        <w:rPr>
          <w:rFonts w:asciiTheme="minorHAnsi" w:hAnsiTheme="minorHAnsi" w:cs="Arial"/>
          <w:u w:val="single"/>
        </w:rPr>
        <w:t>3</w:t>
      </w:r>
      <w:r w:rsidRPr="00137D07">
        <w:rPr>
          <w:rFonts w:asciiTheme="minorHAnsi" w:hAnsiTheme="minorHAnsi" w:cs="Arial"/>
          <w:u w:val="single"/>
        </w:rPr>
        <w:t>: Šablona E</w:t>
      </w:r>
      <w:r w:rsidR="00137D07">
        <w:rPr>
          <w:rFonts w:asciiTheme="minorHAnsi" w:hAnsiTheme="minorHAnsi" w:cs="Arial"/>
          <w:u w:val="single"/>
        </w:rPr>
        <w:t>K</w:t>
      </w:r>
      <w:r w:rsidRPr="00137D07">
        <w:rPr>
          <w:rFonts w:asciiTheme="minorHAnsi" w:hAnsiTheme="minorHAnsi" w:cs="Arial"/>
          <w:u w:val="single"/>
        </w:rPr>
        <w:t xml:space="preserve"> pro EFRR, ES, FS, EZFRV – částečně splněné či nesplněné tematické </w:t>
      </w:r>
      <w:r w:rsidR="00137D07">
        <w:rPr>
          <w:rFonts w:asciiTheme="minorHAnsi" w:hAnsiTheme="minorHAnsi" w:cs="Arial"/>
          <w:u w:val="single"/>
        </w:rPr>
        <w:t>PP</w:t>
      </w:r>
    </w:p>
    <w:tbl>
      <w:tblPr>
        <w:tblStyle w:val="Mkatabulky"/>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559"/>
        <w:gridCol w:w="1843"/>
        <w:gridCol w:w="1701"/>
        <w:gridCol w:w="1559"/>
      </w:tblGrid>
      <w:tr w:rsidR="00074F2B" w:rsidRPr="005F130B" w:rsidTr="006E39F5">
        <w:trPr>
          <w:trHeight w:val="431"/>
        </w:trPr>
        <w:tc>
          <w:tcPr>
            <w:tcW w:w="2410" w:type="dxa"/>
            <w:shd w:val="clear" w:color="auto" w:fill="B8CCE4" w:themeFill="accent1" w:themeFillTint="66"/>
          </w:tcPr>
          <w:p w:rsidR="00074F2B" w:rsidRPr="00E51EEB" w:rsidRDefault="00074F2B" w:rsidP="006E39F5">
            <w:pPr>
              <w:pStyle w:val="Default"/>
              <w:rPr>
                <w:rFonts w:asciiTheme="minorHAnsi" w:eastAsiaTheme="minorHAnsi" w:hAnsiTheme="minorHAnsi"/>
                <w:b/>
                <w:bCs/>
                <w:sz w:val="20"/>
                <w:szCs w:val="20"/>
                <w:lang w:eastAsia="en-US"/>
              </w:rPr>
            </w:pPr>
            <w:r w:rsidRPr="00ED4F90">
              <w:rPr>
                <w:rFonts w:asciiTheme="minorHAnsi" w:eastAsiaTheme="minorHAnsi" w:hAnsiTheme="minorHAnsi"/>
                <w:b/>
                <w:bCs/>
                <w:sz w:val="20"/>
                <w:szCs w:val="20"/>
                <w:lang w:eastAsia="en-US"/>
              </w:rPr>
              <w:t xml:space="preserve">Nesplněná nebo částečně splněná použitelná </w:t>
            </w:r>
            <w:r w:rsidRPr="00ED4F90">
              <w:rPr>
                <w:rFonts w:asciiTheme="minorHAnsi" w:eastAsiaTheme="minorHAnsi" w:hAnsiTheme="minorHAnsi"/>
                <w:b/>
                <w:bCs/>
                <w:sz w:val="20"/>
                <w:szCs w:val="20"/>
                <w:u w:val="single"/>
                <w:lang w:eastAsia="en-US"/>
              </w:rPr>
              <w:t>tematická</w:t>
            </w:r>
            <w:r w:rsidRPr="00ED4F90">
              <w:rPr>
                <w:rFonts w:asciiTheme="minorHAnsi" w:eastAsiaTheme="minorHAnsi" w:hAnsiTheme="minorHAnsi"/>
                <w:b/>
                <w:bCs/>
                <w:sz w:val="20"/>
                <w:szCs w:val="20"/>
                <w:lang w:eastAsia="en-US"/>
              </w:rPr>
              <w:t xml:space="preserve"> předběžná podmínka</w:t>
            </w:r>
          </w:p>
        </w:tc>
        <w:tc>
          <w:tcPr>
            <w:tcW w:w="1559" w:type="dxa"/>
            <w:shd w:val="clear" w:color="auto" w:fill="B8CCE4" w:themeFill="accent1" w:themeFillTint="66"/>
          </w:tcPr>
          <w:p w:rsidR="00074F2B" w:rsidRPr="00E51EEB" w:rsidRDefault="00074F2B" w:rsidP="006E39F5">
            <w:pPr>
              <w:pStyle w:val="Default"/>
              <w:rPr>
                <w:rFonts w:asciiTheme="minorHAnsi" w:eastAsiaTheme="minorHAnsi" w:hAnsiTheme="minorHAnsi"/>
                <w:sz w:val="20"/>
                <w:szCs w:val="20"/>
                <w:lang w:eastAsia="en-US"/>
              </w:rPr>
            </w:pPr>
            <w:r w:rsidRPr="00ED4F90">
              <w:rPr>
                <w:rFonts w:asciiTheme="minorHAnsi" w:eastAsiaTheme="minorHAnsi" w:hAnsiTheme="minorHAnsi"/>
                <w:b/>
                <w:bCs/>
                <w:sz w:val="20"/>
                <w:szCs w:val="20"/>
                <w:lang w:eastAsia="en-US"/>
              </w:rPr>
              <w:t>Nesplněná kritéria</w:t>
            </w:r>
          </w:p>
        </w:tc>
        <w:tc>
          <w:tcPr>
            <w:tcW w:w="1843" w:type="dxa"/>
            <w:shd w:val="clear" w:color="auto" w:fill="B8CCE4" w:themeFill="accent1" w:themeFillTint="66"/>
          </w:tcPr>
          <w:p w:rsidR="00074F2B" w:rsidRPr="00E51EEB" w:rsidRDefault="00074F2B" w:rsidP="006E39F5">
            <w:pPr>
              <w:pStyle w:val="DAVA"/>
              <w:spacing w:before="0"/>
              <w:jc w:val="both"/>
              <w:rPr>
                <w:rFonts w:asciiTheme="minorHAnsi" w:hAnsiTheme="minorHAnsi"/>
                <w:sz w:val="20"/>
                <w:szCs w:val="20"/>
              </w:rPr>
            </w:pPr>
            <w:r w:rsidRPr="00ED4F90">
              <w:rPr>
                <w:rFonts w:asciiTheme="minorHAnsi" w:hAnsiTheme="minorHAnsi"/>
                <w:b/>
                <w:bCs/>
                <w:color w:val="000000"/>
                <w:sz w:val="20"/>
                <w:szCs w:val="20"/>
              </w:rPr>
              <w:t xml:space="preserve">Opatření, která je nutno přijmout </w:t>
            </w:r>
          </w:p>
        </w:tc>
        <w:tc>
          <w:tcPr>
            <w:tcW w:w="1701" w:type="dxa"/>
            <w:shd w:val="clear" w:color="auto" w:fill="B8CCE4" w:themeFill="accent1" w:themeFillTint="66"/>
          </w:tcPr>
          <w:p w:rsidR="00074F2B" w:rsidRPr="00E51EEB" w:rsidRDefault="00074F2B" w:rsidP="006E39F5">
            <w:pPr>
              <w:pStyle w:val="Default"/>
              <w:rPr>
                <w:rFonts w:asciiTheme="minorHAnsi" w:eastAsiaTheme="minorHAnsi" w:hAnsiTheme="minorHAnsi"/>
                <w:sz w:val="20"/>
                <w:szCs w:val="20"/>
                <w:lang w:eastAsia="en-US"/>
              </w:rPr>
            </w:pPr>
            <w:r w:rsidRPr="00ED4F90">
              <w:rPr>
                <w:rFonts w:asciiTheme="minorHAnsi" w:eastAsiaTheme="minorHAnsi" w:hAnsiTheme="minorHAnsi"/>
                <w:b/>
                <w:bCs/>
                <w:sz w:val="20"/>
                <w:szCs w:val="20"/>
                <w:lang w:eastAsia="en-US"/>
              </w:rPr>
              <w:t>Termín splnění (datum)</w:t>
            </w:r>
          </w:p>
        </w:tc>
        <w:tc>
          <w:tcPr>
            <w:tcW w:w="1559" w:type="dxa"/>
            <w:shd w:val="clear" w:color="auto" w:fill="B8CCE4" w:themeFill="accent1" w:themeFillTint="66"/>
          </w:tcPr>
          <w:p w:rsidR="00074F2B" w:rsidRPr="00E51EEB" w:rsidRDefault="00074F2B" w:rsidP="006E39F5">
            <w:pPr>
              <w:pStyle w:val="DAVA"/>
              <w:spacing w:before="0"/>
              <w:jc w:val="both"/>
              <w:rPr>
                <w:rFonts w:asciiTheme="minorHAnsi" w:hAnsiTheme="minorHAnsi"/>
                <w:sz w:val="20"/>
                <w:szCs w:val="20"/>
              </w:rPr>
            </w:pPr>
            <w:r w:rsidRPr="00ED4F90">
              <w:rPr>
                <w:rFonts w:asciiTheme="minorHAnsi" w:hAnsiTheme="minorHAnsi"/>
                <w:b/>
                <w:bCs/>
                <w:sz w:val="20"/>
                <w:szCs w:val="20"/>
              </w:rPr>
              <w:t>Orgány zodpovědné za plnění</w:t>
            </w:r>
            <w:r w:rsidRPr="00ED4F90">
              <w:rPr>
                <w:rFonts w:asciiTheme="minorHAnsi" w:hAnsiTheme="minorHAnsi"/>
                <w:sz w:val="20"/>
                <w:szCs w:val="20"/>
              </w:rPr>
              <w:t xml:space="preserve"> </w:t>
            </w:r>
          </w:p>
        </w:tc>
      </w:tr>
      <w:tr w:rsidR="00074F2B" w:rsidRPr="005F130B" w:rsidTr="000C0E01">
        <w:trPr>
          <w:trHeight w:val="458"/>
        </w:trPr>
        <w:tc>
          <w:tcPr>
            <w:tcW w:w="2410" w:type="dxa"/>
          </w:tcPr>
          <w:p w:rsidR="00074F2B" w:rsidRPr="00A3635F" w:rsidRDefault="00074F2B" w:rsidP="006E39F5">
            <w:pPr>
              <w:pStyle w:val="DAVA"/>
              <w:spacing w:before="0"/>
              <w:rPr>
                <w:rFonts w:asciiTheme="minorHAnsi" w:hAnsiTheme="minorHAnsi"/>
                <w:sz w:val="22"/>
                <w:szCs w:val="22"/>
              </w:rPr>
            </w:pPr>
          </w:p>
        </w:tc>
        <w:tc>
          <w:tcPr>
            <w:tcW w:w="1559" w:type="dxa"/>
          </w:tcPr>
          <w:p w:rsidR="00074F2B" w:rsidRPr="00A3635F" w:rsidRDefault="00074F2B" w:rsidP="006E39F5">
            <w:pPr>
              <w:pStyle w:val="DAVA"/>
              <w:spacing w:before="0"/>
              <w:rPr>
                <w:rFonts w:asciiTheme="minorHAnsi" w:hAnsiTheme="minorHAnsi"/>
                <w:sz w:val="22"/>
                <w:szCs w:val="22"/>
              </w:rPr>
            </w:pPr>
          </w:p>
        </w:tc>
        <w:tc>
          <w:tcPr>
            <w:tcW w:w="1843" w:type="dxa"/>
          </w:tcPr>
          <w:p w:rsidR="00074F2B" w:rsidRPr="00A3635F" w:rsidRDefault="00074F2B" w:rsidP="006E39F5">
            <w:pPr>
              <w:pStyle w:val="DAVA"/>
              <w:spacing w:before="0"/>
              <w:rPr>
                <w:rFonts w:asciiTheme="minorHAnsi" w:hAnsiTheme="minorHAnsi"/>
                <w:sz w:val="22"/>
                <w:szCs w:val="22"/>
              </w:rPr>
            </w:pPr>
          </w:p>
        </w:tc>
        <w:tc>
          <w:tcPr>
            <w:tcW w:w="1701" w:type="dxa"/>
          </w:tcPr>
          <w:p w:rsidR="00074F2B" w:rsidRPr="00A3635F" w:rsidRDefault="00074F2B" w:rsidP="006E39F5">
            <w:pPr>
              <w:pStyle w:val="DAVA"/>
              <w:spacing w:before="0"/>
              <w:rPr>
                <w:rFonts w:asciiTheme="minorHAnsi" w:hAnsiTheme="minorHAnsi"/>
                <w:sz w:val="22"/>
                <w:szCs w:val="22"/>
              </w:rPr>
            </w:pPr>
          </w:p>
        </w:tc>
        <w:tc>
          <w:tcPr>
            <w:tcW w:w="1559" w:type="dxa"/>
          </w:tcPr>
          <w:p w:rsidR="00074F2B" w:rsidRPr="00A3635F" w:rsidRDefault="00074F2B" w:rsidP="006E39F5">
            <w:pPr>
              <w:pStyle w:val="DAVA"/>
              <w:spacing w:before="0"/>
              <w:rPr>
                <w:rFonts w:asciiTheme="minorHAnsi" w:hAnsiTheme="minorHAnsi"/>
                <w:sz w:val="22"/>
                <w:szCs w:val="22"/>
              </w:rPr>
            </w:pPr>
          </w:p>
        </w:tc>
      </w:tr>
      <w:tr w:rsidR="00074F2B" w:rsidRPr="005F130B" w:rsidTr="006E39F5">
        <w:trPr>
          <w:trHeight w:val="422"/>
        </w:trPr>
        <w:tc>
          <w:tcPr>
            <w:tcW w:w="2410" w:type="dxa"/>
          </w:tcPr>
          <w:p w:rsidR="00074F2B" w:rsidRPr="00A3635F" w:rsidRDefault="00074F2B" w:rsidP="006E39F5">
            <w:pPr>
              <w:pStyle w:val="DAVA"/>
              <w:spacing w:before="0"/>
              <w:rPr>
                <w:rFonts w:asciiTheme="minorHAnsi" w:hAnsiTheme="minorHAnsi"/>
                <w:sz w:val="22"/>
                <w:szCs w:val="22"/>
              </w:rPr>
            </w:pPr>
          </w:p>
        </w:tc>
        <w:tc>
          <w:tcPr>
            <w:tcW w:w="1559" w:type="dxa"/>
          </w:tcPr>
          <w:p w:rsidR="00074F2B" w:rsidRPr="00A3635F" w:rsidRDefault="00074F2B" w:rsidP="006E39F5">
            <w:pPr>
              <w:pStyle w:val="DAVA"/>
              <w:spacing w:before="0"/>
              <w:rPr>
                <w:rFonts w:asciiTheme="minorHAnsi" w:hAnsiTheme="minorHAnsi"/>
                <w:sz w:val="22"/>
                <w:szCs w:val="22"/>
              </w:rPr>
            </w:pPr>
          </w:p>
        </w:tc>
        <w:tc>
          <w:tcPr>
            <w:tcW w:w="1843" w:type="dxa"/>
          </w:tcPr>
          <w:p w:rsidR="00074F2B" w:rsidRPr="00A3635F" w:rsidRDefault="00074F2B" w:rsidP="006E39F5">
            <w:pPr>
              <w:pStyle w:val="DAVA"/>
              <w:spacing w:before="0"/>
              <w:rPr>
                <w:rFonts w:asciiTheme="minorHAnsi" w:hAnsiTheme="minorHAnsi"/>
                <w:sz w:val="22"/>
                <w:szCs w:val="22"/>
              </w:rPr>
            </w:pPr>
          </w:p>
        </w:tc>
        <w:tc>
          <w:tcPr>
            <w:tcW w:w="1701" w:type="dxa"/>
          </w:tcPr>
          <w:p w:rsidR="00074F2B" w:rsidRPr="00A3635F" w:rsidRDefault="00074F2B" w:rsidP="006E39F5">
            <w:pPr>
              <w:pStyle w:val="DAVA"/>
              <w:spacing w:before="0"/>
              <w:rPr>
                <w:rFonts w:asciiTheme="minorHAnsi" w:hAnsiTheme="minorHAnsi"/>
                <w:sz w:val="22"/>
                <w:szCs w:val="22"/>
              </w:rPr>
            </w:pPr>
          </w:p>
        </w:tc>
        <w:tc>
          <w:tcPr>
            <w:tcW w:w="1559" w:type="dxa"/>
          </w:tcPr>
          <w:p w:rsidR="00074F2B" w:rsidRPr="00A3635F" w:rsidRDefault="00074F2B" w:rsidP="006E39F5">
            <w:pPr>
              <w:pStyle w:val="DAVA"/>
              <w:spacing w:before="0"/>
              <w:rPr>
                <w:rFonts w:asciiTheme="minorHAnsi" w:hAnsiTheme="minorHAnsi"/>
                <w:sz w:val="22"/>
                <w:szCs w:val="22"/>
              </w:rPr>
            </w:pPr>
          </w:p>
        </w:tc>
      </w:tr>
      <w:tr w:rsidR="00074F2B" w:rsidRPr="005F130B" w:rsidTr="006E39F5">
        <w:trPr>
          <w:trHeight w:val="414"/>
        </w:trPr>
        <w:tc>
          <w:tcPr>
            <w:tcW w:w="2410" w:type="dxa"/>
          </w:tcPr>
          <w:p w:rsidR="00074F2B" w:rsidRPr="00A3635F" w:rsidRDefault="00074F2B" w:rsidP="006E39F5">
            <w:pPr>
              <w:pStyle w:val="DAVA"/>
              <w:spacing w:before="0"/>
              <w:rPr>
                <w:rFonts w:asciiTheme="minorHAnsi" w:hAnsiTheme="minorHAnsi"/>
                <w:sz w:val="22"/>
                <w:szCs w:val="22"/>
              </w:rPr>
            </w:pPr>
          </w:p>
        </w:tc>
        <w:tc>
          <w:tcPr>
            <w:tcW w:w="1559" w:type="dxa"/>
          </w:tcPr>
          <w:p w:rsidR="00074F2B" w:rsidRPr="00A3635F" w:rsidRDefault="00074F2B" w:rsidP="006E39F5">
            <w:pPr>
              <w:pStyle w:val="DAVA"/>
              <w:spacing w:before="0"/>
              <w:rPr>
                <w:rFonts w:asciiTheme="minorHAnsi" w:hAnsiTheme="minorHAnsi"/>
                <w:sz w:val="22"/>
                <w:szCs w:val="22"/>
              </w:rPr>
            </w:pPr>
          </w:p>
        </w:tc>
        <w:tc>
          <w:tcPr>
            <w:tcW w:w="1843" w:type="dxa"/>
          </w:tcPr>
          <w:p w:rsidR="00074F2B" w:rsidRPr="00A3635F" w:rsidRDefault="00074F2B" w:rsidP="006E39F5">
            <w:pPr>
              <w:pStyle w:val="DAVA"/>
              <w:spacing w:before="0"/>
              <w:rPr>
                <w:rFonts w:asciiTheme="minorHAnsi" w:hAnsiTheme="minorHAnsi"/>
                <w:sz w:val="22"/>
                <w:szCs w:val="22"/>
              </w:rPr>
            </w:pPr>
          </w:p>
        </w:tc>
        <w:tc>
          <w:tcPr>
            <w:tcW w:w="1701" w:type="dxa"/>
          </w:tcPr>
          <w:p w:rsidR="00074F2B" w:rsidRPr="00A3635F" w:rsidRDefault="00074F2B" w:rsidP="006E39F5">
            <w:pPr>
              <w:pStyle w:val="DAVA"/>
              <w:spacing w:before="0"/>
              <w:rPr>
                <w:rFonts w:asciiTheme="minorHAnsi" w:hAnsiTheme="minorHAnsi"/>
                <w:sz w:val="22"/>
                <w:szCs w:val="22"/>
              </w:rPr>
            </w:pPr>
          </w:p>
        </w:tc>
        <w:tc>
          <w:tcPr>
            <w:tcW w:w="1559" w:type="dxa"/>
          </w:tcPr>
          <w:p w:rsidR="00074F2B" w:rsidRPr="00A3635F" w:rsidRDefault="00074F2B" w:rsidP="006E39F5">
            <w:pPr>
              <w:pStyle w:val="DAVA"/>
              <w:spacing w:before="0"/>
              <w:rPr>
                <w:rFonts w:asciiTheme="minorHAnsi" w:hAnsiTheme="minorHAnsi"/>
                <w:sz w:val="22"/>
                <w:szCs w:val="22"/>
              </w:rPr>
            </w:pPr>
          </w:p>
        </w:tc>
      </w:tr>
    </w:tbl>
    <w:p w:rsidR="006026CA" w:rsidRDefault="006026CA" w:rsidP="006026CA">
      <w:pPr>
        <w:spacing w:before="240" w:after="60" w:line="288" w:lineRule="auto"/>
        <w:jc w:val="left"/>
        <w:rPr>
          <w:rFonts w:asciiTheme="minorHAnsi" w:hAnsiTheme="minorHAnsi" w:cs="Arial"/>
          <w:b/>
          <w:sz w:val="24"/>
          <w:szCs w:val="24"/>
        </w:rPr>
      </w:pPr>
      <w:r>
        <w:rPr>
          <w:rFonts w:asciiTheme="minorHAnsi" w:hAnsiTheme="minorHAnsi" w:cs="Arial"/>
          <w:b/>
          <w:sz w:val="24"/>
          <w:szCs w:val="24"/>
        </w:rPr>
        <w:t xml:space="preserve">II. </w:t>
      </w:r>
      <w:r w:rsidRPr="004871EE">
        <w:rPr>
          <w:rFonts w:asciiTheme="minorHAnsi" w:hAnsiTheme="minorHAnsi" w:cs="Arial"/>
          <w:b/>
          <w:sz w:val="24"/>
          <w:szCs w:val="24"/>
        </w:rPr>
        <w:t>Šablony Komise pro E</w:t>
      </w:r>
      <w:r>
        <w:rPr>
          <w:rFonts w:asciiTheme="minorHAnsi" w:hAnsiTheme="minorHAnsi" w:cs="Arial"/>
          <w:b/>
          <w:sz w:val="24"/>
          <w:szCs w:val="24"/>
        </w:rPr>
        <w:t>ZFRV</w:t>
      </w:r>
    </w:p>
    <w:p w:rsidR="006026CA" w:rsidRPr="0001494C" w:rsidRDefault="00E33AF8" w:rsidP="006026CA">
      <w:pPr>
        <w:spacing w:before="120" w:after="60" w:line="288" w:lineRule="auto"/>
        <w:rPr>
          <w:rFonts w:asciiTheme="minorHAnsi" w:hAnsiTheme="minorHAnsi" w:cs="Arial"/>
          <w:sz w:val="24"/>
          <w:szCs w:val="24"/>
        </w:rPr>
      </w:pPr>
      <w:r>
        <w:rPr>
          <w:rFonts w:asciiTheme="minorHAnsi" w:hAnsiTheme="minorHAnsi" w:cs="Arial"/>
          <w:sz w:val="24"/>
          <w:szCs w:val="24"/>
        </w:rPr>
        <w:t>Template pro EZFRV n</w:t>
      </w:r>
      <w:r w:rsidR="006026CA" w:rsidRPr="0001494C">
        <w:rPr>
          <w:rFonts w:asciiTheme="minorHAnsi" w:hAnsiTheme="minorHAnsi" w:cs="Arial"/>
          <w:sz w:val="24"/>
          <w:szCs w:val="24"/>
        </w:rPr>
        <w:t>especifikuj</w:t>
      </w:r>
      <w:r>
        <w:rPr>
          <w:rFonts w:asciiTheme="minorHAnsi" w:hAnsiTheme="minorHAnsi" w:cs="Arial"/>
          <w:sz w:val="24"/>
          <w:szCs w:val="24"/>
        </w:rPr>
        <w:t>e</w:t>
      </w:r>
      <w:r w:rsidR="006026CA" w:rsidRPr="0001494C">
        <w:rPr>
          <w:rFonts w:asciiTheme="minorHAnsi" w:hAnsiTheme="minorHAnsi" w:cs="Arial"/>
          <w:sz w:val="24"/>
          <w:szCs w:val="24"/>
        </w:rPr>
        <w:t xml:space="preserve"> požadavky na doplnění předběžných podmínek, Program rozvoje venkova bude tedy zatím vycházet z šablony pro EFRR, ESF a FS.</w:t>
      </w:r>
    </w:p>
    <w:p w:rsidR="00074F2B" w:rsidRDefault="0001494C" w:rsidP="00074F2B">
      <w:pPr>
        <w:spacing w:before="240" w:after="60" w:line="288" w:lineRule="auto"/>
        <w:jc w:val="left"/>
        <w:rPr>
          <w:rFonts w:asciiTheme="minorHAnsi" w:hAnsiTheme="minorHAnsi" w:cs="Arial"/>
          <w:b/>
          <w:sz w:val="24"/>
          <w:szCs w:val="24"/>
        </w:rPr>
      </w:pPr>
      <w:r>
        <w:rPr>
          <w:rFonts w:asciiTheme="minorHAnsi" w:hAnsiTheme="minorHAnsi" w:cs="Arial"/>
          <w:b/>
          <w:sz w:val="24"/>
          <w:szCs w:val="24"/>
        </w:rPr>
        <w:t>I</w:t>
      </w:r>
      <w:r w:rsidR="006026CA">
        <w:rPr>
          <w:rFonts w:asciiTheme="minorHAnsi" w:hAnsiTheme="minorHAnsi" w:cs="Arial"/>
          <w:b/>
          <w:sz w:val="24"/>
          <w:szCs w:val="24"/>
        </w:rPr>
        <w:t>I</w:t>
      </w:r>
      <w:r>
        <w:rPr>
          <w:rFonts w:asciiTheme="minorHAnsi" w:hAnsiTheme="minorHAnsi" w:cs="Arial"/>
          <w:b/>
          <w:sz w:val="24"/>
          <w:szCs w:val="24"/>
        </w:rPr>
        <w:t xml:space="preserve">I. </w:t>
      </w:r>
      <w:r w:rsidR="00074F2B" w:rsidRPr="004871EE">
        <w:rPr>
          <w:rFonts w:asciiTheme="minorHAnsi" w:hAnsiTheme="minorHAnsi" w:cs="Arial"/>
          <w:b/>
          <w:sz w:val="24"/>
          <w:szCs w:val="24"/>
        </w:rPr>
        <w:t>Šablony Komise pro ENRF</w:t>
      </w:r>
    </w:p>
    <w:p w:rsidR="00BD5121" w:rsidRPr="00BD5121" w:rsidRDefault="00BD5121" w:rsidP="00BD5121">
      <w:pPr>
        <w:spacing w:before="120" w:after="60" w:line="288" w:lineRule="auto"/>
        <w:rPr>
          <w:rFonts w:asciiTheme="minorHAnsi" w:hAnsiTheme="minorHAnsi" w:cs="Arial"/>
          <w:sz w:val="24"/>
          <w:szCs w:val="24"/>
        </w:rPr>
      </w:pPr>
      <w:r w:rsidRPr="00BD5121">
        <w:rPr>
          <w:rFonts w:asciiTheme="minorHAnsi" w:hAnsiTheme="minorHAnsi" w:cs="Arial"/>
          <w:sz w:val="24"/>
          <w:szCs w:val="24"/>
        </w:rPr>
        <w:t xml:space="preserve">Ačkoliv z obecného postoje </w:t>
      </w:r>
      <w:r w:rsidR="005C1379">
        <w:rPr>
          <w:rFonts w:asciiTheme="minorHAnsi" w:hAnsiTheme="minorHAnsi" w:cs="Arial"/>
          <w:sz w:val="24"/>
          <w:szCs w:val="24"/>
        </w:rPr>
        <w:t>ENRF</w:t>
      </w:r>
      <w:r w:rsidRPr="00BD5121">
        <w:rPr>
          <w:rFonts w:asciiTheme="minorHAnsi" w:hAnsiTheme="minorHAnsi" w:cs="Arial"/>
          <w:sz w:val="24"/>
          <w:szCs w:val="24"/>
        </w:rPr>
        <w:t xml:space="preserve"> plyne, že souhrnné předběžné podmínky uvedené </w:t>
      </w:r>
      <w:r w:rsidR="00252353">
        <w:rPr>
          <w:rFonts w:asciiTheme="minorHAnsi" w:hAnsiTheme="minorHAnsi" w:cs="Arial"/>
          <w:sz w:val="24"/>
          <w:szCs w:val="24"/>
        </w:rPr>
        <w:br/>
      </w:r>
      <w:r w:rsidRPr="00BD5121">
        <w:rPr>
          <w:rFonts w:asciiTheme="minorHAnsi" w:hAnsiTheme="minorHAnsi" w:cs="Arial"/>
          <w:sz w:val="24"/>
          <w:szCs w:val="24"/>
        </w:rPr>
        <w:t>v obecn</w:t>
      </w:r>
      <w:r w:rsidR="0079442F">
        <w:rPr>
          <w:rFonts w:asciiTheme="minorHAnsi" w:hAnsiTheme="minorHAnsi" w:cs="Arial"/>
          <w:sz w:val="24"/>
          <w:szCs w:val="24"/>
        </w:rPr>
        <w:t xml:space="preserve">ém nařízení nejsou dosud </w:t>
      </w:r>
      <w:r w:rsidRPr="00BD5121">
        <w:rPr>
          <w:rFonts w:asciiTheme="minorHAnsi" w:hAnsiTheme="minorHAnsi" w:cs="Arial"/>
          <w:sz w:val="24"/>
          <w:szCs w:val="24"/>
        </w:rPr>
        <w:t>použitelné pro E</w:t>
      </w:r>
      <w:r w:rsidR="005C1379">
        <w:rPr>
          <w:rFonts w:asciiTheme="minorHAnsi" w:hAnsiTheme="minorHAnsi" w:cs="Arial"/>
          <w:sz w:val="24"/>
          <w:szCs w:val="24"/>
        </w:rPr>
        <w:t>NRF</w:t>
      </w:r>
      <w:r w:rsidRPr="00BD5121">
        <w:rPr>
          <w:rFonts w:asciiTheme="minorHAnsi" w:hAnsiTheme="minorHAnsi" w:cs="Arial"/>
          <w:sz w:val="24"/>
          <w:szCs w:val="24"/>
        </w:rPr>
        <w:t xml:space="preserve">, z přístupu obecného nařízení plyne ujištění, že obecné předběžné podmínky platí pro všechny </w:t>
      </w:r>
      <w:r w:rsidR="00C80B66">
        <w:rPr>
          <w:rFonts w:asciiTheme="minorHAnsi" w:hAnsiTheme="minorHAnsi" w:cs="Arial"/>
          <w:sz w:val="24"/>
          <w:szCs w:val="24"/>
        </w:rPr>
        <w:t>SSR</w:t>
      </w:r>
      <w:r w:rsidR="00252353">
        <w:rPr>
          <w:rFonts w:asciiTheme="minorHAnsi" w:hAnsiTheme="minorHAnsi" w:cs="Arial"/>
          <w:sz w:val="24"/>
          <w:szCs w:val="24"/>
        </w:rPr>
        <w:t xml:space="preserve"> fondy</w:t>
      </w:r>
      <w:r w:rsidRPr="00BD5121">
        <w:rPr>
          <w:rFonts w:asciiTheme="minorHAnsi" w:hAnsiTheme="minorHAnsi" w:cs="Arial"/>
          <w:sz w:val="24"/>
          <w:szCs w:val="24"/>
        </w:rPr>
        <w:t xml:space="preserve">. Tudíž </w:t>
      </w:r>
      <w:r w:rsidR="0079442F">
        <w:rPr>
          <w:rFonts w:asciiTheme="minorHAnsi" w:hAnsiTheme="minorHAnsi" w:cs="Arial"/>
          <w:sz w:val="24"/>
          <w:szCs w:val="24"/>
        </w:rPr>
        <w:t>v rámci</w:t>
      </w:r>
      <w:r w:rsidRPr="00BD5121">
        <w:rPr>
          <w:rFonts w:asciiTheme="minorHAnsi" w:hAnsiTheme="minorHAnsi" w:cs="Arial"/>
          <w:sz w:val="24"/>
          <w:szCs w:val="24"/>
        </w:rPr>
        <w:t xml:space="preserve"> OP</w:t>
      </w:r>
      <w:r w:rsidR="0079442F">
        <w:rPr>
          <w:rFonts w:asciiTheme="minorHAnsi" w:hAnsiTheme="minorHAnsi" w:cs="Arial"/>
          <w:sz w:val="24"/>
          <w:szCs w:val="24"/>
        </w:rPr>
        <w:t xml:space="preserve"> R</w:t>
      </w:r>
      <w:r w:rsidRPr="00BD5121">
        <w:rPr>
          <w:rFonts w:asciiTheme="minorHAnsi" w:hAnsiTheme="minorHAnsi" w:cs="Arial"/>
          <w:sz w:val="24"/>
          <w:szCs w:val="24"/>
        </w:rPr>
        <w:t xml:space="preserve"> je požadováno, aby vysvětlily jak všechny obecné předběžné podmínky, tak ty, které jsou vázané pouze na </w:t>
      </w:r>
      <w:r w:rsidR="005C1379">
        <w:rPr>
          <w:rFonts w:asciiTheme="minorHAnsi" w:hAnsiTheme="minorHAnsi" w:cs="Arial"/>
          <w:sz w:val="24"/>
          <w:szCs w:val="24"/>
        </w:rPr>
        <w:t>ENRF</w:t>
      </w:r>
      <w:r w:rsidRPr="00BD5121">
        <w:rPr>
          <w:rFonts w:asciiTheme="minorHAnsi" w:hAnsiTheme="minorHAnsi" w:cs="Arial"/>
          <w:sz w:val="24"/>
          <w:szCs w:val="24"/>
        </w:rPr>
        <w:t xml:space="preserve">. </w:t>
      </w:r>
    </w:p>
    <w:p w:rsidR="00074F2B" w:rsidRPr="00137D07" w:rsidRDefault="00074F2B" w:rsidP="00074F2B">
      <w:pPr>
        <w:spacing w:before="240" w:after="60" w:line="288" w:lineRule="auto"/>
        <w:jc w:val="left"/>
        <w:rPr>
          <w:u w:val="single"/>
        </w:rPr>
      </w:pPr>
      <w:r w:rsidRPr="00137D07">
        <w:rPr>
          <w:rFonts w:asciiTheme="minorHAnsi" w:hAnsiTheme="minorHAnsi" w:cs="Arial"/>
          <w:u w:val="single"/>
        </w:rPr>
        <w:t xml:space="preserve">Tab. </w:t>
      </w:r>
      <w:r w:rsidR="00EE0A06" w:rsidRPr="00137D07">
        <w:rPr>
          <w:rFonts w:asciiTheme="minorHAnsi" w:hAnsiTheme="minorHAnsi" w:cs="Arial"/>
          <w:u w:val="single"/>
        </w:rPr>
        <w:t>4</w:t>
      </w:r>
      <w:r w:rsidRPr="00137D07">
        <w:rPr>
          <w:rFonts w:asciiTheme="minorHAnsi" w:hAnsiTheme="minorHAnsi" w:cs="Arial"/>
          <w:u w:val="single"/>
        </w:rPr>
        <w:t>: Šablona E</w:t>
      </w:r>
      <w:r w:rsidR="00137D07">
        <w:rPr>
          <w:rFonts w:asciiTheme="minorHAnsi" w:hAnsiTheme="minorHAnsi" w:cs="Arial"/>
          <w:u w:val="single"/>
        </w:rPr>
        <w:t>K</w:t>
      </w:r>
      <w:r w:rsidRPr="00137D07">
        <w:rPr>
          <w:rFonts w:asciiTheme="minorHAnsi" w:hAnsiTheme="minorHAnsi" w:cs="Arial"/>
          <w:u w:val="single"/>
        </w:rPr>
        <w:t xml:space="preserve"> pro ENRF – všechny </w:t>
      </w:r>
      <w:r w:rsidR="00137D07">
        <w:rPr>
          <w:rFonts w:asciiTheme="minorHAnsi" w:hAnsiTheme="minorHAnsi" w:cs="Arial"/>
          <w:u w:val="single"/>
        </w:rPr>
        <w:t xml:space="preserve">předběžné </w:t>
      </w:r>
      <w:r w:rsidRPr="00137D07">
        <w:rPr>
          <w:rFonts w:asciiTheme="minorHAnsi" w:hAnsiTheme="minorHAnsi" w:cs="Arial"/>
          <w:u w:val="single"/>
        </w:rPr>
        <w:t>podmínky a kritéria</w:t>
      </w:r>
    </w:p>
    <w:tbl>
      <w:tblPr>
        <w:tblStyle w:val="Mkatabulky"/>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992"/>
        <w:gridCol w:w="1134"/>
        <w:gridCol w:w="993"/>
        <w:gridCol w:w="1417"/>
        <w:gridCol w:w="1313"/>
        <w:gridCol w:w="813"/>
        <w:gridCol w:w="1242"/>
      </w:tblGrid>
      <w:tr w:rsidR="00074F2B" w:rsidRPr="00B13C38" w:rsidTr="006E39F5">
        <w:trPr>
          <w:trHeight w:val="431"/>
        </w:trPr>
        <w:tc>
          <w:tcPr>
            <w:tcW w:w="1276" w:type="dxa"/>
            <w:shd w:val="clear" w:color="auto" w:fill="B8CCE4" w:themeFill="accent1" w:themeFillTint="66"/>
            <w:vAlign w:val="center"/>
          </w:tcPr>
          <w:p w:rsidR="00074F2B" w:rsidRPr="00D2363F" w:rsidRDefault="00074F2B" w:rsidP="006E39F5">
            <w:pPr>
              <w:pStyle w:val="Default"/>
              <w:rPr>
                <w:rFonts w:asciiTheme="minorHAnsi" w:eastAsiaTheme="minorHAnsi" w:hAnsiTheme="minorHAnsi"/>
                <w:b/>
                <w:bCs/>
                <w:sz w:val="20"/>
                <w:szCs w:val="20"/>
                <w:lang w:eastAsia="en-US"/>
              </w:rPr>
            </w:pPr>
            <w:r w:rsidRPr="00D2363F">
              <w:rPr>
                <w:rFonts w:asciiTheme="minorHAnsi" w:eastAsiaTheme="minorHAnsi" w:hAnsiTheme="minorHAnsi"/>
                <w:b/>
                <w:bCs/>
                <w:sz w:val="20"/>
                <w:szCs w:val="20"/>
                <w:lang w:eastAsia="en-US"/>
              </w:rPr>
              <w:t>Předběžná podmínka</w:t>
            </w:r>
          </w:p>
        </w:tc>
        <w:tc>
          <w:tcPr>
            <w:tcW w:w="992" w:type="dxa"/>
            <w:shd w:val="clear" w:color="auto" w:fill="B8CCE4" w:themeFill="accent1" w:themeFillTint="66"/>
            <w:vAlign w:val="center"/>
          </w:tcPr>
          <w:p w:rsidR="00074F2B" w:rsidRPr="00D2363F" w:rsidRDefault="00074F2B" w:rsidP="006E39F5">
            <w:pPr>
              <w:pStyle w:val="Default"/>
              <w:rPr>
                <w:rFonts w:asciiTheme="minorHAnsi" w:eastAsiaTheme="minorHAnsi" w:hAnsiTheme="minorHAnsi"/>
                <w:b/>
                <w:sz w:val="20"/>
                <w:szCs w:val="20"/>
                <w:lang w:eastAsia="en-US"/>
              </w:rPr>
            </w:pPr>
            <w:r w:rsidRPr="00D2363F">
              <w:rPr>
                <w:rFonts w:asciiTheme="minorHAnsi" w:hAnsiTheme="minorHAnsi"/>
                <w:b/>
                <w:sz w:val="20"/>
                <w:szCs w:val="20"/>
              </w:rPr>
              <w:t>Aplikovatelné (ano/ne)</w:t>
            </w:r>
          </w:p>
        </w:tc>
        <w:tc>
          <w:tcPr>
            <w:tcW w:w="1134" w:type="dxa"/>
            <w:shd w:val="clear" w:color="auto" w:fill="B8CCE4" w:themeFill="accent1" w:themeFillTint="66"/>
            <w:vAlign w:val="center"/>
          </w:tcPr>
          <w:p w:rsidR="00074F2B" w:rsidRPr="00D2363F" w:rsidRDefault="00074F2B" w:rsidP="006E39F5">
            <w:pPr>
              <w:pStyle w:val="Default"/>
              <w:rPr>
                <w:rFonts w:asciiTheme="minorHAnsi" w:hAnsiTheme="minorHAnsi"/>
                <w:b/>
                <w:sz w:val="20"/>
                <w:szCs w:val="20"/>
              </w:rPr>
            </w:pPr>
            <w:r w:rsidRPr="00D2363F">
              <w:rPr>
                <w:rFonts w:asciiTheme="minorHAnsi" w:hAnsiTheme="minorHAnsi"/>
                <w:b/>
                <w:sz w:val="20"/>
                <w:szCs w:val="20"/>
              </w:rPr>
              <w:t xml:space="preserve">Pokud neaplikovatelné, </w:t>
            </w:r>
            <w:r w:rsidRPr="00762DD7">
              <w:rPr>
                <w:rFonts w:asciiTheme="minorHAnsi" w:eastAsiaTheme="minorHAnsi" w:hAnsiTheme="minorHAnsi"/>
                <w:b/>
                <w:sz w:val="20"/>
                <w:szCs w:val="20"/>
                <w:lang w:eastAsia="en-US"/>
              </w:rPr>
              <w:t xml:space="preserve">vysvětlení </w:t>
            </w:r>
          </w:p>
        </w:tc>
        <w:tc>
          <w:tcPr>
            <w:tcW w:w="993" w:type="dxa"/>
            <w:shd w:val="clear" w:color="auto" w:fill="B8CCE4" w:themeFill="accent1" w:themeFillTint="66"/>
            <w:vAlign w:val="center"/>
          </w:tcPr>
          <w:p w:rsidR="00074F2B" w:rsidRPr="00D2363F" w:rsidRDefault="00074F2B" w:rsidP="006E39F5">
            <w:pPr>
              <w:pStyle w:val="DAVA"/>
              <w:spacing w:before="0"/>
              <w:jc w:val="both"/>
              <w:rPr>
                <w:rFonts w:asciiTheme="minorHAnsi" w:hAnsiTheme="minorHAnsi"/>
                <w:b/>
                <w:sz w:val="20"/>
                <w:szCs w:val="20"/>
              </w:rPr>
            </w:pPr>
            <w:r>
              <w:rPr>
                <w:rFonts w:asciiTheme="minorHAnsi" w:hAnsiTheme="minorHAnsi"/>
                <w:b/>
                <w:sz w:val="20"/>
                <w:szCs w:val="20"/>
              </w:rPr>
              <w:t>Priorita Unie</w:t>
            </w:r>
          </w:p>
        </w:tc>
        <w:tc>
          <w:tcPr>
            <w:tcW w:w="1417" w:type="dxa"/>
            <w:shd w:val="clear" w:color="auto" w:fill="B8CCE4" w:themeFill="accent1" w:themeFillTint="66"/>
            <w:vAlign w:val="center"/>
          </w:tcPr>
          <w:p w:rsidR="00074F2B" w:rsidRPr="00D2363F" w:rsidRDefault="00074F2B" w:rsidP="006E39F5">
            <w:pPr>
              <w:pStyle w:val="Default"/>
              <w:rPr>
                <w:rFonts w:asciiTheme="minorHAnsi" w:eastAsiaTheme="minorHAnsi" w:hAnsiTheme="minorHAnsi"/>
                <w:b/>
                <w:sz w:val="20"/>
                <w:szCs w:val="20"/>
                <w:lang w:eastAsia="en-US"/>
              </w:rPr>
            </w:pPr>
            <w:r w:rsidRPr="00D2363F">
              <w:rPr>
                <w:rFonts w:asciiTheme="minorHAnsi" w:hAnsiTheme="minorHAnsi"/>
                <w:b/>
                <w:sz w:val="20"/>
                <w:szCs w:val="20"/>
              </w:rPr>
              <w:t xml:space="preserve">Předběžná podmínka splněna </w:t>
            </w:r>
            <w:r w:rsidRPr="00762DD7">
              <w:rPr>
                <w:rFonts w:asciiTheme="minorHAnsi" w:eastAsiaTheme="minorHAnsi" w:hAnsiTheme="minorHAnsi"/>
                <w:b/>
                <w:sz w:val="20"/>
                <w:szCs w:val="20"/>
                <w:lang w:eastAsia="en-US"/>
              </w:rPr>
              <w:t>(ano/ne)</w:t>
            </w:r>
          </w:p>
        </w:tc>
        <w:tc>
          <w:tcPr>
            <w:tcW w:w="1313" w:type="dxa"/>
            <w:shd w:val="clear" w:color="auto" w:fill="B8CCE4" w:themeFill="accent1" w:themeFillTint="66"/>
            <w:vAlign w:val="center"/>
          </w:tcPr>
          <w:p w:rsidR="00074F2B" w:rsidRPr="00D2363F" w:rsidRDefault="00074F2B" w:rsidP="006E39F5">
            <w:pPr>
              <w:pStyle w:val="DAVA"/>
              <w:spacing w:before="0"/>
              <w:jc w:val="both"/>
              <w:rPr>
                <w:rFonts w:asciiTheme="minorHAnsi" w:hAnsiTheme="minorHAnsi"/>
                <w:b/>
                <w:sz w:val="20"/>
                <w:szCs w:val="20"/>
              </w:rPr>
            </w:pPr>
            <w:r w:rsidRPr="00D2363F">
              <w:rPr>
                <w:rFonts w:asciiTheme="minorHAnsi" w:hAnsiTheme="minorHAnsi"/>
                <w:b/>
                <w:sz w:val="20"/>
                <w:szCs w:val="20"/>
              </w:rPr>
              <w:t>Hodnocení naplnění předběžné podmínky resp. všech kritérií</w:t>
            </w:r>
          </w:p>
        </w:tc>
        <w:tc>
          <w:tcPr>
            <w:tcW w:w="813" w:type="dxa"/>
            <w:shd w:val="clear" w:color="auto" w:fill="B8CCE4" w:themeFill="accent1" w:themeFillTint="66"/>
            <w:vAlign w:val="center"/>
          </w:tcPr>
          <w:p w:rsidR="00074F2B" w:rsidRPr="00D2363F" w:rsidRDefault="00074F2B" w:rsidP="006E39F5">
            <w:pPr>
              <w:pStyle w:val="DAVA"/>
              <w:spacing w:before="0"/>
              <w:jc w:val="both"/>
              <w:rPr>
                <w:rFonts w:asciiTheme="minorHAnsi" w:hAnsiTheme="minorHAnsi"/>
                <w:b/>
                <w:sz w:val="20"/>
                <w:szCs w:val="20"/>
              </w:rPr>
            </w:pPr>
            <w:r>
              <w:rPr>
                <w:rFonts w:asciiTheme="minorHAnsi" w:hAnsiTheme="minorHAnsi"/>
                <w:b/>
                <w:sz w:val="20"/>
                <w:szCs w:val="20"/>
              </w:rPr>
              <w:t>Datum splnění</w:t>
            </w:r>
          </w:p>
        </w:tc>
        <w:tc>
          <w:tcPr>
            <w:tcW w:w="1242" w:type="dxa"/>
            <w:shd w:val="clear" w:color="auto" w:fill="B8CCE4" w:themeFill="accent1" w:themeFillTint="66"/>
            <w:vAlign w:val="center"/>
          </w:tcPr>
          <w:p w:rsidR="00074F2B" w:rsidRPr="00D2363F" w:rsidRDefault="00074F2B" w:rsidP="006E39F5">
            <w:pPr>
              <w:pStyle w:val="DAVA"/>
              <w:spacing w:before="0"/>
              <w:rPr>
                <w:rFonts w:asciiTheme="minorHAnsi" w:hAnsiTheme="minorHAnsi"/>
                <w:b/>
                <w:sz w:val="20"/>
                <w:szCs w:val="20"/>
              </w:rPr>
            </w:pPr>
            <w:r>
              <w:rPr>
                <w:rFonts w:asciiTheme="minorHAnsi" w:hAnsiTheme="minorHAnsi"/>
                <w:b/>
                <w:sz w:val="20"/>
                <w:szCs w:val="20"/>
              </w:rPr>
              <w:t>Odkazy (u splněných)</w:t>
            </w:r>
            <w:r>
              <w:rPr>
                <w:rStyle w:val="Znakapoznpodarou"/>
                <w:rFonts w:asciiTheme="minorHAnsi" w:hAnsiTheme="minorHAnsi"/>
                <w:b/>
                <w:sz w:val="20"/>
                <w:szCs w:val="20"/>
              </w:rPr>
              <w:footnoteReference w:id="4"/>
            </w:r>
          </w:p>
        </w:tc>
      </w:tr>
      <w:tr w:rsidR="00074F2B" w:rsidRPr="00B13C38" w:rsidTr="000C0E01">
        <w:trPr>
          <w:trHeight w:val="377"/>
        </w:trPr>
        <w:tc>
          <w:tcPr>
            <w:tcW w:w="1276" w:type="dxa"/>
            <w:vMerge w:val="restart"/>
            <w:vAlign w:val="center"/>
          </w:tcPr>
          <w:p w:rsidR="00074F2B" w:rsidRPr="00292B79" w:rsidRDefault="00074F2B" w:rsidP="006E39F5">
            <w:pPr>
              <w:pStyle w:val="DAVA"/>
              <w:spacing w:before="0"/>
              <w:rPr>
                <w:rFonts w:asciiTheme="minorHAnsi" w:hAnsiTheme="minorHAnsi"/>
                <w:sz w:val="20"/>
                <w:szCs w:val="20"/>
              </w:rPr>
            </w:pPr>
          </w:p>
        </w:tc>
        <w:tc>
          <w:tcPr>
            <w:tcW w:w="992" w:type="dxa"/>
            <w:vMerge w:val="restart"/>
            <w:vAlign w:val="center"/>
          </w:tcPr>
          <w:p w:rsidR="00074F2B" w:rsidRPr="00292B79" w:rsidRDefault="00074F2B" w:rsidP="006E39F5">
            <w:pPr>
              <w:pStyle w:val="DAVA"/>
              <w:spacing w:before="0"/>
              <w:rPr>
                <w:rFonts w:asciiTheme="minorHAnsi" w:hAnsiTheme="minorHAnsi"/>
                <w:sz w:val="20"/>
                <w:szCs w:val="20"/>
              </w:rPr>
            </w:pPr>
          </w:p>
        </w:tc>
        <w:tc>
          <w:tcPr>
            <w:tcW w:w="1134" w:type="dxa"/>
            <w:vMerge w:val="restart"/>
            <w:vAlign w:val="center"/>
          </w:tcPr>
          <w:p w:rsidR="00074F2B" w:rsidRPr="00292B79" w:rsidRDefault="00074F2B" w:rsidP="006E39F5">
            <w:pPr>
              <w:pStyle w:val="DAVA"/>
              <w:spacing w:before="0"/>
              <w:rPr>
                <w:rFonts w:asciiTheme="minorHAnsi" w:hAnsiTheme="minorHAnsi"/>
                <w:sz w:val="20"/>
                <w:szCs w:val="20"/>
              </w:rPr>
            </w:pPr>
          </w:p>
        </w:tc>
        <w:tc>
          <w:tcPr>
            <w:tcW w:w="993" w:type="dxa"/>
            <w:vMerge w:val="restart"/>
            <w:vAlign w:val="center"/>
          </w:tcPr>
          <w:p w:rsidR="00074F2B" w:rsidRPr="00292B79" w:rsidRDefault="00074F2B" w:rsidP="006E39F5">
            <w:pPr>
              <w:pStyle w:val="DAVA"/>
              <w:spacing w:before="0"/>
              <w:rPr>
                <w:rFonts w:asciiTheme="minorHAnsi" w:hAnsiTheme="minorHAnsi"/>
                <w:sz w:val="20"/>
                <w:szCs w:val="20"/>
              </w:rPr>
            </w:pPr>
          </w:p>
        </w:tc>
        <w:tc>
          <w:tcPr>
            <w:tcW w:w="1417" w:type="dxa"/>
            <w:vMerge w:val="restart"/>
            <w:vAlign w:val="center"/>
          </w:tcPr>
          <w:p w:rsidR="00074F2B" w:rsidRPr="00292B79" w:rsidRDefault="00074F2B" w:rsidP="006E39F5">
            <w:pPr>
              <w:pStyle w:val="DAVA"/>
              <w:spacing w:before="0"/>
              <w:rPr>
                <w:rFonts w:asciiTheme="minorHAnsi" w:hAnsiTheme="minorHAnsi"/>
                <w:sz w:val="20"/>
                <w:szCs w:val="20"/>
              </w:rPr>
            </w:pPr>
          </w:p>
        </w:tc>
        <w:tc>
          <w:tcPr>
            <w:tcW w:w="1313" w:type="dxa"/>
            <w:vAlign w:val="center"/>
          </w:tcPr>
          <w:p w:rsidR="00074F2B" w:rsidRPr="00292B79" w:rsidRDefault="00074F2B" w:rsidP="006E39F5">
            <w:pPr>
              <w:pStyle w:val="DAVA"/>
              <w:spacing w:before="0"/>
              <w:rPr>
                <w:rFonts w:asciiTheme="minorHAnsi" w:hAnsiTheme="minorHAnsi"/>
                <w:sz w:val="20"/>
                <w:szCs w:val="20"/>
              </w:rPr>
            </w:pPr>
            <w:r w:rsidRPr="00292B79">
              <w:rPr>
                <w:rFonts w:asciiTheme="minorHAnsi" w:hAnsiTheme="minorHAnsi"/>
                <w:sz w:val="20"/>
                <w:szCs w:val="20"/>
              </w:rPr>
              <w:t>kritérium 1</w:t>
            </w:r>
          </w:p>
        </w:tc>
        <w:tc>
          <w:tcPr>
            <w:tcW w:w="813" w:type="dxa"/>
            <w:vAlign w:val="center"/>
          </w:tcPr>
          <w:p w:rsidR="00074F2B" w:rsidRPr="00292B79" w:rsidRDefault="00074F2B" w:rsidP="006E39F5">
            <w:pPr>
              <w:pStyle w:val="DAVA"/>
              <w:spacing w:before="0"/>
              <w:rPr>
                <w:rFonts w:asciiTheme="minorHAnsi" w:hAnsiTheme="minorHAnsi"/>
                <w:sz w:val="20"/>
                <w:szCs w:val="20"/>
              </w:rPr>
            </w:pPr>
          </w:p>
        </w:tc>
        <w:tc>
          <w:tcPr>
            <w:tcW w:w="1242" w:type="dxa"/>
            <w:vAlign w:val="center"/>
          </w:tcPr>
          <w:p w:rsidR="00074F2B" w:rsidRPr="00292B79" w:rsidRDefault="00074F2B" w:rsidP="006E39F5">
            <w:pPr>
              <w:pStyle w:val="DAVA"/>
              <w:spacing w:before="0"/>
              <w:rPr>
                <w:rFonts w:asciiTheme="minorHAnsi" w:hAnsiTheme="minorHAnsi"/>
                <w:sz w:val="20"/>
                <w:szCs w:val="20"/>
              </w:rPr>
            </w:pPr>
          </w:p>
        </w:tc>
      </w:tr>
      <w:tr w:rsidR="00074F2B" w:rsidRPr="00B13C38" w:rsidTr="000C0E01">
        <w:trPr>
          <w:trHeight w:val="284"/>
        </w:trPr>
        <w:tc>
          <w:tcPr>
            <w:tcW w:w="1276" w:type="dxa"/>
            <w:vMerge/>
            <w:vAlign w:val="center"/>
          </w:tcPr>
          <w:p w:rsidR="00074F2B" w:rsidRPr="00292B79" w:rsidRDefault="00074F2B" w:rsidP="006E39F5">
            <w:pPr>
              <w:pStyle w:val="DAVA"/>
              <w:spacing w:before="0"/>
              <w:jc w:val="both"/>
              <w:rPr>
                <w:rFonts w:asciiTheme="minorHAnsi" w:hAnsiTheme="minorHAnsi"/>
                <w:sz w:val="20"/>
                <w:szCs w:val="20"/>
              </w:rPr>
            </w:pPr>
          </w:p>
        </w:tc>
        <w:tc>
          <w:tcPr>
            <w:tcW w:w="992" w:type="dxa"/>
            <w:vMerge/>
            <w:vAlign w:val="center"/>
          </w:tcPr>
          <w:p w:rsidR="00074F2B" w:rsidRPr="00292B79" w:rsidRDefault="00074F2B" w:rsidP="006E39F5">
            <w:pPr>
              <w:pStyle w:val="DAVA"/>
              <w:spacing w:before="0"/>
              <w:jc w:val="both"/>
              <w:rPr>
                <w:rFonts w:asciiTheme="minorHAnsi" w:hAnsiTheme="minorHAnsi"/>
                <w:sz w:val="20"/>
                <w:szCs w:val="20"/>
              </w:rPr>
            </w:pPr>
          </w:p>
        </w:tc>
        <w:tc>
          <w:tcPr>
            <w:tcW w:w="1134" w:type="dxa"/>
            <w:vMerge/>
            <w:vAlign w:val="center"/>
          </w:tcPr>
          <w:p w:rsidR="00074F2B" w:rsidRPr="00292B79" w:rsidRDefault="00074F2B" w:rsidP="006E39F5">
            <w:pPr>
              <w:pStyle w:val="DAVA"/>
              <w:spacing w:before="0"/>
              <w:jc w:val="both"/>
              <w:rPr>
                <w:rFonts w:asciiTheme="minorHAnsi" w:hAnsiTheme="minorHAnsi"/>
                <w:sz w:val="20"/>
                <w:szCs w:val="20"/>
              </w:rPr>
            </w:pPr>
          </w:p>
        </w:tc>
        <w:tc>
          <w:tcPr>
            <w:tcW w:w="993" w:type="dxa"/>
            <w:vMerge/>
            <w:vAlign w:val="center"/>
          </w:tcPr>
          <w:p w:rsidR="00074F2B" w:rsidRPr="00292B79" w:rsidRDefault="00074F2B" w:rsidP="006E39F5">
            <w:pPr>
              <w:pStyle w:val="DAVA"/>
              <w:spacing w:before="0"/>
              <w:jc w:val="both"/>
              <w:rPr>
                <w:rFonts w:asciiTheme="minorHAnsi" w:hAnsiTheme="minorHAnsi"/>
                <w:sz w:val="20"/>
                <w:szCs w:val="20"/>
              </w:rPr>
            </w:pPr>
          </w:p>
        </w:tc>
        <w:tc>
          <w:tcPr>
            <w:tcW w:w="1417" w:type="dxa"/>
            <w:vMerge/>
            <w:vAlign w:val="center"/>
          </w:tcPr>
          <w:p w:rsidR="00074F2B" w:rsidRPr="00292B79" w:rsidRDefault="00074F2B" w:rsidP="006E39F5">
            <w:pPr>
              <w:pStyle w:val="DAVA"/>
              <w:spacing w:before="0"/>
              <w:jc w:val="both"/>
              <w:rPr>
                <w:rFonts w:asciiTheme="minorHAnsi" w:hAnsiTheme="minorHAnsi"/>
                <w:sz w:val="20"/>
                <w:szCs w:val="20"/>
              </w:rPr>
            </w:pPr>
          </w:p>
        </w:tc>
        <w:tc>
          <w:tcPr>
            <w:tcW w:w="1313" w:type="dxa"/>
            <w:vAlign w:val="center"/>
          </w:tcPr>
          <w:p w:rsidR="00074F2B" w:rsidRPr="00292B79" w:rsidRDefault="00074F2B" w:rsidP="006E39F5">
            <w:pPr>
              <w:pStyle w:val="DAVA"/>
              <w:spacing w:before="0"/>
              <w:rPr>
                <w:rFonts w:asciiTheme="minorHAnsi" w:hAnsiTheme="minorHAnsi"/>
                <w:sz w:val="20"/>
                <w:szCs w:val="20"/>
              </w:rPr>
            </w:pPr>
            <w:r w:rsidRPr="00292B79">
              <w:rPr>
                <w:rFonts w:asciiTheme="minorHAnsi" w:hAnsiTheme="minorHAnsi"/>
                <w:sz w:val="20"/>
                <w:szCs w:val="20"/>
              </w:rPr>
              <w:t xml:space="preserve">kritérium </w:t>
            </w:r>
            <w:r>
              <w:rPr>
                <w:rFonts w:asciiTheme="minorHAnsi" w:hAnsiTheme="minorHAnsi"/>
                <w:sz w:val="20"/>
                <w:szCs w:val="20"/>
              </w:rPr>
              <w:t>2</w:t>
            </w:r>
          </w:p>
        </w:tc>
        <w:tc>
          <w:tcPr>
            <w:tcW w:w="813" w:type="dxa"/>
            <w:vAlign w:val="center"/>
          </w:tcPr>
          <w:p w:rsidR="00074F2B" w:rsidRPr="00292B79" w:rsidRDefault="00074F2B" w:rsidP="006E39F5">
            <w:pPr>
              <w:pStyle w:val="DAVA"/>
              <w:spacing w:before="0"/>
              <w:rPr>
                <w:rFonts w:asciiTheme="minorHAnsi" w:hAnsiTheme="minorHAnsi"/>
                <w:sz w:val="20"/>
                <w:szCs w:val="20"/>
              </w:rPr>
            </w:pPr>
          </w:p>
        </w:tc>
        <w:tc>
          <w:tcPr>
            <w:tcW w:w="1242" w:type="dxa"/>
            <w:vAlign w:val="center"/>
          </w:tcPr>
          <w:p w:rsidR="00074F2B" w:rsidRPr="00292B79" w:rsidRDefault="00074F2B" w:rsidP="006E39F5">
            <w:pPr>
              <w:pStyle w:val="DAVA"/>
              <w:spacing w:before="0"/>
              <w:rPr>
                <w:rFonts w:asciiTheme="minorHAnsi" w:hAnsiTheme="minorHAnsi"/>
                <w:sz w:val="20"/>
                <w:szCs w:val="20"/>
              </w:rPr>
            </w:pPr>
          </w:p>
        </w:tc>
      </w:tr>
      <w:tr w:rsidR="00074F2B" w:rsidRPr="00B13C38" w:rsidTr="006E39F5">
        <w:trPr>
          <w:trHeight w:val="414"/>
        </w:trPr>
        <w:tc>
          <w:tcPr>
            <w:tcW w:w="1276" w:type="dxa"/>
            <w:vAlign w:val="center"/>
          </w:tcPr>
          <w:p w:rsidR="00074F2B" w:rsidRPr="00292B79" w:rsidRDefault="00074F2B" w:rsidP="006E39F5">
            <w:pPr>
              <w:pStyle w:val="DAVA"/>
              <w:spacing w:before="0"/>
              <w:rPr>
                <w:rFonts w:asciiTheme="minorHAnsi" w:hAnsiTheme="minorHAnsi"/>
                <w:sz w:val="20"/>
                <w:szCs w:val="20"/>
              </w:rPr>
            </w:pPr>
          </w:p>
        </w:tc>
        <w:tc>
          <w:tcPr>
            <w:tcW w:w="992" w:type="dxa"/>
            <w:vAlign w:val="center"/>
          </w:tcPr>
          <w:p w:rsidR="00074F2B" w:rsidRPr="00292B79" w:rsidRDefault="00074F2B" w:rsidP="006E39F5">
            <w:pPr>
              <w:pStyle w:val="DAVA"/>
              <w:spacing w:before="0"/>
              <w:rPr>
                <w:rFonts w:asciiTheme="minorHAnsi" w:hAnsiTheme="minorHAnsi"/>
                <w:sz w:val="20"/>
                <w:szCs w:val="20"/>
              </w:rPr>
            </w:pPr>
          </w:p>
        </w:tc>
        <w:tc>
          <w:tcPr>
            <w:tcW w:w="1134" w:type="dxa"/>
            <w:vAlign w:val="center"/>
          </w:tcPr>
          <w:p w:rsidR="00074F2B" w:rsidRPr="00292B79" w:rsidRDefault="00074F2B" w:rsidP="006E39F5">
            <w:pPr>
              <w:pStyle w:val="DAVA"/>
              <w:spacing w:before="0"/>
              <w:rPr>
                <w:rFonts w:asciiTheme="minorHAnsi" w:hAnsiTheme="minorHAnsi"/>
                <w:sz w:val="20"/>
                <w:szCs w:val="20"/>
              </w:rPr>
            </w:pPr>
          </w:p>
        </w:tc>
        <w:tc>
          <w:tcPr>
            <w:tcW w:w="993" w:type="dxa"/>
            <w:vAlign w:val="center"/>
          </w:tcPr>
          <w:p w:rsidR="00074F2B" w:rsidRPr="00292B79" w:rsidRDefault="00074F2B" w:rsidP="006E39F5">
            <w:pPr>
              <w:pStyle w:val="DAVA"/>
              <w:spacing w:before="0"/>
              <w:rPr>
                <w:rFonts w:asciiTheme="minorHAnsi" w:hAnsiTheme="minorHAnsi"/>
                <w:sz w:val="20"/>
                <w:szCs w:val="20"/>
              </w:rPr>
            </w:pPr>
          </w:p>
        </w:tc>
        <w:tc>
          <w:tcPr>
            <w:tcW w:w="1417" w:type="dxa"/>
            <w:vAlign w:val="center"/>
          </w:tcPr>
          <w:p w:rsidR="00074F2B" w:rsidRPr="00292B79" w:rsidRDefault="00074F2B" w:rsidP="006E39F5">
            <w:pPr>
              <w:pStyle w:val="DAVA"/>
              <w:spacing w:before="0"/>
              <w:rPr>
                <w:rFonts w:asciiTheme="minorHAnsi" w:hAnsiTheme="minorHAnsi"/>
                <w:sz w:val="20"/>
                <w:szCs w:val="20"/>
              </w:rPr>
            </w:pPr>
          </w:p>
        </w:tc>
        <w:tc>
          <w:tcPr>
            <w:tcW w:w="1313" w:type="dxa"/>
            <w:vAlign w:val="center"/>
          </w:tcPr>
          <w:p w:rsidR="00074F2B" w:rsidRPr="00292B79" w:rsidRDefault="00074F2B" w:rsidP="006E39F5">
            <w:pPr>
              <w:pStyle w:val="DAVA"/>
              <w:spacing w:before="0"/>
              <w:rPr>
                <w:rFonts w:asciiTheme="minorHAnsi" w:hAnsiTheme="minorHAnsi"/>
                <w:sz w:val="20"/>
                <w:szCs w:val="20"/>
              </w:rPr>
            </w:pPr>
          </w:p>
        </w:tc>
        <w:tc>
          <w:tcPr>
            <w:tcW w:w="813" w:type="dxa"/>
            <w:vAlign w:val="center"/>
          </w:tcPr>
          <w:p w:rsidR="00074F2B" w:rsidRPr="00292B79" w:rsidRDefault="00074F2B" w:rsidP="006E39F5">
            <w:pPr>
              <w:pStyle w:val="DAVA"/>
              <w:spacing w:before="0"/>
              <w:rPr>
                <w:rFonts w:asciiTheme="minorHAnsi" w:hAnsiTheme="minorHAnsi"/>
                <w:sz w:val="20"/>
                <w:szCs w:val="20"/>
              </w:rPr>
            </w:pPr>
          </w:p>
        </w:tc>
        <w:tc>
          <w:tcPr>
            <w:tcW w:w="1242" w:type="dxa"/>
            <w:vAlign w:val="center"/>
          </w:tcPr>
          <w:p w:rsidR="00074F2B" w:rsidRPr="00292B79" w:rsidRDefault="00074F2B" w:rsidP="006E39F5">
            <w:pPr>
              <w:pStyle w:val="DAVA"/>
              <w:spacing w:before="0"/>
              <w:rPr>
                <w:rFonts w:asciiTheme="minorHAnsi" w:hAnsiTheme="minorHAnsi"/>
                <w:sz w:val="20"/>
                <w:szCs w:val="20"/>
              </w:rPr>
            </w:pPr>
          </w:p>
        </w:tc>
      </w:tr>
    </w:tbl>
    <w:p w:rsidR="00074F2B" w:rsidRPr="0001494C" w:rsidRDefault="00074F2B" w:rsidP="00074F2B">
      <w:pPr>
        <w:spacing w:before="240" w:after="60" w:line="288" w:lineRule="auto"/>
        <w:jc w:val="left"/>
      </w:pPr>
      <w:r w:rsidRPr="0001494C">
        <w:rPr>
          <w:rFonts w:asciiTheme="minorHAnsi" w:hAnsiTheme="minorHAnsi" w:cs="Arial"/>
        </w:rPr>
        <w:t>Tab.</w:t>
      </w:r>
      <w:r w:rsidR="00137D07">
        <w:rPr>
          <w:rFonts w:asciiTheme="minorHAnsi" w:hAnsiTheme="minorHAnsi" w:cs="Arial"/>
        </w:rPr>
        <w:t xml:space="preserve"> </w:t>
      </w:r>
      <w:r w:rsidR="00EE0A06">
        <w:rPr>
          <w:rFonts w:asciiTheme="minorHAnsi" w:hAnsiTheme="minorHAnsi" w:cs="Arial"/>
        </w:rPr>
        <w:t>5</w:t>
      </w:r>
      <w:r w:rsidRPr="0001494C">
        <w:rPr>
          <w:rFonts w:asciiTheme="minorHAnsi" w:hAnsiTheme="minorHAnsi" w:cs="Arial"/>
        </w:rPr>
        <w:t>: Šablona E</w:t>
      </w:r>
      <w:r w:rsidR="00137D07">
        <w:rPr>
          <w:rFonts w:asciiTheme="minorHAnsi" w:hAnsiTheme="minorHAnsi" w:cs="Arial"/>
        </w:rPr>
        <w:t>K</w:t>
      </w:r>
      <w:r w:rsidRPr="0001494C">
        <w:rPr>
          <w:rFonts w:asciiTheme="minorHAnsi" w:hAnsiTheme="minorHAnsi" w:cs="Arial"/>
        </w:rPr>
        <w:t xml:space="preserve"> pro ENRF – částečně splněné či nesplněné tematické </w:t>
      </w:r>
      <w:r w:rsidR="00137D07">
        <w:rPr>
          <w:rFonts w:asciiTheme="minorHAnsi" w:hAnsiTheme="minorHAnsi" w:cs="Arial"/>
        </w:rPr>
        <w:t>PP</w:t>
      </w:r>
    </w:p>
    <w:tbl>
      <w:tblPr>
        <w:tblStyle w:val="Mkatabulky"/>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119"/>
        <w:gridCol w:w="1417"/>
        <w:gridCol w:w="2126"/>
        <w:gridCol w:w="1276"/>
      </w:tblGrid>
      <w:tr w:rsidR="00074F2B" w:rsidRPr="00B13C38" w:rsidTr="006E39F5">
        <w:trPr>
          <w:trHeight w:val="431"/>
        </w:trPr>
        <w:tc>
          <w:tcPr>
            <w:tcW w:w="1276" w:type="dxa"/>
            <w:shd w:val="clear" w:color="auto" w:fill="B8CCE4" w:themeFill="accent1" w:themeFillTint="66"/>
            <w:vAlign w:val="center"/>
          </w:tcPr>
          <w:p w:rsidR="00074F2B" w:rsidRPr="00B13C38" w:rsidRDefault="00074F2B" w:rsidP="006E39F5">
            <w:pPr>
              <w:pStyle w:val="Default"/>
              <w:rPr>
                <w:rFonts w:asciiTheme="minorHAnsi" w:eastAsiaTheme="minorHAnsi" w:hAnsiTheme="minorHAnsi"/>
                <w:b/>
                <w:bCs/>
                <w:sz w:val="20"/>
                <w:szCs w:val="20"/>
                <w:lang w:eastAsia="en-US"/>
              </w:rPr>
            </w:pPr>
            <w:r w:rsidRPr="00B13C38">
              <w:rPr>
                <w:rFonts w:asciiTheme="minorHAnsi" w:eastAsiaTheme="minorHAnsi" w:hAnsiTheme="minorHAnsi"/>
                <w:b/>
                <w:bCs/>
                <w:sz w:val="20"/>
                <w:szCs w:val="20"/>
                <w:lang w:eastAsia="en-US"/>
              </w:rPr>
              <w:t>Předběžná podmínka</w:t>
            </w:r>
          </w:p>
        </w:tc>
        <w:tc>
          <w:tcPr>
            <w:tcW w:w="3119" w:type="dxa"/>
            <w:shd w:val="clear" w:color="auto" w:fill="B8CCE4" w:themeFill="accent1" w:themeFillTint="66"/>
            <w:vAlign w:val="center"/>
          </w:tcPr>
          <w:p w:rsidR="00074F2B" w:rsidRPr="00B13C38" w:rsidRDefault="00074F2B" w:rsidP="006E39F5">
            <w:pPr>
              <w:pStyle w:val="Default"/>
              <w:rPr>
                <w:rFonts w:asciiTheme="minorHAnsi" w:eastAsiaTheme="minorHAnsi" w:hAnsiTheme="minorHAnsi"/>
                <w:sz w:val="20"/>
                <w:szCs w:val="20"/>
                <w:lang w:eastAsia="en-US"/>
              </w:rPr>
            </w:pPr>
            <w:r w:rsidRPr="00B13C38">
              <w:rPr>
                <w:rFonts w:asciiTheme="minorHAnsi" w:hAnsiTheme="minorHAnsi"/>
                <w:b/>
                <w:sz w:val="20"/>
                <w:szCs w:val="20"/>
              </w:rPr>
              <w:t xml:space="preserve">Priorita </w:t>
            </w:r>
            <w:r>
              <w:rPr>
                <w:rFonts w:asciiTheme="minorHAnsi" w:hAnsiTheme="minorHAnsi"/>
                <w:b/>
                <w:sz w:val="20"/>
                <w:szCs w:val="20"/>
              </w:rPr>
              <w:t xml:space="preserve">nebo priority </w:t>
            </w:r>
            <w:r w:rsidRPr="00B13C38">
              <w:rPr>
                <w:rFonts w:asciiTheme="minorHAnsi" w:hAnsiTheme="minorHAnsi"/>
                <w:b/>
                <w:sz w:val="20"/>
                <w:szCs w:val="20"/>
              </w:rPr>
              <w:t>Unie</w:t>
            </w:r>
          </w:p>
        </w:tc>
        <w:tc>
          <w:tcPr>
            <w:tcW w:w="1417" w:type="dxa"/>
            <w:shd w:val="clear" w:color="auto" w:fill="B8CCE4" w:themeFill="accent1" w:themeFillTint="66"/>
            <w:vAlign w:val="center"/>
          </w:tcPr>
          <w:p w:rsidR="00074F2B" w:rsidRPr="00B13C38" w:rsidRDefault="00074F2B" w:rsidP="006E39F5">
            <w:pPr>
              <w:pStyle w:val="Default"/>
              <w:rPr>
                <w:rFonts w:asciiTheme="minorHAnsi" w:hAnsiTheme="minorHAnsi"/>
                <w:b/>
                <w:sz w:val="20"/>
                <w:szCs w:val="20"/>
              </w:rPr>
            </w:pPr>
            <w:r>
              <w:rPr>
                <w:rFonts w:asciiTheme="minorHAnsi" w:hAnsiTheme="minorHAnsi"/>
                <w:b/>
                <w:sz w:val="20"/>
                <w:szCs w:val="20"/>
              </w:rPr>
              <w:t>Odpovědné orgány</w:t>
            </w:r>
          </w:p>
        </w:tc>
        <w:tc>
          <w:tcPr>
            <w:tcW w:w="2126" w:type="dxa"/>
            <w:shd w:val="clear" w:color="auto" w:fill="B8CCE4" w:themeFill="accent1" w:themeFillTint="66"/>
            <w:vAlign w:val="center"/>
          </w:tcPr>
          <w:p w:rsidR="00074F2B" w:rsidRPr="00292B79" w:rsidRDefault="00074F2B" w:rsidP="006E39F5">
            <w:pPr>
              <w:pStyle w:val="DAVA"/>
              <w:spacing w:before="0"/>
              <w:jc w:val="both"/>
              <w:rPr>
                <w:rFonts w:asciiTheme="minorHAnsi" w:hAnsiTheme="minorHAnsi"/>
                <w:b/>
                <w:sz w:val="20"/>
                <w:szCs w:val="20"/>
              </w:rPr>
            </w:pPr>
            <w:r w:rsidRPr="00292B79">
              <w:rPr>
                <w:rFonts w:asciiTheme="minorHAnsi" w:hAnsiTheme="minorHAnsi"/>
                <w:b/>
                <w:sz w:val="20"/>
                <w:szCs w:val="20"/>
              </w:rPr>
              <w:t>Opatření, která je nutno přijmout</w:t>
            </w:r>
          </w:p>
        </w:tc>
        <w:tc>
          <w:tcPr>
            <w:tcW w:w="1276" w:type="dxa"/>
            <w:shd w:val="clear" w:color="auto" w:fill="B8CCE4" w:themeFill="accent1" w:themeFillTint="66"/>
            <w:vAlign w:val="center"/>
          </w:tcPr>
          <w:p w:rsidR="00074F2B" w:rsidRPr="00B13C38" w:rsidRDefault="00074F2B" w:rsidP="006E39F5">
            <w:pPr>
              <w:pStyle w:val="Default"/>
              <w:rPr>
                <w:rFonts w:asciiTheme="minorHAnsi" w:eastAsiaTheme="minorHAnsi" w:hAnsiTheme="minorHAnsi"/>
                <w:sz w:val="20"/>
                <w:szCs w:val="20"/>
                <w:lang w:eastAsia="en-US"/>
              </w:rPr>
            </w:pPr>
            <w:r w:rsidRPr="00ED4F90">
              <w:rPr>
                <w:rFonts w:asciiTheme="minorHAnsi" w:eastAsiaTheme="minorHAnsi" w:hAnsiTheme="minorHAnsi"/>
                <w:b/>
                <w:bCs/>
                <w:sz w:val="20"/>
                <w:szCs w:val="20"/>
                <w:lang w:eastAsia="en-US"/>
              </w:rPr>
              <w:t>Termín splnění (datum)</w:t>
            </w:r>
          </w:p>
        </w:tc>
      </w:tr>
      <w:tr w:rsidR="00074F2B" w:rsidRPr="00B13C38" w:rsidTr="000C0E01">
        <w:trPr>
          <w:trHeight w:val="456"/>
        </w:trPr>
        <w:tc>
          <w:tcPr>
            <w:tcW w:w="1276" w:type="dxa"/>
            <w:vAlign w:val="center"/>
          </w:tcPr>
          <w:p w:rsidR="00074F2B" w:rsidRPr="00B13C38" w:rsidRDefault="00074F2B" w:rsidP="006E39F5">
            <w:pPr>
              <w:pStyle w:val="DAVA"/>
              <w:spacing w:before="0"/>
              <w:rPr>
                <w:rFonts w:asciiTheme="minorHAnsi" w:hAnsiTheme="minorHAnsi"/>
                <w:sz w:val="22"/>
                <w:szCs w:val="22"/>
              </w:rPr>
            </w:pPr>
          </w:p>
        </w:tc>
        <w:tc>
          <w:tcPr>
            <w:tcW w:w="3119" w:type="dxa"/>
            <w:vAlign w:val="center"/>
          </w:tcPr>
          <w:p w:rsidR="00074F2B" w:rsidRPr="00B13C38" w:rsidRDefault="00074F2B" w:rsidP="006E39F5">
            <w:pPr>
              <w:pStyle w:val="DAVA"/>
              <w:spacing w:before="0"/>
              <w:rPr>
                <w:rFonts w:asciiTheme="minorHAnsi" w:hAnsiTheme="minorHAnsi"/>
                <w:sz w:val="22"/>
                <w:szCs w:val="22"/>
              </w:rPr>
            </w:pPr>
          </w:p>
        </w:tc>
        <w:tc>
          <w:tcPr>
            <w:tcW w:w="1417" w:type="dxa"/>
            <w:vAlign w:val="center"/>
          </w:tcPr>
          <w:p w:rsidR="00074F2B" w:rsidRPr="00B13C38" w:rsidRDefault="00074F2B" w:rsidP="006E39F5">
            <w:pPr>
              <w:pStyle w:val="DAVA"/>
              <w:spacing w:before="0"/>
              <w:rPr>
                <w:rFonts w:asciiTheme="minorHAnsi" w:hAnsiTheme="minorHAnsi"/>
                <w:sz w:val="22"/>
                <w:szCs w:val="22"/>
              </w:rPr>
            </w:pPr>
          </w:p>
        </w:tc>
        <w:tc>
          <w:tcPr>
            <w:tcW w:w="2126" w:type="dxa"/>
            <w:vAlign w:val="center"/>
          </w:tcPr>
          <w:p w:rsidR="00074F2B" w:rsidRPr="00B13C38" w:rsidRDefault="00074F2B" w:rsidP="006E39F5">
            <w:pPr>
              <w:pStyle w:val="DAVA"/>
              <w:spacing w:before="0"/>
              <w:rPr>
                <w:rFonts w:asciiTheme="minorHAnsi" w:hAnsiTheme="minorHAnsi"/>
                <w:sz w:val="22"/>
                <w:szCs w:val="22"/>
              </w:rPr>
            </w:pPr>
          </w:p>
        </w:tc>
        <w:tc>
          <w:tcPr>
            <w:tcW w:w="1276" w:type="dxa"/>
            <w:vAlign w:val="center"/>
          </w:tcPr>
          <w:p w:rsidR="00074F2B" w:rsidRPr="00B13C38" w:rsidRDefault="00074F2B" w:rsidP="006E39F5">
            <w:pPr>
              <w:pStyle w:val="DAVA"/>
              <w:spacing w:before="0"/>
              <w:rPr>
                <w:rFonts w:asciiTheme="minorHAnsi" w:hAnsiTheme="minorHAnsi"/>
                <w:sz w:val="22"/>
                <w:szCs w:val="22"/>
              </w:rPr>
            </w:pPr>
          </w:p>
        </w:tc>
      </w:tr>
      <w:tr w:rsidR="00074F2B" w:rsidRPr="00B13C38" w:rsidTr="006E39F5">
        <w:trPr>
          <w:trHeight w:val="422"/>
        </w:trPr>
        <w:tc>
          <w:tcPr>
            <w:tcW w:w="1276" w:type="dxa"/>
            <w:vAlign w:val="center"/>
          </w:tcPr>
          <w:p w:rsidR="00074F2B" w:rsidRPr="00B13C38" w:rsidRDefault="00074F2B" w:rsidP="006E39F5">
            <w:pPr>
              <w:pStyle w:val="DAVA"/>
              <w:spacing w:before="0"/>
              <w:rPr>
                <w:rFonts w:asciiTheme="minorHAnsi" w:hAnsiTheme="minorHAnsi"/>
                <w:sz w:val="22"/>
                <w:szCs w:val="22"/>
              </w:rPr>
            </w:pPr>
          </w:p>
        </w:tc>
        <w:tc>
          <w:tcPr>
            <w:tcW w:w="3119" w:type="dxa"/>
            <w:vAlign w:val="center"/>
          </w:tcPr>
          <w:p w:rsidR="00074F2B" w:rsidRPr="00B13C38" w:rsidRDefault="00074F2B" w:rsidP="006E39F5">
            <w:pPr>
              <w:pStyle w:val="DAVA"/>
              <w:spacing w:before="0"/>
              <w:rPr>
                <w:rFonts w:asciiTheme="minorHAnsi" w:hAnsiTheme="minorHAnsi"/>
                <w:sz w:val="22"/>
                <w:szCs w:val="22"/>
              </w:rPr>
            </w:pPr>
          </w:p>
        </w:tc>
        <w:tc>
          <w:tcPr>
            <w:tcW w:w="1417" w:type="dxa"/>
            <w:vAlign w:val="center"/>
          </w:tcPr>
          <w:p w:rsidR="00074F2B" w:rsidRPr="00B13C38" w:rsidRDefault="00074F2B" w:rsidP="006E39F5">
            <w:pPr>
              <w:pStyle w:val="DAVA"/>
              <w:spacing w:before="0"/>
              <w:rPr>
                <w:rFonts w:asciiTheme="minorHAnsi" w:hAnsiTheme="minorHAnsi"/>
                <w:sz w:val="22"/>
                <w:szCs w:val="22"/>
              </w:rPr>
            </w:pPr>
          </w:p>
        </w:tc>
        <w:tc>
          <w:tcPr>
            <w:tcW w:w="2126" w:type="dxa"/>
            <w:vAlign w:val="center"/>
          </w:tcPr>
          <w:p w:rsidR="00074F2B" w:rsidRPr="00B13C38" w:rsidRDefault="00074F2B" w:rsidP="006E39F5">
            <w:pPr>
              <w:pStyle w:val="DAVA"/>
              <w:spacing w:before="0"/>
              <w:rPr>
                <w:rFonts w:asciiTheme="minorHAnsi" w:hAnsiTheme="minorHAnsi"/>
                <w:sz w:val="22"/>
                <w:szCs w:val="22"/>
              </w:rPr>
            </w:pPr>
          </w:p>
        </w:tc>
        <w:tc>
          <w:tcPr>
            <w:tcW w:w="1276" w:type="dxa"/>
            <w:vAlign w:val="center"/>
          </w:tcPr>
          <w:p w:rsidR="00074F2B" w:rsidRPr="00B13C38" w:rsidRDefault="00074F2B" w:rsidP="006E39F5">
            <w:pPr>
              <w:pStyle w:val="DAVA"/>
              <w:spacing w:before="0"/>
              <w:rPr>
                <w:rFonts w:asciiTheme="minorHAnsi" w:hAnsiTheme="minorHAnsi"/>
                <w:sz w:val="22"/>
                <w:szCs w:val="22"/>
              </w:rPr>
            </w:pPr>
          </w:p>
        </w:tc>
      </w:tr>
      <w:tr w:rsidR="00074F2B" w:rsidRPr="00B13C38" w:rsidTr="006E39F5">
        <w:trPr>
          <w:trHeight w:val="414"/>
        </w:trPr>
        <w:tc>
          <w:tcPr>
            <w:tcW w:w="1276" w:type="dxa"/>
            <w:vAlign w:val="center"/>
          </w:tcPr>
          <w:p w:rsidR="00074F2B" w:rsidRPr="00B13C38" w:rsidRDefault="00074F2B" w:rsidP="006E39F5">
            <w:pPr>
              <w:pStyle w:val="DAVA"/>
              <w:spacing w:before="0"/>
              <w:rPr>
                <w:rFonts w:asciiTheme="minorHAnsi" w:hAnsiTheme="minorHAnsi"/>
                <w:sz w:val="22"/>
                <w:szCs w:val="22"/>
              </w:rPr>
            </w:pPr>
          </w:p>
        </w:tc>
        <w:tc>
          <w:tcPr>
            <w:tcW w:w="3119" w:type="dxa"/>
            <w:vAlign w:val="center"/>
          </w:tcPr>
          <w:p w:rsidR="00074F2B" w:rsidRPr="00B13C38" w:rsidRDefault="00074F2B" w:rsidP="006E39F5">
            <w:pPr>
              <w:pStyle w:val="DAVA"/>
              <w:spacing w:before="0"/>
              <w:rPr>
                <w:rFonts w:asciiTheme="minorHAnsi" w:hAnsiTheme="minorHAnsi"/>
                <w:sz w:val="22"/>
                <w:szCs w:val="22"/>
              </w:rPr>
            </w:pPr>
          </w:p>
        </w:tc>
        <w:tc>
          <w:tcPr>
            <w:tcW w:w="1417" w:type="dxa"/>
            <w:vAlign w:val="center"/>
          </w:tcPr>
          <w:p w:rsidR="00074F2B" w:rsidRPr="00B13C38" w:rsidRDefault="00074F2B" w:rsidP="006E39F5">
            <w:pPr>
              <w:pStyle w:val="DAVA"/>
              <w:spacing w:before="0"/>
              <w:rPr>
                <w:rFonts w:asciiTheme="minorHAnsi" w:hAnsiTheme="minorHAnsi"/>
                <w:sz w:val="22"/>
                <w:szCs w:val="22"/>
              </w:rPr>
            </w:pPr>
          </w:p>
        </w:tc>
        <w:tc>
          <w:tcPr>
            <w:tcW w:w="2126" w:type="dxa"/>
            <w:vAlign w:val="center"/>
          </w:tcPr>
          <w:p w:rsidR="00074F2B" w:rsidRPr="00B13C38" w:rsidRDefault="00074F2B" w:rsidP="006E39F5">
            <w:pPr>
              <w:pStyle w:val="DAVA"/>
              <w:spacing w:before="0"/>
              <w:rPr>
                <w:rFonts w:asciiTheme="minorHAnsi" w:hAnsiTheme="minorHAnsi"/>
                <w:sz w:val="22"/>
                <w:szCs w:val="22"/>
              </w:rPr>
            </w:pPr>
          </w:p>
        </w:tc>
        <w:tc>
          <w:tcPr>
            <w:tcW w:w="1276" w:type="dxa"/>
            <w:vAlign w:val="center"/>
          </w:tcPr>
          <w:p w:rsidR="00074F2B" w:rsidRPr="00B13C38" w:rsidRDefault="00074F2B" w:rsidP="006E39F5">
            <w:pPr>
              <w:pStyle w:val="DAVA"/>
              <w:spacing w:before="0"/>
              <w:rPr>
                <w:rFonts w:asciiTheme="minorHAnsi" w:hAnsiTheme="minorHAnsi"/>
                <w:sz w:val="22"/>
                <w:szCs w:val="22"/>
              </w:rPr>
            </w:pPr>
          </w:p>
        </w:tc>
      </w:tr>
    </w:tbl>
    <w:p w:rsidR="00074F2B" w:rsidRDefault="0001494C" w:rsidP="0001494C">
      <w:pPr>
        <w:spacing w:before="240" w:after="60" w:line="288" w:lineRule="auto"/>
        <w:rPr>
          <w:rFonts w:asciiTheme="minorHAnsi" w:hAnsiTheme="minorHAnsi" w:cs="Arial"/>
          <w:sz w:val="24"/>
          <w:szCs w:val="24"/>
          <w:u w:val="single"/>
        </w:rPr>
      </w:pPr>
      <w:r>
        <w:rPr>
          <w:rFonts w:asciiTheme="minorHAnsi" w:hAnsiTheme="minorHAnsi" w:cs="Arial"/>
          <w:sz w:val="24"/>
          <w:szCs w:val="24"/>
        </w:rPr>
        <w:t>Všechny š</w:t>
      </w:r>
      <w:r w:rsidR="00074F2B" w:rsidRPr="00A92B47">
        <w:rPr>
          <w:rFonts w:asciiTheme="minorHAnsi" w:hAnsiTheme="minorHAnsi" w:cs="Arial"/>
          <w:sz w:val="24"/>
          <w:szCs w:val="24"/>
        </w:rPr>
        <w:t>ablon</w:t>
      </w:r>
      <w:r w:rsidR="00074F2B">
        <w:rPr>
          <w:rFonts w:asciiTheme="minorHAnsi" w:hAnsiTheme="minorHAnsi" w:cs="Arial"/>
          <w:sz w:val="24"/>
          <w:szCs w:val="24"/>
        </w:rPr>
        <w:t>y</w:t>
      </w:r>
      <w:r w:rsidR="00074F2B" w:rsidRPr="00A92B47">
        <w:rPr>
          <w:rFonts w:asciiTheme="minorHAnsi" w:hAnsiTheme="minorHAnsi" w:cs="Arial"/>
          <w:sz w:val="24"/>
          <w:szCs w:val="24"/>
        </w:rPr>
        <w:t xml:space="preserve"> pracuj</w:t>
      </w:r>
      <w:r w:rsidR="00074F2B">
        <w:rPr>
          <w:rFonts w:asciiTheme="minorHAnsi" w:hAnsiTheme="minorHAnsi" w:cs="Arial"/>
          <w:sz w:val="24"/>
          <w:szCs w:val="24"/>
        </w:rPr>
        <w:t>í</w:t>
      </w:r>
      <w:r w:rsidR="00074F2B" w:rsidRPr="00A92B47">
        <w:rPr>
          <w:rFonts w:asciiTheme="minorHAnsi" w:hAnsiTheme="minorHAnsi" w:cs="Arial"/>
          <w:sz w:val="24"/>
          <w:szCs w:val="24"/>
        </w:rPr>
        <w:t xml:space="preserve"> i s předběžnými podmínkami a kritérii, které jsou</w:t>
      </w:r>
      <w:r w:rsidR="006026CA">
        <w:rPr>
          <w:rFonts w:asciiTheme="minorHAnsi" w:hAnsiTheme="minorHAnsi" w:cs="Arial"/>
          <w:sz w:val="24"/>
          <w:szCs w:val="24"/>
        </w:rPr>
        <w:t xml:space="preserve"> v aktuální verzi EU vyškrtnuty. D</w:t>
      </w:r>
      <w:r w:rsidR="00074F2B" w:rsidRPr="00A92B47">
        <w:rPr>
          <w:rFonts w:asciiTheme="minorHAnsi" w:hAnsiTheme="minorHAnsi" w:cs="Arial"/>
          <w:sz w:val="24"/>
          <w:szCs w:val="24"/>
        </w:rPr>
        <w:t>efinitivní schválenou verzi</w:t>
      </w:r>
      <w:r w:rsidR="006026CA">
        <w:rPr>
          <w:rFonts w:asciiTheme="minorHAnsi" w:hAnsiTheme="minorHAnsi" w:cs="Arial"/>
          <w:sz w:val="24"/>
          <w:szCs w:val="24"/>
        </w:rPr>
        <w:t xml:space="preserve"> pro účely předložení Komisi budou vycházet z kompromisního návrhu po Radě EU, nicméně pro potřeby hodnocení MMR to v šablonách uvedeno bude.</w:t>
      </w:r>
    </w:p>
    <w:p w:rsidR="00836BB7" w:rsidRPr="000D2C50" w:rsidRDefault="00836BB7" w:rsidP="00836BB7">
      <w:pPr>
        <w:spacing w:before="180" w:after="60" w:line="288" w:lineRule="auto"/>
        <w:rPr>
          <w:rFonts w:asciiTheme="minorHAnsi" w:hAnsiTheme="minorHAnsi" w:cs="Arial"/>
          <w:sz w:val="24"/>
          <w:szCs w:val="24"/>
          <w:u w:val="single"/>
        </w:rPr>
      </w:pPr>
      <w:r w:rsidRPr="000D2C50">
        <w:rPr>
          <w:rFonts w:asciiTheme="minorHAnsi" w:hAnsiTheme="minorHAnsi" w:cs="Arial"/>
          <w:sz w:val="24"/>
          <w:szCs w:val="24"/>
          <w:u w:val="single"/>
        </w:rPr>
        <w:t>Termín</w:t>
      </w:r>
      <w:r w:rsidR="00262A7E" w:rsidRPr="000D2C50">
        <w:rPr>
          <w:rFonts w:asciiTheme="minorHAnsi" w:hAnsiTheme="minorHAnsi" w:cs="Arial"/>
          <w:sz w:val="24"/>
          <w:szCs w:val="24"/>
          <w:u w:val="single"/>
        </w:rPr>
        <w:t xml:space="preserve"> a projednání </w:t>
      </w:r>
    </w:p>
    <w:p w:rsidR="00BB77A7" w:rsidRDefault="0079442F" w:rsidP="000D2C50">
      <w:pPr>
        <w:spacing w:before="60" w:after="60" w:line="288" w:lineRule="auto"/>
        <w:rPr>
          <w:rFonts w:asciiTheme="minorHAnsi" w:hAnsiTheme="minorHAnsi" w:cs="Arial"/>
          <w:sz w:val="24"/>
          <w:szCs w:val="24"/>
        </w:rPr>
      </w:pPr>
      <w:r>
        <w:rPr>
          <w:rFonts w:asciiTheme="minorHAnsi" w:hAnsiTheme="minorHAnsi" w:cs="Arial"/>
          <w:sz w:val="24"/>
          <w:szCs w:val="24"/>
        </w:rPr>
        <w:t>Fáze začíná předložením programů řídícími orgány do konce června</w:t>
      </w:r>
      <w:r w:rsidR="00224E0B">
        <w:rPr>
          <w:rFonts w:asciiTheme="minorHAnsi" w:hAnsiTheme="minorHAnsi" w:cs="Arial"/>
          <w:sz w:val="24"/>
          <w:szCs w:val="24"/>
        </w:rPr>
        <w:t xml:space="preserve"> 2013</w:t>
      </w:r>
      <w:r>
        <w:rPr>
          <w:rFonts w:asciiTheme="minorHAnsi" w:hAnsiTheme="minorHAnsi" w:cs="Arial"/>
          <w:sz w:val="24"/>
          <w:szCs w:val="24"/>
        </w:rPr>
        <w:t xml:space="preserve"> na MMR. MMR následně naplňování předběžných podmínek zhodnotí a zašle ŘO své podněty a připomínky. Takto bude v této fázi postupováno i v rámci dalšího předložení aktualizovaných programů do </w:t>
      </w:r>
      <w:r w:rsidRPr="005C1379">
        <w:rPr>
          <w:rFonts w:asciiTheme="minorHAnsi" w:hAnsiTheme="minorHAnsi" w:cs="Arial"/>
          <w:sz w:val="24"/>
          <w:szCs w:val="24"/>
        </w:rPr>
        <w:t xml:space="preserve">konce září 2013, </w:t>
      </w:r>
      <w:r w:rsidR="00BB77A7" w:rsidRPr="005C1379">
        <w:rPr>
          <w:rFonts w:asciiTheme="minorHAnsi" w:hAnsiTheme="minorHAnsi" w:cs="Arial"/>
          <w:sz w:val="24"/>
          <w:szCs w:val="24"/>
        </w:rPr>
        <w:t xml:space="preserve">včetně následného zhodnocení </w:t>
      </w:r>
      <w:r w:rsidRPr="005C1379">
        <w:rPr>
          <w:rFonts w:asciiTheme="minorHAnsi" w:hAnsiTheme="minorHAnsi" w:cs="Arial"/>
          <w:sz w:val="24"/>
          <w:szCs w:val="24"/>
        </w:rPr>
        <w:t>MMR. Následná úprava bude řešena pro potřeb</w:t>
      </w:r>
      <w:r w:rsidR="00BB77A7" w:rsidRPr="005C1379">
        <w:rPr>
          <w:rFonts w:asciiTheme="minorHAnsi" w:hAnsiTheme="minorHAnsi" w:cs="Arial"/>
          <w:sz w:val="24"/>
          <w:szCs w:val="24"/>
        </w:rPr>
        <w:t>y</w:t>
      </w:r>
      <w:r w:rsidRPr="005C1379">
        <w:rPr>
          <w:rFonts w:asciiTheme="minorHAnsi" w:hAnsiTheme="minorHAnsi" w:cs="Arial"/>
          <w:sz w:val="24"/>
          <w:szCs w:val="24"/>
        </w:rPr>
        <w:t xml:space="preserve"> předložení programů </w:t>
      </w:r>
      <w:r w:rsidR="005C1379" w:rsidRPr="005C1379">
        <w:rPr>
          <w:rFonts w:asciiTheme="minorHAnsi" w:hAnsiTheme="minorHAnsi" w:cs="Arial"/>
          <w:sz w:val="24"/>
          <w:szCs w:val="24"/>
        </w:rPr>
        <w:t xml:space="preserve">(s termínem do konce listopadu) </w:t>
      </w:r>
      <w:r w:rsidRPr="005C1379">
        <w:rPr>
          <w:rFonts w:asciiTheme="minorHAnsi" w:hAnsiTheme="minorHAnsi" w:cs="Arial"/>
          <w:sz w:val="24"/>
          <w:szCs w:val="24"/>
        </w:rPr>
        <w:t xml:space="preserve">a Dohody o partnerství </w:t>
      </w:r>
      <w:r w:rsidR="005C1379" w:rsidRPr="005C1379">
        <w:rPr>
          <w:rFonts w:asciiTheme="minorHAnsi" w:hAnsiTheme="minorHAnsi" w:cs="Arial"/>
          <w:sz w:val="24"/>
          <w:szCs w:val="24"/>
        </w:rPr>
        <w:t xml:space="preserve">(s termínem do konce října) vládě </w:t>
      </w:r>
      <w:r w:rsidR="00BB77A7" w:rsidRPr="005C1379">
        <w:rPr>
          <w:rFonts w:asciiTheme="minorHAnsi" w:hAnsiTheme="minorHAnsi" w:cs="Arial"/>
          <w:sz w:val="24"/>
          <w:szCs w:val="24"/>
        </w:rPr>
        <w:t xml:space="preserve">a předložení Komisi </w:t>
      </w:r>
      <w:r w:rsidR="005C1379" w:rsidRPr="005C1379">
        <w:rPr>
          <w:rFonts w:asciiTheme="minorHAnsi" w:hAnsiTheme="minorHAnsi" w:cs="Arial"/>
          <w:sz w:val="24"/>
          <w:szCs w:val="24"/>
        </w:rPr>
        <w:t xml:space="preserve">následně s předpokladem do konce roku </w:t>
      </w:r>
      <w:r w:rsidR="00BB77A7" w:rsidRPr="005C1379">
        <w:rPr>
          <w:rFonts w:asciiTheme="minorHAnsi" w:hAnsiTheme="minorHAnsi" w:cs="Arial"/>
          <w:sz w:val="24"/>
          <w:szCs w:val="24"/>
        </w:rPr>
        <w:t>2013.</w:t>
      </w:r>
      <w:r w:rsidRPr="005C1379">
        <w:rPr>
          <w:rFonts w:asciiTheme="minorHAnsi" w:hAnsiTheme="minorHAnsi" w:cs="Arial"/>
          <w:sz w:val="24"/>
          <w:szCs w:val="24"/>
        </w:rPr>
        <w:t xml:space="preserve"> </w:t>
      </w:r>
      <w:r w:rsidR="006E39F5">
        <w:rPr>
          <w:rFonts w:asciiTheme="minorHAnsi" w:hAnsiTheme="minorHAnsi" w:cs="Arial"/>
          <w:sz w:val="24"/>
          <w:szCs w:val="24"/>
        </w:rPr>
        <w:t xml:space="preserve"> V mezidobí budou </w:t>
      </w:r>
      <w:r w:rsidR="00BB77A7">
        <w:rPr>
          <w:rFonts w:asciiTheme="minorHAnsi" w:hAnsiTheme="minorHAnsi" w:cs="Arial"/>
          <w:sz w:val="24"/>
          <w:szCs w:val="24"/>
        </w:rPr>
        <w:t xml:space="preserve">ze strany ŘO </w:t>
      </w:r>
      <w:r w:rsidR="00C1200A">
        <w:rPr>
          <w:rFonts w:asciiTheme="minorHAnsi" w:hAnsiTheme="minorHAnsi" w:cs="Arial"/>
          <w:sz w:val="24"/>
          <w:szCs w:val="24"/>
        </w:rPr>
        <w:t xml:space="preserve">průběžně aktualizovány </w:t>
      </w:r>
      <w:r w:rsidR="00BB77A7">
        <w:rPr>
          <w:rFonts w:asciiTheme="minorHAnsi" w:hAnsiTheme="minorHAnsi" w:cs="Arial"/>
          <w:sz w:val="24"/>
          <w:szCs w:val="24"/>
        </w:rPr>
        <w:t>nejen samotné šablony EK</w:t>
      </w:r>
      <w:r w:rsidR="009017CC">
        <w:rPr>
          <w:rFonts w:asciiTheme="minorHAnsi" w:hAnsiTheme="minorHAnsi" w:cs="Arial"/>
          <w:sz w:val="24"/>
          <w:szCs w:val="24"/>
        </w:rPr>
        <w:t>,</w:t>
      </w:r>
      <w:r w:rsidR="00BB77A7">
        <w:rPr>
          <w:rFonts w:asciiTheme="minorHAnsi" w:hAnsiTheme="minorHAnsi" w:cs="Arial"/>
          <w:sz w:val="24"/>
          <w:szCs w:val="24"/>
        </w:rPr>
        <w:t xml:space="preserve"> ale i </w:t>
      </w:r>
      <w:r w:rsidR="00C1200A">
        <w:rPr>
          <w:rFonts w:asciiTheme="minorHAnsi" w:hAnsiTheme="minorHAnsi" w:cs="Arial"/>
          <w:sz w:val="24"/>
          <w:szCs w:val="24"/>
        </w:rPr>
        <w:t>podpůrné nástroje (např. Karta rizikových PP).</w:t>
      </w:r>
      <w:r w:rsidR="000C0E01">
        <w:rPr>
          <w:rFonts w:asciiTheme="minorHAnsi" w:hAnsiTheme="minorHAnsi" w:cs="Arial"/>
          <w:sz w:val="24"/>
          <w:szCs w:val="24"/>
        </w:rPr>
        <w:t xml:space="preserve"> </w:t>
      </w:r>
      <w:r w:rsidR="00BB77A7">
        <w:rPr>
          <w:rFonts w:asciiTheme="minorHAnsi" w:hAnsiTheme="minorHAnsi" w:cs="Arial"/>
          <w:sz w:val="24"/>
          <w:szCs w:val="24"/>
        </w:rPr>
        <w:t xml:space="preserve">Vzhledem k možnému zpoždění v naplňování předběžných podmínek a </w:t>
      </w:r>
      <w:r w:rsidR="00CD5CFF">
        <w:rPr>
          <w:rFonts w:asciiTheme="minorHAnsi" w:hAnsiTheme="minorHAnsi" w:cs="Arial"/>
          <w:sz w:val="24"/>
          <w:szCs w:val="24"/>
        </w:rPr>
        <w:t xml:space="preserve">hodnocení programů Komisí v roce 2014, bude případně tato fáze přesahovat i do roku 2014 – do momentu, kdy budou programy EK schváleny, a to včetně schválení naplňování předběžných podmínek i harmonogramu </w:t>
      </w:r>
      <w:r w:rsidR="009017CC">
        <w:rPr>
          <w:rFonts w:asciiTheme="minorHAnsi" w:hAnsiTheme="minorHAnsi" w:cs="Arial"/>
          <w:sz w:val="24"/>
          <w:szCs w:val="24"/>
        </w:rPr>
        <w:br/>
      </w:r>
      <w:r w:rsidR="00CD5CFF">
        <w:rPr>
          <w:rFonts w:asciiTheme="minorHAnsi" w:hAnsiTheme="minorHAnsi" w:cs="Arial"/>
          <w:sz w:val="24"/>
          <w:szCs w:val="24"/>
        </w:rPr>
        <w:t>a opatření u částečně splněných či nesplněných s výhledem do roku 2016.</w:t>
      </w:r>
    </w:p>
    <w:p w:rsidR="001F6306" w:rsidRDefault="00175FC4" w:rsidP="001F6306">
      <w:pPr>
        <w:spacing w:before="60" w:after="60" w:line="288" w:lineRule="auto"/>
        <w:rPr>
          <w:rFonts w:asciiTheme="minorHAnsi" w:hAnsiTheme="minorHAnsi" w:cs="Arial"/>
          <w:sz w:val="24"/>
          <w:szCs w:val="24"/>
        </w:rPr>
      </w:pPr>
      <w:r w:rsidRPr="00175FC4">
        <w:rPr>
          <w:rFonts w:asciiTheme="minorHAnsi" w:hAnsiTheme="minorHAnsi"/>
          <w:sz w:val="24"/>
          <w:szCs w:val="24"/>
        </w:rPr>
        <w:t>Ministerstv</w:t>
      </w:r>
      <w:r>
        <w:rPr>
          <w:rFonts w:asciiTheme="minorHAnsi" w:hAnsiTheme="minorHAnsi"/>
          <w:sz w:val="24"/>
          <w:szCs w:val="24"/>
        </w:rPr>
        <w:t>o</w:t>
      </w:r>
      <w:r w:rsidRPr="00175FC4">
        <w:rPr>
          <w:rFonts w:asciiTheme="minorHAnsi" w:hAnsiTheme="minorHAnsi"/>
          <w:sz w:val="24"/>
          <w:szCs w:val="24"/>
        </w:rPr>
        <w:t xml:space="preserve"> pro místní rozvoj </w:t>
      </w:r>
      <w:r w:rsidR="008B6667">
        <w:rPr>
          <w:rFonts w:asciiTheme="minorHAnsi" w:hAnsiTheme="minorHAnsi" w:cs="Arial"/>
          <w:sz w:val="24"/>
          <w:szCs w:val="24"/>
        </w:rPr>
        <w:t xml:space="preserve">využívá v této fázi </w:t>
      </w:r>
      <w:r w:rsidR="001F6306">
        <w:rPr>
          <w:rFonts w:asciiTheme="minorHAnsi" w:hAnsiTheme="minorHAnsi" w:cs="Arial"/>
          <w:sz w:val="24"/>
          <w:szCs w:val="24"/>
        </w:rPr>
        <w:t xml:space="preserve">projednávání na platformách určených k přípravě Dohody o partnerství a dílčích programů (zejména PS pro přípravu Dohody </w:t>
      </w:r>
      <w:r w:rsidR="009017CC">
        <w:rPr>
          <w:rFonts w:asciiTheme="minorHAnsi" w:hAnsiTheme="minorHAnsi" w:cs="Arial"/>
          <w:sz w:val="24"/>
          <w:szCs w:val="24"/>
        </w:rPr>
        <w:br/>
      </w:r>
      <w:r w:rsidR="001F6306">
        <w:rPr>
          <w:rFonts w:asciiTheme="minorHAnsi" w:hAnsiTheme="minorHAnsi" w:cs="Arial"/>
          <w:sz w:val="24"/>
          <w:szCs w:val="24"/>
        </w:rPr>
        <w:t xml:space="preserve">o partnerství, </w:t>
      </w:r>
      <w:r w:rsidR="001F6306" w:rsidRPr="0013794C">
        <w:rPr>
          <w:rFonts w:asciiTheme="minorHAnsi" w:hAnsiTheme="minorHAnsi" w:cs="Arial"/>
          <w:sz w:val="24"/>
          <w:szCs w:val="24"/>
        </w:rPr>
        <w:t>P</w:t>
      </w:r>
      <w:r w:rsidR="001F6306">
        <w:rPr>
          <w:rFonts w:asciiTheme="minorHAnsi" w:hAnsiTheme="minorHAnsi" w:cs="Arial"/>
          <w:sz w:val="24"/>
          <w:szCs w:val="24"/>
        </w:rPr>
        <w:t>S</w:t>
      </w:r>
      <w:r w:rsidR="001F6306" w:rsidRPr="0013794C">
        <w:rPr>
          <w:rFonts w:asciiTheme="minorHAnsi" w:hAnsiTheme="minorHAnsi" w:cs="Arial"/>
          <w:sz w:val="24"/>
          <w:szCs w:val="24"/>
        </w:rPr>
        <w:t xml:space="preserve"> k rozpracování programů 2014-2020</w:t>
      </w:r>
      <w:r w:rsidR="001F6306">
        <w:rPr>
          <w:rFonts w:asciiTheme="minorHAnsi" w:hAnsiTheme="minorHAnsi" w:cs="Arial"/>
          <w:sz w:val="24"/>
          <w:szCs w:val="24"/>
        </w:rPr>
        <w:t>, dílčí platformy na úrovni řídících orgánů</w:t>
      </w:r>
      <w:r w:rsidR="00137D07">
        <w:rPr>
          <w:rFonts w:asciiTheme="minorHAnsi" w:hAnsiTheme="minorHAnsi" w:cs="Arial"/>
          <w:sz w:val="24"/>
          <w:szCs w:val="24"/>
        </w:rPr>
        <w:t xml:space="preserve"> </w:t>
      </w:r>
      <w:r w:rsidR="001F6306">
        <w:rPr>
          <w:rFonts w:asciiTheme="minorHAnsi" w:hAnsiTheme="minorHAnsi" w:cs="Arial"/>
          <w:sz w:val="24"/>
          <w:szCs w:val="24"/>
        </w:rPr>
        <w:t xml:space="preserve">atd.). Problematické předběžné podmínky, u kterých je riziko nedodržení termínu </w:t>
      </w:r>
      <w:r w:rsidR="009017CC">
        <w:rPr>
          <w:rFonts w:asciiTheme="minorHAnsi" w:hAnsiTheme="minorHAnsi" w:cs="Arial"/>
          <w:sz w:val="24"/>
          <w:szCs w:val="24"/>
        </w:rPr>
        <w:br/>
      </w:r>
      <w:r w:rsidR="001F6306">
        <w:rPr>
          <w:rFonts w:asciiTheme="minorHAnsi" w:hAnsiTheme="minorHAnsi" w:cs="Arial"/>
          <w:sz w:val="24"/>
          <w:szCs w:val="24"/>
        </w:rPr>
        <w:t>či jejich nesplnění obecně, budou případně projednávány na dvoustranných či vícestranných jednání.</w:t>
      </w:r>
      <w:r w:rsidR="00C1200A">
        <w:rPr>
          <w:rFonts w:asciiTheme="minorHAnsi" w:hAnsiTheme="minorHAnsi" w:cs="Arial"/>
          <w:sz w:val="24"/>
          <w:szCs w:val="24"/>
        </w:rPr>
        <w:t xml:space="preserve"> V měsíci července je plánováno svolání technického jednání k</w:t>
      </w:r>
      <w:r w:rsidR="00EC0020">
        <w:rPr>
          <w:rFonts w:asciiTheme="minorHAnsi" w:hAnsiTheme="minorHAnsi" w:cs="Arial"/>
          <w:sz w:val="24"/>
          <w:szCs w:val="24"/>
        </w:rPr>
        <w:t> </w:t>
      </w:r>
      <w:r w:rsidR="00C1200A">
        <w:rPr>
          <w:rFonts w:asciiTheme="minorHAnsi" w:hAnsiTheme="minorHAnsi" w:cs="Arial"/>
          <w:sz w:val="24"/>
          <w:szCs w:val="24"/>
        </w:rPr>
        <w:t>napl</w:t>
      </w:r>
      <w:r w:rsidR="00EC0020">
        <w:rPr>
          <w:rFonts w:asciiTheme="minorHAnsi" w:hAnsiTheme="minorHAnsi" w:cs="Arial"/>
          <w:sz w:val="24"/>
          <w:szCs w:val="24"/>
        </w:rPr>
        <w:t>ňování obecných předběžných podmínek.</w:t>
      </w:r>
    </w:p>
    <w:p w:rsidR="008B6667" w:rsidRPr="006C29B2" w:rsidRDefault="008B6667" w:rsidP="008B6667">
      <w:pPr>
        <w:spacing w:before="60" w:after="60" w:line="288" w:lineRule="auto"/>
        <w:rPr>
          <w:rFonts w:asciiTheme="minorHAnsi" w:hAnsiTheme="minorHAnsi" w:cs="Arial"/>
          <w:sz w:val="24"/>
          <w:szCs w:val="24"/>
        </w:rPr>
      </w:pPr>
      <w:r>
        <w:rPr>
          <w:rFonts w:asciiTheme="minorHAnsi" w:hAnsiTheme="minorHAnsi" w:cs="Arial"/>
          <w:sz w:val="24"/>
          <w:szCs w:val="24"/>
        </w:rPr>
        <w:t xml:space="preserve">Jednání budou probíhat </w:t>
      </w:r>
      <w:r w:rsidRPr="008B6667">
        <w:rPr>
          <w:rFonts w:asciiTheme="minorHAnsi" w:hAnsiTheme="minorHAnsi" w:cs="Arial"/>
          <w:sz w:val="24"/>
          <w:szCs w:val="24"/>
        </w:rPr>
        <w:t>v předem definovaných intervalech</w:t>
      </w:r>
      <w:r>
        <w:rPr>
          <w:rFonts w:asciiTheme="minorHAnsi" w:hAnsiTheme="minorHAnsi" w:cs="Arial"/>
          <w:sz w:val="24"/>
          <w:szCs w:val="24"/>
        </w:rPr>
        <w:t>, a to s ohledem na celkový časový rámec a stav schvalování důležitých strategických dokumentů</w:t>
      </w:r>
      <w:r w:rsidR="009D5532">
        <w:rPr>
          <w:rFonts w:asciiTheme="minorHAnsi" w:hAnsiTheme="minorHAnsi" w:cs="Arial"/>
          <w:sz w:val="24"/>
          <w:szCs w:val="24"/>
        </w:rPr>
        <w:t>,</w:t>
      </w:r>
      <w:r>
        <w:rPr>
          <w:rFonts w:asciiTheme="minorHAnsi" w:hAnsiTheme="minorHAnsi" w:cs="Arial"/>
          <w:sz w:val="24"/>
          <w:szCs w:val="24"/>
        </w:rPr>
        <w:t xml:space="preserve"> legislativních aktů</w:t>
      </w:r>
      <w:r w:rsidR="009D5532">
        <w:rPr>
          <w:rFonts w:asciiTheme="minorHAnsi" w:hAnsiTheme="minorHAnsi" w:cs="Arial"/>
          <w:sz w:val="24"/>
          <w:szCs w:val="24"/>
        </w:rPr>
        <w:t xml:space="preserve"> </w:t>
      </w:r>
      <w:r w:rsidR="009017CC">
        <w:rPr>
          <w:rFonts w:asciiTheme="minorHAnsi" w:hAnsiTheme="minorHAnsi" w:cs="Arial"/>
          <w:sz w:val="24"/>
          <w:szCs w:val="24"/>
        </w:rPr>
        <w:br/>
      </w:r>
      <w:r w:rsidR="009D5532">
        <w:rPr>
          <w:rFonts w:asciiTheme="minorHAnsi" w:hAnsiTheme="minorHAnsi" w:cs="Arial"/>
          <w:sz w:val="24"/>
          <w:szCs w:val="24"/>
        </w:rPr>
        <w:t>a milníků spojených s postupem na úrovni EU</w:t>
      </w:r>
      <w:r>
        <w:rPr>
          <w:rFonts w:asciiTheme="minorHAnsi" w:hAnsiTheme="minorHAnsi" w:cs="Arial"/>
          <w:sz w:val="24"/>
          <w:szCs w:val="24"/>
        </w:rPr>
        <w:t>.</w:t>
      </w:r>
    </w:p>
    <w:p w:rsidR="00CF2082" w:rsidRPr="00F40812" w:rsidRDefault="000D2C50" w:rsidP="000D2C50">
      <w:pPr>
        <w:spacing w:before="60" w:after="60" w:line="288" w:lineRule="auto"/>
        <w:rPr>
          <w:rFonts w:asciiTheme="minorHAnsi" w:hAnsiTheme="minorHAnsi" w:cs="Arial"/>
          <w:sz w:val="24"/>
          <w:szCs w:val="24"/>
        </w:rPr>
      </w:pPr>
      <w:r w:rsidRPr="00940BEE">
        <w:rPr>
          <w:rFonts w:asciiTheme="minorHAnsi" w:hAnsiTheme="minorHAnsi" w:cs="Arial"/>
          <w:sz w:val="24"/>
          <w:szCs w:val="24"/>
        </w:rPr>
        <w:t>V</w:t>
      </w:r>
      <w:r w:rsidR="00880E17">
        <w:rPr>
          <w:rFonts w:asciiTheme="minorHAnsi" w:hAnsiTheme="minorHAnsi" w:cs="Arial"/>
          <w:sz w:val="24"/>
          <w:szCs w:val="24"/>
        </w:rPr>
        <w:t> </w:t>
      </w:r>
      <w:r w:rsidRPr="00940BEE">
        <w:rPr>
          <w:rFonts w:asciiTheme="minorHAnsi" w:hAnsiTheme="minorHAnsi" w:cs="Arial"/>
          <w:sz w:val="24"/>
          <w:szCs w:val="24"/>
        </w:rPr>
        <w:t>případě</w:t>
      </w:r>
      <w:r w:rsidR="00880E17">
        <w:rPr>
          <w:rFonts w:asciiTheme="minorHAnsi" w:hAnsiTheme="minorHAnsi" w:cs="Arial"/>
          <w:sz w:val="24"/>
          <w:szCs w:val="24"/>
        </w:rPr>
        <w:t xml:space="preserve"> potřeby ustaví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sidRPr="00940BEE">
        <w:rPr>
          <w:rFonts w:asciiTheme="minorHAnsi" w:hAnsiTheme="minorHAnsi" w:cs="Arial"/>
          <w:sz w:val="24"/>
          <w:szCs w:val="24"/>
        </w:rPr>
        <w:t>speci</w:t>
      </w:r>
      <w:r w:rsidR="008B0321">
        <w:rPr>
          <w:rFonts w:asciiTheme="minorHAnsi" w:hAnsiTheme="minorHAnsi" w:cs="Arial"/>
          <w:sz w:val="24"/>
          <w:szCs w:val="24"/>
        </w:rPr>
        <w:t>fickou</w:t>
      </w:r>
      <w:r w:rsidRPr="00940BEE">
        <w:rPr>
          <w:rFonts w:asciiTheme="minorHAnsi" w:hAnsiTheme="minorHAnsi" w:cs="Arial"/>
          <w:sz w:val="24"/>
          <w:szCs w:val="24"/>
        </w:rPr>
        <w:t xml:space="preserve"> pracovní skupin</w:t>
      </w:r>
      <w:r w:rsidR="00204438">
        <w:rPr>
          <w:rFonts w:asciiTheme="minorHAnsi" w:hAnsiTheme="minorHAnsi" w:cs="Arial"/>
          <w:sz w:val="24"/>
          <w:szCs w:val="24"/>
        </w:rPr>
        <w:t>u</w:t>
      </w:r>
      <w:r w:rsidR="008B0321">
        <w:rPr>
          <w:rFonts w:asciiTheme="minorHAnsi" w:hAnsiTheme="minorHAnsi" w:cs="Arial"/>
          <w:sz w:val="24"/>
          <w:szCs w:val="24"/>
        </w:rPr>
        <w:t xml:space="preserve"> / platformu</w:t>
      </w:r>
      <w:r w:rsidRPr="00940BEE">
        <w:rPr>
          <w:rFonts w:asciiTheme="minorHAnsi" w:hAnsiTheme="minorHAnsi" w:cs="Arial"/>
          <w:sz w:val="24"/>
          <w:szCs w:val="24"/>
        </w:rPr>
        <w:t xml:space="preserve"> pro </w:t>
      </w:r>
      <w:r>
        <w:rPr>
          <w:rFonts w:asciiTheme="minorHAnsi" w:hAnsiTheme="minorHAnsi" w:cs="Arial"/>
          <w:sz w:val="24"/>
          <w:szCs w:val="24"/>
        </w:rPr>
        <w:t xml:space="preserve">předběžné podmínky, </w:t>
      </w:r>
      <w:r w:rsidR="00880E17">
        <w:rPr>
          <w:rFonts w:asciiTheme="minorHAnsi" w:hAnsiTheme="minorHAnsi" w:cs="Arial"/>
          <w:sz w:val="24"/>
          <w:szCs w:val="24"/>
        </w:rPr>
        <w:t xml:space="preserve">a to za účasti zástupců </w:t>
      </w:r>
      <w:r w:rsidR="00175FC4" w:rsidRPr="00175FC4">
        <w:rPr>
          <w:rFonts w:asciiTheme="minorHAnsi" w:hAnsiTheme="minorHAnsi"/>
          <w:sz w:val="24"/>
          <w:szCs w:val="24"/>
        </w:rPr>
        <w:t>Ministerstv</w:t>
      </w:r>
      <w:r w:rsidR="00175FC4">
        <w:rPr>
          <w:rFonts w:asciiTheme="minorHAnsi" w:hAnsiTheme="minorHAnsi"/>
          <w:sz w:val="24"/>
          <w:szCs w:val="24"/>
        </w:rPr>
        <w:t>a</w:t>
      </w:r>
      <w:r w:rsidR="00175FC4" w:rsidRPr="00175FC4">
        <w:rPr>
          <w:rFonts w:asciiTheme="minorHAnsi" w:hAnsiTheme="minorHAnsi"/>
          <w:sz w:val="24"/>
          <w:szCs w:val="24"/>
        </w:rPr>
        <w:t xml:space="preserve"> pro místní rozvoj</w:t>
      </w:r>
      <w:r w:rsidR="00880E17" w:rsidRPr="00940BEE">
        <w:rPr>
          <w:rFonts w:asciiTheme="minorHAnsi" w:hAnsiTheme="minorHAnsi" w:cs="Arial"/>
          <w:sz w:val="24"/>
          <w:szCs w:val="24"/>
        </w:rPr>
        <w:t xml:space="preserve">, </w:t>
      </w:r>
      <w:r w:rsidR="00880E17">
        <w:rPr>
          <w:rFonts w:asciiTheme="minorHAnsi" w:hAnsiTheme="minorHAnsi" w:cs="Arial"/>
          <w:sz w:val="24"/>
          <w:szCs w:val="24"/>
        </w:rPr>
        <w:t xml:space="preserve">zástupců řídících orgánů, případně </w:t>
      </w:r>
      <w:r w:rsidR="00880E17" w:rsidRPr="00940BEE">
        <w:rPr>
          <w:rFonts w:asciiTheme="minorHAnsi" w:hAnsiTheme="minorHAnsi" w:cs="Arial"/>
          <w:sz w:val="24"/>
          <w:szCs w:val="24"/>
        </w:rPr>
        <w:t xml:space="preserve">gestorů </w:t>
      </w:r>
      <w:r w:rsidR="00880E17">
        <w:rPr>
          <w:rFonts w:asciiTheme="minorHAnsi" w:hAnsiTheme="minorHAnsi" w:cs="Arial"/>
          <w:sz w:val="24"/>
          <w:szCs w:val="24"/>
        </w:rPr>
        <w:t xml:space="preserve">a spolugestorů </w:t>
      </w:r>
      <w:r w:rsidR="00880E17" w:rsidRPr="00940BEE">
        <w:rPr>
          <w:rFonts w:asciiTheme="minorHAnsi" w:hAnsiTheme="minorHAnsi" w:cs="Arial"/>
          <w:sz w:val="24"/>
          <w:szCs w:val="24"/>
        </w:rPr>
        <w:t xml:space="preserve">jednotlivých předběžných podmínek </w:t>
      </w:r>
      <w:r w:rsidR="00880E17">
        <w:rPr>
          <w:rFonts w:asciiTheme="minorHAnsi" w:hAnsiTheme="minorHAnsi" w:cs="Arial"/>
          <w:sz w:val="24"/>
          <w:szCs w:val="24"/>
        </w:rPr>
        <w:t xml:space="preserve">a </w:t>
      </w:r>
      <w:r w:rsidR="00880E17" w:rsidRPr="00940BEE">
        <w:rPr>
          <w:rFonts w:asciiTheme="minorHAnsi" w:hAnsiTheme="minorHAnsi" w:cs="Arial"/>
          <w:sz w:val="24"/>
          <w:szCs w:val="24"/>
        </w:rPr>
        <w:t xml:space="preserve">dotčených </w:t>
      </w:r>
      <w:r w:rsidR="00880E17">
        <w:rPr>
          <w:rFonts w:asciiTheme="minorHAnsi" w:hAnsiTheme="minorHAnsi" w:cs="Arial"/>
          <w:sz w:val="24"/>
          <w:szCs w:val="24"/>
        </w:rPr>
        <w:t>subjektů podílejících se na implementaci fondů SSR.</w:t>
      </w:r>
    </w:p>
    <w:p w:rsidR="002656F3" w:rsidRPr="007C3B6D" w:rsidRDefault="002656F3" w:rsidP="007C3B6D">
      <w:pPr>
        <w:pBdr>
          <w:top w:val="single" w:sz="4" w:space="1" w:color="auto"/>
          <w:left w:val="single" w:sz="4" w:space="0" w:color="auto"/>
          <w:bottom w:val="single" w:sz="4" w:space="1" w:color="auto"/>
          <w:right w:val="single" w:sz="4" w:space="4" w:color="auto"/>
        </w:pBdr>
        <w:shd w:val="clear" w:color="auto" w:fill="DBE5F1" w:themeFill="accent1" w:themeFillTint="33"/>
        <w:spacing w:before="240" w:after="60" w:line="288" w:lineRule="auto"/>
        <w:rPr>
          <w:rFonts w:asciiTheme="minorHAnsi" w:hAnsiTheme="minorHAnsi" w:cs="Arial"/>
          <w:b/>
          <w:sz w:val="24"/>
          <w:szCs w:val="24"/>
        </w:rPr>
      </w:pPr>
      <w:r w:rsidRPr="007C3B6D">
        <w:rPr>
          <w:rFonts w:asciiTheme="minorHAnsi" w:hAnsiTheme="minorHAnsi" w:cs="Arial"/>
          <w:b/>
          <w:sz w:val="24"/>
          <w:szCs w:val="24"/>
        </w:rPr>
        <w:t>Fáze</w:t>
      </w:r>
      <w:r w:rsidR="000C0E01">
        <w:rPr>
          <w:rFonts w:asciiTheme="minorHAnsi" w:hAnsiTheme="minorHAnsi" w:cs="Arial"/>
          <w:b/>
          <w:sz w:val="24"/>
          <w:szCs w:val="24"/>
        </w:rPr>
        <w:t xml:space="preserve"> III</w:t>
      </w:r>
      <w:r w:rsidR="00804B92" w:rsidRPr="007C3B6D">
        <w:rPr>
          <w:rFonts w:asciiTheme="minorHAnsi" w:hAnsiTheme="minorHAnsi" w:cs="Arial"/>
          <w:b/>
          <w:sz w:val="24"/>
          <w:szCs w:val="24"/>
        </w:rPr>
        <w:t xml:space="preserve">: Řízení a koordinace </w:t>
      </w:r>
      <w:r w:rsidR="004B0D4D">
        <w:rPr>
          <w:rFonts w:asciiTheme="minorHAnsi" w:hAnsiTheme="minorHAnsi" w:cs="Arial"/>
          <w:b/>
          <w:sz w:val="24"/>
          <w:szCs w:val="24"/>
        </w:rPr>
        <w:t>předběžných podmínek</w:t>
      </w:r>
      <w:r w:rsidR="00804B92" w:rsidRPr="007C3B6D">
        <w:rPr>
          <w:rFonts w:asciiTheme="minorHAnsi" w:hAnsiTheme="minorHAnsi" w:cs="Arial"/>
          <w:b/>
          <w:sz w:val="24"/>
          <w:szCs w:val="24"/>
        </w:rPr>
        <w:t xml:space="preserve"> po spuštění programů a </w:t>
      </w:r>
      <w:r w:rsidR="00183D91">
        <w:rPr>
          <w:rFonts w:asciiTheme="minorHAnsi" w:hAnsiTheme="minorHAnsi" w:cs="Arial"/>
          <w:b/>
          <w:sz w:val="24"/>
          <w:szCs w:val="24"/>
        </w:rPr>
        <w:t xml:space="preserve">v rámci </w:t>
      </w:r>
      <w:r w:rsidR="00804B92" w:rsidRPr="007C3B6D">
        <w:rPr>
          <w:rFonts w:asciiTheme="minorHAnsi" w:hAnsiTheme="minorHAnsi" w:cs="Arial"/>
          <w:b/>
          <w:sz w:val="24"/>
          <w:szCs w:val="24"/>
        </w:rPr>
        <w:t>jejich realizace</w:t>
      </w:r>
    </w:p>
    <w:p w:rsidR="00836BB7" w:rsidRPr="004D3422" w:rsidRDefault="00836BB7" w:rsidP="00F86357">
      <w:pPr>
        <w:spacing w:before="120" w:after="60" w:line="288" w:lineRule="auto"/>
        <w:rPr>
          <w:rFonts w:asciiTheme="minorHAnsi" w:hAnsiTheme="minorHAnsi" w:cs="Arial"/>
          <w:sz w:val="24"/>
          <w:szCs w:val="24"/>
          <w:u w:val="single"/>
        </w:rPr>
      </w:pPr>
      <w:r w:rsidRPr="004D3422">
        <w:rPr>
          <w:rFonts w:asciiTheme="minorHAnsi" w:hAnsiTheme="minorHAnsi" w:cs="Arial"/>
          <w:sz w:val="24"/>
          <w:szCs w:val="24"/>
          <w:u w:val="single"/>
        </w:rPr>
        <w:t>Popis</w:t>
      </w:r>
    </w:p>
    <w:p w:rsidR="00057A7D" w:rsidRDefault="004D3422" w:rsidP="004D3422">
      <w:pPr>
        <w:spacing w:before="60" w:after="60" w:line="288" w:lineRule="auto"/>
        <w:rPr>
          <w:rFonts w:asciiTheme="minorHAnsi" w:hAnsiTheme="minorHAnsi" w:cs="Arial"/>
          <w:sz w:val="24"/>
          <w:szCs w:val="24"/>
        </w:rPr>
      </w:pPr>
      <w:r>
        <w:rPr>
          <w:rFonts w:asciiTheme="minorHAnsi" w:hAnsiTheme="minorHAnsi" w:cs="Arial"/>
          <w:sz w:val="24"/>
          <w:szCs w:val="24"/>
        </w:rPr>
        <w:t xml:space="preserve">Po schválení jednotlivých programů a Dohody o partnerství </w:t>
      </w:r>
      <w:r w:rsidR="008A3304">
        <w:rPr>
          <w:rFonts w:asciiTheme="minorHAnsi" w:hAnsiTheme="minorHAnsi" w:cs="Arial"/>
          <w:sz w:val="24"/>
          <w:szCs w:val="24"/>
        </w:rPr>
        <w:t xml:space="preserve">Komisí </w:t>
      </w:r>
      <w:r>
        <w:rPr>
          <w:rFonts w:asciiTheme="minorHAnsi" w:hAnsiTheme="minorHAnsi" w:cs="Arial"/>
          <w:sz w:val="24"/>
          <w:szCs w:val="24"/>
        </w:rPr>
        <w:t>se spustí samotná implementace fondů SSR. Předběžné podmínky, které nebyly splněny</w:t>
      </w:r>
      <w:r w:rsidR="00057A7D">
        <w:rPr>
          <w:rFonts w:asciiTheme="minorHAnsi" w:hAnsiTheme="minorHAnsi" w:cs="Arial"/>
          <w:sz w:val="24"/>
          <w:szCs w:val="24"/>
        </w:rPr>
        <w:t>,</w:t>
      </w:r>
      <w:r>
        <w:rPr>
          <w:rFonts w:asciiTheme="minorHAnsi" w:hAnsiTheme="minorHAnsi" w:cs="Arial"/>
          <w:sz w:val="24"/>
          <w:szCs w:val="24"/>
        </w:rPr>
        <w:t xml:space="preserve"> budou podléhat pravidelnému vyhodnocování a informování o jejich stavu</w:t>
      </w:r>
      <w:r w:rsidR="00124EA1">
        <w:rPr>
          <w:rFonts w:asciiTheme="minorHAnsi" w:hAnsiTheme="minorHAnsi" w:cs="Arial"/>
          <w:sz w:val="24"/>
          <w:szCs w:val="24"/>
        </w:rPr>
        <w:t xml:space="preserve"> a to jak směrem k Evropské komisi tak i směrem k řídícím orgánům a </w:t>
      </w:r>
      <w:r w:rsidR="00175FC4" w:rsidRPr="00175FC4">
        <w:rPr>
          <w:rFonts w:asciiTheme="minorHAnsi" w:hAnsiTheme="minorHAnsi"/>
          <w:sz w:val="24"/>
          <w:szCs w:val="24"/>
        </w:rPr>
        <w:t>Ministerstv</w:t>
      </w:r>
      <w:r w:rsidR="00175FC4">
        <w:rPr>
          <w:rFonts w:asciiTheme="minorHAnsi" w:hAnsiTheme="minorHAnsi"/>
          <w:sz w:val="24"/>
          <w:szCs w:val="24"/>
        </w:rPr>
        <w:t>u</w:t>
      </w:r>
      <w:r w:rsidR="00175FC4" w:rsidRPr="00175FC4">
        <w:rPr>
          <w:rFonts w:asciiTheme="minorHAnsi" w:hAnsiTheme="minorHAnsi"/>
          <w:sz w:val="24"/>
          <w:szCs w:val="24"/>
        </w:rPr>
        <w:t xml:space="preserve"> pro místní rozvoj</w:t>
      </w:r>
      <w:r w:rsidR="00124EA1">
        <w:rPr>
          <w:rFonts w:asciiTheme="minorHAnsi" w:hAnsiTheme="minorHAnsi" w:cs="Arial"/>
          <w:sz w:val="24"/>
          <w:szCs w:val="24"/>
        </w:rPr>
        <w:t>.</w:t>
      </w:r>
    </w:p>
    <w:p w:rsidR="00836BB7" w:rsidRPr="000A66AB" w:rsidRDefault="00836BB7" w:rsidP="00836BB7">
      <w:pPr>
        <w:spacing w:before="180" w:after="60" w:line="288" w:lineRule="auto"/>
        <w:rPr>
          <w:rFonts w:asciiTheme="minorHAnsi" w:hAnsiTheme="minorHAnsi" w:cs="Arial"/>
          <w:sz w:val="24"/>
          <w:szCs w:val="24"/>
          <w:u w:val="single"/>
        </w:rPr>
      </w:pPr>
      <w:r w:rsidRPr="000A66AB">
        <w:rPr>
          <w:rFonts w:asciiTheme="minorHAnsi" w:hAnsiTheme="minorHAnsi" w:cs="Arial"/>
          <w:sz w:val="24"/>
          <w:szCs w:val="24"/>
          <w:u w:val="single"/>
        </w:rPr>
        <w:t>Odpovědnosti</w:t>
      </w:r>
    </w:p>
    <w:p w:rsidR="000A66AB" w:rsidRPr="00736615" w:rsidRDefault="000A66AB" w:rsidP="000A66AB">
      <w:pPr>
        <w:spacing w:before="60" w:after="60" w:line="288" w:lineRule="auto"/>
        <w:rPr>
          <w:rFonts w:asciiTheme="minorHAnsi" w:hAnsiTheme="minorHAnsi"/>
          <w:sz w:val="24"/>
          <w:szCs w:val="24"/>
          <w:u w:color="000000"/>
        </w:rPr>
      </w:pPr>
      <w:r>
        <w:rPr>
          <w:rFonts w:asciiTheme="minorHAnsi" w:hAnsiTheme="minorHAnsi"/>
          <w:sz w:val="24"/>
          <w:szCs w:val="24"/>
          <w:u w:color="000000"/>
        </w:rPr>
        <w:t xml:space="preserve">Odpovědnosti u </w:t>
      </w:r>
      <w:r w:rsidR="00175FC4" w:rsidRPr="00175FC4">
        <w:rPr>
          <w:rFonts w:asciiTheme="minorHAnsi" w:hAnsiTheme="minorHAnsi"/>
          <w:sz w:val="24"/>
          <w:szCs w:val="24"/>
        </w:rPr>
        <w:t>Ministerstv</w:t>
      </w:r>
      <w:r w:rsidR="00175FC4">
        <w:rPr>
          <w:rFonts w:asciiTheme="minorHAnsi" w:hAnsiTheme="minorHAnsi"/>
          <w:sz w:val="24"/>
          <w:szCs w:val="24"/>
        </w:rPr>
        <w:t>a</w:t>
      </w:r>
      <w:r w:rsidR="00175FC4" w:rsidRPr="00175FC4">
        <w:rPr>
          <w:rFonts w:asciiTheme="minorHAnsi" w:hAnsiTheme="minorHAnsi"/>
          <w:sz w:val="24"/>
          <w:szCs w:val="24"/>
        </w:rPr>
        <w:t xml:space="preserve"> pro místní rozvoj</w:t>
      </w:r>
      <w:r>
        <w:rPr>
          <w:rFonts w:asciiTheme="minorHAnsi" w:hAnsiTheme="minorHAnsi"/>
          <w:sz w:val="24"/>
          <w:szCs w:val="24"/>
          <w:u w:color="000000"/>
        </w:rPr>
        <w:t>, řídících orgánů, gestorů a spolugestorů definované již ve fázi I</w:t>
      </w:r>
      <w:r w:rsidR="00FB5B08">
        <w:rPr>
          <w:rFonts w:asciiTheme="minorHAnsi" w:hAnsiTheme="minorHAnsi"/>
          <w:sz w:val="24"/>
          <w:szCs w:val="24"/>
          <w:u w:color="000000"/>
        </w:rPr>
        <w:t>. a II.</w:t>
      </w:r>
      <w:r>
        <w:rPr>
          <w:rFonts w:asciiTheme="minorHAnsi" w:hAnsiTheme="minorHAnsi"/>
          <w:sz w:val="24"/>
          <w:szCs w:val="24"/>
          <w:u w:color="000000"/>
        </w:rPr>
        <w:t xml:space="preserve"> jsou platné pro celé údobí jak přípravy, tak i realizace </w:t>
      </w:r>
      <w:r w:rsidR="00C80B66">
        <w:rPr>
          <w:rFonts w:asciiTheme="minorHAnsi" w:hAnsiTheme="minorHAnsi"/>
          <w:sz w:val="24"/>
          <w:szCs w:val="24"/>
          <w:u w:color="000000"/>
        </w:rPr>
        <w:t>SSR</w:t>
      </w:r>
      <w:r w:rsidR="00137D07">
        <w:rPr>
          <w:rFonts w:asciiTheme="minorHAnsi" w:hAnsiTheme="minorHAnsi"/>
          <w:sz w:val="24"/>
          <w:szCs w:val="24"/>
          <w:u w:color="000000"/>
        </w:rPr>
        <w:t xml:space="preserve"> </w:t>
      </w:r>
      <w:r>
        <w:rPr>
          <w:rFonts w:asciiTheme="minorHAnsi" w:hAnsiTheme="minorHAnsi"/>
          <w:sz w:val="24"/>
          <w:szCs w:val="24"/>
          <w:u w:color="000000"/>
        </w:rPr>
        <w:t>fondů.</w:t>
      </w:r>
    </w:p>
    <w:p w:rsidR="00B47527" w:rsidRPr="00B42211" w:rsidRDefault="00B47527" w:rsidP="00B47527">
      <w:pPr>
        <w:spacing w:before="180" w:after="60" w:line="288" w:lineRule="auto"/>
        <w:rPr>
          <w:rFonts w:asciiTheme="minorHAnsi" w:hAnsiTheme="minorHAnsi" w:cs="Arial"/>
          <w:sz w:val="24"/>
          <w:szCs w:val="24"/>
          <w:u w:val="single"/>
        </w:rPr>
      </w:pPr>
      <w:r w:rsidRPr="00B42211">
        <w:rPr>
          <w:rFonts w:asciiTheme="minorHAnsi" w:hAnsiTheme="minorHAnsi" w:cs="Arial"/>
          <w:sz w:val="24"/>
          <w:szCs w:val="24"/>
          <w:u w:val="single"/>
        </w:rPr>
        <w:t>Milníky a nástroje</w:t>
      </w:r>
    </w:p>
    <w:p w:rsidR="00B42211" w:rsidRPr="00B5010A" w:rsidRDefault="00B42211" w:rsidP="00B42211">
      <w:pPr>
        <w:spacing w:before="60" w:after="60" w:line="288" w:lineRule="auto"/>
        <w:rPr>
          <w:rFonts w:asciiTheme="minorHAnsi" w:hAnsiTheme="minorHAnsi" w:cs="Arial"/>
          <w:sz w:val="24"/>
          <w:szCs w:val="24"/>
        </w:rPr>
      </w:pPr>
      <w:r>
        <w:rPr>
          <w:rFonts w:asciiTheme="minorHAnsi" w:hAnsiTheme="minorHAnsi" w:cs="Arial"/>
          <w:sz w:val="24"/>
          <w:szCs w:val="24"/>
        </w:rPr>
        <w:t xml:space="preserve">Po schválení jednotlivých </w:t>
      </w:r>
      <w:r w:rsidRPr="000F62DB">
        <w:rPr>
          <w:rFonts w:asciiTheme="minorHAnsi" w:hAnsiTheme="minorHAnsi" w:cs="Arial"/>
          <w:sz w:val="24"/>
          <w:szCs w:val="24"/>
        </w:rPr>
        <w:t xml:space="preserve">programů a Dohody o partnerství budou jednotlivé odpovědné subjekty pracovat </w:t>
      </w:r>
      <w:r w:rsidR="008A3304">
        <w:rPr>
          <w:rFonts w:asciiTheme="minorHAnsi" w:hAnsiTheme="minorHAnsi" w:cs="Arial"/>
          <w:sz w:val="24"/>
          <w:szCs w:val="24"/>
        </w:rPr>
        <w:t>především se</w:t>
      </w:r>
      <w:r w:rsidRPr="000F62DB">
        <w:rPr>
          <w:rFonts w:asciiTheme="minorHAnsi" w:hAnsiTheme="minorHAnsi" w:cs="Arial"/>
          <w:sz w:val="24"/>
          <w:szCs w:val="24"/>
        </w:rPr>
        <w:t xml:space="preserve"> Šablonou Evropské komise</w:t>
      </w:r>
      <w:r w:rsidR="008A3304">
        <w:rPr>
          <w:rFonts w:asciiTheme="minorHAnsi" w:hAnsiTheme="minorHAnsi" w:cs="Arial"/>
          <w:sz w:val="24"/>
          <w:szCs w:val="24"/>
        </w:rPr>
        <w:t xml:space="preserve"> a dalšími nástroji (Karta rizikových PP apod.)</w:t>
      </w:r>
      <w:r w:rsidRPr="000F62DB">
        <w:rPr>
          <w:rFonts w:asciiTheme="minorHAnsi" w:hAnsiTheme="minorHAnsi" w:cs="Arial"/>
          <w:sz w:val="24"/>
          <w:szCs w:val="24"/>
        </w:rPr>
        <w:t>. Tyto nástroje budou v pravidelných cyklech aktualizovány</w:t>
      </w:r>
      <w:r>
        <w:rPr>
          <w:rFonts w:asciiTheme="minorHAnsi" w:hAnsiTheme="minorHAnsi" w:cs="Arial"/>
          <w:sz w:val="24"/>
          <w:szCs w:val="24"/>
        </w:rPr>
        <w:t xml:space="preserve"> s ohledem </w:t>
      </w:r>
      <w:r w:rsidR="009017CC">
        <w:rPr>
          <w:rFonts w:asciiTheme="minorHAnsi" w:hAnsiTheme="minorHAnsi" w:cs="Arial"/>
          <w:sz w:val="24"/>
          <w:szCs w:val="24"/>
        </w:rPr>
        <w:br/>
      </w:r>
      <w:r>
        <w:rPr>
          <w:rFonts w:asciiTheme="minorHAnsi" w:hAnsiTheme="minorHAnsi" w:cs="Arial"/>
          <w:sz w:val="24"/>
          <w:szCs w:val="24"/>
        </w:rPr>
        <w:t>na změny stavu (ne</w:t>
      </w:r>
      <w:r w:rsidR="00B31DDF">
        <w:rPr>
          <w:rFonts w:asciiTheme="minorHAnsi" w:hAnsiTheme="minorHAnsi" w:cs="Arial"/>
          <w:sz w:val="24"/>
          <w:szCs w:val="24"/>
        </w:rPr>
        <w:t>)splněných předběžných podmínek</w:t>
      </w:r>
      <w:r>
        <w:rPr>
          <w:rFonts w:asciiTheme="minorHAnsi" w:hAnsiTheme="minorHAnsi" w:cs="Arial"/>
          <w:sz w:val="24"/>
          <w:szCs w:val="24"/>
        </w:rPr>
        <w:t>.</w:t>
      </w:r>
      <w:r w:rsidRPr="00CC336C">
        <w:rPr>
          <w:rFonts w:asciiTheme="minorHAnsi" w:hAnsiTheme="minorHAnsi" w:cs="Arial"/>
          <w:sz w:val="24"/>
          <w:szCs w:val="24"/>
        </w:rPr>
        <w:t xml:space="preserve"> </w:t>
      </w:r>
      <w:r>
        <w:rPr>
          <w:rFonts w:asciiTheme="minorHAnsi" w:hAnsiTheme="minorHAnsi" w:cs="Arial"/>
          <w:sz w:val="24"/>
          <w:szCs w:val="24"/>
        </w:rPr>
        <w:t xml:space="preserve">Změny ve vztahu k předběžným podmínkám bude </w:t>
      </w:r>
      <w:r w:rsidR="00175FC4" w:rsidRPr="00175FC4">
        <w:rPr>
          <w:rFonts w:asciiTheme="minorHAnsi" w:hAnsiTheme="minorHAnsi"/>
          <w:sz w:val="24"/>
          <w:szCs w:val="24"/>
        </w:rPr>
        <w:t>Ministerstv</w:t>
      </w:r>
      <w:r w:rsidR="00175FC4">
        <w:rPr>
          <w:rFonts w:asciiTheme="minorHAnsi" w:hAnsiTheme="minorHAnsi"/>
          <w:sz w:val="24"/>
          <w:szCs w:val="24"/>
        </w:rPr>
        <w:t>u</w:t>
      </w:r>
      <w:r w:rsidR="00175FC4" w:rsidRPr="00175FC4">
        <w:rPr>
          <w:rFonts w:asciiTheme="minorHAnsi" w:hAnsiTheme="minorHAnsi"/>
          <w:sz w:val="24"/>
          <w:szCs w:val="24"/>
        </w:rPr>
        <w:t xml:space="preserve"> pro místní rozvoj </w:t>
      </w:r>
      <w:r>
        <w:rPr>
          <w:rFonts w:asciiTheme="minorHAnsi" w:hAnsiTheme="minorHAnsi" w:cs="Arial"/>
          <w:sz w:val="24"/>
          <w:szCs w:val="24"/>
        </w:rPr>
        <w:t>reportovat řídící orgán ve spolupráci s ostatními dotčenými subjek</w:t>
      </w:r>
      <w:r w:rsidR="00B31DDF">
        <w:rPr>
          <w:rFonts w:asciiTheme="minorHAnsi" w:hAnsiTheme="minorHAnsi" w:cs="Arial"/>
          <w:sz w:val="24"/>
          <w:szCs w:val="24"/>
        </w:rPr>
        <w:t xml:space="preserve">ty. </w:t>
      </w:r>
      <w:r w:rsidR="008A3304" w:rsidRPr="00CC336C">
        <w:rPr>
          <w:rFonts w:asciiTheme="minorHAnsi" w:hAnsiTheme="minorHAnsi" w:cs="Arial"/>
          <w:sz w:val="24"/>
          <w:szCs w:val="24"/>
        </w:rPr>
        <w:t>Lhůta, která bude stanovena pro vyřízení aktualizace stavu předběžných podmínek, se bude odvíjet od rozsahu změn.</w:t>
      </w:r>
      <w:r w:rsidR="008A3304">
        <w:rPr>
          <w:rFonts w:asciiTheme="minorHAnsi" w:hAnsiTheme="minorHAnsi" w:cs="Arial"/>
          <w:sz w:val="24"/>
          <w:szCs w:val="24"/>
        </w:rPr>
        <w:t xml:space="preserve"> </w:t>
      </w:r>
      <w:r w:rsidR="008202E4">
        <w:rPr>
          <w:rFonts w:asciiTheme="minorHAnsi" w:hAnsiTheme="minorHAnsi" w:cs="Arial"/>
          <w:sz w:val="24"/>
          <w:szCs w:val="24"/>
        </w:rPr>
        <w:t>Řídící orgán nese plnou odpovědnost za správnou a úplnou aktualizaci stavu předběžných podmínek.</w:t>
      </w:r>
    </w:p>
    <w:p w:rsidR="00B47527" w:rsidRPr="00151EA7" w:rsidRDefault="00B47527" w:rsidP="00B47527">
      <w:pPr>
        <w:spacing w:before="180" w:after="60" w:line="288" w:lineRule="auto"/>
        <w:rPr>
          <w:rFonts w:asciiTheme="minorHAnsi" w:hAnsiTheme="minorHAnsi" w:cs="Arial"/>
          <w:sz w:val="24"/>
          <w:szCs w:val="24"/>
          <w:u w:val="single"/>
        </w:rPr>
      </w:pPr>
      <w:r w:rsidRPr="00151EA7">
        <w:rPr>
          <w:rFonts w:asciiTheme="minorHAnsi" w:hAnsiTheme="minorHAnsi" w:cs="Arial"/>
          <w:sz w:val="24"/>
          <w:szCs w:val="24"/>
          <w:u w:val="single"/>
        </w:rPr>
        <w:t xml:space="preserve">Termín a projednání </w:t>
      </w:r>
    </w:p>
    <w:p w:rsidR="003B76EC" w:rsidRDefault="003B76EC" w:rsidP="00057A7D">
      <w:pPr>
        <w:spacing w:before="60" w:after="60" w:line="288" w:lineRule="auto"/>
        <w:rPr>
          <w:rFonts w:asciiTheme="minorHAnsi" w:hAnsiTheme="minorHAnsi" w:cs="Arial"/>
          <w:sz w:val="24"/>
          <w:szCs w:val="24"/>
        </w:rPr>
      </w:pPr>
      <w:r w:rsidRPr="00952632">
        <w:rPr>
          <w:rFonts w:asciiTheme="minorHAnsi" w:hAnsiTheme="minorHAnsi" w:cs="Arial"/>
          <w:sz w:val="24"/>
          <w:szCs w:val="24"/>
        </w:rPr>
        <w:t xml:space="preserve">Po schválení předběžných podmínek Komisí </w:t>
      </w:r>
      <w:r w:rsidR="00952632" w:rsidRPr="00952632">
        <w:rPr>
          <w:rFonts w:asciiTheme="minorHAnsi" w:hAnsiTheme="minorHAnsi" w:cs="Arial"/>
          <w:sz w:val="24"/>
          <w:szCs w:val="24"/>
        </w:rPr>
        <w:t>bude nutné koordinovat naplňování</w:t>
      </w:r>
      <w:r w:rsidR="00952632">
        <w:rPr>
          <w:rFonts w:asciiTheme="minorHAnsi" w:hAnsiTheme="minorHAnsi" w:cs="Arial"/>
          <w:sz w:val="24"/>
          <w:szCs w:val="24"/>
        </w:rPr>
        <w:t xml:space="preserve"> předběžných podmínek v rámci realizace </w:t>
      </w:r>
      <w:r w:rsidR="00C80B66">
        <w:rPr>
          <w:rFonts w:asciiTheme="minorHAnsi" w:hAnsiTheme="minorHAnsi" w:cs="Arial"/>
          <w:sz w:val="24"/>
          <w:szCs w:val="24"/>
        </w:rPr>
        <w:t>SSR</w:t>
      </w:r>
      <w:r w:rsidR="00952632">
        <w:rPr>
          <w:rFonts w:asciiTheme="minorHAnsi" w:hAnsiTheme="minorHAnsi" w:cs="Arial"/>
          <w:sz w:val="24"/>
          <w:szCs w:val="24"/>
        </w:rPr>
        <w:t xml:space="preserve"> fondů. Fáze bude ukončena ke konci roku 2016. Podle potřeby a v případě, že EK stanoví specifické termíny, bude AP aktualizován </w:t>
      </w:r>
      <w:r w:rsidR="009017CC">
        <w:rPr>
          <w:rFonts w:asciiTheme="minorHAnsi" w:hAnsiTheme="minorHAnsi" w:cs="Arial"/>
          <w:sz w:val="24"/>
          <w:szCs w:val="24"/>
        </w:rPr>
        <w:br/>
      </w:r>
      <w:r w:rsidR="00952632">
        <w:rPr>
          <w:rFonts w:asciiTheme="minorHAnsi" w:hAnsiTheme="minorHAnsi" w:cs="Arial"/>
          <w:sz w:val="24"/>
          <w:szCs w:val="24"/>
        </w:rPr>
        <w:t>i o tyto milníky.</w:t>
      </w:r>
    </w:p>
    <w:p w:rsidR="00151EA7" w:rsidRDefault="00151EA7" w:rsidP="00057A7D">
      <w:pPr>
        <w:spacing w:before="60" w:after="60" w:line="288" w:lineRule="auto"/>
        <w:rPr>
          <w:rFonts w:asciiTheme="minorHAnsi" w:hAnsiTheme="minorHAnsi" w:cs="Arial"/>
          <w:sz w:val="24"/>
          <w:szCs w:val="24"/>
        </w:rPr>
      </w:pPr>
      <w:r>
        <w:rPr>
          <w:rFonts w:asciiTheme="minorHAnsi" w:hAnsiTheme="minorHAnsi"/>
          <w:sz w:val="24"/>
          <w:szCs w:val="24"/>
          <w:u w:color="000000"/>
        </w:rPr>
        <w:t xml:space="preserve">V průběhu implementace </w:t>
      </w:r>
      <w:r w:rsidR="00C80B66">
        <w:rPr>
          <w:rFonts w:asciiTheme="minorHAnsi" w:hAnsiTheme="minorHAnsi"/>
          <w:sz w:val="24"/>
          <w:szCs w:val="24"/>
          <w:u w:color="000000"/>
        </w:rPr>
        <w:t>SSR</w:t>
      </w:r>
      <w:r w:rsidR="00137D07">
        <w:rPr>
          <w:rFonts w:asciiTheme="minorHAnsi" w:hAnsiTheme="minorHAnsi"/>
          <w:sz w:val="24"/>
          <w:szCs w:val="24"/>
          <w:u w:color="000000"/>
        </w:rPr>
        <w:t xml:space="preserve"> </w:t>
      </w:r>
      <w:r>
        <w:rPr>
          <w:rFonts w:asciiTheme="minorHAnsi" w:hAnsiTheme="minorHAnsi"/>
          <w:sz w:val="24"/>
          <w:szCs w:val="24"/>
          <w:u w:color="000000"/>
        </w:rPr>
        <w:t>fondů, tj. od momentu schválení programů a Dohody o partnerství Evropskou komisí, bude komunikace</w:t>
      </w:r>
      <w:r w:rsidR="007440D7">
        <w:rPr>
          <w:rFonts w:asciiTheme="minorHAnsi" w:hAnsiTheme="minorHAnsi"/>
          <w:sz w:val="24"/>
          <w:szCs w:val="24"/>
          <w:u w:color="000000"/>
        </w:rPr>
        <w:t xml:space="preserve"> a</w:t>
      </w:r>
      <w:r w:rsidR="007D5738">
        <w:rPr>
          <w:rFonts w:asciiTheme="minorHAnsi" w:hAnsiTheme="minorHAnsi"/>
          <w:sz w:val="24"/>
          <w:szCs w:val="24"/>
          <w:u w:color="000000"/>
        </w:rPr>
        <w:t xml:space="preserve"> projednávání </w:t>
      </w:r>
      <w:r>
        <w:rPr>
          <w:rFonts w:asciiTheme="minorHAnsi" w:hAnsiTheme="minorHAnsi"/>
          <w:sz w:val="24"/>
          <w:szCs w:val="24"/>
          <w:u w:color="000000"/>
        </w:rPr>
        <w:t>plnění předběžných podmínek</w:t>
      </w:r>
      <w:r w:rsidR="007440D7">
        <w:rPr>
          <w:rFonts w:asciiTheme="minorHAnsi" w:hAnsiTheme="minorHAnsi"/>
          <w:sz w:val="24"/>
          <w:szCs w:val="24"/>
          <w:u w:color="000000"/>
        </w:rPr>
        <w:t xml:space="preserve"> probíhat na </w:t>
      </w:r>
      <w:r w:rsidR="007D5738">
        <w:rPr>
          <w:rFonts w:asciiTheme="minorHAnsi" w:hAnsiTheme="minorHAnsi"/>
          <w:sz w:val="24"/>
          <w:szCs w:val="24"/>
          <w:u w:color="000000"/>
        </w:rPr>
        <w:t xml:space="preserve">k tomu určených platformách pro realizaci </w:t>
      </w:r>
      <w:r w:rsidR="00C80B66">
        <w:rPr>
          <w:rFonts w:asciiTheme="minorHAnsi" w:hAnsiTheme="minorHAnsi"/>
          <w:sz w:val="24"/>
          <w:szCs w:val="24"/>
          <w:u w:color="000000"/>
        </w:rPr>
        <w:t>SSR</w:t>
      </w:r>
      <w:r w:rsidR="00137D07">
        <w:rPr>
          <w:rFonts w:asciiTheme="minorHAnsi" w:hAnsiTheme="minorHAnsi"/>
          <w:sz w:val="24"/>
          <w:szCs w:val="24"/>
          <w:u w:color="000000"/>
        </w:rPr>
        <w:t xml:space="preserve"> </w:t>
      </w:r>
      <w:r w:rsidR="0096356B">
        <w:rPr>
          <w:rFonts w:asciiTheme="minorHAnsi" w:hAnsiTheme="minorHAnsi"/>
          <w:sz w:val="24"/>
          <w:szCs w:val="24"/>
          <w:u w:color="000000"/>
        </w:rPr>
        <w:t>fondů</w:t>
      </w:r>
      <w:r w:rsidR="00137D07">
        <w:rPr>
          <w:rFonts w:asciiTheme="minorHAnsi" w:hAnsiTheme="minorHAnsi"/>
          <w:sz w:val="24"/>
          <w:szCs w:val="24"/>
          <w:u w:color="000000"/>
        </w:rPr>
        <w:t xml:space="preserve"> </w:t>
      </w:r>
      <w:r w:rsidR="007440D7">
        <w:rPr>
          <w:rFonts w:asciiTheme="minorHAnsi" w:hAnsiTheme="minorHAnsi"/>
          <w:sz w:val="24"/>
          <w:szCs w:val="24"/>
          <w:u w:color="000000"/>
        </w:rPr>
        <w:t xml:space="preserve">a v případě potřeby u </w:t>
      </w:r>
      <w:r w:rsidR="007440D7">
        <w:rPr>
          <w:rFonts w:asciiTheme="minorHAnsi" w:hAnsiTheme="minorHAnsi" w:cs="Arial"/>
          <w:sz w:val="24"/>
          <w:szCs w:val="24"/>
        </w:rPr>
        <w:t>rizikových předběžných podmínek podle specifického režimu.</w:t>
      </w:r>
      <w:r>
        <w:rPr>
          <w:rFonts w:asciiTheme="minorHAnsi" w:hAnsiTheme="minorHAnsi"/>
          <w:sz w:val="24"/>
          <w:szCs w:val="24"/>
          <w:u w:color="000000"/>
        </w:rPr>
        <w:t xml:space="preserve"> </w:t>
      </w:r>
    </w:p>
    <w:p w:rsidR="00B240CB" w:rsidRPr="00B240CB" w:rsidRDefault="00AC1206" w:rsidP="00A0628E">
      <w:pPr>
        <w:pStyle w:val="Nadpis11"/>
        <w:numPr>
          <w:ilvl w:val="1"/>
          <w:numId w:val="2"/>
        </w:numPr>
        <w:spacing w:before="240" w:after="120"/>
        <w:ind w:left="567" w:hanging="567"/>
        <w:rPr>
          <w:rFonts w:asciiTheme="minorHAnsi" w:eastAsiaTheme="majorEastAsia" w:hAnsiTheme="minorHAnsi"/>
        </w:rPr>
      </w:pPr>
      <w:bookmarkStart w:id="13" w:name="_Toc359587667"/>
      <w:r>
        <w:rPr>
          <w:rFonts w:asciiTheme="minorHAnsi" w:eastAsiaTheme="majorEastAsia" w:hAnsiTheme="minorHAnsi"/>
        </w:rPr>
        <w:t>Aktuální h</w:t>
      </w:r>
      <w:r w:rsidR="00B240CB" w:rsidRPr="00B240CB">
        <w:rPr>
          <w:rFonts w:asciiTheme="minorHAnsi" w:eastAsiaTheme="majorEastAsia" w:hAnsiTheme="minorHAnsi"/>
        </w:rPr>
        <w:t>armonogram řízení a koordinace předběžných podmínek</w:t>
      </w:r>
      <w:bookmarkEnd w:id="13"/>
    </w:p>
    <w:p w:rsidR="001F5857" w:rsidRPr="001F5857" w:rsidRDefault="001F5857" w:rsidP="001F5857">
      <w:pPr>
        <w:pStyle w:val="Odstavecseseznamem"/>
        <w:spacing w:before="120" w:after="60" w:line="288" w:lineRule="auto"/>
        <w:ind w:left="0"/>
        <w:contextualSpacing w:val="0"/>
        <w:rPr>
          <w:rFonts w:asciiTheme="minorHAnsi" w:eastAsia="Arial Unicode MS" w:hAnsiTheme="minorHAnsi"/>
        </w:rPr>
      </w:pPr>
      <w:r w:rsidRPr="001F5857">
        <w:rPr>
          <w:rFonts w:asciiTheme="minorHAnsi" w:eastAsia="Arial Unicode MS" w:hAnsiTheme="minorHAnsi"/>
        </w:rPr>
        <w:t>Termíny pro další postup jsou zvoleny dle rozpracování Dohody o partnerství, přípravy programů ze strany řídících orgánů, fáze vyjednávání a schválení nařízení EU k fondům SSR, Společného strategického rámce, Dohody o partnerství, dílčích programů a výhledu spuštění realizace programů.</w:t>
      </w:r>
    </w:p>
    <w:p w:rsidR="00AC1206" w:rsidRDefault="00AC1206" w:rsidP="00AC1206">
      <w:pPr>
        <w:pStyle w:val="Odstavecseseznamem"/>
        <w:spacing w:before="120" w:after="60" w:line="288" w:lineRule="auto"/>
        <w:ind w:left="0"/>
        <w:contextualSpacing w:val="0"/>
        <w:rPr>
          <w:rFonts w:asciiTheme="minorHAnsi" w:eastAsia="Arial Unicode MS" w:hAnsiTheme="minorHAnsi"/>
        </w:rPr>
      </w:pPr>
      <w:r>
        <w:rPr>
          <w:rFonts w:asciiTheme="minorHAnsi" w:eastAsia="Arial Unicode MS" w:hAnsiTheme="minorHAnsi"/>
        </w:rPr>
        <w:t>Aktuální h</w:t>
      </w:r>
      <w:r w:rsidR="001F5857" w:rsidRPr="00181EEE">
        <w:rPr>
          <w:rFonts w:asciiTheme="minorHAnsi" w:eastAsia="Arial Unicode MS" w:hAnsiTheme="minorHAnsi"/>
        </w:rPr>
        <w:t xml:space="preserve">armonogram je </w:t>
      </w:r>
      <w:r w:rsidR="008F50A5">
        <w:rPr>
          <w:rFonts w:asciiTheme="minorHAnsi" w:eastAsia="Arial Unicode MS" w:hAnsiTheme="minorHAnsi"/>
        </w:rPr>
        <w:t xml:space="preserve">uveden pro II. fázi a je </w:t>
      </w:r>
      <w:r w:rsidR="001F5857" w:rsidRPr="00181EEE">
        <w:rPr>
          <w:rFonts w:asciiTheme="minorHAnsi" w:eastAsia="Arial Unicode MS" w:hAnsiTheme="minorHAnsi"/>
        </w:rPr>
        <w:t xml:space="preserve">postaven na principu </w:t>
      </w:r>
      <w:r w:rsidR="004C5E11">
        <w:rPr>
          <w:rFonts w:asciiTheme="minorHAnsi" w:eastAsia="Arial Unicode MS" w:hAnsiTheme="minorHAnsi"/>
        </w:rPr>
        <w:t>optimál</w:t>
      </w:r>
      <w:r w:rsidR="004C5E11" w:rsidRPr="00181EEE">
        <w:rPr>
          <w:rFonts w:asciiTheme="minorHAnsi" w:eastAsia="Arial Unicode MS" w:hAnsiTheme="minorHAnsi"/>
        </w:rPr>
        <w:t xml:space="preserve">ního </w:t>
      </w:r>
      <w:r w:rsidR="001F5857" w:rsidRPr="00181EEE">
        <w:rPr>
          <w:rFonts w:asciiTheme="minorHAnsi" w:eastAsia="Arial Unicode MS" w:hAnsiTheme="minorHAnsi"/>
        </w:rPr>
        <w:t>časování všech důležitých milníků jak ze strany Evropské komise, tak i na úrovni České</w:t>
      </w:r>
      <w:r w:rsidR="001F5857" w:rsidRPr="001F5857">
        <w:rPr>
          <w:rFonts w:asciiTheme="minorHAnsi" w:eastAsia="Arial Unicode MS" w:hAnsiTheme="minorHAnsi"/>
        </w:rPr>
        <w:t xml:space="preserve"> republiky. Je nutné počítat s doložkou flexibility v případě dalších prací, delšího procesu vyjednávání </w:t>
      </w:r>
      <w:r w:rsidR="00080A8D">
        <w:rPr>
          <w:rFonts w:asciiTheme="minorHAnsi" w:eastAsia="Arial Unicode MS" w:hAnsiTheme="minorHAnsi"/>
        </w:rPr>
        <w:br/>
      </w:r>
      <w:r w:rsidR="001F5857" w:rsidRPr="001F5857">
        <w:rPr>
          <w:rFonts w:asciiTheme="minorHAnsi" w:eastAsia="Arial Unicode MS" w:hAnsiTheme="minorHAnsi"/>
        </w:rPr>
        <w:t>a rozhodování</w:t>
      </w:r>
      <w:r w:rsidR="00D40861">
        <w:rPr>
          <w:rFonts w:asciiTheme="minorHAnsi" w:eastAsia="Arial Unicode MS" w:hAnsiTheme="minorHAnsi"/>
        </w:rPr>
        <w:t xml:space="preserve"> mezi ČR a Evropskou unií</w:t>
      </w:r>
      <w:r w:rsidR="001F5857" w:rsidRPr="001F5857">
        <w:rPr>
          <w:rFonts w:asciiTheme="minorHAnsi" w:eastAsia="Arial Unicode MS" w:hAnsiTheme="minorHAnsi"/>
        </w:rPr>
        <w:t>.</w:t>
      </w:r>
      <w:r w:rsidR="008F50A5">
        <w:rPr>
          <w:rFonts w:asciiTheme="minorHAnsi" w:eastAsia="Arial Unicode MS" w:hAnsiTheme="minorHAnsi"/>
        </w:rPr>
        <w:t xml:space="preserve"> Je předpokládána úzká spolupráce mezi všemi dotčenými odpovědnými subjekty.</w:t>
      </w:r>
    </w:p>
    <w:p w:rsidR="003E2761" w:rsidRDefault="003E2761" w:rsidP="00322801">
      <w:pPr>
        <w:spacing w:before="180" w:after="60" w:line="288" w:lineRule="auto"/>
        <w:rPr>
          <w:rFonts w:asciiTheme="minorHAnsi" w:hAnsiTheme="minorHAnsi" w:cs="Arial"/>
          <w:u w:val="single"/>
        </w:rPr>
      </w:pPr>
    </w:p>
    <w:p w:rsidR="003E2761" w:rsidRDefault="003E2761" w:rsidP="00322801">
      <w:pPr>
        <w:spacing w:before="180" w:after="60" w:line="288" w:lineRule="auto"/>
        <w:rPr>
          <w:rFonts w:asciiTheme="minorHAnsi" w:hAnsiTheme="minorHAnsi" w:cs="Arial"/>
          <w:u w:val="single"/>
        </w:rPr>
      </w:pPr>
    </w:p>
    <w:p w:rsidR="003E2761" w:rsidRDefault="003E2761" w:rsidP="00322801">
      <w:pPr>
        <w:spacing w:before="180" w:after="60" w:line="288" w:lineRule="auto"/>
        <w:rPr>
          <w:rFonts w:asciiTheme="minorHAnsi" w:hAnsiTheme="minorHAnsi" w:cs="Arial"/>
          <w:u w:val="single"/>
        </w:rPr>
      </w:pPr>
    </w:p>
    <w:p w:rsidR="003E2761" w:rsidRDefault="003E2761" w:rsidP="00322801">
      <w:pPr>
        <w:spacing w:before="180" w:after="60" w:line="288" w:lineRule="auto"/>
        <w:rPr>
          <w:rFonts w:asciiTheme="minorHAnsi" w:hAnsiTheme="minorHAnsi" w:cs="Arial"/>
          <w:u w:val="single"/>
        </w:rPr>
      </w:pPr>
    </w:p>
    <w:p w:rsidR="00322801" w:rsidRPr="00EE0A06" w:rsidRDefault="00322801" w:rsidP="00322801">
      <w:pPr>
        <w:spacing w:before="180" w:after="60" w:line="288" w:lineRule="auto"/>
        <w:rPr>
          <w:rFonts w:asciiTheme="minorHAnsi" w:hAnsiTheme="minorHAnsi" w:cs="Arial"/>
          <w:u w:val="single"/>
        </w:rPr>
      </w:pPr>
      <w:r w:rsidRPr="00EE0A06">
        <w:rPr>
          <w:rFonts w:asciiTheme="minorHAnsi" w:hAnsiTheme="minorHAnsi" w:cs="Arial"/>
          <w:u w:val="single"/>
        </w:rPr>
        <w:t xml:space="preserve">Tab. </w:t>
      </w:r>
      <w:r w:rsidR="00EE0A06" w:rsidRPr="00EE0A06">
        <w:rPr>
          <w:rFonts w:asciiTheme="minorHAnsi" w:hAnsiTheme="minorHAnsi" w:cs="Arial"/>
          <w:u w:val="single"/>
        </w:rPr>
        <w:t>6</w:t>
      </w:r>
      <w:r w:rsidRPr="00EE0A06">
        <w:rPr>
          <w:rFonts w:asciiTheme="minorHAnsi" w:hAnsiTheme="minorHAnsi" w:cs="Arial"/>
          <w:u w:val="single"/>
        </w:rPr>
        <w:t xml:space="preserve">: </w:t>
      </w:r>
      <w:r w:rsidR="00AC1206" w:rsidRPr="00EE0A06">
        <w:rPr>
          <w:rFonts w:asciiTheme="minorHAnsi" w:hAnsiTheme="minorHAnsi" w:cs="Arial"/>
          <w:u w:val="single"/>
        </w:rPr>
        <w:t>Aktuální h</w:t>
      </w:r>
      <w:r w:rsidRPr="00EE0A06">
        <w:rPr>
          <w:rFonts w:asciiTheme="minorHAnsi" w:hAnsiTheme="minorHAnsi" w:cs="Arial"/>
          <w:u w:val="single"/>
        </w:rPr>
        <w:t>armonogram</w:t>
      </w:r>
      <w:r w:rsidR="00AC1206" w:rsidRPr="00EE0A06">
        <w:rPr>
          <w:rFonts w:asciiTheme="minorHAnsi" w:hAnsiTheme="minorHAnsi" w:cs="Arial"/>
          <w:u w:val="single"/>
        </w:rPr>
        <w:t xml:space="preserve"> a milníky</w:t>
      </w:r>
      <w:r w:rsidR="005C1379" w:rsidRPr="00EE0A06">
        <w:rPr>
          <w:rFonts w:asciiTheme="minorHAnsi" w:hAnsiTheme="minorHAnsi" w:cs="Arial"/>
          <w:u w:val="single"/>
        </w:rPr>
        <w:t xml:space="preserve"> ve vztahu k II. fázi</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1417"/>
        <w:gridCol w:w="567"/>
        <w:gridCol w:w="567"/>
        <w:gridCol w:w="567"/>
        <w:gridCol w:w="567"/>
        <w:gridCol w:w="567"/>
        <w:gridCol w:w="709"/>
        <w:gridCol w:w="709"/>
        <w:gridCol w:w="708"/>
      </w:tblGrid>
      <w:tr w:rsidR="004844E2" w:rsidRPr="00523D12" w:rsidTr="003E2761">
        <w:trPr>
          <w:trHeight w:val="502"/>
        </w:trPr>
        <w:tc>
          <w:tcPr>
            <w:tcW w:w="2694" w:type="dxa"/>
            <w:vMerge w:val="restart"/>
            <w:shd w:val="clear" w:color="auto" w:fill="4F81BD"/>
            <w:tcMar>
              <w:left w:w="28" w:type="dxa"/>
              <w:right w:w="28" w:type="dxa"/>
            </w:tcMar>
            <w:vAlign w:val="center"/>
          </w:tcPr>
          <w:p w:rsidR="004844E2" w:rsidRPr="00523D12" w:rsidRDefault="004844E2" w:rsidP="008D7FBF">
            <w:pPr>
              <w:spacing w:line="240" w:lineRule="auto"/>
              <w:jc w:val="center"/>
              <w:rPr>
                <w:rFonts w:asciiTheme="minorHAnsi" w:hAnsiTheme="minorHAnsi"/>
                <w:b/>
                <w:bCs/>
                <w:color w:val="FFFFFF"/>
                <w:sz w:val="19"/>
                <w:szCs w:val="19"/>
              </w:rPr>
            </w:pPr>
            <w:r w:rsidRPr="00523D12">
              <w:rPr>
                <w:rFonts w:asciiTheme="minorHAnsi" w:hAnsiTheme="minorHAnsi"/>
                <w:b/>
                <w:bCs/>
                <w:color w:val="FFFFFF"/>
                <w:sz w:val="19"/>
                <w:szCs w:val="19"/>
              </w:rPr>
              <w:t>Milníky</w:t>
            </w:r>
          </w:p>
        </w:tc>
        <w:tc>
          <w:tcPr>
            <w:tcW w:w="1417" w:type="dxa"/>
            <w:vMerge w:val="restart"/>
            <w:shd w:val="clear" w:color="auto" w:fill="4F81BD"/>
            <w:tcMar>
              <w:left w:w="28" w:type="dxa"/>
              <w:right w:w="28" w:type="dxa"/>
            </w:tcMar>
            <w:vAlign w:val="center"/>
          </w:tcPr>
          <w:p w:rsidR="004844E2" w:rsidRPr="00523D12" w:rsidRDefault="004844E2" w:rsidP="008D7FBF">
            <w:pPr>
              <w:spacing w:line="240" w:lineRule="auto"/>
              <w:jc w:val="center"/>
              <w:rPr>
                <w:rFonts w:asciiTheme="minorHAnsi" w:hAnsiTheme="minorHAnsi"/>
                <w:b/>
                <w:bCs/>
                <w:color w:val="FFFFFF"/>
                <w:sz w:val="19"/>
                <w:szCs w:val="19"/>
              </w:rPr>
            </w:pPr>
            <w:r w:rsidRPr="00523D12">
              <w:rPr>
                <w:rFonts w:asciiTheme="minorHAnsi" w:hAnsiTheme="minorHAnsi"/>
                <w:b/>
                <w:bCs/>
                <w:color w:val="FFFFFF"/>
                <w:sz w:val="19"/>
                <w:szCs w:val="19"/>
              </w:rPr>
              <w:t>Zodpovědnost</w:t>
            </w:r>
            <w:r>
              <w:rPr>
                <w:rFonts w:asciiTheme="minorHAnsi" w:hAnsiTheme="minorHAnsi"/>
                <w:b/>
                <w:bCs/>
                <w:color w:val="FFFFFF"/>
                <w:sz w:val="19"/>
                <w:szCs w:val="19"/>
              </w:rPr>
              <w:t xml:space="preserve"> (primární a podpůrná)</w:t>
            </w:r>
          </w:p>
        </w:tc>
        <w:tc>
          <w:tcPr>
            <w:tcW w:w="4961" w:type="dxa"/>
            <w:gridSpan w:val="8"/>
            <w:tcBorders>
              <w:bottom w:val="single" w:sz="4" w:space="0" w:color="auto"/>
            </w:tcBorders>
            <w:shd w:val="clear" w:color="auto" w:fill="4F81BD"/>
            <w:vAlign w:val="center"/>
          </w:tcPr>
          <w:p w:rsidR="004844E2" w:rsidRPr="00523D12" w:rsidRDefault="004844E2" w:rsidP="004844E2">
            <w:pPr>
              <w:spacing w:line="240" w:lineRule="auto"/>
              <w:jc w:val="center"/>
              <w:rPr>
                <w:rFonts w:asciiTheme="minorHAnsi" w:hAnsiTheme="minorHAnsi"/>
                <w:b/>
                <w:bCs/>
                <w:color w:val="FFFFFF"/>
                <w:sz w:val="19"/>
                <w:szCs w:val="19"/>
              </w:rPr>
            </w:pPr>
            <w:r w:rsidRPr="00523D12">
              <w:rPr>
                <w:rFonts w:asciiTheme="minorHAnsi" w:hAnsiTheme="minorHAnsi"/>
                <w:b/>
                <w:bCs/>
                <w:color w:val="FFFFFF"/>
                <w:sz w:val="19"/>
                <w:szCs w:val="19"/>
              </w:rPr>
              <w:t xml:space="preserve">II. </w:t>
            </w:r>
            <w:r>
              <w:rPr>
                <w:rFonts w:asciiTheme="minorHAnsi" w:hAnsiTheme="minorHAnsi"/>
                <w:b/>
                <w:bCs/>
                <w:color w:val="FFFFFF"/>
                <w:sz w:val="19"/>
                <w:szCs w:val="19"/>
              </w:rPr>
              <w:t>Fáze</w:t>
            </w:r>
            <w:r w:rsidR="003E2761">
              <w:rPr>
                <w:rFonts w:asciiTheme="minorHAnsi" w:hAnsiTheme="minorHAnsi"/>
                <w:b/>
                <w:bCs/>
                <w:color w:val="FFFFFF"/>
                <w:sz w:val="19"/>
                <w:szCs w:val="19"/>
              </w:rPr>
              <w:t xml:space="preserve"> (2013 / možný přesah do 2014)</w:t>
            </w:r>
          </w:p>
        </w:tc>
      </w:tr>
      <w:tr w:rsidR="004844E2" w:rsidRPr="00523D12" w:rsidTr="003E2761">
        <w:trPr>
          <w:trHeight w:val="333"/>
        </w:trPr>
        <w:tc>
          <w:tcPr>
            <w:tcW w:w="2694" w:type="dxa"/>
            <w:vMerge/>
            <w:tcBorders>
              <w:bottom w:val="single" w:sz="4" w:space="0" w:color="auto"/>
            </w:tcBorders>
            <w:shd w:val="clear" w:color="auto" w:fill="DBE5F1" w:themeFill="accent1" w:themeFillTint="33"/>
            <w:tcMar>
              <w:left w:w="28" w:type="dxa"/>
              <w:right w:w="28" w:type="dxa"/>
            </w:tcMar>
            <w:vAlign w:val="center"/>
          </w:tcPr>
          <w:p w:rsidR="004844E2" w:rsidRPr="00523D12" w:rsidRDefault="004844E2" w:rsidP="008D7FBF">
            <w:pPr>
              <w:spacing w:before="60" w:line="240" w:lineRule="auto"/>
              <w:jc w:val="left"/>
              <w:rPr>
                <w:rFonts w:asciiTheme="minorHAnsi" w:hAnsiTheme="minorHAnsi"/>
                <w:sz w:val="18"/>
                <w:szCs w:val="18"/>
              </w:rPr>
            </w:pPr>
          </w:p>
        </w:tc>
        <w:tc>
          <w:tcPr>
            <w:tcW w:w="1417" w:type="dxa"/>
            <w:vMerge/>
            <w:tcBorders>
              <w:bottom w:val="single" w:sz="4" w:space="0" w:color="auto"/>
            </w:tcBorders>
            <w:shd w:val="clear" w:color="auto" w:fill="DBE5F1" w:themeFill="accent1" w:themeFillTint="33"/>
            <w:tcMar>
              <w:left w:w="28" w:type="dxa"/>
              <w:right w:w="28" w:type="dxa"/>
            </w:tcMar>
            <w:vAlign w:val="center"/>
          </w:tcPr>
          <w:p w:rsidR="004844E2" w:rsidRPr="00523D12" w:rsidRDefault="004844E2" w:rsidP="008D7FBF">
            <w:pPr>
              <w:spacing w:before="60" w:line="240" w:lineRule="auto"/>
              <w:jc w:val="left"/>
              <w:rPr>
                <w:rFonts w:asciiTheme="minorHAnsi" w:hAnsiTheme="minorHAnsi"/>
                <w:sz w:val="18"/>
                <w:szCs w:val="18"/>
              </w:rPr>
            </w:pPr>
          </w:p>
        </w:tc>
        <w:tc>
          <w:tcPr>
            <w:tcW w:w="567" w:type="dxa"/>
            <w:tcBorders>
              <w:bottom w:val="single" w:sz="4" w:space="0" w:color="auto"/>
            </w:tcBorders>
            <w:shd w:val="clear" w:color="auto" w:fill="DBE5F1" w:themeFill="accent1" w:themeFillTint="33"/>
            <w:tcMar>
              <w:left w:w="28" w:type="dxa"/>
              <w:right w:w="28" w:type="dxa"/>
            </w:tcMar>
            <w:vAlign w:val="center"/>
          </w:tcPr>
          <w:p w:rsidR="004844E2" w:rsidRPr="00523D12" w:rsidRDefault="004844E2" w:rsidP="008D7FBF">
            <w:pPr>
              <w:spacing w:before="60" w:line="240" w:lineRule="auto"/>
              <w:jc w:val="center"/>
              <w:rPr>
                <w:rFonts w:asciiTheme="minorHAnsi" w:hAnsiTheme="minorHAnsi"/>
                <w:sz w:val="18"/>
                <w:szCs w:val="18"/>
              </w:rPr>
            </w:pPr>
            <w:r w:rsidRPr="00523D12">
              <w:rPr>
                <w:rFonts w:asciiTheme="minorHAnsi" w:hAnsiTheme="minorHAnsi"/>
                <w:sz w:val="18"/>
                <w:szCs w:val="18"/>
              </w:rPr>
              <w:t>06</w:t>
            </w:r>
          </w:p>
        </w:tc>
        <w:tc>
          <w:tcPr>
            <w:tcW w:w="567" w:type="dxa"/>
            <w:tcBorders>
              <w:bottom w:val="single" w:sz="4" w:space="0" w:color="auto"/>
            </w:tcBorders>
            <w:shd w:val="clear" w:color="auto" w:fill="DBE5F1" w:themeFill="accent1" w:themeFillTint="33"/>
            <w:tcMar>
              <w:left w:w="28" w:type="dxa"/>
              <w:right w:w="28" w:type="dxa"/>
            </w:tcMar>
            <w:vAlign w:val="center"/>
          </w:tcPr>
          <w:p w:rsidR="004844E2" w:rsidRPr="00523D12" w:rsidRDefault="004844E2" w:rsidP="008D7FBF">
            <w:pPr>
              <w:spacing w:before="60" w:line="240" w:lineRule="auto"/>
              <w:jc w:val="center"/>
              <w:rPr>
                <w:rFonts w:asciiTheme="minorHAnsi" w:hAnsiTheme="minorHAnsi"/>
                <w:sz w:val="18"/>
                <w:szCs w:val="18"/>
              </w:rPr>
            </w:pPr>
            <w:r w:rsidRPr="00523D12">
              <w:rPr>
                <w:rFonts w:asciiTheme="minorHAnsi" w:hAnsiTheme="minorHAnsi"/>
                <w:sz w:val="18"/>
                <w:szCs w:val="18"/>
              </w:rPr>
              <w:t>07</w:t>
            </w:r>
          </w:p>
        </w:tc>
        <w:tc>
          <w:tcPr>
            <w:tcW w:w="567" w:type="dxa"/>
            <w:tcBorders>
              <w:bottom w:val="single" w:sz="4" w:space="0" w:color="auto"/>
            </w:tcBorders>
            <w:shd w:val="clear" w:color="auto" w:fill="DBE5F1" w:themeFill="accent1" w:themeFillTint="33"/>
            <w:tcMar>
              <w:left w:w="28" w:type="dxa"/>
              <w:right w:w="28" w:type="dxa"/>
            </w:tcMar>
            <w:vAlign w:val="center"/>
          </w:tcPr>
          <w:p w:rsidR="004844E2" w:rsidRPr="00523D12" w:rsidRDefault="004844E2" w:rsidP="008D7FBF">
            <w:pPr>
              <w:spacing w:before="60" w:line="240" w:lineRule="auto"/>
              <w:jc w:val="center"/>
              <w:rPr>
                <w:rFonts w:asciiTheme="minorHAnsi" w:hAnsiTheme="minorHAnsi"/>
                <w:sz w:val="18"/>
                <w:szCs w:val="18"/>
              </w:rPr>
            </w:pPr>
            <w:r w:rsidRPr="00523D12">
              <w:rPr>
                <w:rFonts w:asciiTheme="minorHAnsi" w:hAnsiTheme="minorHAnsi"/>
                <w:sz w:val="18"/>
                <w:szCs w:val="18"/>
              </w:rPr>
              <w:t>08</w:t>
            </w:r>
          </w:p>
        </w:tc>
        <w:tc>
          <w:tcPr>
            <w:tcW w:w="567" w:type="dxa"/>
            <w:tcBorders>
              <w:bottom w:val="single" w:sz="4" w:space="0" w:color="auto"/>
            </w:tcBorders>
            <w:shd w:val="clear" w:color="auto" w:fill="DBE5F1" w:themeFill="accent1" w:themeFillTint="33"/>
            <w:tcMar>
              <w:left w:w="28" w:type="dxa"/>
              <w:right w:w="28" w:type="dxa"/>
            </w:tcMar>
            <w:vAlign w:val="center"/>
          </w:tcPr>
          <w:p w:rsidR="004844E2" w:rsidRPr="00523D12" w:rsidRDefault="004844E2" w:rsidP="008D7FBF">
            <w:pPr>
              <w:spacing w:before="60" w:line="240" w:lineRule="auto"/>
              <w:jc w:val="center"/>
              <w:rPr>
                <w:rFonts w:asciiTheme="minorHAnsi" w:hAnsiTheme="minorHAnsi"/>
                <w:sz w:val="18"/>
                <w:szCs w:val="18"/>
              </w:rPr>
            </w:pPr>
            <w:r w:rsidRPr="00523D12">
              <w:rPr>
                <w:rFonts w:asciiTheme="minorHAnsi" w:hAnsiTheme="minorHAnsi"/>
                <w:sz w:val="18"/>
                <w:szCs w:val="18"/>
              </w:rPr>
              <w:t>09</w:t>
            </w:r>
          </w:p>
        </w:tc>
        <w:tc>
          <w:tcPr>
            <w:tcW w:w="567" w:type="dxa"/>
            <w:tcBorders>
              <w:bottom w:val="single" w:sz="4" w:space="0" w:color="auto"/>
            </w:tcBorders>
            <w:shd w:val="clear" w:color="auto" w:fill="DBE5F1" w:themeFill="accent1" w:themeFillTint="33"/>
            <w:tcMar>
              <w:left w:w="28" w:type="dxa"/>
              <w:right w:w="28" w:type="dxa"/>
            </w:tcMar>
            <w:vAlign w:val="center"/>
          </w:tcPr>
          <w:p w:rsidR="004844E2" w:rsidRPr="00523D12" w:rsidRDefault="004844E2" w:rsidP="008D7FBF">
            <w:pPr>
              <w:spacing w:before="60" w:line="240" w:lineRule="auto"/>
              <w:jc w:val="center"/>
              <w:rPr>
                <w:rFonts w:asciiTheme="minorHAnsi" w:hAnsiTheme="minorHAnsi"/>
                <w:sz w:val="18"/>
                <w:szCs w:val="18"/>
              </w:rPr>
            </w:pPr>
            <w:r w:rsidRPr="00523D12">
              <w:rPr>
                <w:rFonts w:asciiTheme="minorHAnsi" w:hAnsiTheme="minorHAnsi"/>
                <w:sz w:val="18"/>
                <w:szCs w:val="18"/>
              </w:rPr>
              <w:t>10</w:t>
            </w:r>
          </w:p>
        </w:tc>
        <w:tc>
          <w:tcPr>
            <w:tcW w:w="709" w:type="dxa"/>
            <w:tcBorders>
              <w:bottom w:val="single" w:sz="4" w:space="0" w:color="auto"/>
            </w:tcBorders>
            <w:shd w:val="clear" w:color="auto" w:fill="DBE5F1" w:themeFill="accent1" w:themeFillTint="33"/>
            <w:tcMar>
              <w:left w:w="28" w:type="dxa"/>
              <w:right w:w="28" w:type="dxa"/>
            </w:tcMar>
            <w:vAlign w:val="center"/>
          </w:tcPr>
          <w:p w:rsidR="004844E2" w:rsidRPr="00523D12" w:rsidRDefault="004844E2" w:rsidP="008D7FBF">
            <w:pPr>
              <w:spacing w:before="60" w:line="240" w:lineRule="auto"/>
              <w:jc w:val="center"/>
              <w:rPr>
                <w:rFonts w:asciiTheme="minorHAnsi" w:hAnsiTheme="minorHAnsi"/>
                <w:sz w:val="18"/>
                <w:szCs w:val="18"/>
              </w:rPr>
            </w:pPr>
            <w:r w:rsidRPr="00523D12">
              <w:rPr>
                <w:rFonts w:asciiTheme="minorHAnsi" w:hAnsiTheme="minorHAnsi"/>
                <w:sz w:val="18"/>
                <w:szCs w:val="18"/>
              </w:rPr>
              <w:t>11</w:t>
            </w:r>
          </w:p>
        </w:tc>
        <w:tc>
          <w:tcPr>
            <w:tcW w:w="709" w:type="dxa"/>
            <w:tcBorders>
              <w:bottom w:val="single" w:sz="4" w:space="0" w:color="auto"/>
            </w:tcBorders>
            <w:shd w:val="clear" w:color="auto" w:fill="DBE5F1" w:themeFill="accent1" w:themeFillTint="33"/>
            <w:tcMar>
              <w:left w:w="28" w:type="dxa"/>
              <w:right w:w="28" w:type="dxa"/>
            </w:tcMar>
            <w:vAlign w:val="center"/>
          </w:tcPr>
          <w:p w:rsidR="004844E2" w:rsidRPr="00523D12" w:rsidRDefault="004844E2" w:rsidP="008D7FBF">
            <w:pPr>
              <w:spacing w:before="60" w:line="240" w:lineRule="auto"/>
              <w:jc w:val="center"/>
              <w:rPr>
                <w:rFonts w:asciiTheme="minorHAnsi" w:hAnsiTheme="minorHAnsi"/>
                <w:sz w:val="18"/>
                <w:szCs w:val="18"/>
              </w:rPr>
            </w:pPr>
            <w:r w:rsidRPr="00523D12">
              <w:rPr>
                <w:rFonts w:asciiTheme="minorHAnsi" w:hAnsiTheme="minorHAnsi"/>
                <w:sz w:val="18"/>
                <w:szCs w:val="18"/>
              </w:rPr>
              <w:t>12</w:t>
            </w:r>
          </w:p>
        </w:tc>
        <w:tc>
          <w:tcPr>
            <w:tcW w:w="708" w:type="dxa"/>
            <w:tcBorders>
              <w:bottom w:val="single" w:sz="4" w:space="0" w:color="auto"/>
            </w:tcBorders>
            <w:shd w:val="clear" w:color="auto" w:fill="DBE5F1" w:themeFill="accent1" w:themeFillTint="33"/>
            <w:tcMar>
              <w:left w:w="28" w:type="dxa"/>
              <w:right w:w="28" w:type="dxa"/>
            </w:tcMar>
            <w:vAlign w:val="center"/>
          </w:tcPr>
          <w:p w:rsidR="004844E2" w:rsidRPr="00523D12" w:rsidRDefault="004844E2" w:rsidP="008D7FBF">
            <w:pPr>
              <w:spacing w:before="60" w:line="240" w:lineRule="auto"/>
              <w:jc w:val="center"/>
              <w:rPr>
                <w:rFonts w:asciiTheme="minorHAnsi" w:hAnsiTheme="minorHAnsi"/>
                <w:sz w:val="18"/>
                <w:szCs w:val="18"/>
              </w:rPr>
            </w:pPr>
            <w:r>
              <w:rPr>
                <w:rFonts w:asciiTheme="minorHAnsi" w:hAnsiTheme="minorHAnsi"/>
                <w:sz w:val="18"/>
                <w:szCs w:val="18"/>
              </w:rPr>
              <w:t>2014</w:t>
            </w:r>
          </w:p>
        </w:tc>
      </w:tr>
      <w:tr w:rsidR="004844E2" w:rsidRPr="00523D12" w:rsidTr="003E2761">
        <w:trPr>
          <w:trHeight w:val="388"/>
        </w:trPr>
        <w:tc>
          <w:tcPr>
            <w:tcW w:w="2694" w:type="dxa"/>
            <w:tcBorders>
              <w:top w:val="single" w:sz="4" w:space="0" w:color="auto"/>
            </w:tcBorders>
            <w:shd w:val="clear" w:color="auto" w:fill="FFFFFF" w:themeFill="background1"/>
            <w:vAlign w:val="center"/>
          </w:tcPr>
          <w:p w:rsidR="004844E2" w:rsidRPr="00994E2F" w:rsidRDefault="004844E2" w:rsidP="004844E2">
            <w:pPr>
              <w:spacing w:before="60" w:line="240" w:lineRule="auto"/>
              <w:jc w:val="left"/>
              <w:rPr>
                <w:rFonts w:asciiTheme="minorHAnsi" w:hAnsiTheme="minorHAnsi"/>
                <w:sz w:val="18"/>
                <w:szCs w:val="18"/>
              </w:rPr>
            </w:pPr>
            <w:r>
              <w:rPr>
                <w:rFonts w:asciiTheme="minorHAnsi" w:hAnsiTheme="minorHAnsi"/>
                <w:sz w:val="18"/>
                <w:szCs w:val="18"/>
              </w:rPr>
              <w:t>Předložení programů včetně PP</w:t>
            </w:r>
          </w:p>
        </w:tc>
        <w:tc>
          <w:tcPr>
            <w:tcW w:w="1417" w:type="dxa"/>
            <w:tcBorders>
              <w:top w:val="single" w:sz="4" w:space="0" w:color="auto"/>
            </w:tcBorders>
            <w:shd w:val="clear" w:color="auto" w:fill="FFFFFF" w:themeFill="background1"/>
            <w:vAlign w:val="center"/>
          </w:tcPr>
          <w:p w:rsidR="004844E2" w:rsidRPr="00523D12" w:rsidRDefault="004844E2" w:rsidP="00854F6D">
            <w:pPr>
              <w:spacing w:before="60" w:line="240" w:lineRule="auto"/>
              <w:jc w:val="left"/>
              <w:rPr>
                <w:rFonts w:asciiTheme="minorHAnsi" w:hAnsiTheme="minorHAnsi"/>
                <w:sz w:val="18"/>
                <w:szCs w:val="18"/>
              </w:rPr>
            </w:pPr>
            <w:r w:rsidRPr="00523D12">
              <w:rPr>
                <w:rFonts w:asciiTheme="minorHAnsi" w:hAnsiTheme="minorHAnsi"/>
                <w:sz w:val="18"/>
                <w:szCs w:val="18"/>
              </w:rPr>
              <w:t>Řídící orgány</w:t>
            </w:r>
          </w:p>
        </w:tc>
        <w:tc>
          <w:tcPr>
            <w:tcW w:w="567" w:type="dxa"/>
            <w:tcBorders>
              <w:top w:val="single" w:sz="4" w:space="0" w:color="auto"/>
            </w:tcBorders>
            <w:shd w:val="clear" w:color="auto" w:fill="F2DBDB" w:themeFill="accent2" w:themeFillTint="33"/>
            <w:vAlign w:val="center"/>
          </w:tcPr>
          <w:p w:rsidR="004844E2" w:rsidRPr="00523D12" w:rsidRDefault="004844E2" w:rsidP="008D7FBF">
            <w:pPr>
              <w:spacing w:before="60" w:line="240" w:lineRule="auto"/>
              <w:jc w:val="left"/>
              <w:rPr>
                <w:rFonts w:asciiTheme="minorHAnsi" w:hAnsiTheme="minorHAnsi"/>
                <w:sz w:val="18"/>
                <w:szCs w:val="18"/>
              </w:rPr>
            </w:pPr>
          </w:p>
        </w:tc>
        <w:tc>
          <w:tcPr>
            <w:tcW w:w="567" w:type="dxa"/>
            <w:tcBorders>
              <w:top w:val="single" w:sz="4" w:space="0" w:color="auto"/>
            </w:tcBorders>
            <w:shd w:val="clear" w:color="auto" w:fill="FFFFFF" w:themeFill="background1"/>
            <w:tcMar>
              <w:left w:w="28" w:type="dxa"/>
              <w:right w:w="28" w:type="dxa"/>
            </w:tcMar>
            <w:vAlign w:val="center"/>
          </w:tcPr>
          <w:p w:rsidR="004844E2" w:rsidRPr="00523D12" w:rsidRDefault="004844E2" w:rsidP="008D7FBF">
            <w:pPr>
              <w:spacing w:before="60" w:line="240" w:lineRule="auto"/>
              <w:jc w:val="left"/>
              <w:rPr>
                <w:rFonts w:asciiTheme="minorHAnsi" w:hAnsiTheme="minorHAnsi"/>
                <w:sz w:val="18"/>
                <w:szCs w:val="18"/>
              </w:rPr>
            </w:pPr>
          </w:p>
        </w:tc>
        <w:tc>
          <w:tcPr>
            <w:tcW w:w="567" w:type="dxa"/>
            <w:tcBorders>
              <w:top w:val="single" w:sz="4" w:space="0" w:color="auto"/>
            </w:tcBorders>
            <w:shd w:val="clear" w:color="auto" w:fill="FFFFFF" w:themeFill="background1"/>
            <w:tcMar>
              <w:left w:w="28" w:type="dxa"/>
              <w:right w:w="28" w:type="dxa"/>
            </w:tcMar>
            <w:vAlign w:val="center"/>
          </w:tcPr>
          <w:p w:rsidR="004844E2" w:rsidRPr="004844E2" w:rsidRDefault="004844E2" w:rsidP="008D7FBF">
            <w:pPr>
              <w:spacing w:before="60" w:line="240" w:lineRule="auto"/>
              <w:jc w:val="left"/>
              <w:rPr>
                <w:rFonts w:asciiTheme="minorHAnsi" w:hAnsiTheme="minorHAnsi"/>
                <w:sz w:val="18"/>
                <w:szCs w:val="18"/>
              </w:rPr>
            </w:pPr>
          </w:p>
        </w:tc>
        <w:tc>
          <w:tcPr>
            <w:tcW w:w="567" w:type="dxa"/>
            <w:tcBorders>
              <w:top w:val="single" w:sz="4" w:space="0" w:color="auto"/>
            </w:tcBorders>
            <w:shd w:val="clear" w:color="auto" w:fill="F2DBDB" w:themeFill="accent2" w:themeFillTint="33"/>
            <w:tcMar>
              <w:left w:w="28" w:type="dxa"/>
              <w:right w:w="28" w:type="dxa"/>
            </w:tcMar>
            <w:vAlign w:val="center"/>
          </w:tcPr>
          <w:p w:rsidR="004844E2" w:rsidRPr="004844E2" w:rsidRDefault="004844E2" w:rsidP="008D7FBF">
            <w:pPr>
              <w:spacing w:before="60" w:line="240" w:lineRule="auto"/>
              <w:jc w:val="left"/>
              <w:rPr>
                <w:rFonts w:asciiTheme="minorHAnsi" w:hAnsiTheme="minorHAnsi"/>
                <w:sz w:val="18"/>
                <w:szCs w:val="18"/>
              </w:rPr>
            </w:pPr>
          </w:p>
        </w:tc>
        <w:tc>
          <w:tcPr>
            <w:tcW w:w="567" w:type="dxa"/>
            <w:tcBorders>
              <w:top w:val="single" w:sz="4" w:space="0" w:color="auto"/>
            </w:tcBorders>
            <w:shd w:val="clear" w:color="auto" w:fill="FFFFFF" w:themeFill="background1"/>
            <w:tcMar>
              <w:left w:w="28" w:type="dxa"/>
              <w:right w:w="28" w:type="dxa"/>
            </w:tcMar>
            <w:vAlign w:val="center"/>
          </w:tcPr>
          <w:p w:rsidR="004844E2" w:rsidRPr="004844E2" w:rsidRDefault="004844E2" w:rsidP="008D7FBF">
            <w:pPr>
              <w:spacing w:before="60" w:line="240" w:lineRule="auto"/>
              <w:jc w:val="left"/>
              <w:rPr>
                <w:rFonts w:asciiTheme="minorHAnsi" w:hAnsiTheme="minorHAnsi"/>
                <w:sz w:val="18"/>
                <w:szCs w:val="18"/>
              </w:rPr>
            </w:pPr>
          </w:p>
        </w:tc>
        <w:tc>
          <w:tcPr>
            <w:tcW w:w="709" w:type="dxa"/>
            <w:tcBorders>
              <w:top w:val="single" w:sz="4" w:space="0" w:color="auto"/>
            </w:tcBorders>
            <w:shd w:val="clear" w:color="auto" w:fill="FFFFFF" w:themeFill="background1"/>
            <w:tcMar>
              <w:left w:w="28" w:type="dxa"/>
              <w:right w:w="28" w:type="dxa"/>
            </w:tcMar>
            <w:vAlign w:val="center"/>
          </w:tcPr>
          <w:p w:rsidR="004844E2" w:rsidRPr="004844E2" w:rsidRDefault="004844E2" w:rsidP="008D7FBF">
            <w:pPr>
              <w:spacing w:before="60" w:line="240" w:lineRule="auto"/>
              <w:jc w:val="left"/>
              <w:rPr>
                <w:rFonts w:asciiTheme="minorHAnsi" w:hAnsiTheme="minorHAnsi"/>
                <w:sz w:val="18"/>
                <w:szCs w:val="18"/>
              </w:rPr>
            </w:pPr>
          </w:p>
        </w:tc>
        <w:tc>
          <w:tcPr>
            <w:tcW w:w="709" w:type="dxa"/>
            <w:tcBorders>
              <w:top w:val="single" w:sz="4" w:space="0" w:color="auto"/>
            </w:tcBorders>
            <w:shd w:val="clear" w:color="auto" w:fill="FFFFFF" w:themeFill="background1"/>
            <w:tcMar>
              <w:left w:w="28" w:type="dxa"/>
              <w:right w:w="28" w:type="dxa"/>
            </w:tcMar>
            <w:vAlign w:val="center"/>
          </w:tcPr>
          <w:p w:rsidR="004844E2" w:rsidRPr="004844E2" w:rsidRDefault="004844E2" w:rsidP="008D7FBF">
            <w:pPr>
              <w:spacing w:before="60" w:line="240" w:lineRule="auto"/>
              <w:jc w:val="left"/>
              <w:rPr>
                <w:rFonts w:asciiTheme="minorHAnsi" w:hAnsiTheme="minorHAnsi"/>
                <w:sz w:val="18"/>
                <w:szCs w:val="18"/>
              </w:rPr>
            </w:pPr>
          </w:p>
        </w:tc>
        <w:tc>
          <w:tcPr>
            <w:tcW w:w="708" w:type="dxa"/>
            <w:tcBorders>
              <w:top w:val="single" w:sz="4" w:space="0" w:color="auto"/>
            </w:tcBorders>
            <w:shd w:val="clear" w:color="auto" w:fill="FFFFFF" w:themeFill="background1"/>
            <w:tcMar>
              <w:left w:w="28" w:type="dxa"/>
              <w:right w:w="28" w:type="dxa"/>
            </w:tcMar>
            <w:vAlign w:val="center"/>
          </w:tcPr>
          <w:p w:rsidR="004844E2" w:rsidRPr="00523D12" w:rsidRDefault="004844E2" w:rsidP="008D7FBF">
            <w:pPr>
              <w:spacing w:before="60" w:line="240" w:lineRule="auto"/>
              <w:jc w:val="left"/>
              <w:rPr>
                <w:rFonts w:asciiTheme="minorHAnsi" w:hAnsiTheme="minorHAnsi"/>
                <w:sz w:val="18"/>
                <w:szCs w:val="18"/>
              </w:rPr>
            </w:pPr>
          </w:p>
        </w:tc>
      </w:tr>
      <w:tr w:rsidR="00EC4828" w:rsidRPr="00523D12" w:rsidTr="003E2761">
        <w:trPr>
          <w:trHeight w:val="334"/>
        </w:trPr>
        <w:tc>
          <w:tcPr>
            <w:tcW w:w="2694" w:type="dxa"/>
            <w:tcBorders>
              <w:top w:val="single" w:sz="4" w:space="0" w:color="auto"/>
            </w:tcBorders>
            <w:shd w:val="clear" w:color="auto" w:fill="FFFFFF" w:themeFill="background1"/>
            <w:vAlign w:val="center"/>
          </w:tcPr>
          <w:p w:rsidR="004844E2" w:rsidRPr="00994E2F" w:rsidRDefault="004844E2" w:rsidP="00EC4828">
            <w:pPr>
              <w:spacing w:before="60" w:line="240" w:lineRule="auto"/>
              <w:jc w:val="left"/>
              <w:rPr>
                <w:rFonts w:asciiTheme="minorHAnsi" w:hAnsiTheme="minorHAnsi"/>
                <w:sz w:val="18"/>
                <w:szCs w:val="18"/>
              </w:rPr>
            </w:pPr>
            <w:r w:rsidRPr="00994E2F">
              <w:rPr>
                <w:rFonts w:asciiTheme="minorHAnsi" w:hAnsiTheme="minorHAnsi"/>
                <w:sz w:val="18"/>
                <w:szCs w:val="18"/>
              </w:rPr>
              <w:t>Zhodnocen</w:t>
            </w:r>
            <w:r w:rsidR="00EC4828">
              <w:rPr>
                <w:rFonts w:asciiTheme="minorHAnsi" w:hAnsiTheme="minorHAnsi"/>
                <w:sz w:val="18"/>
                <w:szCs w:val="18"/>
              </w:rPr>
              <w:t>í PP</w:t>
            </w:r>
          </w:p>
        </w:tc>
        <w:tc>
          <w:tcPr>
            <w:tcW w:w="1417" w:type="dxa"/>
            <w:tcBorders>
              <w:top w:val="single" w:sz="4" w:space="0" w:color="auto"/>
            </w:tcBorders>
            <w:shd w:val="clear" w:color="auto" w:fill="FFFFFF" w:themeFill="background1"/>
            <w:vAlign w:val="center"/>
          </w:tcPr>
          <w:p w:rsidR="004844E2" w:rsidRPr="00523D12" w:rsidRDefault="004844E2" w:rsidP="008D7FBF">
            <w:pPr>
              <w:spacing w:before="60" w:line="240" w:lineRule="auto"/>
              <w:jc w:val="left"/>
              <w:rPr>
                <w:rFonts w:asciiTheme="minorHAnsi" w:hAnsiTheme="minorHAnsi"/>
                <w:sz w:val="18"/>
                <w:szCs w:val="18"/>
              </w:rPr>
            </w:pPr>
            <w:r w:rsidRPr="00523D12">
              <w:rPr>
                <w:rFonts w:asciiTheme="minorHAnsi" w:hAnsiTheme="minorHAnsi"/>
                <w:sz w:val="18"/>
                <w:szCs w:val="18"/>
              </w:rPr>
              <w:t>MMR</w:t>
            </w:r>
          </w:p>
        </w:tc>
        <w:tc>
          <w:tcPr>
            <w:tcW w:w="567" w:type="dxa"/>
            <w:tcBorders>
              <w:top w:val="single" w:sz="4" w:space="0" w:color="auto"/>
            </w:tcBorders>
            <w:shd w:val="clear" w:color="auto" w:fill="FFFFFF" w:themeFill="background1"/>
            <w:vAlign w:val="center"/>
          </w:tcPr>
          <w:p w:rsidR="004844E2" w:rsidRPr="00523D12" w:rsidRDefault="004844E2" w:rsidP="008D7FBF">
            <w:pPr>
              <w:spacing w:before="60" w:line="240" w:lineRule="auto"/>
              <w:jc w:val="left"/>
              <w:rPr>
                <w:rFonts w:asciiTheme="minorHAnsi" w:hAnsiTheme="minorHAnsi"/>
                <w:sz w:val="18"/>
                <w:szCs w:val="18"/>
              </w:rPr>
            </w:pPr>
          </w:p>
        </w:tc>
        <w:tc>
          <w:tcPr>
            <w:tcW w:w="567" w:type="dxa"/>
            <w:tcBorders>
              <w:top w:val="single" w:sz="4" w:space="0" w:color="auto"/>
            </w:tcBorders>
            <w:shd w:val="clear" w:color="auto" w:fill="F2DBDB" w:themeFill="accent2" w:themeFillTint="33"/>
            <w:tcMar>
              <w:left w:w="28" w:type="dxa"/>
              <w:right w:w="28" w:type="dxa"/>
            </w:tcMar>
            <w:vAlign w:val="center"/>
          </w:tcPr>
          <w:p w:rsidR="004844E2" w:rsidRPr="00523D12" w:rsidRDefault="004844E2" w:rsidP="008D7FBF">
            <w:pPr>
              <w:spacing w:before="60" w:line="240" w:lineRule="auto"/>
              <w:jc w:val="left"/>
              <w:rPr>
                <w:rFonts w:asciiTheme="minorHAnsi" w:hAnsiTheme="minorHAnsi"/>
                <w:sz w:val="18"/>
                <w:szCs w:val="18"/>
              </w:rPr>
            </w:pPr>
          </w:p>
        </w:tc>
        <w:tc>
          <w:tcPr>
            <w:tcW w:w="567" w:type="dxa"/>
            <w:tcBorders>
              <w:top w:val="single" w:sz="4" w:space="0" w:color="auto"/>
            </w:tcBorders>
            <w:shd w:val="clear" w:color="auto" w:fill="FFFFFF" w:themeFill="background1"/>
            <w:tcMar>
              <w:left w:w="28" w:type="dxa"/>
              <w:right w:w="28" w:type="dxa"/>
            </w:tcMar>
            <w:vAlign w:val="center"/>
          </w:tcPr>
          <w:p w:rsidR="004844E2" w:rsidRPr="00523D12" w:rsidRDefault="004844E2" w:rsidP="008D7FBF">
            <w:pPr>
              <w:spacing w:before="60" w:line="240" w:lineRule="auto"/>
              <w:jc w:val="left"/>
              <w:rPr>
                <w:rFonts w:asciiTheme="minorHAnsi" w:hAnsiTheme="minorHAnsi"/>
                <w:sz w:val="18"/>
                <w:szCs w:val="18"/>
              </w:rPr>
            </w:pPr>
          </w:p>
        </w:tc>
        <w:tc>
          <w:tcPr>
            <w:tcW w:w="567" w:type="dxa"/>
            <w:tcBorders>
              <w:top w:val="single" w:sz="4" w:space="0" w:color="auto"/>
            </w:tcBorders>
            <w:shd w:val="clear" w:color="auto" w:fill="FFFFFF" w:themeFill="background1"/>
            <w:tcMar>
              <w:left w:w="28" w:type="dxa"/>
              <w:right w:w="28" w:type="dxa"/>
            </w:tcMar>
            <w:vAlign w:val="center"/>
          </w:tcPr>
          <w:p w:rsidR="004844E2" w:rsidRPr="00523D12" w:rsidRDefault="004844E2" w:rsidP="008D7FBF">
            <w:pPr>
              <w:spacing w:before="60" w:line="240" w:lineRule="auto"/>
              <w:jc w:val="left"/>
              <w:rPr>
                <w:rFonts w:asciiTheme="minorHAnsi" w:hAnsiTheme="minorHAnsi"/>
                <w:sz w:val="18"/>
                <w:szCs w:val="18"/>
              </w:rPr>
            </w:pPr>
          </w:p>
        </w:tc>
        <w:tc>
          <w:tcPr>
            <w:tcW w:w="567" w:type="dxa"/>
            <w:tcBorders>
              <w:top w:val="single" w:sz="4" w:space="0" w:color="auto"/>
            </w:tcBorders>
            <w:shd w:val="clear" w:color="auto" w:fill="F2DBDB" w:themeFill="accent2" w:themeFillTint="33"/>
            <w:tcMar>
              <w:left w:w="28" w:type="dxa"/>
              <w:right w:w="28" w:type="dxa"/>
            </w:tcMar>
            <w:vAlign w:val="center"/>
          </w:tcPr>
          <w:p w:rsidR="004844E2" w:rsidRPr="00523D12" w:rsidRDefault="004844E2" w:rsidP="008D7FBF">
            <w:pPr>
              <w:spacing w:before="60" w:line="240" w:lineRule="auto"/>
              <w:jc w:val="left"/>
              <w:rPr>
                <w:rFonts w:asciiTheme="minorHAnsi" w:hAnsiTheme="minorHAnsi"/>
                <w:sz w:val="18"/>
                <w:szCs w:val="18"/>
              </w:rPr>
            </w:pPr>
          </w:p>
        </w:tc>
        <w:tc>
          <w:tcPr>
            <w:tcW w:w="709" w:type="dxa"/>
            <w:tcBorders>
              <w:top w:val="single" w:sz="4" w:space="0" w:color="auto"/>
            </w:tcBorders>
            <w:shd w:val="clear" w:color="auto" w:fill="FFFFFF" w:themeFill="background1"/>
            <w:tcMar>
              <w:left w:w="28" w:type="dxa"/>
              <w:right w:w="28" w:type="dxa"/>
            </w:tcMar>
            <w:vAlign w:val="center"/>
          </w:tcPr>
          <w:p w:rsidR="004844E2" w:rsidRPr="00523D12" w:rsidRDefault="004844E2" w:rsidP="008D7FBF">
            <w:pPr>
              <w:spacing w:before="60" w:line="240" w:lineRule="auto"/>
              <w:jc w:val="left"/>
              <w:rPr>
                <w:rFonts w:asciiTheme="minorHAnsi" w:hAnsiTheme="minorHAnsi"/>
                <w:sz w:val="18"/>
                <w:szCs w:val="18"/>
              </w:rPr>
            </w:pPr>
          </w:p>
        </w:tc>
        <w:tc>
          <w:tcPr>
            <w:tcW w:w="709" w:type="dxa"/>
            <w:tcBorders>
              <w:top w:val="single" w:sz="4" w:space="0" w:color="auto"/>
            </w:tcBorders>
            <w:shd w:val="clear" w:color="auto" w:fill="FFFFFF" w:themeFill="background1"/>
            <w:tcMar>
              <w:left w:w="28" w:type="dxa"/>
              <w:right w:w="28" w:type="dxa"/>
            </w:tcMar>
            <w:vAlign w:val="center"/>
          </w:tcPr>
          <w:p w:rsidR="004844E2" w:rsidRPr="00523D12" w:rsidRDefault="004844E2" w:rsidP="008D7FBF">
            <w:pPr>
              <w:spacing w:before="60" w:line="240" w:lineRule="auto"/>
              <w:jc w:val="left"/>
              <w:rPr>
                <w:rFonts w:asciiTheme="minorHAnsi" w:hAnsiTheme="minorHAnsi"/>
                <w:sz w:val="18"/>
                <w:szCs w:val="18"/>
              </w:rPr>
            </w:pPr>
          </w:p>
        </w:tc>
        <w:tc>
          <w:tcPr>
            <w:tcW w:w="708" w:type="dxa"/>
            <w:tcBorders>
              <w:top w:val="single" w:sz="4" w:space="0" w:color="auto"/>
            </w:tcBorders>
            <w:shd w:val="clear" w:color="auto" w:fill="FFFFFF" w:themeFill="background1"/>
            <w:tcMar>
              <w:left w:w="28" w:type="dxa"/>
              <w:right w:w="28" w:type="dxa"/>
            </w:tcMar>
            <w:vAlign w:val="center"/>
          </w:tcPr>
          <w:p w:rsidR="004844E2" w:rsidRPr="00523D12" w:rsidRDefault="004844E2" w:rsidP="008D7FBF">
            <w:pPr>
              <w:spacing w:before="60" w:line="240" w:lineRule="auto"/>
              <w:jc w:val="left"/>
              <w:rPr>
                <w:rFonts w:asciiTheme="minorHAnsi" w:hAnsiTheme="minorHAnsi"/>
                <w:sz w:val="18"/>
                <w:szCs w:val="18"/>
              </w:rPr>
            </w:pPr>
          </w:p>
        </w:tc>
      </w:tr>
      <w:tr w:rsidR="006C4479" w:rsidRPr="00523D12" w:rsidTr="003E2761">
        <w:trPr>
          <w:trHeight w:val="494"/>
        </w:trPr>
        <w:tc>
          <w:tcPr>
            <w:tcW w:w="2694" w:type="dxa"/>
            <w:shd w:val="clear" w:color="auto" w:fill="FFFFFF" w:themeFill="background1"/>
            <w:vAlign w:val="center"/>
          </w:tcPr>
          <w:p w:rsidR="006C4479" w:rsidRPr="00994E2F" w:rsidRDefault="006C4479" w:rsidP="00EC4828">
            <w:pPr>
              <w:spacing w:before="60" w:line="240" w:lineRule="auto"/>
              <w:jc w:val="left"/>
              <w:rPr>
                <w:rFonts w:asciiTheme="minorHAnsi" w:hAnsiTheme="minorHAnsi"/>
                <w:sz w:val="18"/>
                <w:szCs w:val="18"/>
              </w:rPr>
            </w:pPr>
            <w:r w:rsidRPr="00994E2F">
              <w:rPr>
                <w:rFonts w:asciiTheme="minorHAnsi" w:hAnsiTheme="minorHAnsi"/>
                <w:sz w:val="18"/>
                <w:szCs w:val="18"/>
              </w:rPr>
              <w:t xml:space="preserve">Předložení </w:t>
            </w:r>
            <w:r>
              <w:rPr>
                <w:rFonts w:asciiTheme="minorHAnsi" w:hAnsiTheme="minorHAnsi"/>
                <w:sz w:val="18"/>
                <w:szCs w:val="18"/>
              </w:rPr>
              <w:t>programů včetně předběžných podmínek vládě</w:t>
            </w:r>
          </w:p>
        </w:tc>
        <w:tc>
          <w:tcPr>
            <w:tcW w:w="1417" w:type="dxa"/>
            <w:shd w:val="clear" w:color="auto" w:fill="FFFFFF" w:themeFill="background1"/>
            <w:vAlign w:val="center"/>
          </w:tcPr>
          <w:p w:rsidR="006C4479" w:rsidRPr="00523D12" w:rsidRDefault="006C4479" w:rsidP="008D7FBF">
            <w:pPr>
              <w:spacing w:before="60" w:line="240" w:lineRule="auto"/>
              <w:jc w:val="left"/>
              <w:rPr>
                <w:rFonts w:asciiTheme="minorHAnsi" w:hAnsiTheme="minorHAnsi"/>
                <w:sz w:val="18"/>
                <w:szCs w:val="18"/>
              </w:rPr>
            </w:pPr>
            <w:r>
              <w:rPr>
                <w:rFonts w:asciiTheme="minorHAnsi" w:hAnsiTheme="minorHAnsi"/>
                <w:sz w:val="18"/>
                <w:szCs w:val="18"/>
              </w:rPr>
              <w:t>Řídící orgány</w:t>
            </w:r>
          </w:p>
        </w:tc>
        <w:tc>
          <w:tcPr>
            <w:tcW w:w="567" w:type="dxa"/>
            <w:shd w:val="clear" w:color="auto" w:fill="FFFFFF" w:themeFill="background1"/>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709" w:type="dxa"/>
            <w:shd w:val="clear" w:color="auto" w:fill="F2DBDB" w:themeFill="accent2" w:themeFillTint="33"/>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709"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708"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r>
      <w:tr w:rsidR="006C4479" w:rsidRPr="00523D12" w:rsidTr="003E2761">
        <w:trPr>
          <w:trHeight w:val="494"/>
        </w:trPr>
        <w:tc>
          <w:tcPr>
            <w:tcW w:w="2694" w:type="dxa"/>
            <w:shd w:val="clear" w:color="auto" w:fill="FFFFFF" w:themeFill="background1"/>
            <w:vAlign w:val="center"/>
          </w:tcPr>
          <w:p w:rsidR="006C4479" w:rsidRPr="00994E2F" w:rsidRDefault="006C4479" w:rsidP="006C4479">
            <w:pPr>
              <w:spacing w:before="60" w:line="240" w:lineRule="auto"/>
              <w:jc w:val="left"/>
              <w:rPr>
                <w:rFonts w:asciiTheme="minorHAnsi" w:hAnsiTheme="minorHAnsi"/>
                <w:sz w:val="18"/>
                <w:szCs w:val="18"/>
              </w:rPr>
            </w:pPr>
            <w:r w:rsidRPr="00994E2F">
              <w:rPr>
                <w:rFonts w:asciiTheme="minorHAnsi" w:hAnsiTheme="minorHAnsi"/>
                <w:sz w:val="18"/>
                <w:szCs w:val="18"/>
              </w:rPr>
              <w:t xml:space="preserve">Předložení </w:t>
            </w:r>
            <w:r>
              <w:rPr>
                <w:rFonts w:asciiTheme="minorHAnsi" w:hAnsiTheme="minorHAnsi"/>
                <w:sz w:val="18"/>
                <w:szCs w:val="18"/>
              </w:rPr>
              <w:t>programů včetně předběžných podmínek Komisi</w:t>
            </w:r>
          </w:p>
        </w:tc>
        <w:tc>
          <w:tcPr>
            <w:tcW w:w="1417" w:type="dxa"/>
            <w:shd w:val="clear" w:color="auto" w:fill="FFFFFF" w:themeFill="background1"/>
            <w:vAlign w:val="center"/>
          </w:tcPr>
          <w:p w:rsidR="006C4479" w:rsidRPr="00523D12" w:rsidRDefault="006C4479" w:rsidP="008D7FBF">
            <w:pPr>
              <w:spacing w:before="60" w:line="240" w:lineRule="auto"/>
              <w:jc w:val="left"/>
              <w:rPr>
                <w:rFonts w:asciiTheme="minorHAnsi" w:hAnsiTheme="minorHAnsi"/>
                <w:sz w:val="18"/>
                <w:szCs w:val="18"/>
              </w:rPr>
            </w:pPr>
            <w:r>
              <w:rPr>
                <w:rFonts w:asciiTheme="minorHAnsi" w:hAnsiTheme="minorHAnsi"/>
                <w:sz w:val="18"/>
                <w:szCs w:val="18"/>
              </w:rPr>
              <w:t>Řídící orgány</w:t>
            </w:r>
          </w:p>
        </w:tc>
        <w:tc>
          <w:tcPr>
            <w:tcW w:w="567" w:type="dxa"/>
            <w:shd w:val="clear" w:color="auto" w:fill="FFFFFF" w:themeFill="background1"/>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709"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709" w:type="dxa"/>
            <w:shd w:val="clear" w:color="auto" w:fill="F2DBDB" w:themeFill="accent2" w:themeFillTint="33"/>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708"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r>
      <w:tr w:rsidR="006C4479" w:rsidRPr="00523D12" w:rsidTr="003E2761">
        <w:trPr>
          <w:trHeight w:val="269"/>
        </w:trPr>
        <w:tc>
          <w:tcPr>
            <w:tcW w:w="2694" w:type="dxa"/>
            <w:shd w:val="clear" w:color="auto" w:fill="FFFFFF" w:themeFill="background1"/>
            <w:vAlign w:val="center"/>
          </w:tcPr>
          <w:p w:rsidR="006C4479" w:rsidRPr="00994E2F" w:rsidRDefault="006C4479" w:rsidP="008F50A5">
            <w:pPr>
              <w:spacing w:before="60" w:line="240" w:lineRule="auto"/>
              <w:jc w:val="left"/>
              <w:rPr>
                <w:rFonts w:asciiTheme="minorHAnsi" w:hAnsiTheme="minorHAnsi"/>
                <w:sz w:val="18"/>
                <w:szCs w:val="18"/>
              </w:rPr>
            </w:pPr>
            <w:r>
              <w:rPr>
                <w:rFonts w:asciiTheme="minorHAnsi" w:hAnsiTheme="minorHAnsi"/>
                <w:sz w:val="18"/>
                <w:szCs w:val="18"/>
              </w:rPr>
              <w:t>Dopracování programů včetně PP pro předložení vládě a K</w:t>
            </w:r>
            <w:r w:rsidR="008F50A5">
              <w:rPr>
                <w:rFonts w:asciiTheme="minorHAnsi" w:hAnsiTheme="minorHAnsi"/>
                <w:sz w:val="18"/>
                <w:szCs w:val="18"/>
              </w:rPr>
              <w:t>o</w:t>
            </w:r>
            <w:r>
              <w:rPr>
                <w:rFonts w:asciiTheme="minorHAnsi" w:hAnsiTheme="minorHAnsi"/>
                <w:sz w:val="18"/>
                <w:szCs w:val="18"/>
              </w:rPr>
              <w:t>misi</w:t>
            </w:r>
          </w:p>
        </w:tc>
        <w:tc>
          <w:tcPr>
            <w:tcW w:w="1417" w:type="dxa"/>
            <w:shd w:val="clear" w:color="auto" w:fill="FFFFFF" w:themeFill="background1"/>
            <w:vAlign w:val="center"/>
          </w:tcPr>
          <w:p w:rsidR="006C4479" w:rsidRDefault="006C4479" w:rsidP="008D7FBF">
            <w:pPr>
              <w:spacing w:before="60" w:line="240" w:lineRule="auto"/>
              <w:jc w:val="left"/>
              <w:rPr>
                <w:rFonts w:asciiTheme="minorHAnsi" w:hAnsiTheme="minorHAnsi"/>
                <w:sz w:val="18"/>
                <w:szCs w:val="18"/>
              </w:rPr>
            </w:pPr>
            <w:r>
              <w:rPr>
                <w:rFonts w:asciiTheme="minorHAnsi" w:hAnsiTheme="minorHAnsi"/>
                <w:sz w:val="18"/>
                <w:szCs w:val="18"/>
              </w:rPr>
              <w:t>Řídící orgány</w:t>
            </w:r>
          </w:p>
        </w:tc>
        <w:tc>
          <w:tcPr>
            <w:tcW w:w="567" w:type="dxa"/>
            <w:shd w:val="clear" w:color="auto" w:fill="FFFFFF" w:themeFill="background1"/>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shd w:val="clear" w:color="auto" w:fill="F2DBDB" w:themeFill="accent2" w:themeFillTint="33"/>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709" w:type="dxa"/>
            <w:shd w:val="clear" w:color="auto" w:fill="F2DBDB" w:themeFill="accent2" w:themeFillTint="33"/>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709" w:type="dxa"/>
            <w:shd w:val="clear" w:color="auto" w:fill="F2DBDB" w:themeFill="accent2" w:themeFillTint="33"/>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708"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r>
      <w:tr w:rsidR="006C4479" w:rsidRPr="00523D12" w:rsidTr="003E2761">
        <w:trPr>
          <w:trHeight w:val="494"/>
        </w:trPr>
        <w:tc>
          <w:tcPr>
            <w:tcW w:w="2694" w:type="dxa"/>
            <w:shd w:val="clear" w:color="auto" w:fill="FFFFFF" w:themeFill="background1"/>
            <w:vAlign w:val="center"/>
          </w:tcPr>
          <w:p w:rsidR="006C4479" w:rsidRDefault="006C4479" w:rsidP="006C4479">
            <w:pPr>
              <w:spacing w:before="60" w:line="240" w:lineRule="auto"/>
              <w:jc w:val="left"/>
              <w:rPr>
                <w:rFonts w:asciiTheme="minorHAnsi" w:hAnsiTheme="minorHAnsi"/>
                <w:sz w:val="18"/>
                <w:szCs w:val="18"/>
              </w:rPr>
            </w:pPr>
            <w:r>
              <w:rPr>
                <w:rFonts w:asciiTheme="minorHAnsi" w:hAnsiTheme="minorHAnsi"/>
                <w:sz w:val="18"/>
                <w:szCs w:val="18"/>
              </w:rPr>
              <w:t>Dopracování programů včetně PP na základě připomínek Komise</w:t>
            </w:r>
          </w:p>
        </w:tc>
        <w:tc>
          <w:tcPr>
            <w:tcW w:w="1417" w:type="dxa"/>
            <w:shd w:val="clear" w:color="auto" w:fill="FFFFFF" w:themeFill="background1"/>
            <w:vAlign w:val="center"/>
          </w:tcPr>
          <w:p w:rsidR="006C4479" w:rsidRDefault="006C4479" w:rsidP="008D7FBF">
            <w:pPr>
              <w:spacing w:before="60" w:line="240" w:lineRule="auto"/>
              <w:jc w:val="left"/>
              <w:rPr>
                <w:rFonts w:asciiTheme="minorHAnsi" w:hAnsiTheme="minorHAnsi"/>
                <w:sz w:val="18"/>
                <w:szCs w:val="18"/>
              </w:rPr>
            </w:pPr>
            <w:r>
              <w:rPr>
                <w:rFonts w:asciiTheme="minorHAnsi" w:hAnsiTheme="minorHAnsi"/>
                <w:sz w:val="18"/>
                <w:szCs w:val="18"/>
              </w:rPr>
              <w:t>Řídící orgány</w:t>
            </w:r>
          </w:p>
        </w:tc>
        <w:tc>
          <w:tcPr>
            <w:tcW w:w="567" w:type="dxa"/>
            <w:tcBorders>
              <w:bottom w:val="single" w:sz="4" w:space="0" w:color="auto"/>
            </w:tcBorders>
            <w:shd w:val="clear" w:color="auto" w:fill="FFFFFF" w:themeFill="background1"/>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tcBorders>
              <w:bottom w:val="single" w:sz="4" w:space="0" w:color="auto"/>
            </w:tcBorders>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tcBorders>
              <w:bottom w:val="single" w:sz="4" w:space="0" w:color="auto"/>
            </w:tcBorders>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tcBorders>
              <w:bottom w:val="single" w:sz="4" w:space="0" w:color="auto"/>
            </w:tcBorders>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567" w:type="dxa"/>
            <w:tcBorders>
              <w:bottom w:val="single" w:sz="4" w:space="0" w:color="auto"/>
            </w:tcBorders>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709" w:type="dxa"/>
            <w:tcBorders>
              <w:bottom w:val="single" w:sz="4" w:space="0" w:color="auto"/>
            </w:tcBorders>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709" w:type="dxa"/>
            <w:shd w:val="clear" w:color="auto" w:fill="FFFFFF" w:themeFill="background1"/>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c>
          <w:tcPr>
            <w:tcW w:w="708" w:type="dxa"/>
            <w:shd w:val="clear" w:color="auto" w:fill="F2DBDB" w:themeFill="accent2" w:themeFillTint="33"/>
            <w:tcMar>
              <w:left w:w="28" w:type="dxa"/>
              <w:right w:w="28" w:type="dxa"/>
            </w:tcMar>
            <w:vAlign w:val="center"/>
          </w:tcPr>
          <w:p w:rsidR="006C4479" w:rsidRPr="00523D12" w:rsidRDefault="006C4479" w:rsidP="008D7FBF">
            <w:pPr>
              <w:spacing w:before="60" w:line="240" w:lineRule="auto"/>
              <w:jc w:val="left"/>
              <w:rPr>
                <w:rFonts w:asciiTheme="minorHAnsi" w:hAnsiTheme="minorHAnsi"/>
                <w:sz w:val="18"/>
                <w:szCs w:val="18"/>
              </w:rPr>
            </w:pPr>
          </w:p>
        </w:tc>
      </w:tr>
    </w:tbl>
    <w:p w:rsidR="002F00FB" w:rsidRPr="0085766B" w:rsidRDefault="007343C6" w:rsidP="0085766B">
      <w:pPr>
        <w:pStyle w:val="Nadpis11"/>
        <w:numPr>
          <w:ilvl w:val="1"/>
          <w:numId w:val="2"/>
        </w:numPr>
        <w:spacing w:after="120"/>
        <w:ind w:left="567" w:hanging="567"/>
        <w:rPr>
          <w:rFonts w:asciiTheme="minorHAnsi" w:eastAsiaTheme="majorEastAsia" w:hAnsiTheme="minorHAnsi"/>
        </w:rPr>
      </w:pPr>
      <w:bookmarkStart w:id="14" w:name="_Toc359587668"/>
      <w:r>
        <w:rPr>
          <w:rFonts w:asciiTheme="minorHAnsi" w:eastAsiaTheme="majorEastAsia" w:hAnsiTheme="minorHAnsi"/>
        </w:rPr>
        <w:t>O</w:t>
      </w:r>
      <w:r w:rsidR="001D7473">
        <w:rPr>
          <w:rFonts w:asciiTheme="minorHAnsi" w:eastAsiaTheme="majorEastAsia" w:hAnsiTheme="minorHAnsi"/>
        </w:rPr>
        <w:t>dpovědnost</w:t>
      </w:r>
      <w:r>
        <w:rPr>
          <w:rFonts w:asciiTheme="minorHAnsi" w:eastAsiaTheme="majorEastAsia" w:hAnsiTheme="minorHAnsi"/>
        </w:rPr>
        <w:t>i</w:t>
      </w:r>
      <w:r w:rsidR="002F00FB" w:rsidRPr="0085766B">
        <w:rPr>
          <w:rFonts w:asciiTheme="minorHAnsi" w:eastAsiaTheme="majorEastAsia" w:hAnsiTheme="minorHAnsi"/>
        </w:rPr>
        <w:t xml:space="preserve"> </w:t>
      </w:r>
      <w:r w:rsidR="009F0824" w:rsidRPr="009F0824">
        <w:rPr>
          <w:rFonts w:asciiTheme="minorHAnsi" w:eastAsiaTheme="majorEastAsia" w:hAnsiTheme="minorHAnsi"/>
        </w:rPr>
        <w:t>v rámci řízení a koordinace předběžných podmínek</w:t>
      </w:r>
      <w:bookmarkEnd w:id="14"/>
    </w:p>
    <w:p w:rsidR="009201CB" w:rsidRPr="00773491" w:rsidRDefault="00E64AD4" w:rsidP="00773491">
      <w:pPr>
        <w:pStyle w:val="Odstavecseseznamem"/>
        <w:spacing w:before="120" w:after="60" w:line="288" w:lineRule="auto"/>
        <w:ind w:left="0"/>
        <w:contextualSpacing w:val="0"/>
        <w:rPr>
          <w:rFonts w:asciiTheme="minorHAnsi" w:eastAsia="Arial Unicode MS" w:hAnsiTheme="minorHAnsi"/>
        </w:rPr>
      </w:pPr>
      <w:r>
        <w:rPr>
          <w:rFonts w:asciiTheme="minorHAnsi" w:eastAsia="Arial Unicode MS" w:hAnsiTheme="minorHAnsi"/>
        </w:rPr>
        <w:t>V této části jsou shrnuty odpovědnosti jednotlivých subjektů zapojených do řešení předběžných podmínek v programovém období 2014-2020 (příprava i realizace).</w:t>
      </w:r>
      <w:r w:rsidR="009201CB">
        <w:rPr>
          <w:rFonts w:asciiTheme="minorHAnsi" w:eastAsia="Arial Unicode MS" w:hAnsiTheme="minorHAnsi"/>
        </w:rPr>
        <w:t xml:space="preserve"> </w:t>
      </w:r>
    </w:p>
    <w:p w:rsidR="002F00FB" w:rsidRPr="0085766B" w:rsidRDefault="00175FC4" w:rsidP="009F46C2">
      <w:pPr>
        <w:spacing w:before="180" w:after="60" w:line="288" w:lineRule="auto"/>
        <w:rPr>
          <w:rFonts w:asciiTheme="minorHAnsi" w:hAnsiTheme="minorHAnsi"/>
          <w:b/>
          <w:sz w:val="24"/>
          <w:szCs w:val="24"/>
        </w:rPr>
      </w:pPr>
      <w:r>
        <w:rPr>
          <w:rFonts w:asciiTheme="minorHAnsi" w:hAnsiTheme="minorHAnsi"/>
          <w:b/>
          <w:sz w:val="24"/>
          <w:szCs w:val="24"/>
        </w:rPr>
        <w:t>Ministerstvo pro místní rozvoj</w:t>
      </w:r>
    </w:p>
    <w:tbl>
      <w:tblPr>
        <w:tblW w:w="9214" w:type="dxa"/>
        <w:tblInd w:w="108" w:type="dxa"/>
        <w:tblBorders>
          <w:insideV w:val="single" w:sz="4" w:space="0" w:color="auto"/>
        </w:tblBorders>
        <w:tblLook w:val="00A0"/>
      </w:tblPr>
      <w:tblGrid>
        <w:gridCol w:w="9214"/>
      </w:tblGrid>
      <w:tr w:rsidR="002F00FB" w:rsidRPr="001E2507" w:rsidTr="00E64AD4">
        <w:trPr>
          <w:trHeight w:val="344"/>
        </w:trPr>
        <w:tc>
          <w:tcPr>
            <w:tcW w:w="9214" w:type="dxa"/>
            <w:shd w:val="clear" w:color="auto" w:fill="DBE5F1" w:themeFill="accent1" w:themeFillTint="33"/>
            <w:vAlign w:val="center"/>
          </w:tcPr>
          <w:p w:rsidR="002F00FB" w:rsidRPr="00E64AD4" w:rsidRDefault="002F00FB" w:rsidP="009F46C2">
            <w:pPr>
              <w:pStyle w:val="Styl2"/>
              <w:numPr>
                <w:ilvl w:val="0"/>
                <w:numId w:val="12"/>
              </w:numPr>
              <w:spacing w:before="0" w:line="240" w:lineRule="auto"/>
              <w:ind w:left="425" w:hanging="357"/>
              <w:rPr>
                <w:rFonts w:asciiTheme="minorHAnsi" w:hAnsiTheme="minorHAnsi"/>
                <w:sz w:val="22"/>
                <w:u w:color="000000"/>
              </w:rPr>
            </w:pPr>
            <w:r w:rsidRPr="00E64AD4">
              <w:rPr>
                <w:rFonts w:asciiTheme="minorHAnsi" w:hAnsiTheme="minorHAnsi"/>
                <w:sz w:val="22"/>
                <w:u w:color="000000"/>
              </w:rPr>
              <w:t xml:space="preserve">Svodná </w:t>
            </w:r>
            <w:r w:rsidR="001D7473" w:rsidRPr="00E64AD4">
              <w:rPr>
                <w:rFonts w:asciiTheme="minorHAnsi" w:hAnsiTheme="minorHAnsi"/>
                <w:sz w:val="22"/>
                <w:u w:color="000000"/>
              </w:rPr>
              <w:t xml:space="preserve">prvotní </w:t>
            </w:r>
            <w:r w:rsidRPr="00E64AD4">
              <w:rPr>
                <w:rFonts w:asciiTheme="minorHAnsi" w:hAnsiTheme="minorHAnsi"/>
                <w:sz w:val="22"/>
                <w:u w:color="000000"/>
              </w:rPr>
              <w:t>analýza předběžných podmínek.</w:t>
            </w:r>
            <w:r w:rsidR="000A66AB" w:rsidRPr="00E64AD4">
              <w:rPr>
                <w:rFonts w:asciiTheme="minorHAnsi" w:hAnsiTheme="minorHAnsi"/>
                <w:sz w:val="22"/>
                <w:u w:color="000000"/>
              </w:rPr>
              <w:t xml:space="preserve"> </w:t>
            </w:r>
            <w:r w:rsidRPr="00E64AD4">
              <w:rPr>
                <w:rFonts w:asciiTheme="minorHAnsi" w:hAnsiTheme="minorHAnsi"/>
                <w:sz w:val="22"/>
                <w:u w:color="000000"/>
              </w:rPr>
              <w:t>Analýza problémových předběžných podmínek.</w:t>
            </w:r>
          </w:p>
        </w:tc>
      </w:tr>
      <w:tr w:rsidR="002F00FB" w:rsidRPr="001E2507" w:rsidTr="00E64AD4">
        <w:trPr>
          <w:trHeight w:val="550"/>
        </w:trPr>
        <w:tc>
          <w:tcPr>
            <w:tcW w:w="9214" w:type="dxa"/>
            <w:shd w:val="clear" w:color="auto" w:fill="DBE5F1" w:themeFill="accent1" w:themeFillTint="33"/>
            <w:vAlign w:val="center"/>
          </w:tcPr>
          <w:p w:rsidR="002F00FB" w:rsidRPr="00E64AD4" w:rsidRDefault="0085766B" w:rsidP="009F46C2">
            <w:pPr>
              <w:pStyle w:val="Styl2"/>
              <w:numPr>
                <w:ilvl w:val="0"/>
                <w:numId w:val="12"/>
              </w:numPr>
              <w:spacing w:before="0" w:line="240" w:lineRule="auto"/>
              <w:ind w:left="425" w:hanging="357"/>
              <w:rPr>
                <w:rFonts w:asciiTheme="minorHAnsi" w:hAnsiTheme="minorHAnsi"/>
                <w:sz w:val="22"/>
                <w:u w:color="000000"/>
              </w:rPr>
            </w:pPr>
            <w:r w:rsidRPr="00E64AD4">
              <w:rPr>
                <w:rFonts w:asciiTheme="minorHAnsi" w:hAnsiTheme="minorHAnsi"/>
                <w:sz w:val="22"/>
                <w:u w:color="000000"/>
              </w:rPr>
              <w:t xml:space="preserve">Řízení a koordinace </w:t>
            </w:r>
            <w:r w:rsidR="001D7473" w:rsidRPr="00E64AD4">
              <w:rPr>
                <w:rFonts w:asciiTheme="minorHAnsi" w:hAnsiTheme="minorHAnsi"/>
                <w:sz w:val="22"/>
                <w:u w:color="000000"/>
              </w:rPr>
              <w:t xml:space="preserve">(svodné a průběžné) </w:t>
            </w:r>
            <w:r w:rsidRPr="00E64AD4">
              <w:rPr>
                <w:rFonts w:asciiTheme="minorHAnsi" w:hAnsiTheme="minorHAnsi"/>
                <w:sz w:val="22"/>
                <w:u w:color="000000"/>
              </w:rPr>
              <w:t>plnění předběžných podmínek (pokyny, metodiky, šablony, karty apod.)</w:t>
            </w:r>
            <w:r w:rsidR="00E24A61" w:rsidRPr="00E64AD4">
              <w:rPr>
                <w:rFonts w:asciiTheme="minorHAnsi" w:hAnsiTheme="minorHAnsi"/>
                <w:sz w:val="22"/>
                <w:u w:color="000000"/>
              </w:rPr>
              <w:t xml:space="preserve"> v ČR</w:t>
            </w:r>
          </w:p>
        </w:tc>
      </w:tr>
      <w:tr w:rsidR="001E2507" w:rsidRPr="001E2507" w:rsidTr="002A5117">
        <w:trPr>
          <w:trHeight w:val="302"/>
        </w:trPr>
        <w:tc>
          <w:tcPr>
            <w:tcW w:w="9214" w:type="dxa"/>
            <w:shd w:val="clear" w:color="auto" w:fill="DBE5F1" w:themeFill="accent1" w:themeFillTint="33"/>
            <w:vAlign w:val="center"/>
          </w:tcPr>
          <w:p w:rsidR="001E2507" w:rsidRPr="00E64AD4" w:rsidRDefault="001E2507" w:rsidP="009F46C2">
            <w:pPr>
              <w:pStyle w:val="Styl2"/>
              <w:numPr>
                <w:ilvl w:val="0"/>
                <w:numId w:val="12"/>
              </w:numPr>
              <w:spacing w:before="0" w:line="240" w:lineRule="auto"/>
              <w:ind w:left="425" w:hanging="357"/>
              <w:rPr>
                <w:rFonts w:asciiTheme="minorHAnsi" w:hAnsiTheme="minorHAnsi"/>
                <w:sz w:val="22"/>
                <w:u w:color="000000"/>
              </w:rPr>
            </w:pPr>
            <w:r w:rsidRPr="00E64AD4">
              <w:rPr>
                <w:rFonts w:asciiTheme="minorHAnsi" w:hAnsiTheme="minorHAnsi"/>
                <w:sz w:val="22"/>
                <w:u w:color="000000"/>
              </w:rPr>
              <w:t>Zabudování předběžných podmínek ve vztahu k Dohodě o partnerství.</w:t>
            </w:r>
          </w:p>
        </w:tc>
      </w:tr>
      <w:tr w:rsidR="002F00FB" w:rsidRPr="001E2507" w:rsidTr="00E64AD4">
        <w:trPr>
          <w:trHeight w:val="402"/>
        </w:trPr>
        <w:tc>
          <w:tcPr>
            <w:tcW w:w="9214" w:type="dxa"/>
            <w:shd w:val="clear" w:color="auto" w:fill="DBE5F1" w:themeFill="accent1" w:themeFillTint="33"/>
            <w:vAlign w:val="center"/>
          </w:tcPr>
          <w:p w:rsidR="00F00AD9" w:rsidRDefault="0085766B">
            <w:pPr>
              <w:pStyle w:val="Styl2"/>
              <w:numPr>
                <w:ilvl w:val="0"/>
                <w:numId w:val="12"/>
              </w:numPr>
              <w:spacing w:before="0" w:line="240" w:lineRule="auto"/>
              <w:ind w:left="425" w:hanging="357"/>
              <w:rPr>
                <w:rFonts w:asciiTheme="minorHAnsi" w:hAnsiTheme="minorHAnsi"/>
                <w:sz w:val="22"/>
                <w:u w:color="000000"/>
              </w:rPr>
            </w:pPr>
            <w:r w:rsidRPr="00E64AD4">
              <w:rPr>
                <w:rFonts w:asciiTheme="minorHAnsi" w:hAnsiTheme="minorHAnsi"/>
                <w:sz w:val="22"/>
                <w:u w:color="000000"/>
              </w:rPr>
              <w:t xml:space="preserve">Komunikace a postoupení </w:t>
            </w:r>
            <w:r w:rsidR="00E24A61" w:rsidRPr="00E64AD4">
              <w:rPr>
                <w:rFonts w:asciiTheme="minorHAnsi" w:hAnsiTheme="minorHAnsi"/>
                <w:sz w:val="22"/>
                <w:u w:color="000000"/>
              </w:rPr>
              <w:t>plnění předběžných podmínek ve vztahu k</w:t>
            </w:r>
            <w:r w:rsidR="001E2507" w:rsidRPr="00E64AD4">
              <w:rPr>
                <w:rFonts w:asciiTheme="minorHAnsi" w:hAnsiTheme="minorHAnsi"/>
                <w:sz w:val="22"/>
                <w:u w:color="000000"/>
              </w:rPr>
              <w:t> </w:t>
            </w:r>
            <w:r w:rsidR="004C5E11">
              <w:rPr>
                <w:rFonts w:asciiTheme="minorHAnsi" w:hAnsiTheme="minorHAnsi"/>
                <w:sz w:val="22"/>
                <w:u w:color="000000"/>
              </w:rPr>
              <w:t>v</w:t>
            </w:r>
            <w:r w:rsidR="001E2507" w:rsidRPr="00E64AD4">
              <w:rPr>
                <w:rFonts w:asciiTheme="minorHAnsi" w:hAnsiTheme="minorHAnsi"/>
                <w:sz w:val="22"/>
                <w:u w:color="000000"/>
              </w:rPr>
              <w:t xml:space="preserve">ládě a </w:t>
            </w:r>
            <w:r w:rsidR="00E24A61" w:rsidRPr="00E64AD4">
              <w:rPr>
                <w:rFonts w:asciiTheme="minorHAnsi" w:hAnsiTheme="minorHAnsi"/>
                <w:sz w:val="22"/>
                <w:u w:color="000000"/>
              </w:rPr>
              <w:t>Evropské komisi</w:t>
            </w:r>
            <w:r w:rsidR="001E2507" w:rsidRPr="00E64AD4">
              <w:rPr>
                <w:rFonts w:asciiTheme="minorHAnsi" w:hAnsiTheme="minorHAnsi"/>
                <w:sz w:val="22"/>
                <w:u w:color="000000"/>
              </w:rPr>
              <w:t>.</w:t>
            </w:r>
          </w:p>
        </w:tc>
      </w:tr>
      <w:tr w:rsidR="002F00FB" w:rsidRPr="001E2507" w:rsidTr="00E64AD4">
        <w:trPr>
          <w:trHeight w:val="402"/>
        </w:trPr>
        <w:tc>
          <w:tcPr>
            <w:tcW w:w="9214" w:type="dxa"/>
            <w:shd w:val="clear" w:color="auto" w:fill="DBE5F1" w:themeFill="accent1" w:themeFillTint="33"/>
            <w:vAlign w:val="center"/>
          </w:tcPr>
          <w:p w:rsidR="002F00FB" w:rsidRPr="00E64AD4" w:rsidRDefault="00E24A61" w:rsidP="009F46C2">
            <w:pPr>
              <w:pStyle w:val="Styl2"/>
              <w:numPr>
                <w:ilvl w:val="0"/>
                <w:numId w:val="12"/>
              </w:numPr>
              <w:spacing w:before="0" w:line="240" w:lineRule="auto"/>
              <w:ind w:left="425" w:hanging="357"/>
              <w:rPr>
                <w:rFonts w:asciiTheme="minorHAnsi" w:hAnsiTheme="minorHAnsi"/>
                <w:sz w:val="22"/>
                <w:u w:color="000000"/>
              </w:rPr>
            </w:pPr>
            <w:r w:rsidRPr="00E64AD4">
              <w:rPr>
                <w:rFonts w:asciiTheme="minorHAnsi" w:hAnsiTheme="minorHAnsi"/>
                <w:sz w:val="22"/>
                <w:u w:color="000000"/>
              </w:rPr>
              <w:t>Vytvoření komunikačního prostředí pro řízení a koordinaci předběžných podmínek (platformy</w:t>
            </w:r>
            <w:r w:rsidR="00661035" w:rsidRPr="00E64AD4">
              <w:rPr>
                <w:rFonts w:asciiTheme="minorHAnsi" w:hAnsiTheme="minorHAnsi"/>
                <w:sz w:val="22"/>
                <w:u w:color="000000"/>
              </w:rPr>
              <w:t>, informování</w:t>
            </w:r>
            <w:r w:rsidRPr="00E64AD4">
              <w:rPr>
                <w:rFonts w:asciiTheme="minorHAnsi" w:hAnsiTheme="minorHAnsi"/>
                <w:sz w:val="22"/>
                <w:u w:color="000000"/>
              </w:rPr>
              <w:t xml:space="preserve"> apod.)</w:t>
            </w:r>
          </w:p>
        </w:tc>
      </w:tr>
    </w:tbl>
    <w:p w:rsidR="002F00FB" w:rsidRPr="00E24A61" w:rsidRDefault="000A66AB" w:rsidP="001D7473">
      <w:pPr>
        <w:spacing w:before="240" w:after="60" w:line="288" w:lineRule="auto"/>
        <w:rPr>
          <w:rFonts w:asciiTheme="minorHAnsi" w:hAnsiTheme="minorHAnsi"/>
          <w:b/>
          <w:sz w:val="24"/>
          <w:szCs w:val="24"/>
        </w:rPr>
      </w:pPr>
      <w:r w:rsidRPr="00E24A61">
        <w:rPr>
          <w:rFonts w:asciiTheme="minorHAnsi" w:hAnsiTheme="minorHAnsi"/>
          <w:b/>
          <w:sz w:val="24"/>
          <w:szCs w:val="24"/>
        </w:rPr>
        <w:t>Řídící orgány</w:t>
      </w:r>
    </w:p>
    <w:tbl>
      <w:tblPr>
        <w:tblW w:w="9214" w:type="dxa"/>
        <w:tblInd w:w="108" w:type="dxa"/>
        <w:tblLook w:val="00A0"/>
      </w:tblPr>
      <w:tblGrid>
        <w:gridCol w:w="9214"/>
      </w:tblGrid>
      <w:tr w:rsidR="00D57F02" w:rsidRPr="00661035" w:rsidTr="009F46C2">
        <w:trPr>
          <w:trHeight w:val="317"/>
        </w:trPr>
        <w:tc>
          <w:tcPr>
            <w:tcW w:w="9214" w:type="dxa"/>
            <w:shd w:val="clear" w:color="auto" w:fill="DBE5F1" w:themeFill="accent1" w:themeFillTint="33"/>
            <w:vAlign w:val="center"/>
          </w:tcPr>
          <w:p w:rsidR="00D57F02" w:rsidRPr="009F46C2" w:rsidRDefault="00D57F02" w:rsidP="002C731C">
            <w:pPr>
              <w:pStyle w:val="Styl2"/>
              <w:numPr>
                <w:ilvl w:val="0"/>
                <w:numId w:val="12"/>
              </w:numPr>
              <w:spacing w:before="0" w:line="240" w:lineRule="auto"/>
              <w:ind w:left="425" w:hanging="357"/>
              <w:rPr>
                <w:rFonts w:asciiTheme="minorHAnsi" w:hAnsiTheme="minorHAnsi"/>
                <w:sz w:val="22"/>
                <w:u w:color="000000"/>
              </w:rPr>
            </w:pPr>
            <w:r w:rsidRPr="009F46C2">
              <w:rPr>
                <w:rFonts w:asciiTheme="minorHAnsi" w:hAnsiTheme="minorHAnsi"/>
                <w:sz w:val="22"/>
                <w:u w:color="000000"/>
              </w:rPr>
              <w:t>Rozpracování předběžných podmínek ve vztahu k programům (splněných i nesplněných)</w:t>
            </w:r>
            <w:r w:rsidR="002C731C">
              <w:rPr>
                <w:rFonts w:asciiTheme="minorHAnsi" w:hAnsiTheme="minorHAnsi"/>
                <w:sz w:val="22"/>
                <w:u w:color="000000"/>
              </w:rPr>
              <w:t xml:space="preserve"> včetně zajištění </w:t>
            </w:r>
            <w:r w:rsidR="002C731C" w:rsidRPr="00EE5BFD">
              <w:rPr>
                <w:rFonts w:asciiTheme="minorHAnsi" w:hAnsiTheme="minorHAnsi"/>
                <w:sz w:val="22"/>
                <w:u w:color="000000"/>
              </w:rPr>
              <w:t>předběžn</w:t>
            </w:r>
            <w:r w:rsidR="002C731C">
              <w:rPr>
                <w:rFonts w:asciiTheme="minorHAnsi" w:hAnsiTheme="minorHAnsi"/>
                <w:sz w:val="22"/>
                <w:u w:color="000000"/>
              </w:rPr>
              <w:t>ých</w:t>
            </w:r>
            <w:r w:rsidR="002C731C" w:rsidRPr="00EE5BFD">
              <w:rPr>
                <w:rFonts w:asciiTheme="minorHAnsi" w:hAnsiTheme="minorHAnsi"/>
                <w:sz w:val="22"/>
                <w:u w:color="000000"/>
              </w:rPr>
              <w:t xml:space="preserve"> podmín</w:t>
            </w:r>
            <w:r w:rsidR="002C731C">
              <w:rPr>
                <w:rFonts w:asciiTheme="minorHAnsi" w:hAnsiTheme="minorHAnsi"/>
                <w:sz w:val="22"/>
                <w:u w:color="000000"/>
              </w:rPr>
              <w:t>e</w:t>
            </w:r>
            <w:r w:rsidR="002C731C" w:rsidRPr="00EE5BFD">
              <w:rPr>
                <w:rFonts w:asciiTheme="minorHAnsi" w:hAnsiTheme="minorHAnsi"/>
                <w:sz w:val="22"/>
                <w:u w:color="000000"/>
              </w:rPr>
              <w:t>k relevantní</w:t>
            </w:r>
            <w:r w:rsidR="002C731C">
              <w:rPr>
                <w:rFonts w:asciiTheme="minorHAnsi" w:hAnsiTheme="minorHAnsi"/>
                <w:sz w:val="22"/>
                <w:u w:color="000000"/>
              </w:rPr>
              <w:t>ch</w:t>
            </w:r>
            <w:r w:rsidR="002C731C" w:rsidRPr="00EE5BFD">
              <w:rPr>
                <w:rFonts w:asciiTheme="minorHAnsi" w:hAnsiTheme="minorHAnsi"/>
                <w:sz w:val="22"/>
                <w:u w:color="000000"/>
              </w:rPr>
              <w:t xml:space="preserve"> pro daný program i přesto, že nebudou </w:t>
            </w:r>
            <w:r w:rsidR="002C731C">
              <w:rPr>
                <w:rFonts w:asciiTheme="minorHAnsi" w:hAnsiTheme="minorHAnsi"/>
                <w:sz w:val="22"/>
                <w:u w:color="000000"/>
              </w:rPr>
              <w:t xml:space="preserve">ŘO </w:t>
            </w:r>
            <w:r w:rsidR="002C731C" w:rsidRPr="00EE5BFD">
              <w:rPr>
                <w:rFonts w:asciiTheme="minorHAnsi" w:hAnsiTheme="minorHAnsi"/>
                <w:sz w:val="22"/>
                <w:u w:color="000000"/>
              </w:rPr>
              <w:t xml:space="preserve">gestory dané PP. </w:t>
            </w:r>
          </w:p>
        </w:tc>
      </w:tr>
      <w:tr w:rsidR="00D57F02" w:rsidRPr="00661035" w:rsidTr="003E2761">
        <w:trPr>
          <w:trHeight w:val="378"/>
        </w:trPr>
        <w:tc>
          <w:tcPr>
            <w:tcW w:w="9214" w:type="dxa"/>
            <w:shd w:val="clear" w:color="auto" w:fill="DBE5F1" w:themeFill="accent1" w:themeFillTint="33"/>
            <w:vAlign w:val="center"/>
          </w:tcPr>
          <w:p w:rsidR="00D57F02" w:rsidRPr="009F46C2" w:rsidRDefault="00D57F02" w:rsidP="003E2761">
            <w:pPr>
              <w:pStyle w:val="Styl2"/>
              <w:numPr>
                <w:ilvl w:val="0"/>
                <w:numId w:val="12"/>
              </w:numPr>
              <w:spacing w:before="0" w:line="240" w:lineRule="auto"/>
              <w:ind w:left="425" w:hanging="357"/>
              <w:rPr>
                <w:rFonts w:asciiTheme="minorHAnsi" w:hAnsiTheme="minorHAnsi"/>
                <w:sz w:val="22"/>
                <w:u w:color="000000"/>
              </w:rPr>
            </w:pPr>
            <w:r w:rsidRPr="009F46C2">
              <w:rPr>
                <w:rFonts w:asciiTheme="minorHAnsi" w:hAnsiTheme="minorHAnsi"/>
                <w:sz w:val="22"/>
                <w:u w:color="000000"/>
              </w:rPr>
              <w:t>Pravidelná aktualizace Šablon EK a dalších po</w:t>
            </w:r>
            <w:r w:rsidR="00661035" w:rsidRPr="009F46C2">
              <w:rPr>
                <w:rFonts w:asciiTheme="minorHAnsi" w:hAnsiTheme="minorHAnsi"/>
                <w:sz w:val="22"/>
                <w:u w:color="000000"/>
              </w:rPr>
              <w:t>d</w:t>
            </w:r>
            <w:r w:rsidRPr="009F46C2">
              <w:rPr>
                <w:rFonts w:asciiTheme="minorHAnsi" w:hAnsiTheme="minorHAnsi"/>
                <w:sz w:val="22"/>
                <w:u w:color="000000"/>
              </w:rPr>
              <w:t xml:space="preserve">kladů definovaných </w:t>
            </w:r>
            <w:r w:rsidR="00175FC4" w:rsidRPr="00175FC4">
              <w:rPr>
                <w:rFonts w:asciiTheme="minorHAnsi" w:hAnsiTheme="minorHAnsi"/>
                <w:sz w:val="22"/>
                <w:u w:color="000000"/>
              </w:rPr>
              <w:t>M</w:t>
            </w:r>
            <w:r w:rsidR="003E2761">
              <w:rPr>
                <w:rFonts w:asciiTheme="minorHAnsi" w:hAnsiTheme="minorHAnsi"/>
                <w:sz w:val="22"/>
                <w:u w:color="000000"/>
              </w:rPr>
              <w:t>MR</w:t>
            </w:r>
            <w:r w:rsidRPr="009F46C2">
              <w:rPr>
                <w:rFonts w:asciiTheme="minorHAnsi" w:hAnsiTheme="minorHAnsi"/>
                <w:sz w:val="22"/>
                <w:u w:color="000000"/>
              </w:rPr>
              <w:t>.</w:t>
            </w:r>
          </w:p>
        </w:tc>
      </w:tr>
      <w:tr w:rsidR="00D57F02" w:rsidRPr="00661035" w:rsidTr="009F46C2">
        <w:trPr>
          <w:trHeight w:val="502"/>
        </w:trPr>
        <w:tc>
          <w:tcPr>
            <w:tcW w:w="9214" w:type="dxa"/>
            <w:shd w:val="clear" w:color="auto" w:fill="DBE5F1" w:themeFill="accent1" w:themeFillTint="33"/>
            <w:vAlign w:val="center"/>
          </w:tcPr>
          <w:p w:rsidR="00F00AD9" w:rsidRDefault="00D57F02">
            <w:pPr>
              <w:pStyle w:val="Styl2"/>
              <w:numPr>
                <w:ilvl w:val="0"/>
                <w:numId w:val="12"/>
              </w:numPr>
              <w:spacing w:before="0" w:line="240" w:lineRule="auto"/>
              <w:ind w:left="425" w:hanging="357"/>
              <w:rPr>
                <w:rFonts w:asciiTheme="minorHAnsi" w:hAnsiTheme="minorHAnsi"/>
                <w:sz w:val="22"/>
                <w:u w:color="000000"/>
              </w:rPr>
            </w:pPr>
            <w:r w:rsidRPr="009F46C2">
              <w:rPr>
                <w:rFonts w:asciiTheme="minorHAnsi" w:hAnsiTheme="minorHAnsi"/>
                <w:sz w:val="22"/>
                <w:u w:color="000000"/>
              </w:rPr>
              <w:t xml:space="preserve">Pravidelná komunikace </w:t>
            </w:r>
            <w:r w:rsidR="00D117BB">
              <w:rPr>
                <w:rFonts w:asciiTheme="minorHAnsi" w:hAnsiTheme="minorHAnsi"/>
                <w:sz w:val="22"/>
                <w:u w:color="000000"/>
              </w:rPr>
              <w:t xml:space="preserve">a předkládání podkladů </w:t>
            </w:r>
            <w:r w:rsidR="00175FC4" w:rsidRPr="00175FC4">
              <w:rPr>
                <w:rFonts w:asciiTheme="minorHAnsi" w:hAnsiTheme="minorHAnsi"/>
                <w:sz w:val="22"/>
                <w:u w:color="000000"/>
              </w:rPr>
              <w:t>Ministerstv</w:t>
            </w:r>
            <w:r w:rsidR="00175FC4">
              <w:rPr>
                <w:rFonts w:asciiTheme="minorHAnsi" w:hAnsiTheme="minorHAnsi"/>
                <w:sz w:val="22"/>
                <w:u w:color="000000"/>
              </w:rPr>
              <w:t>a</w:t>
            </w:r>
            <w:r w:rsidR="00175FC4" w:rsidRPr="00175FC4">
              <w:rPr>
                <w:rFonts w:asciiTheme="minorHAnsi" w:hAnsiTheme="minorHAnsi"/>
                <w:sz w:val="22"/>
                <w:u w:color="000000"/>
              </w:rPr>
              <w:t xml:space="preserve"> pro místní rozvoj</w:t>
            </w:r>
            <w:r w:rsidR="00661035" w:rsidRPr="009F46C2">
              <w:rPr>
                <w:rFonts w:asciiTheme="minorHAnsi" w:hAnsiTheme="minorHAnsi"/>
                <w:sz w:val="22"/>
                <w:u w:color="000000"/>
              </w:rPr>
              <w:t>.</w:t>
            </w:r>
          </w:p>
          <w:p w:rsidR="00F00AD9" w:rsidRDefault="008202E4">
            <w:pPr>
              <w:pStyle w:val="Styl2"/>
              <w:numPr>
                <w:ilvl w:val="0"/>
                <w:numId w:val="12"/>
              </w:numPr>
              <w:spacing w:before="0" w:line="240" w:lineRule="auto"/>
              <w:ind w:left="425" w:hanging="357"/>
              <w:rPr>
                <w:rFonts w:asciiTheme="minorHAnsi" w:hAnsiTheme="minorHAnsi"/>
                <w:sz w:val="22"/>
                <w:u w:color="000000"/>
              </w:rPr>
            </w:pPr>
            <w:r>
              <w:rPr>
                <w:rFonts w:asciiTheme="minorHAnsi" w:hAnsiTheme="minorHAnsi"/>
                <w:sz w:val="22"/>
                <w:u w:color="000000"/>
              </w:rPr>
              <w:t xml:space="preserve">Bezodkladné oznamování </w:t>
            </w:r>
            <w:r w:rsidR="00175FC4" w:rsidRPr="00175FC4">
              <w:rPr>
                <w:rFonts w:asciiTheme="minorHAnsi" w:hAnsiTheme="minorHAnsi"/>
                <w:sz w:val="22"/>
                <w:u w:color="000000"/>
              </w:rPr>
              <w:t xml:space="preserve">Ministerstvu pro místní rozvoj </w:t>
            </w:r>
            <w:r>
              <w:rPr>
                <w:rFonts w:asciiTheme="minorHAnsi" w:hAnsiTheme="minorHAnsi"/>
                <w:sz w:val="22"/>
                <w:u w:color="000000"/>
              </w:rPr>
              <w:t>všech skutečností, které mohou mít vliv na splnění podmínky (zahájení infringmentu, legislativní překážky).</w:t>
            </w:r>
          </w:p>
        </w:tc>
      </w:tr>
      <w:tr w:rsidR="00D57F02" w:rsidRPr="004C5E11" w:rsidTr="009F46C2">
        <w:trPr>
          <w:trHeight w:val="402"/>
        </w:trPr>
        <w:tc>
          <w:tcPr>
            <w:tcW w:w="9214" w:type="dxa"/>
            <w:shd w:val="clear" w:color="auto" w:fill="DBE5F1" w:themeFill="accent1" w:themeFillTint="33"/>
            <w:vAlign w:val="center"/>
          </w:tcPr>
          <w:p w:rsidR="00EE5BFD" w:rsidRPr="004C5E11" w:rsidRDefault="00D117BB" w:rsidP="009F46C2">
            <w:pPr>
              <w:pStyle w:val="Styl2"/>
              <w:numPr>
                <w:ilvl w:val="0"/>
                <w:numId w:val="12"/>
              </w:numPr>
              <w:spacing w:before="0" w:line="240" w:lineRule="auto"/>
              <w:ind w:left="425" w:hanging="357"/>
              <w:rPr>
                <w:rFonts w:asciiTheme="minorHAnsi" w:hAnsiTheme="minorHAnsi"/>
                <w:sz w:val="22"/>
                <w:u w:color="000000"/>
              </w:rPr>
            </w:pPr>
            <w:r>
              <w:rPr>
                <w:rFonts w:asciiTheme="minorHAnsi" w:hAnsiTheme="minorHAnsi"/>
                <w:sz w:val="22"/>
                <w:u w:color="000000"/>
              </w:rPr>
              <w:t>Koordinace plnění předběžných podmínek spolu s gestory / spolugestory a dalšími partnery.</w:t>
            </w:r>
          </w:p>
        </w:tc>
      </w:tr>
    </w:tbl>
    <w:p w:rsidR="000A66AB" w:rsidRPr="00175A0E" w:rsidRDefault="000A66AB" w:rsidP="001D7473">
      <w:pPr>
        <w:spacing w:before="240" w:after="60" w:line="288" w:lineRule="auto"/>
        <w:rPr>
          <w:rFonts w:asciiTheme="minorHAnsi" w:hAnsiTheme="minorHAnsi"/>
          <w:b/>
          <w:sz w:val="24"/>
          <w:szCs w:val="24"/>
        </w:rPr>
      </w:pPr>
      <w:r w:rsidRPr="00175A0E">
        <w:rPr>
          <w:rFonts w:asciiTheme="minorHAnsi" w:hAnsiTheme="minorHAnsi"/>
          <w:b/>
          <w:sz w:val="24"/>
          <w:szCs w:val="24"/>
        </w:rPr>
        <w:t xml:space="preserve">Gestoři </w:t>
      </w:r>
      <w:r w:rsidR="00661035">
        <w:rPr>
          <w:rFonts w:asciiTheme="minorHAnsi" w:hAnsiTheme="minorHAnsi"/>
          <w:b/>
          <w:sz w:val="24"/>
          <w:szCs w:val="24"/>
        </w:rPr>
        <w:t xml:space="preserve">a spolugestoři </w:t>
      </w:r>
      <w:r w:rsidRPr="00175A0E">
        <w:rPr>
          <w:rFonts w:asciiTheme="minorHAnsi" w:hAnsiTheme="minorHAnsi"/>
          <w:b/>
          <w:sz w:val="24"/>
          <w:szCs w:val="24"/>
        </w:rPr>
        <w:t>předběžných podmínek</w:t>
      </w:r>
    </w:p>
    <w:tbl>
      <w:tblPr>
        <w:tblW w:w="9214" w:type="dxa"/>
        <w:tblInd w:w="108" w:type="dxa"/>
        <w:tblLook w:val="00A0"/>
      </w:tblPr>
      <w:tblGrid>
        <w:gridCol w:w="9214"/>
      </w:tblGrid>
      <w:tr w:rsidR="00EE5BFD" w:rsidRPr="002F00FB" w:rsidTr="002A5117">
        <w:trPr>
          <w:trHeight w:val="386"/>
        </w:trPr>
        <w:tc>
          <w:tcPr>
            <w:tcW w:w="9214" w:type="dxa"/>
            <w:shd w:val="clear" w:color="auto" w:fill="DBE5F1" w:themeFill="accent1" w:themeFillTint="33"/>
            <w:vAlign w:val="center"/>
          </w:tcPr>
          <w:p w:rsidR="00EE5BFD" w:rsidRPr="009F46C2" w:rsidRDefault="00EE5BFD" w:rsidP="002C731C">
            <w:pPr>
              <w:pStyle w:val="Styl2"/>
              <w:numPr>
                <w:ilvl w:val="0"/>
                <w:numId w:val="12"/>
              </w:numPr>
              <w:spacing w:before="0" w:line="240" w:lineRule="auto"/>
              <w:ind w:left="425" w:hanging="357"/>
              <w:rPr>
                <w:rFonts w:asciiTheme="minorHAnsi" w:hAnsiTheme="minorHAnsi"/>
                <w:sz w:val="22"/>
                <w:u w:color="000000"/>
              </w:rPr>
            </w:pPr>
            <w:r>
              <w:rPr>
                <w:rFonts w:asciiTheme="minorHAnsi" w:hAnsiTheme="minorHAnsi"/>
                <w:sz w:val="22"/>
                <w:u w:color="000000"/>
              </w:rPr>
              <w:t>Zajištění plnění předběžných podmínek</w:t>
            </w:r>
          </w:p>
        </w:tc>
      </w:tr>
      <w:tr w:rsidR="00137D07" w:rsidRPr="002F00FB" w:rsidTr="002A5117">
        <w:trPr>
          <w:trHeight w:val="386"/>
        </w:trPr>
        <w:tc>
          <w:tcPr>
            <w:tcW w:w="9214" w:type="dxa"/>
            <w:shd w:val="clear" w:color="auto" w:fill="DBE5F1" w:themeFill="accent1" w:themeFillTint="33"/>
            <w:vAlign w:val="center"/>
          </w:tcPr>
          <w:p w:rsidR="00137D07" w:rsidRPr="009F46C2" w:rsidRDefault="00137D07">
            <w:pPr>
              <w:pStyle w:val="Styl2"/>
              <w:numPr>
                <w:ilvl w:val="0"/>
                <w:numId w:val="12"/>
              </w:numPr>
              <w:spacing w:before="0" w:line="240" w:lineRule="auto"/>
              <w:ind w:left="425" w:hanging="357"/>
              <w:rPr>
                <w:rFonts w:asciiTheme="minorHAnsi" w:hAnsiTheme="minorHAnsi"/>
                <w:sz w:val="22"/>
                <w:u w:color="000000"/>
              </w:rPr>
            </w:pPr>
            <w:r>
              <w:rPr>
                <w:rFonts w:asciiTheme="minorHAnsi" w:hAnsiTheme="minorHAnsi"/>
                <w:sz w:val="22"/>
                <w:u w:color="000000"/>
              </w:rPr>
              <w:t>Předkládání Karty rizikových předběžných podmínek.</w:t>
            </w:r>
          </w:p>
        </w:tc>
      </w:tr>
      <w:tr w:rsidR="000A66AB" w:rsidRPr="002F00FB" w:rsidTr="002A5117">
        <w:trPr>
          <w:trHeight w:val="386"/>
        </w:trPr>
        <w:tc>
          <w:tcPr>
            <w:tcW w:w="9214" w:type="dxa"/>
            <w:shd w:val="clear" w:color="auto" w:fill="DBE5F1" w:themeFill="accent1" w:themeFillTint="33"/>
            <w:vAlign w:val="center"/>
          </w:tcPr>
          <w:p w:rsidR="00F00AD9" w:rsidRDefault="00661035">
            <w:pPr>
              <w:pStyle w:val="Styl2"/>
              <w:numPr>
                <w:ilvl w:val="0"/>
                <w:numId w:val="12"/>
              </w:numPr>
              <w:spacing w:before="0" w:line="240" w:lineRule="auto"/>
              <w:ind w:left="425" w:hanging="357"/>
              <w:rPr>
                <w:rFonts w:asciiTheme="minorHAnsi" w:hAnsiTheme="minorHAnsi"/>
                <w:sz w:val="22"/>
                <w:u w:color="000000"/>
              </w:rPr>
            </w:pPr>
            <w:r w:rsidRPr="009F46C2">
              <w:rPr>
                <w:rFonts w:asciiTheme="minorHAnsi" w:hAnsiTheme="minorHAnsi"/>
                <w:sz w:val="22"/>
                <w:u w:color="000000"/>
              </w:rPr>
              <w:t xml:space="preserve">Věcná spolupráce s řídícími orgány </w:t>
            </w:r>
            <w:r w:rsidR="00D117BB">
              <w:rPr>
                <w:rFonts w:asciiTheme="minorHAnsi" w:hAnsiTheme="minorHAnsi"/>
                <w:sz w:val="22"/>
                <w:u w:color="000000"/>
              </w:rPr>
              <w:t>k</w:t>
            </w:r>
            <w:r w:rsidRPr="009F46C2">
              <w:rPr>
                <w:rFonts w:asciiTheme="minorHAnsi" w:hAnsiTheme="minorHAnsi"/>
                <w:sz w:val="22"/>
                <w:u w:color="000000"/>
              </w:rPr>
              <w:t xml:space="preserve"> předběžn</w:t>
            </w:r>
            <w:r w:rsidR="00D117BB">
              <w:rPr>
                <w:rFonts w:asciiTheme="minorHAnsi" w:hAnsiTheme="minorHAnsi"/>
                <w:sz w:val="22"/>
                <w:u w:color="000000"/>
              </w:rPr>
              <w:t>ým</w:t>
            </w:r>
            <w:r w:rsidRPr="009F46C2">
              <w:rPr>
                <w:rFonts w:asciiTheme="minorHAnsi" w:hAnsiTheme="minorHAnsi"/>
                <w:sz w:val="22"/>
                <w:u w:color="000000"/>
              </w:rPr>
              <w:t xml:space="preserve"> podmínk</w:t>
            </w:r>
            <w:r w:rsidR="00D117BB">
              <w:rPr>
                <w:rFonts w:asciiTheme="minorHAnsi" w:hAnsiTheme="minorHAnsi"/>
                <w:sz w:val="22"/>
                <w:u w:color="000000"/>
              </w:rPr>
              <w:t>ám</w:t>
            </w:r>
            <w:r w:rsidRPr="009F46C2">
              <w:rPr>
                <w:rFonts w:asciiTheme="minorHAnsi" w:hAnsiTheme="minorHAnsi"/>
                <w:sz w:val="22"/>
                <w:u w:color="000000"/>
              </w:rPr>
              <w:t xml:space="preserve"> (legislativní</w:t>
            </w:r>
            <w:r w:rsidR="00E14F50">
              <w:rPr>
                <w:rFonts w:asciiTheme="minorHAnsi" w:hAnsiTheme="minorHAnsi"/>
                <w:sz w:val="22"/>
                <w:u w:color="000000"/>
              </w:rPr>
              <w:t xml:space="preserve"> a</w:t>
            </w:r>
            <w:r w:rsidRPr="009F46C2">
              <w:rPr>
                <w:rFonts w:asciiTheme="minorHAnsi" w:hAnsiTheme="minorHAnsi"/>
                <w:sz w:val="22"/>
                <w:u w:color="000000"/>
              </w:rPr>
              <w:t xml:space="preserve"> strategická rovina)</w:t>
            </w:r>
          </w:p>
        </w:tc>
      </w:tr>
      <w:tr w:rsidR="00AD0480" w:rsidRPr="002F00FB" w:rsidTr="009F46C2">
        <w:trPr>
          <w:trHeight w:val="268"/>
        </w:trPr>
        <w:tc>
          <w:tcPr>
            <w:tcW w:w="9214" w:type="dxa"/>
            <w:shd w:val="clear" w:color="auto" w:fill="DBE5F1" w:themeFill="accent1" w:themeFillTint="33"/>
            <w:vAlign w:val="center"/>
          </w:tcPr>
          <w:p w:rsidR="00F00AD9" w:rsidRDefault="00AD0480" w:rsidP="003E2761">
            <w:pPr>
              <w:pStyle w:val="Styl2"/>
              <w:numPr>
                <w:ilvl w:val="0"/>
                <w:numId w:val="12"/>
              </w:numPr>
              <w:spacing w:before="0" w:line="240" w:lineRule="auto"/>
              <w:ind w:left="425" w:hanging="357"/>
              <w:rPr>
                <w:rFonts w:asciiTheme="minorHAnsi" w:hAnsiTheme="minorHAnsi"/>
                <w:sz w:val="22"/>
                <w:u w:color="000000"/>
              </w:rPr>
            </w:pPr>
            <w:r w:rsidRPr="009F46C2">
              <w:rPr>
                <w:rFonts w:asciiTheme="minorHAnsi" w:hAnsiTheme="minorHAnsi"/>
                <w:sz w:val="22"/>
                <w:u w:color="000000"/>
              </w:rPr>
              <w:t xml:space="preserve">Pravidelná komunikace </w:t>
            </w:r>
            <w:r w:rsidR="00E14F50">
              <w:rPr>
                <w:rFonts w:asciiTheme="minorHAnsi" w:hAnsiTheme="minorHAnsi"/>
                <w:sz w:val="22"/>
                <w:u w:color="000000"/>
              </w:rPr>
              <w:t>a předkládání podkladů Ř</w:t>
            </w:r>
            <w:r w:rsidRPr="009F46C2">
              <w:rPr>
                <w:rFonts w:asciiTheme="minorHAnsi" w:hAnsiTheme="minorHAnsi"/>
                <w:sz w:val="22"/>
                <w:u w:color="000000"/>
              </w:rPr>
              <w:t>ídícím orgán</w:t>
            </w:r>
            <w:r w:rsidR="00E14F50">
              <w:rPr>
                <w:rFonts w:asciiTheme="minorHAnsi" w:hAnsiTheme="minorHAnsi"/>
                <w:sz w:val="22"/>
                <w:u w:color="000000"/>
              </w:rPr>
              <w:t xml:space="preserve">ům, případně </w:t>
            </w:r>
            <w:r w:rsidR="00175FC4" w:rsidRPr="00175FC4">
              <w:rPr>
                <w:rFonts w:asciiTheme="minorHAnsi" w:hAnsiTheme="minorHAnsi"/>
                <w:sz w:val="22"/>
                <w:u w:color="000000"/>
              </w:rPr>
              <w:t>M</w:t>
            </w:r>
            <w:r w:rsidR="003E2761">
              <w:rPr>
                <w:rFonts w:asciiTheme="minorHAnsi" w:hAnsiTheme="minorHAnsi"/>
                <w:sz w:val="22"/>
                <w:u w:color="000000"/>
              </w:rPr>
              <w:t>MR</w:t>
            </w:r>
            <w:r w:rsidRPr="009F46C2">
              <w:rPr>
                <w:rFonts w:asciiTheme="minorHAnsi" w:hAnsiTheme="minorHAnsi"/>
                <w:sz w:val="22"/>
                <w:u w:color="000000"/>
              </w:rPr>
              <w:t>.</w:t>
            </w:r>
          </w:p>
        </w:tc>
      </w:tr>
      <w:tr w:rsidR="001329F8" w:rsidRPr="002F00FB" w:rsidTr="009F46C2">
        <w:trPr>
          <w:trHeight w:val="268"/>
        </w:trPr>
        <w:tc>
          <w:tcPr>
            <w:tcW w:w="9214" w:type="dxa"/>
            <w:shd w:val="clear" w:color="auto" w:fill="DBE5F1" w:themeFill="accent1" w:themeFillTint="33"/>
            <w:vAlign w:val="center"/>
          </w:tcPr>
          <w:p w:rsidR="001329F8" w:rsidRPr="009F46C2" w:rsidRDefault="002C731C">
            <w:pPr>
              <w:pStyle w:val="Styl2"/>
              <w:numPr>
                <w:ilvl w:val="0"/>
                <w:numId w:val="12"/>
              </w:numPr>
              <w:spacing w:before="0" w:line="240" w:lineRule="auto"/>
              <w:ind w:left="425" w:hanging="357"/>
              <w:rPr>
                <w:rFonts w:asciiTheme="minorHAnsi" w:hAnsiTheme="minorHAnsi"/>
                <w:sz w:val="22"/>
                <w:u w:color="000000"/>
              </w:rPr>
            </w:pPr>
            <w:r>
              <w:rPr>
                <w:rFonts w:asciiTheme="minorHAnsi" w:hAnsiTheme="minorHAnsi"/>
                <w:sz w:val="22"/>
                <w:u w:color="000000"/>
              </w:rPr>
              <w:t>Dává k dispozici údaje nejen relevantními ŘO ale i MMR.</w:t>
            </w:r>
          </w:p>
        </w:tc>
      </w:tr>
    </w:tbl>
    <w:p w:rsidR="0085018A" w:rsidRPr="00175A0E" w:rsidRDefault="0085018A" w:rsidP="0085018A">
      <w:pPr>
        <w:spacing w:before="240" w:after="60" w:line="288" w:lineRule="auto"/>
        <w:rPr>
          <w:rFonts w:asciiTheme="minorHAnsi" w:hAnsiTheme="minorHAnsi"/>
          <w:b/>
          <w:sz w:val="24"/>
          <w:szCs w:val="24"/>
        </w:rPr>
      </w:pPr>
      <w:r>
        <w:rPr>
          <w:rFonts w:asciiTheme="minorHAnsi" w:hAnsiTheme="minorHAnsi"/>
          <w:b/>
          <w:sz w:val="24"/>
          <w:szCs w:val="24"/>
        </w:rPr>
        <w:t>Další subjekty</w:t>
      </w:r>
    </w:p>
    <w:tbl>
      <w:tblPr>
        <w:tblW w:w="9214" w:type="dxa"/>
        <w:tblInd w:w="108" w:type="dxa"/>
        <w:tblLook w:val="00A0"/>
      </w:tblPr>
      <w:tblGrid>
        <w:gridCol w:w="9214"/>
      </w:tblGrid>
      <w:tr w:rsidR="0085018A" w:rsidRPr="002F00FB" w:rsidTr="002A5117">
        <w:trPr>
          <w:trHeight w:val="310"/>
        </w:trPr>
        <w:tc>
          <w:tcPr>
            <w:tcW w:w="9214" w:type="dxa"/>
            <w:shd w:val="clear" w:color="auto" w:fill="DBE5F1" w:themeFill="accent1" w:themeFillTint="33"/>
            <w:vAlign w:val="center"/>
          </w:tcPr>
          <w:p w:rsidR="0085018A" w:rsidRDefault="0085018A" w:rsidP="0085018A">
            <w:pPr>
              <w:pStyle w:val="Styl2"/>
              <w:numPr>
                <w:ilvl w:val="0"/>
                <w:numId w:val="12"/>
              </w:numPr>
              <w:spacing w:before="0" w:line="240" w:lineRule="auto"/>
              <w:ind w:left="425" w:hanging="357"/>
              <w:rPr>
                <w:rFonts w:asciiTheme="minorHAnsi" w:hAnsiTheme="minorHAnsi"/>
                <w:sz w:val="22"/>
                <w:u w:color="000000"/>
              </w:rPr>
            </w:pPr>
            <w:r>
              <w:rPr>
                <w:rFonts w:asciiTheme="minorHAnsi" w:hAnsiTheme="minorHAnsi"/>
                <w:sz w:val="22"/>
                <w:u w:color="000000"/>
              </w:rPr>
              <w:t>S</w:t>
            </w:r>
            <w:r w:rsidRPr="009F46C2">
              <w:rPr>
                <w:rFonts w:asciiTheme="minorHAnsi" w:hAnsiTheme="minorHAnsi"/>
                <w:sz w:val="22"/>
                <w:u w:color="000000"/>
              </w:rPr>
              <w:t>polupráce s řídícími orgány</w:t>
            </w:r>
            <w:r>
              <w:rPr>
                <w:rFonts w:asciiTheme="minorHAnsi" w:hAnsiTheme="minorHAnsi"/>
                <w:sz w:val="22"/>
                <w:u w:color="000000"/>
              </w:rPr>
              <w:t xml:space="preserve"> a gestory</w:t>
            </w:r>
            <w:r w:rsidRPr="009F46C2">
              <w:rPr>
                <w:rFonts w:asciiTheme="minorHAnsi" w:hAnsiTheme="minorHAnsi"/>
                <w:sz w:val="22"/>
                <w:u w:color="000000"/>
              </w:rPr>
              <w:t xml:space="preserve"> předběžn</w:t>
            </w:r>
            <w:r>
              <w:rPr>
                <w:rFonts w:asciiTheme="minorHAnsi" w:hAnsiTheme="minorHAnsi"/>
                <w:sz w:val="22"/>
                <w:u w:color="000000"/>
              </w:rPr>
              <w:t>ých</w:t>
            </w:r>
            <w:r w:rsidRPr="009F46C2">
              <w:rPr>
                <w:rFonts w:asciiTheme="minorHAnsi" w:hAnsiTheme="minorHAnsi"/>
                <w:sz w:val="22"/>
                <w:u w:color="000000"/>
              </w:rPr>
              <w:t xml:space="preserve"> podmín</w:t>
            </w:r>
            <w:r>
              <w:rPr>
                <w:rFonts w:asciiTheme="minorHAnsi" w:hAnsiTheme="minorHAnsi"/>
                <w:sz w:val="22"/>
                <w:u w:color="000000"/>
              </w:rPr>
              <w:t>e</w:t>
            </w:r>
            <w:r w:rsidRPr="009F46C2">
              <w:rPr>
                <w:rFonts w:asciiTheme="minorHAnsi" w:hAnsiTheme="minorHAnsi"/>
                <w:sz w:val="22"/>
                <w:u w:color="000000"/>
              </w:rPr>
              <w:t>k (</w:t>
            </w:r>
            <w:r>
              <w:rPr>
                <w:rFonts w:asciiTheme="minorHAnsi" w:hAnsiTheme="minorHAnsi"/>
                <w:sz w:val="22"/>
                <w:u w:color="000000"/>
              </w:rPr>
              <w:t>věcná a</w:t>
            </w:r>
            <w:r w:rsidRPr="009F46C2">
              <w:rPr>
                <w:rFonts w:asciiTheme="minorHAnsi" w:hAnsiTheme="minorHAnsi"/>
                <w:sz w:val="22"/>
                <w:u w:color="000000"/>
              </w:rPr>
              <w:t xml:space="preserve"> strategická rovina)</w:t>
            </w:r>
          </w:p>
        </w:tc>
      </w:tr>
      <w:tr w:rsidR="0085018A" w:rsidRPr="002F00FB" w:rsidTr="00DD5A93">
        <w:trPr>
          <w:trHeight w:val="268"/>
        </w:trPr>
        <w:tc>
          <w:tcPr>
            <w:tcW w:w="9214" w:type="dxa"/>
            <w:shd w:val="clear" w:color="auto" w:fill="DBE5F1" w:themeFill="accent1" w:themeFillTint="33"/>
            <w:vAlign w:val="center"/>
          </w:tcPr>
          <w:p w:rsidR="0085018A" w:rsidRDefault="0085018A" w:rsidP="0085018A">
            <w:pPr>
              <w:pStyle w:val="Styl2"/>
              <w:numPr>
                <w:ilvl w:val="0"/>
                <w:numId w:val="12"/>
              </w:numPr>
              <w:spacing w:before="0" w:line="240" w:lineRule="auto"/>
              <w:ind w:left="425" w:hanging="357"/>
              <w:rPr>
                <w:rFonts w:asciiTheme="minorHAnsi" w:hAnsiTheme="minorHAnsi"/>
                <w:sz w:val="22"/>
                <w:u w:color="000000"/>
              </w:rPr>
            </w:pPr>
            <w:r w:rsidRPr="009F46C2">
              <w:rPr>
                <w:rFonts w:asciiTheme="minorHAnsi" w:hAnsiTheme="minorHAnsi"/>
                <w:sz w:val="22"/>
                <w:u w:color="000000"/>
              </w:rPr>
              <w:t xml:space="preserve">Pravidelná komunikace </w:t>
            </w:r>
            <w:r>
              <w:rPr>
                <w:rFonts w:asciiTheme="minorHAnsi" w:hAnsiTheme="minorHAnsi"/>
                <w:sz w:val="22"/>
                <w:u w:color="000000"/>
              </w:rPr>
              <w:t>a předkládání podkladů Ř</w:t>
            </w:r>
            <w:r w:rsidRPr="009F46C2">
              <w:rPr>
                <w:rFonts w:asciiTheme="minorHAnsi" w:hAnsiTheme="minorHAnsi"/>
                <w:sz w:val="22"/>
                <w:u w:color="000000"/>
              </w:rPr>
              <w:t>ídícím orgán</w:t>
            </w:r>
            <w:r>
              <w:rPr>
                <w:rFonts w:asciiTheme="minorHAnsi" w:hAnsiTheme="minorHAnsi"/>
                <w:sz w:val="22"/>
                <w:u w:color="000000"/>
              </w:rPr>
              <w:t xml:space="preserve">ům, gestorům předběžných podmínek, případně </w:t>
            </w:r>
            <w:r w:rsidR="00175FC4" w:rsidRPr="00175FC4">
              <w:rPr>
                <w:rFonts w:asciiTheme="minorHAnsi" w:hAnsiTheme="minorHAnsi"/>
                <w:sz w:val="22"/>
                <w:u w:color="000000"/>
              </w:rPr>
              <w:t>Ministerstvu pro místní rozvoj</w:t>
            </w:r>
            <w:r w:rsidRPr="009F46C2">
              <w:rPr>
                <w:rFonts w:asciiTheme="minorHAnsi" w:hAnsiTheme="minorHAnsi"/>
                <w:sz w:val="22"/>
                <w:u w:color="000000"/>
              </w:rPr>
              <w:t>.</w:t>
            </w:r>
          </w:p>
        </w:tc>
      </w:tr>
      <w:tr w:rsidR="00604E3E" w:rsidRPr="002F00FB" w:rsidTr="00DD5A93">
        <w:trPr>
          <w:trHeight w:val="268"/>
        </w:trPr>
        <w:tc>
          <w:tcPr>
            <w:tcW w:w="9214" w:type="dxa"/>
            <w:shd w:val="clear" w:color="auto" w:fill="DBE5F1" w:themeFill="accent1" w:themeFillTint="33"/>
            <w:vAlign w:val="center"/>
          </w:tcPr>
          <w:p w:rsidR="00604E3E" w:rsidRPr="009F46C2" w:rsidRDefault="00604E3E" w:rsidP="0085018A">
            <w:pPr>
              <w:pStyle w:val="Styl2"/>
              <w:numPr>
                <w:ilvl w:val="0"/>
                <w:numId w:val="12"/>
              </w:numPr>
              <w:spacing w:before="0" w:line="240" w:lineRule="auto"/>
              <w:ind w:left="425" w:hanging="357"/>
              <w:rPr>
                <w:rFonts w:asciiTheme="minorHAnsi" w:hAnsiTheme="minorHAnsi"/>
                <w:sz w:val="22"/>
                <w:u w:color="000000"/>
              </w:rPr>
            </w:pPr>
            <w:r>
              <w:rPr>
                <w:rFonts w:asciiTheme="minorHAnsi" w:hAnsiTheme="minorHAnsi"/>
                <w:sz w:val="22"/>
                <w:u w:color="000000"/>
              </w:rPr>
              <w:t>Kraje: zajištění naplňování předběžných podmínek ve vztahu k území (regionální strategie apod.)</w:t>
            </w:r>
          </w:p>
        </w:tc>
      </w:tr>
    </w:tbl>
    <w:p w:rsidR="000A66AB" w:rsidRPr="00175A0E" w:rsidRDefault="00175A0E" w:rsidP="001D7473">
      <w:pPr>
        <w:spacing w:before="240" w:after="60" w:line="288" w:lineRule="auto"/>
        <w:rPr>
          <w:rFonts w:asciiTheme="minorHAnsi" w:hAnsiTheme="minorHAnsi"/>
          <w:b/>
          <w:sz w:val="24"/>
          <w:szCs w:val="24"/>
        </w:rPr>
      </w:pPr>
      <w:r w:rsidRPr="00175A0E">
        <w:rPr>
          <w:rFonts w:asciiTheme="minorHAnsi" w:hAnsiTheme="minorHAnsi"/>
          <w:b/>
          <w:sz w:val="24"/>
          <w:szCs w:val="24"/>
        </w:rPr>
        <w:t>Vláda</w:t>
      </w:r>
    </w:p>
    <w:tbl>
      <w:tblPr>
        <w:tblW w:w="9214" w:type="dxa"/>
        <w:tblInd w:w="108" w:type="dxa"/>
        <w:tblLook w:val="00A0"/>
      </w:tblPr>
      <w:tblGrid>
        <w:gridCol w:w="9214"/>
      </w:tblGrid>
      <w:tr w:rsidR="00175A0E" w:rsidRPr="002F00FB" w:rsidTr="009F46C2">
        <w:trPr>
          <w:trHeight w:val="492"/>
        </w:trPr>
        <w:tc>
          <w:tcPr>
            <w:tcW w:w="9214" w:type="dxa"/>
            <w:shd w:val="clear" w:color="auto" w:fill="DBE5F1" w:themeFill="accent1" w:themeFillTint="33"/>
            <w:vAlign w:val="center"/>
          </w:tcPr>
          <w:p w:rsidR="00175A0E" w:rsidRPr="00661035" w:rsidRDefault="00AD0480" w:rsidP="009F46C2">
            <w:pPr>
              <w:pStyle w:val="Styl2"/>
              <w:numPr>
                <w:ilvl w:val="0"/>
                <w:numId w:val="12"/>
              </w:numPr>
              <w:spacing w:before="0" w:line="240" w:lineRule="auto"/>
              <w:ind w:left="425" w:hanging="357"/>
              <w:rPr>
                <w:rFonts w:asciiTheme="minorHAnsi" w:hAnsiTheme="minorHAnsi"/>
                <w:sz w:val="22"/>
              </w:rPr>
            </w:pPr>
            <w:r w:rsidRPr="009F46C2">
              <w:rPr>
                <w:rFonts w:asciiTheme="minorHAnsi" w:hAnsiTheme="minorHAnsi"/>
                <w:sz w:val="22"/>
                <w:u w:color="000000"/>
              </w:rPr>
              <w:t>Schválení</w:t>
            </w:r>
            <w:r w:rsidR="00175A0E" w:rsidRPr="009F46C2">
              <w:rPr>
                <w:rFonts w:asciiTheme="minorHAnsi" w:hAnsiTheme="minorHAnsi"/>
                <w:sz w:val="22"/>
                <w:u w:color="000000"/>
              </w:rPr>
              <w:t xml:space="preserve"> </w:t>
            </w:r>
            <w:r w:rsidR="001E6243">
              <w:rPr>
                <w:rFonts w:asciiTheme="minorHAnsi" w:hAnsiTheme="minorHAnsi"/>
                <w:sz w:val="22"/>
                <w:u w:color="000000"/>
              </w:rPr>
              <w:t xml:space="preserve">stavu / informace o </w:t>
            </w:r>
            <w:r w:rsidR="00175A0E" w:rsidRPr="009F46C2">
              <w:rPr>
                <w:rFonts w:asciiTheme="minorHAnsi" w:hAnsiTheme="minorHAnsi"/>
                <w:sz w:val="22"/>
                <w:u w:color="000000"/>
              </w:rPr>
              <w:t>plnění předběžných podmínek</w:t>
            </w:r>
            <w:r w:rsidRPr="009F46C2">
              <w:rPr>
                <w:rFonts w:asciiTheme="minorHAnsi" w:hAnsiTheme="minorHAnsi"/>
                <w:sz w:val="22"/>
                <w:u w:color="000000"/>
              </w:rPr>
              <w:t xml:space="preserve"> ve vztahu k programům a Dohodě o partnerství</w:t>
            </w:r>
            <w:r w:rsidR="00661035" w:rsidRPr="009F46C2">
              <w:rPr>
                <w:rFonts w:asciiTheme="minorHAnsi" w:hAnsiTheme="minorHAnsi"/>
                <w:sz w:val="22"/>
                <w:u w:color="000000"/>
              </w:rPr>
              <w:t>.</w:t>
            </w:r>
          </w:p>
        </w:tc>
      </w:tr>
    </w:tbl>
    <w:p w:rsidR="002F00FB" w:rsidRPr="00175A0E" w:rsidRDefault="00D960A7" w:rsidP="001D7473">
      <w:pPr>
        <w:spacing w:before="240" w:after="60" w:line="288" w:lineRule="auto"/>
        <w:rPr>
          <w:rFonts w:asciiTheme="minorHAnsi" w:hAnsiTheme="minorHAnsi"/>
          <w:b/>
          <w:sz w:val="24"/>
          <w:szCs w:val="24"/>
        </w:rPr>
      </w:pPr>
      <w:r>
        <w:rPr>
          <w:rFonts w:asciiTheme="minorHAnsi" w:hAnsiTheme="minorHAnsi"/>
          <w:b/>
          <w:sz w:val="24"/>
          <w:szCs w:val="24"/>
        </w:rPr>
        <w:t xml:space="preserve">Evropská </w:t>
      </w:r>
      <w:r w:rsidR="002F00FB" w:rsidRPr="00175A0E">
        <w:rPr>
          <w:rFonts w:asciiTheme="minorHAnsi" w:hAnsiTheme="minorHAnsi"/>
          <w:b/>
          <w:sz w:val="24"/>
          <w:szCs w:val="24"/>
        </w:rPr>
        <w:t>komise</w:t>
      </w:r>
    </w:p>
    <w:tbl>
      <w:tblPr>
        <w:tblW w:w="9214" w:type="dxa"/>
        <w:tblInd w:w="108" w:type="dxa"/>
        <w:tblLook w:val="00A0"/>
      </w:tblPr>
      <w:tblGrid>
        <w:gridCol w:w="9214"/>
      </w:tblGrid>
      <w:tr w:rsidR="002F00FB" w:rsidRPr="002F00FB" w:rsidTr="001E6243">
        <w:trPr>
          <w:trHeight w:val="386"/>
        </w:trPr>
        <w:tc>
          <w:tcPr>
            <w:tcW w:w="9214" w:type="dxa"/>
            <w:shd w:val="clear" w:color="auto" w:fill="DBE5F1" w:themeFill="accent1" w:themeFillTint="33"/>
            <w:vAlign w:val="center"/>
          </w:tcPr>
          <w:p w:rsidR="002F00FB" w:rsidRPr="009F46C2" w:rsidRDefault="00175A0E" w:rsidP="001E6243">
            <w:pPr>
              <w:pStyle w:val="Styl2"/>
              <w:numPr>
                <w:ilvl w:val="0"/>
                <w:numId w:val="12"/>
              </w:numPr>
              <w:spacing w:before="0" w:after="0" w:line="240" w:lineRule="auto"/>
              <w:ind w:left="425" w:hanging="357"/>
              <w:rPr>
                <w:rFonts w:asciiTheme="minorHAnsi" w:hAnsiTheme="minorHAnsi"/>
                <w:sz w:val="22"/>
                <w:u w:color="000000"/>
              </w:rPr>
            </w:pPr>
            <w:r w:rsidRPr="009F46C2">
              <w:rPr>
                <w:rFonts w:asciiTheme="minorHAnsi" w:hAnsiTheme="minorHAnsi"/>
                <w:sz w:val="22"/>
                <w:u w:color="000000"/>
              </w:rPr>
              <w:t>Vyhodnocení plnění předběžných podmínek</w:t>
            </w:r>
            <w:r w:rsidR="00D57665" w:rsidRPr="009F46C2">
              <w:rPr>
                <w:rFonts w:asciiTheme="minorHAnsi" w:hAnsiTheme="minorHAnsi"/>
                <w:sz w:val="22"/>
                <w:u w:color="000000"/>
              </w:rPr>
              <w:t xml:space="preserve"> a jejich akceptace.</w:t>
            </w:r>
          </w:p>
        </w:tc>
      </w:tr>
      <w:tr w:rsidR="002F00FB" w:rsidRPr="002F00FB" w:rsidTr="001E6243">
        <w:trPr>
          <w:trHeight w:val="278"/>
        </w:trPr>
        <w:tc>
          <w:tcPr>
            <w:tcW w:w="9214" w:type="dxa"/>
            <w:shd w:val="clear" w:color="auto" w:fill="DBE5F1" w:themeFill="accent1" w:themeFillTint="33"/>
            <w:vAlign w:val="center"/>
          </w:tcPr>
          <w:p w:rsidR="002F00FB" w:rsidRPr="009F46C2" w:rsidRDefault="00D57665" w:rsidP="001E6243">
            <w:pPr>
              <w:pStyle w:val="Styl2"/>
              <w:numPr>
                <w:ilvl w:val="0"/>
                <w:numId w:val="12"/>
              </w:numPr>
              <w:spacing w:before="0" w:after="0" w:line="240" w:lineRule="auto"/>
              <w:ind w:left="425" w:hanging="357"/>
              <w:rPr>
                <w:rFonts w:asciiTheme="minorHAnsi" w:hAnsiTheme="minorHAnsi"/>
                <w:sz w:val="22"/>
                <w:u w:color="000000"/>
              </w:rPr>
            </w:pPr>
            <w:r w:rsidRPr="009F46C2">
              <w:rPr>
                <w:rFonts w:asciiTheme="minorHAnsi" w:hAnsiTheme="minorHAnsi"/>
                <w:sz w:val="22"/>
                <w:u w:color="000000"/>
              </w:rPr>
              <w:t>Ověřování plnění předběžných podmínek, případné sankciování.</w:t>
            </w:r>
          </w:p>
        </w:tc>
      </w:tr>
      <w:tr w:rsidR="002F00FB" w:rsidRPr="002F00FB" w:rsidTr="009F46C2">
        <w:trPr>
          <w:trHeight w:val="402"/>
        </w:trPr>
        <w:tc>
          <w:tcPr>
            <w:tcW w:w="9214" w:type="dxa"/>
            <w:shd w:val="clear" w:color="auto" w:fill="DBE5F1" w:themeFill="accent1" w:themeFillTint="33"/>
            <w:vAlign w:val="center"/>
          </w:tcPr>
          <w:p w:rsidR="002F00FB" w:rsidRPr="009F46C2" w:rsidRDefault="00D57665" w:rsidP="00175FC4">
            <w:pPr>
              <w:pStyle w:val="Styl2"/>
              <w:numPr>
                <w:ilvl w:val="0"/>
                <w:numId w:val="12"/>
              </w:numPr>
              <w:spacing w:before="0" w:after="0" w:line="240" w:lineRule="auto"/>
              <w:ind w:left="425" w:hanging="357"/>
              <w:rPr>
                <w:rFonts w:asciiTheme="minorHAnsi" w:hAnsiTheme="minorHAnsi"/>
                <w:sz w:val="22"/>
                <w:u w:color="000000"/>
              </w:rPr>
            </w:pPr>
            <w:r w:rsidRPr="009F46C2">
              <w:rPr>
                <w:rFonts w:asciiTheme="minorHAnsi" w:hAnsiTheme="minorHAnsi"/>
                <w:sz w:val="22"/>
                <w:u w:color="000000"/>
              </w:rPr>
              <w:t>Průběžná komunikace s </w:t>
            </w:r>
            <w:r w:rsidR="00175FC4" w:rsidRPr="00175FC4">
              <w:rPr>
                <w:rFonts w:asciiTheme="minorHAnsi" w:hAnsiTheme="minorHAnsi"/>
                <w:sz w:val="22"/>
                <w:u w:color="000000"/>
              </w:rPr>
              <w:t>Ministerstv</w:t>
            </w:r>
            <w:r w:rsidR="00175FC4">
              <w:rPr>
                <w:rFonts w:asciiTheme="minorHAnsi" w:hAnsiTheme="minorHAnsi"/>
                <w:sz w:val="22"/>
                <w:u w:color="000000"/>
              </w:rPr>
              <w:t>em</w:t>
            </w:r>
            <w:r w:rsidR="00175FC4" w:rsidRPr="00175FC4">
              <w:rPr>
                <w:rFonts w:asciiTheme="minorHAnsi" w:hAnsiTheme="minorHAnsi"/>
                <w:sz w:val="22"/>
                <w:u w:color="000000"/>
              </w:rPr>
              <w:t xml:space="preserve"> pro místní rozvoj </w:t>
            </w:r>
            <w:r w:rsidRPr="009F46C2">
              <w:rPr>
                <w:rFonts w:asciiTheme="minorHAnsi" w:hAnsiTheme="minorHAnsi"/>
                <w:sz w:val="22"/>
                <w:u w:color="000000"/>
              </w:rPr>
              <w:t>ve věci předběžných podmínek.</w:t>
            </w:r>
          </w:p>
        </w:tc>
      </w:tr>
    </w:tbl>
    <w:p w:rsidR="002B6821" w:rsidRDefault="00E14F50" w:rsidP="000C0E01">
      <w:pPr>
        <w:pStyle w:val="Odstavecseseznamem"/>
        <w:spacing w:before="240" w:after="60" w:line="288" w:lineRule="auto"/>
        <w:ind w:left="0"/>
        <w:contextualSpacing w:val="0"/>
      </w:pPr>
      <w:r>
        <w:rPr>
          <w:rFonts w:asciiTheme="minorHAnsi" w:eastAsia="Arial Unicode MS" w:hAnsiTheme="minorHAnsi"/>
        </w:rPr>
        <w:t>P</w:t>
      </w:r>
      <w:r w:rsidR="009201CB">
        <w:rPr>
          <w:rFonts w:asciiTheme="minorHAnsi" w:eastAsia="Arial Unicode MS" w:hAnsiTheme="minorHAnsi"/>
        </w:rPr>
        <w:t xml:space="preserve">řehled odpovědností jednotlivých subjektů zapojených do řešení předběžných podmínek, a to jak ve vztahu ke konkrétnímu tematickému cíli a předběžné podmínce, tak </w:t>
      </w:r>
      <w:r w:rsidR="001E6243">
        <w:rPr>
          <w:rFonts w:asciiTheme="minorHAnsi" w:eastAsia="Arial Unicode MS" w:hAnsiTheme="minorHAnsi"/>
        </w:rPr>
        <w:t xml:space="preserve">i </w:t>
      </w:r>
      <w:r w:rsidR="009201CB">
        <w:rPr>
          <w:rFonts w:asciiTheme="minorHAnsi" w:eastAsia="Arial Unicode MS" w:hAnsiTheme="minorHAnsi"/>
        </w:rPr>
        <w:t>ve vztahu k jednotlivým programům</w:t>
      </w:r>
      <w:r>
        <w:rPr>
          <w:rFonts w:asciiTheme="minorHAnsi" w:eastAsia="Arial Unicode MS" w:hAnsiTheme="minorHAnsi"/>
        </w:rPr>
        <w:t xml:space="preserve"> uvádí</w:t>
      </w:r>
      <w:r w:rsidR="003E2761">
        <w:rPr>
          <w:rFonts w:asciiTheme="minorHAnsi" w:eastAsia="Arial Unicode MS" w:hAnsiTheme="minorHAnsi"/>
        </w:rPr>
        <w:t>,</w:t>
      </w:r>
      <w:r>
        <w:rPr>
          <w:rFonts w:asciiTheme="minorHAnsi" w:eastAsia="Arial Unicode MS" w:hAnsiTheme="minorHAnsi"/>
        </w:rPr>
        <w:t xml:space="preserve"> tabulka </w:t>
      </w:r>
      <w:r w:rsidR="00A5524A">
        <w:rPr>
          <w:rFonts w:asciiTheme="minorHAnsi" w:eastAsia="Arial Unicode MS" w:hAnsiTheme="minorHAnsi"/>
        </w:rPr>
        <w:t>7</w:t>
      </w:r>
      <w:r w:rsidR="007343C6">
        <w:rPr>
          <w:rFonts w:asciiTheme="minorHAnsi" w:eastAsia="Arial Unicode MS" w:hAnsiTheme="minorHAnsi"/>
        </w:rPr>
        <w:t xml:space="preserve"> a 8 (vychází z verze kompromisního znění</w:t>
      </w:r>
      <w:r w:rsidR="00171191">
        <w:rPr>
          <w:rFonts w:asciiTheme="minorHAnsi" w:eastAsia="Arial Unicode MS" w:hAnsiTheme="minorHAnsi"/>
        </w:rPr>
        <w:t>; původn</w:t>
      </w:r>
      <w:r w:rsidR="003E2761">
        <w:rPr>
          <w:rFonts w:asciiTheme="minorHAnsi" w:eastAsia="Arial Unicode MS" w:hAnsiTheme="minorHAnsi"/>
        </w:rPr>
        <w:t xml:space="preserve">ě navržené PP </w:t>
      </w:r>
      <w:r w:rsidR="00171191">
        <w:rPr>
          <w:rFonts w:asciiTheme="minorHAnsi" w:eastAsia="Arial Unicode MS" w:hAnsiTheme="minorHAnsi"/>
        </w:rPr>
        <w:t>jsou evidované jako přeškrtnuté; odpovědnosti jsou uvedeny napříč všemi fondy)</w:t>
      </w:r>
      <w:r w:rsidR="009201CB">
        <w:rPr>
          <w:rFonts w:asciiTheme="minorHAnsi" w:eastAsia="Arial Unicode MS" w:hAnsiTheme="minorHAnsi"/>
        </w:rPr>
        <w:t>.</w:t>
      </w:r>
      <w:r w:rsidR="00957D05">
        <w:rPr>
          <w:rFonts w:asciiTheme="minorHAnsi" w:eastAsia="Arial Unicode MS" w:hAnsiTheme="minorHAnsi"/>
        </w:rPr>
        <w:t xml:space="preserve"> </w:t>
      </w:r>
    </w:p>
    <w:p w:rsidR="00EE0A06" w:rsidRPr="00EE0A06" w:rsidRDefault="00EE0A06" w:rsidP="002B6821">
      <w:pPr>
        <w:pStyle w:val="DAVA"/>
        <w:rPr>
          <w:rFonts w:asciiTheme="minorHAnsi" w:hAnsiTheme="minorHAnsi"/>
          <w:b/>
        </w:rPr>
      </w:pPr>
      <w:r w:rsidRPr="00EE0A06">
        <w:rPr>
          <w:rFonts w:asciiTheme="minorHAnsi" w:hAnsiTheme="minorHAnsi"/>
          <w:b/>
        </w:rPr>
        <w:t>Více gestorů u jedné předběžné podmínky</w:t>
      </w:r>
    </w:p>
    <w:p w:rsidR="002B6821" w:rsidRPr="000C0E01" w:rsidRDefault="002B6821" w:rsidP="000C0E01">
      <w:pPr>
        <w:pStyle w:val="Odstavecseseznamem"/>
        <w:spacing w:before="120" w:after="60" w:line="288" w:lineRule="auto"/>
        <w:ind w:left="0"/>
        <w:contextualSpacing w:val="0"/>
        <w:rPr>
          <w:rFonts w:asciiTheme="minorHAnsi" w:eastAsia="Arial Unicode MS" w:hAnsiTheme="minorHAnsi"/>
        </w:rPr>
      </w:pPr>
      <w:r w:rsidRPr="000C0E01">
        <w:rPr>
          <w:rFonts w:asciiTheme="minorHAnsi" w:eastAsia="Arial Unicode MS" w:hAnsiTheme="minorHAnsi"/>
        </w:rPr>
        <w:t xml:space="preserve">U </w:t>
      </w:r>
      <w:r w:rsidR="00F250B2" w:rsidRPr="000C0E01">
        <w:rPr>
          <w:rFonts w:asciiTheme="minorHAnsi" w:eastAsia="Arial Unicode MS" w:hAnsiTheme="minorHAnsi"/>
        </w:rPr>
        <w:t>předběžných podmínek</w:t>
      </w:r>
      <w:r w:rsidRPr="000C0E01">
        <w:rPr>
          <w:rFonts w:asciiTheme="minorHAnsi" w:eastAsia="Arial Unicode MS" w:hAnsiTheme="minorHAnsi"/>
        </w:rPr>
        <w:t xml:space="preserve">, kde jsou uvedeni dva a více gestorů, je nutné stanovit gestora </w:t>
      </w:r>
      <w:r w:rsidR="00080A8D">
        <w:rPr>
          <w:rFonts w:asciiTheme="minorHAnsi" w:eastAsia="Arial Unicode MS" w:hAnsiTheme="minorHAnsi"/>
        </w:rPr>
        <w:br/>
      </w:r>
      <w:r w:rsidRPr="000C0E01">
        <w:rPr>
          <w:rFonts w:asciiTheme="minorHAnsi" w:eastAsia="Arial Unicode MS" w:hAnsiTheme="minorHAnsi"/>
        </w:rPr>
        <w:t xml:space="preserve">za celou </w:t>
      </w:r>
      <w:r w:rsidR="00F250B2" w:rsidRPr="000C0E01">
        <w:rPr>
          <w:rFonts w:asciiTheme="minorHAnsi" w:eastAsia="Arial Unicode MS" w:hAnsiTheme="minorHAnsi"/>
        </w:rPr>
        <w:t>předběžnou podmínku</w:t>
      </w:r>
      <w:r w:rsidRPr="000C0E01">
        <w:rPr>
          <w:rFonts w:asciiTheme="minorHAnsi" w:eastAsia="Arial Unicode MS" w:hAnsiTheme="minorHAnsi"/>
        </w:rPr>
        <w:t xml:space="preserve"> </w:t>
      </w:r>
      <w:r w:rsidR="00171191" w:rsidRPr="000C0E01">
        <w:rPr>
          <w:rFonts w:asciiTheme="minorHAnsi" w:eastAsia="Arial Unicode MS" w:hAnsiTheme="minorHAnsi"/>
        </w:rPr>
        <w:t xml:space="preserve">(i do budoucna pro potřeby monitorovacího systému) </w:t>
      </w:r>
      <w:r w:rsidR="00080A8D">
        <w:rPr>
          <w:rFonts w:asciiTheme="minorHAnsi" w:eastAsia="Arial Unicode MS" w:hAnsiTheme="minorHAnsi"/>
        </w:rPr>
        <w:br/>
      </w:r>
      <w:r w:rsidRPr="000C0E01">
        <w:rPr>
          <w:rFonts w:asciiTheme="minorHAnsi" w:eastAsia="Arial Unicode MS" w:hAnsiTheme="minorHAnsi"/>
        </w:rPr>
        <w:t>a spolugestora</w:t>
      </w:r>
      <w:r w:rsidR="00F250B2" w:rsidRPr="000C0E01">
        <w:rPr>
          <w:rFonts w:asciiTheme="minorHAnsi" w:eastAsia="Arial Unicode MS" w:hAnsiTheme="minorHAnsi"/>
        </w:rPr>
        <w:t xml:space="preserve"> </w:t>
      </w:r>
      <w:r w:rsidR="00171191" w:rsidRPr="000C0E01">
        <w:rPr>
          <w:rFonts w:asciiTheme="minorHAnsi" w:eastAsia="Arial Unicode MS" w:hAnsiTheme="minorHAnsi"/>
        </w:rPr>
        <w:t>(</w:t>
      </w:r>
      <w:r w:rsidR="00F250B2" w:rsidRPr="000C0E01">
        <w:rPr>
          <w:rFonts w:asciiTheme="minorHAnsi" w:eastAsia="Arial Unicode MS" w:hAnsiTheme="minorHAnsi"/>
        </w:rPr>
        <w:t>např. za naplňování dílčích kritérií či jako subdodavatele dílčích informací k</w:t>
      </w:r>
      <w:r w:rsidR="00171191" w:rsidRPr="000C0E01">
        <w:rPr>
          <w:rFonts w:asciiTheme="minorHAnsi" w:eastAsia="Arial Unicode MS" w:hAnsiTheme="minorHAnsi"/>
        </w:rPr>
        <w:t> </w:t>
      </w:r>
      <w:r w:rsidR="00F250B2" w:rsidRPr="000C0E01">
        <w:rPr>
          <w:rFonts w:asciiTheme="minorHAnsi" w:eastAsia="Arial Unicode MS" w:hAnsiTheme="minorHAnsi"/>
        </w:rPr>
        <w:t>plnění</w:t>
      </w:r>
      <w:r w:rsidR="00171191" w:rsidRPr="000C0E01">
        <w:rPr>
          <w:rFonts w:asciiTheme="minorHAnsi" w:eastAsia="Arial Unicode MS" w:hAnsiTheme="minorHAnsi"/>
        </w:rPr>
        <w:t>)</w:t>
      </w:r>
      <w:r w:rsidRPr="000C0E01">
        <w:rPr>
          <w:rFonts w:asciiTheme="minorHAnsi" w:eastAsia="Arial Unicode MS" w:hAnsiTheme="minorHAnsi"/>
        </w:rPr>
        <w:t>.</w:t>
      </w:r>
      <w:r w:rsidR="00EE0A06" w:rsidRPr="000C0E01">
        <w:rPr>
          <w:rFonts w:asciiTheme="minorHAnsi" w:eastAsia="Arial Unicode MS" w:hAnsiTheme="minorHAnsi"/>
        </w:rPr>
        <w:t xml:space="preserve"> Tabulka proto zohledňuje i toto.</w:t>
      </w:r>
    </w:p>
    <w:p w:rsidR="00EE0A06" w:rsidRDefault="002B6821" w:rsidP="002B6821">
      <w:pPr>
        <w:pStyle w:val="DAVA"/>
        <w:rPr>
          <w:rFonts w:asciiTheme="minorHAnsi" w:hAnsiTheme="minorHAnsi"/>
        </w:rPr>
      </w:pPr>
      <w:r w:rsidRPr="00F250B2">
        <w:rPr>
          <w:rFonts w:asciiTheme="minorHAnsi" w:hAnsiTheme="minorHAnsi"/>
          <w:b/>
        </w:rPr>
        <w:t>Nevyjasněné gesce</w:t>
      </w:r>
    </w:p>
    <w:p w:rsidR="002B6821" w:rsidRPr="000C0E01" w:rsidRDefault="00EE0A06" w:rsidP="000C0E01">
      <w:pPr>
        <w:pStyle w:val="Odstavecseseznamem"/>
        <w:spacing w:before="120" w:line="288" w:lineRule="auto"/>
        <w:ind w:left="0"/>
        <w:contextualSpacing w:val="0"/>
        <w:rPr>
          <w:rFonts w:asciiTheme="minorHAnsi" w:eastAsia="Arial Unicode MS" w:hAnsiTheme="minorHAnsi"/>
        </w:rPr>
      </w:pPr>
      <w:r w:rsidRPr="000C0E01">
        <w:rPr>
          <w:rFonts w:asciiTheme="minorHAnsi" w:eastAsia="Arial Unicode MS" w:hAnsiTheme="minorHAnsi"/>
        </w:rPr>
        <w:t>V tabulce nejsou zaneseny dosud nevyjasněné dílčí gesce</w:t>
      </w:r>
      <w:r w:rsidR="007343C6" w:rsidRPr="000C0E01">
        <w:rPr>
          <w:rFonts w:asciiTheme="minorHAnsi" w:eastAsia="Arial Unicode MS" w:hAnsiTheme="minorHAnsi"/>
        </w:rPr>
        <w:t xml:space="preserve">; ty je potřebné urgentně dořešit </w:t>
      </w:r>
      <w:r w:rsidR="002B6821" w:rsidRPr="000C0E01">
        <w:rPr>
          <w:rFonts w:asciiTheme="minorHAnsi" w:eastAsia="Arial Unicode MS" w:hAnsiTheme="minorHAnsi"/>
        </w:rPr>
        <w:t>mezi identifikovanými resorty:</w:t>
      </w:r>
    </w:p>
    <w:p w:rsidR="002B6821" w:rsidRPr="00080A8D" w:rsidRDefault="00F12826" w:rsidP="000C0E01">
      <w:pPr>
        <w:pStyle w:val="DAVA"/>
        <w:numPr>
          <w:ilvl w:val="0"/>
          <w:numId w:val="42"/>
        </w:numPr>
        <w:spacing w:before="0"/>
        <w:ind w:left="425" w:hanging="357"/>
        <w:rPr>
          <w:rFonts w:asciiTheme="minorHAnsi" w:hAnsiTheme="minorHAnsi"/>
        </w:rPr>
      </w:pPr>
      <w:r w:rsidRPr="00F12826">
        <w:rPr>
          <w:rFonts w:asciiTheme="minorHAnsi" w:hAnsiTheme="minorHAnsi"/>
        </w:rPr>
        <w:t xml:space="preserve">PP 2.1 (MŠMT nebo MPSV) kritérium „ukazatele umožňující měření pokroku opatření </w:t>
      </w:r>
      <w:r w:rsidR="00080A8D">
        <w:rPr>
          <w:rFonts w:asciiTheme="minorHAnsi" w:hAnsiTheme="minorHAnsi"/>
        </w:rPr>
        <w:br/>
      </w:r>
      <w:r w:rsidRPr="00F12826">
        <w:rPr>
          <w:rFonts w:asciiTheme="minorHAnsi" w:hAnsiTheme="minorHAnsi"/>
        </w:rPr>
        <w:t xml:space="preserve">v oblastech, jako jsou počítačová gramotnost, začleňování občanů do informační společnosti, přístupnost elektronických technologií a elektronického zdravotnictví </w:t>
      </w:r>
      <w:r w:rsidR="00080A8D">
        <w:rPr>
          <w:rFonts w:asciiTheme="minorHAnsi" w:hAnsiTheme="minorHAnsi"/>
        </w:rPr>
        <w:br/>
      </w:r>
      <w:r w:rsidRPr="00F12826">
        <w:rPr>
          <w:rFonts w:asciiTheme="minorHAnsi" w:hAnsiTheme="minorHAnsi"/>
        </w:rPr>
        <w:t>v mezích článku 168 SFEU, jež jsou v souladu“.</w:t>
      </w:r>
    </w:p>
    <w:p w:rsidR="002B6821" w:rsidRPr="00080A8D" w:rsidRDefault="00F12826" w:rsidP="007343C6">
      <w:pPr>
        <w:pStyle w:val="DAVA"/>
        <w:numPr>
          <w:ilvl w:val="0"/>
          <w:numId w:val="42"/>
        </w:numPr>
        <w:spacing w:before="60"/>
        <w:ind w:left="425" w:hanging="357"/>
        <w:rPr>
          <w:rFonts w:ascii="Calibri" w:hAnsi="Calibri" w:cs="Calibri"/>
        </w:rPr>
      </w:pPr>
      <w:r w:rsidRPr="00F12826">
        <w:rPr>
          <w:rFonts w:asciiTheme="minorHAnsi" w:hAnsiTheme="minorHAnsi"/>
        </w:rPr>
        <w:t xml:space="preserve">PP 3.1 a 8.2 (MPO a MSp) kritérium: </w:t>
      </w:r>
      <w:r w:rsidRPr="00F12826">
        <w:rPr>
          <w:rFonts w:ascii="Calibri" w:hAnsi="Calibri" w:cs="Calibri"/>
        </w:rPr>
        <w:t>opatření ke zkrácení doby potřebné k získání licencí a povolení k zahájení a provádění konkrétní činnosti podniku</w:t>
      </w:r>
      <w:r w:rsidR="0092644D">
        <w:rPr>
          <w:rFonts w:ascii="Calibri" w:hAnsi="Calibri" w:cs="Calibri"/>
        </w:rPr>
        <w:t xml:space="preserve"> </w:t>
      </w:r>
      <w:r w:rsidR="0092644D">
        <w:rPr>
          <w:rFonts w:ascii="Calibri" w:hAnsi="Calibri" w:cs="Calibri"/>
          <w:strike/>
        </w:rPr>
        <w:t>na tři měsíce</w:t>
      </w:r>
      <w:r w:rsidRPr="00F12826">
        <w:rPr>
          <w:rFonts w:ascii="Calibri" w:hAnsi="Calibri" w:cs="Calibri"/>
        </w:rPr>
        <w:t>.</w:t>
      </w:r>
    </w:p>
    <w:p w:rsidR="002B6821" w:rsidRPr="00080A8D" w:rsidRDefault="00F12826" w:rsidP="007343C6">
      <w:pPr>
        <w:pStyle w:val="DAVA"/>
        <w:numPr>
          <w:ilvl w:val="0"/>
          <w:numId w:val="42"/>
        </w:numPr>
        <w:spacing w:before="60"/>
        <w:ind w:left="425" w:hanging="357"/>
        <w:rPr>
          <w:rFonts w:ascii="Calibri" w:hAnsi="Calibri" w:cs="Calibri"/>
        </w:rPr>
      </w:pPr>
      <w:r w:rsidRPr="00F12826">
        <w:rPr>
          <w:rFonts w:ascii="Calibri" w:hAnsi="Calibri" w:cs="Calibri"/>
        </w:rPr>
        <w:t>PP 6.1 a 5.3 EZFRV (MŽP a MZe): obě předběžné podmínky.</w:t>
      </w:r>
    </w:p>
    <w:p w:rsidR="002B6821" w:rsidRPr="00080A8D" w:rsidRDefault="00F12826" w:rsidP="007343C6">
      <w:pPr>
        <w:pStyle w:val="DAVA"/>
        <w:numPr>
          <w:ilvl w:val="0"/>
          <w:numId w:val="42"/>
        </w:numPr>
        <w:spacing w:before="60"/>
        <w:ind w:left="425" w:hanging="357"/>
        <w:rPr>
          <w:rFonts w:asciiTheme="minorHAnsi" w:hAnsiTheme="minorHAnsi"/>
        </w:rPr>
      </w:pPr>
      <w:r w:rsidRPr="00F12826">
        <w:rPr>
          <w:rFonts w:asciiTheme="minorHAnsi" w:hAnsiTheme="minorHAnsi"/>
        </w:rPr>
        <w:t>Obecné PP, dílčí kritéria (gesce ŘO): bude upřesněno MMR.</w:t>
      </w:r>
    </w:p>
    <w:p w:rsidR="003E2761" w:rsidRDefault="003E2761" w:rsidP="00EE0A06">
      <w:pPr>
        <w:spacing w:before="180" w:after="60" w:line="288" w:lineRule="auto"/>
        <w:rPr>
          <w:rFonts w:asciiTheme="minorHAnsi" w:hAnsiTheme="minorHAnsi" w:cs="Arial"/>
          <w:u w:val="single"/>
        </w:rPr>
      </w:pPr>
    </w:p>
    <w:p w:rsidR="003E2761" w:rsidRDefault="003E2761" w:rsidP="00EE0A06">
      <w:pPr>
        <w:spacing w:before="180" w:after="60" w:line="288" w:lineRule="auto"/>
        <w:rPr>
          <w:rFonts w:asciiTheme="minorHAnsi" w:hAnsiTheme="minorHAnsi" w:cs="Arial"/>
          <w:u w:val="single"/>
        </w:rPr>
      </w:pPr>
    </w:p>
    <w:p w:rsidR="002B6821" w:rsidRPr="00EE0A06" w:rsidRDefault="002B6821" w:rsidP="00EE0A06">
      <w:pPr>
        <w:spacing w:before="180" w:after="60" w:line="288" w:lineRule="auto"/>
        <w:rPr>
          <w:u w:val="single"/>
        </w:rPr>
      </w:pPr>
      <w:r w:rsidRPr="00EE0A06">
        <w:rPr>
          <w:rFonts w:asciiTheme="minorHAnsi" w:hAnsiTheme="minorHAnsi" w:cs="Arial"/>
          <w:u w:val="single"/>
        </w:rPr>
        <w:t xml:space="preserve">Tab. </w:t>
      </w:r>
      <w:r w:rsidR="00EE0A06" w:rsidRPr="00EE0A06">
        <w:rPr>
          <w:rFonts w:asciiTheme="minorHAnsi" w:hAnsiTheme="minorHAnsi" w:cs="Arial"/>
          <w:u w:val="single"/>
        </w:rPr>
        <w:t>7</w:t>
      </w:r>
      <w:r w:rsidRPr="00EE0A06">
        <w:rPr>
          <w:rFonts w:asciiTheme="minorHAnsi" w:hAnsiTheme="minorHAnsi" w:cs="Arial"/>
          <w:u w:val="single"/>
        </w:rPr>
        <w:t xml:space="preserve">: Vymezení odpovědností v rámci </w:t>
      </w:r>
      <w:r w:rsidRPr="005D57CE">
        <w:rPr>
          <w:rFonts w:asciiTheme="minorHAnsi" w:hAnsiTheme="minorHAnsi" w:cs="Arial"/>
          <w:b/>
          <w:u w:val="single"/>
        </w:rPr>
        <w:t>tematických</w:t>
      </w:r>
      <w:r w:rsidRPr="00EE0A06">
        <w:rPr>
          <w:rFonts w:asciiTheme="minorHAnsi" w:hAnsiTheme="minorHAnsi" w:cs="Arial"/>
          <w:u w:val="single"/>
        </w:rPr>
        <w:t xml:space="preserve"> předběžných podmínek</w:t>
      </w:r>
    </w:p>
    <w:tbl>
      <w:tblPr>
        <w:tblW w:w="92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3827"/>
        <w:gridCol w:w="1701"/>
        <w:gridCol w:w="1418"/>
        <w:gridCol w:w="850"/>
        <w:gridCol w:w="709"/>
      </w:tblGrid>
      <w:tr w:rsidR="002B6821" w:rsidRPr="00F544B3" w:rsidTr="000C0E01">
        <w:trPr>
          <w:trHeight w:val="441"/>
          <w:tblHeader/>
        </w:trPr>
        <w:tc>
          <w:tcPr>
            <w:tcW w:w="709" w:type="dxa"/>
            <w:vMerge w:val="restart"/>
            <w:shd w:val="clear" w:color="auto" w:fill="95B3D7" w:themeFill="accent1" w:themeFillTint="99"/>
            <w:tcMar>
              <w:left w:w="28" w:type="dxa"/>
              <w:right w:w="28" w:type="dxa"/>
            </w:tcMar>
            <w:vAlign w:val="center"/>
          </w:tcPr>
          <w:p w:rsidR="002B6821" w:rsidRPr="00F544B3" w:rsidRDefault="002B6821" w:rsidP="00952632">
            <w:pPr>
              <w:spacing w:after="60" w:line="240" w:lineRule="auto"/>
              <w:jc w:val="center"/>
              <w:rPr>
                <w:rFonts w:asciiTheme="minorHAnsi" w:hAnsiTheme="minorHAnsi"/>
                <w:b/>
                <w:bCs/>
                <w:sz w:val="17"/>
                <w:szCs w:val="17"/>
              </w:rPr>
            </w:pPr>
            <w:r w:rsidRPr="00F544B3">
              <w:rPr>
                <w:rFonts w:asciiTheme="minorHAnsi" w:hAnsiTheme="minorHAnsi"/>
                <w:b/>
                <w:bCs/>
                <w:sz w:val="17"/>
                <w:szCs w:val="17"/>
              </w:rPr>
              <w:t>Tematický cíl</w:t>
            </w:r>
          </w:p>
        </w:tc>
        <w:tc>
          <w:tcPr>
            <w:tcW w:w="3827" w:type="dxa"/>
            <w:vMerge w:val="restart"/>
            <w:shd w:val="clear" w:color="auto" w:fill="95B3D7" w:themeFill="accent1" w:themeFillTint="99"/>
            <w:vAlign w:val="center"/>
          </w:tcPr>
          <w:p w:rsidR="002B6821" w:rsidRPr="00F544B3" w:rsidRDefault="002B6821" w:rsidP="00952632">
            <w:pPr>
              <w:spacing w:after="60" w:line="240" w:lineRule="auto"/>
              <w:jc w:val="center"/>
              <w:rPr>
                <w:rFonts w:asciiTheme="minorHAnsi" w:hAnsiTheme="minorHAnsi"/>
                <w:b/>
                <w:sz w:val="17"/>
                <w:szCs w:val="17"/>
              </w:rPr>
            </w:pPr>
            <w:r w:rsidRPr="00F544B3">
              <w:rPr>
                <w:rFonts w:asciiTheme="minorHAnsi" w:hAnsiTheme="minorHAnsi"/>
                <w:b/>
                <w:sz w:val="17"/>
                <w:szCs w:val="17"/>
              </w:rPr>
              <w:t>Předběžná podmínka</w:t>
            </w:r>
          </w:p>
        </w:tc>
        <w:tc>
          <w:tcPr>
            <w:tcW w:w="3119" w:type="dxa"/>
            <w:gridSpan w:val="2"/>
            <w:shd w:val="clear" w:color="auto" w:fill="95B3D7" w:themeFill="accent1" w:themeFillTint="99"/>
            <w:vAlign w:val="center"/>
          </w:tcPr>
          <w:p w:rsidR="002B6821" w:rsidRPr="00F544B3" w:rsidRDefault="002B6821" w:rsidP="00952632">
            <w:pPr>
              <w:spacing w:after="60"/>
              <w:jc w:val="center"/>
              <w:rPr>
                <w:rFonts w:asciiTheme="minorHAnsi" w:hAnsiTheme="minorHAnsi"/>
                <w:b/>
                <w:sz w:val="17"/>
                <w:szCs w:val="17"/>
              </w:rPr>
            </w:pPr>
            <w:r w:rsidRPr="00F544B3">
              <w:rPr>
                <w:rFonts w:asciiTheme="minorHAnsi" w:hAnsiTheme="minorHAnsi"/>
                <w:b/>
                <w:sz w:val="17"/>
                <w:szCs w:val="17"/>
              </w:rPr>
              <w:t>Subjekty odpovědné za naplňování PP</w:t>
            </w:r>
          </w:p>
        </w:tc>
        <w:tc>
          <w:tcPr>
            <w:tcW w:w="1559" w:type="dxa"/>
            <w:gridSpan w:val="2"/>
            <w:shd w:val="clear" w:color="auto" w:fill="95B3D7" w:themeFill="accent1" w:themeFillTint="99"/>
            <w:vAlign w:val="center"/>
          </w:tcPr>
          <w:p w:rsidR="002B6821" w:rsidRPr="00F544B3" w:rsidRDefault="002B6821" w:rsidP="00952632">
            <w:pPr>
              <w:spacing w:after="60"/>
              <w:jc w:val="center"/>
              <w:rPr>
                <w:rFonts w:asciiTheme="minorHAnsi" w:hAnsiTheme="minorHAnsi"/>
                <w:b/>
                <w:color w:val="000000"/>
                <w:sz w:val="17"/>
                <w:szCs w:val="17"/>
              </w:rPr>
            </w:pPr>
            <w:r w:rsidRPr="00F544B3">
              <w:rPr>
                <w:rFonts w:asciiTheme="minorHAnsi" w:hAnsiTheme="minorHAnsi"/>
                <w:b/>
                <w:color w:val="000000"/>
                <w:sz w:val="17"/>
                <w:szCs w:val="17"/>
              </w:rPr>
              <w:t>Uplatnitelnost PP v OP</w:t>
            </w:r>
          </w:p>
        </w:tc>
      </w:tr>
      <w:tr w:rsidR="002B6821" w:rsidRPr="00F544B3" w:rsidTr="000C0E01">
        <w:trPr>
          <w:trHeight w:val="689"/>
          <w:tblHeader/>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Merge/>
            <w:shd w:val="clear" w:color="auto" w:fill="B8CCE4" w:themeFill="accent1" w:themeFillTint="66"/>
            <w:vAlign w:val="center"/>
          </w:tcPr>
          <w:p w:rsidR="002B6821" w:rsidRPr="00F544B3" w:rsidRDefault="002B6821" w:rsidP="00952632">
            <w:pPr>
              <w:spacing w:after="60" w:line="240" w:lineRule="auto"/>
              <w:jc w:val="left"/>
              <w:rPr>
                <w:rFonts w:asciiTheme="minorHAnsi" w:hAnsiTheme="minorHAnsi"/>
                <w:sz w:val="17"/>
                <w:szCs w:val="17"/>
              </w:rPr>
            </w:pPr>
          </w:p>
        </w:tc>
        <w:tc>
          <w:tcPr>
            <w:tcW w:w="1701" w:type="dxa"/>
            <w:shd w:val="clear" w:color="auto" w:fill="DBE5F1" w:themeFill="accent1" w:themeFillTint="33"/>
            <w:vAlign w:val="center"/>
          </w:tcPr>
          <w:p w:rsidR="002B6821" w:rsidRPr="00F544B3" w:rsidRDefault="002B6821" w:rsidP="00952632">
            <w:pPr>
              <w:spacing w:after="60"/>
              <w:jc w:val="center"/>
              <w:rPr>
                <w:rFonts w:asciiTheme="minorHAnsi" w:hAnsiTheme="minorHAnsi"/>
                <w:sz w:val="17"/>
                <w:szCs w:val="17"/>
              </w:rPr>
            </w:pPr>
            <w:r w:rsidRPr="00F544B3">
              <w:rPr>
                <w:rFonts w:asciiTheme="minorHAnsi" w:hAnsiTheme="minorHAnsi"/>
                <w:color w:val="FF0000"/>
                <w:sz w:val="17"/>
                <w:szCs w:val="17"/>
              </w:rPr>
              <w:t>Gestor za celou PP</w:t>
            </w:r>
            <w:r w:rsidRPr="00F544B3">
              <w:rPr>
                <w:rFonts w:asciiTheme="minorHAnsi" w:hAnsiTheme="minorHAnsi"/>
                <w:sz w:val="17"/>
                <w:szCs w:val="17"/>
              </w:rPr>
              <w:t xml:space="preserve"> / Spolugesce (např. gesce za dílčí kritéria)</w:t>
            </w:r>
          </w:p>
        </w:tc>
        <w:tc>
          <w:tcPr>
            <w:tcW w:w="1418" w:type="dxa"/>
            <w:shd w:val="clear" w:color="auto" w:fill="DBE5F1" w:themeFill="accent1" w:themeFillTint="33"/>
            <w:vAlign w:val="center"/>
          </w:tcPr>
          <w:p w:rsidR="002B6821" w:rsidRPr="00F544B3" w:rsidRDefault="002B6821" w:rsidP="00952632">
            <w:pPr>
              <w:spacing w:after="60"/>
              <w:jc w:val="center"/>
              <w:rPr>
                <w:rFonts w:asciiTheme="minorHAnsi" w:hAnsiTheme="minorHAnsi"/>
                <w:color w:val="000000"/>
                <w:sz w:val="17"/>
                <w:szCs w:val="17"/>
              </w:rPr>
            </w:pPr>
            <w:r w:rsidRPr="00F544B3">
              <w:rPr>
                <w:rFonts w:asciiTheme="minorHAnsi" w:hAnsiTheme="minorHAnsi"/>
                <w:color w:val="000000"/>
                <w:sz w:val="17"/>
                <w:szCs w:val="17"/>
              </w:rPr>
              <w:t>Další subjekty</w:t>
            </w:r>
          </w:p>
        </w:tc>
        <w:tc>
          <w:tcPr>
            <w:tcW w:w="850" w:type="dxa"/>
            <w:shd w:val="clear" w:color="auto" w:fill="DBE5F1" w:themeFill="accent1" w:themeFillTint="33"/>
            <w:vAlign w:val="center"/>
          </w:tcPr>
          <w:p w:rsidR="002B6821" w:rsidRPr="00F544B3" w:rsidRDefault="002B6821" w:rsidP="00952632">
            <w:pPr>
              <w:spacing w:after="60"/>
              <w:jc w:val="center"/>
              <w:rPr>
                <w:rFonts w:asciiTheme="minorHAnsi" w:hAnsiTheme="minorHAnsi"/>
                <w:color w:val="000000"/>
                <w:sz w:val="17"/>
                <w:szCs w:val="17"/>
              </w:rPr>
            </w:pPr>
            <w:r w:rsidRPr="00F544B3">
              <w:rPr>
                <w:rFonts w:asciiTheme="minorHAnsi" w:hAnsiTheme="minorHAnsi"/>
                <w:color w:val="000000"/>
                <w:sz w:val="17"/>
                <w:szCs w:val="17"/>
              </w:rPr>
              <w:t>Primární OP</w:t>
            </w:r>
          </w:p>
        </w:tc>
        <w:tc>
          <w:tcPr>
            <w:tcW w:w="709" w:type="dxa"/>
            <w:shd w:val="clear" w:color="auto" w:fill="DBE5F1" w:themeFill="accent1" w:themeFillTint="33"/>
            <w:vAlign w:val="center"/>
          </w:tcPr>
          <w:p w:rsidR="002B6821" w:rsidRPr="00F544B3" w:rsidRDefault="002B6821" w:rsidP="00952632">
            <w:pPr>
              <w:spacing w:after="60"/>
              <w:jc w:val="center"/>
              <w:rPr>
                <w:rFonts w:asciiTheme="minorHAnsi" w:hAnsiTheme="minorHAnsi"/>
                <w:color w:val="000000"/>
                <w:sz w:val="17"/>
                <w:szCs w:val="17"/>
              </w:rPr>
            </w:pPr>
            <w:r w:rsidRPr="00F544B3">
              <w:rPr>
                <w:rFonts w:asciiTheme="minorHAnsi" w:hAnsiTheme="minorHAnsi"/>
                <w:color w:val="000000"/>
                <w:sz w:val="17"/>
                <w:szCs w:val="17"/>
              </w:rPr>
              <w:t>Další OP</w:t>
            </w:r>
          </w:p>
        </w:tc>
      </w:tr>
      <w:tr w:rsidR="002B6821" w:rsidRPr="00F544B3" w:rsidTr="000C0E01">
        <w:trPr>
          <w:trHeight w:val="1564"/>
        </w:trPr>
        <w:tc>
          <w:tcPr>
            <w:tcW w:w="709" w:type="dxa"/>
            <w:vMerge w:val="restart"/>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
                <w:bCs/>
                <w:sz w:val="17"/>
                <w:szCs w:val="17"/>
              </w:rPr>
              <w:t>TC 1:</w:t>
            </w:r>
            <w:r w:rsidRPr="00F544B3">
              <w:rPr>
                <w:rFonts w:asciiTheme="minorHAnsi" w:hAnsiTheme="minorHAnsi"/>
                <w:bCs/>
                <w:sz w:val="17"/>
                <w:szCs w:val="17"/>
              </w:rPr>
              <w:t xml:space="preserve"> Posílení výzkumu, technologického rozvoje a inovací</w:t>
            </w:r>
          </w:p>
        </w:tc>
        <w:tc>
          <w:tcPr>
            <w:tcW w:w="3827" w:type="dxa"/>
            <w:vAlign w:val="center"/>
          </w:tcPr>
          <w:p w:rsidR="002B6821" w:rsidRPr="00F544B3" w:rsidRDefault="0037582F" w:rsidP="00952632">
            <w:pPr>
              <w:spacing w:after="60" w:line="240" w:lineRule="auto"/>
              <w:jc w:val="left"/>
              <w:rPr>
                <w:rFonts w:asciiTheme="minorHAnsi" w:hAnsiTheme="minorHAnsi"/>
                <w:bCs/>
                <w:sz w:val="17"/>
                <w:szCs w:val="17"/>
              </w:rPr>
            </w:pPr>
            <w:hyperlink r:id="rId8" w:anchor="RANGE!#REF!" w:history="1">
              <w:r w:rsidR="002B6821" w:rsidRPr="00F544B3">
                <w:rPr>
                  <w:rFonts w:asciiTheme="minorHAnsi" w:hAnsiTheme="minorHAnsi"/>
                  <w:bCs/>
                  <w:sz w:val="17"/>
                  <w:szCs w:val="17"/>
                </w:rPr>
                <w:t xml:space="preserve">1.1. Výzkum a inovace: Existence národního nebo regionálního výzkumného a inovačního strategického rámce politik pro inteligentní specializaci v souladu s národním programem reforem na podporu soukromých výdajů na výzkum a inovace.  </w:t>
              </w:r>
            </w:hyperlink>
          </w:p>
        </w:tc>
        <w:tc>
          <w:tcPr>
            <w:tcW w:w="1701" w:type="dxa"/>
            <w:vAlign w:val="center"/>
          </w:tcPr>
          <w:p w:rsidR="002B6821" w:rsidRPr="00F544B3" w:rsidRDefault="002B6821" w:rsidP="00952632">
            <w:pPr>
              <w:spacing w:after="60" w:line="240" w:lineRule="auto"/>
              <w:jc w:val="left"/>
              <w:rPr>
                <w:rFonts w:asciiTheme="minorHAnsi" w:hAnsiTheme="minorHAnsi"/>
                <w:sz w:val="17"/>
                <w:szCs w:val="17"/>
              </w:rPr>
            </w:pPr>
            <w:r w:rsidRPr="00F544B3">
              <w:rPr>
                <w:rFonts w:asciiTheme="minorHAnsi" w:hAnsiTheme="minorHAnsi"/>
                <w:color w:val="FF0000"/>
                <w:sz w:val="17"/>
                <w:szCs w:val="17"/>
              </w:rPr>
              <w:t>MŠMT</w:t>
            </w:r>
            <w:r w:rsidRPr="00F544B3">
              <w:rPr>
                <w:rFonts w:asciiTheme="minorHAnsi" w:hAnsiTheme="minorHAnsi"/>
                <w:sz w:val="17"/>
                <w:szCs w:val="17"/>
              </w:rPr>
              <w:t xml:space="preserve"> /</w:t>
            </w:r>
          </w:p>
          <w:p w:rsidR="002B6821" w:rsidRPr="00F544B3" w:rsidRDefault="002B6821" w:rsidP="00952632">
            <w:pPr>
              <w:spacing w:after="60" w:line="240" w:lineRule="auto"/>
              <w:jc w:val="left"/>
              <w:rPr>
                <w:rFonts w:asciiTheme="minorHAnsi" w:hAnsiTheme="minorHAnsi"/>
                <w:sz w:val="17"/>
                <w:szCs w:val="17"/>
              </w:rPr>
            </w:pPr>
            <w:r w:rsidRPr="00F544B3">
              <w:rPr>
                <w:rFonts w:asciiTheme="minorHAnsi" w:hAnsiTheme="minorHAnsi"/>
                <w:sz w:val="17"/>
                <w:szCs w:val="17"/>
              </w:rPr>
              <w:t>MPO (spolugesce)</w:t>
            </w:r>
          </w:p>
          <w:p w:rsidR="002B6821" w:rsidRPr="00F544B3" w:rsidRDefault="002B6821" w:rsidP="00952632">
            <w:pPr>
              <w:spacing w:after="60" w:line="240" w:lineRule="auto"/>
              <w:jc w:val="left"/>
              <w:rPr>
                <w:rFonts w:asciiTheme="minorHAnsi" w:hAnsiTheme="minorHAnsi"/>
                <w:sz w:val="17"/>
                <w:szCs w:val="17"/>
              </w:rPr>
            </w:pPr>
            <w:r w:rsidRPr="00F544B3">
              <w:rPr>
                <w:rFonts w:asciiTheme="minorHAnsi" w:hAnsiTheme="minorHAnsi"/>
                <w:sz w:val="17"/>
                <w:szCs w:val="17"/>
              </w:rPr>
              <w:t>ÚV (RVVI) za kritérium Byl přijat rámec, který vymezuje dostupné rozpočtové zdroje pro výzkum a inovace.</w:t>
            </w:r>
          </w:p>
        </w:tc>
        <w:tc>
          <w:tcPr>
            <w:tcW w:w="1418" w:type="dxa"/>
            <w:vAlign w:val="center"/>
          </w:tcPr>
          <w:p w:rsidR="002B6821" w:rsidRPr="00F544B3" w:rsidRDefault="002B6821" w:rsidP="00952632">
            <w:pPr>
              <w:spacing w:after="6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MZe (má uvedeno jako PP 1.1., zatím kompromisem vyškrnuto)</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Další resorty</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TA ČR</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952632">
            <w:pPr>
              <w:spacing w:after="60" w:line="264" w:lineRule="auto"/>
              <w:jc w:val="left"/>
              <w:rPr>
                <w:rFonts w:asciiTheme="minorHAnsi" w:hAnsiTheme="minorHAnsi"/>
                <w:color w:val="000000"/>
                <w:sz w:val="17"/>
                <w:szCs w:val="17"/>
              </w:rPr>
            </w:pPr>
            <w:r w:rsidRPr="00F544B3">
              <w:rPr>
                <w:rFonts w:asciiTheme="minorHAnsi" w:hAnsiTheme="minorHAnsi"/>
                <w:color w:val="000000"/>
                <w:sz w:val="17"/>
                <w:szCs w:val="17"/>
              </w:rPr>
              <w:t>OP VVV</w:t>
            </w:r>
          </w:p>
        </w:tc>
        <w:tc>
          <w:tcPr>
            <w:tcW w:w="709" w:type="dxa"/>
            <w:shd w:val="clear" w:color="auto" w:fill="auto"/>
            <w:vAlign w:val="center"/>
          </w:tcPr>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OP PIK</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OP PPR</w:t>
            </w:r>
          </w:p>
          <w:p w:rsidR="002B6821" w:rsidRPr="00F544B3" w:rsidRDefault="002B6821" w:rsidP="00952632">
            <w:pPr>
              <w:spacing w:after="6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PRV</w:t>
            </w:r>
          </w:p>
        </w:tc>
      </w:tr>
      <w:tr w:rsidR="002B6821" w:rsidRPr="00F544B3" w:rsidTr="000C0E01">
        <w:trPr>
          <w:trHeight w:val="1077"/>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 xml:space="preserve">1.2. Existence víceletého plánu finančního plánování a prioritizace investic. </w:t>
            </w:r>
          </w:p>
        </w:tc>
        <w:tc>
          <w:tcPr>
            <w:tcW w:w="1701" w:type="dxa"/>
            <w:vAlign w:val="center"/>
          </w:tcPr>
          <w:p w:rsidR="002B6821" w:rsidRPr="00F544B3" w:rsidRDefault="002B6821" w:rsidP="00952632">
            <w:pPr>
              <w:spacing w:after="60" w:line="240" w:lineRule="auto"/>
              <w:jc w:val="left"/>
              <w:rPr>
                <w:rFonts w:asciiTheme="minorHAnsi" w:hAnsiTheme="minorHAnsi"/>
                <w:sz w:val="17"/>
                <w:szCs w:val="17"/>
              </w:rPr>
            </w:pPr>
            <w:r w:rsidRPr="00F544B3">
              <w:rPr>
                <w:rFonts w:asciiTheme="minorHAnsi" w:hAnsiTheme="minorHAnsi"/>
                <w:color w:val="FF0000"/>
                <w:sz w:val="17"/>
                <w:szCs w:val="17"/>
              </w:rPr>
              <w:t xml:space="preserve">MŠMT </w:t>
            </w:r>
            <w:r w:rsidRPr="00F544B3">
              <w:rPr>
                <w:rFonts w:asciiTheme="minorHAnsi" w:hAnsiTheme="minorHAnsi"/>
                <w:sz w:val="17"/>
                <w:szCs w:val="17"/>
              </w:rPr>
              <w:t>/</w:t>
            </w:r>
          </w:p>
          <w:p w:rsidR="002B6821" w:rsidRPr="00F544B3" w:rsidRDefault="002B6821" w:rsidP="00952632">
            <w:pPr>
              <w:spacing w:after="60" w:line="240" w:lineRule="auto"/>
              <w:jc w:val="left"/>
              <w:rPr>
                <w:rFonts w:asciiTheme="minorHAnsi" w:hAnsiTheme="minorHAnsi"/>
                <w:sz w:val="17"/>
                <w:szCs w:val="17"/>
              </w:rPr>
            </w:pPr>
          </w:p>
          <w:p w:rsidR="002B6821" w:rsidRPr="00F544B3" w:rsidRDefault="002B6821" w:rsidP="00952632">
            <w:pPr>
              <w:spacing w:after="60" w:line="240" w:lineRule="auto"/>
              <w:jc w:val="left"/>
              <w:rPr>
                <w:rFonts w:asciiTheme="minorHAnsi" w:hAnsiTheme="minorHAnsi"/>
                <w:sz w:val="17"/>
                <w:szCs w:val="17"/>
              </w:rPr>
            </w:pPr>
            <w:r w:rsidRPr="00F544B3">
              <w:rPr>
                <w:rFonts w:asciiTheme="minorHAnsi" w:hAnsiTheme="minorHAnsi"/>
                <w:sz w:val="17"/>
                <w:szCs w:val="17"/>
              </w:rPr>
              <w:t>ÚV (RVVI) spolugesce kritéria</w:t>
            </w:r>
          </w:p>
        </w:tc>
        <w:tc>
          <w:tcPr>
            <w:tcW w:w="1418" w:type="dxa"/>
            <w:vAlign w:val="center"/>
          </w:tcPr>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MPO</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MZe</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Další resorty</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TA ČR</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OP VVV</w:t>
            </w:r>
          </w:p>
        </w:tc>
        <w:tc>
          <w:tcPr>
            <w:tcW w:w="709" w:type="dxa"/>
            <w:shd w:val="clear" w:color="auto" w:fill="auto"/>
            <w:vAlign w:val="center"/>
          </w:tcPr>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OP PIK</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PRV</w:t>
            </w:r>
          </w:p>
        </w:tc>
      </w:tr>
      <w:tr w:rsidR="002B6821" w:rsidRPr="00F544B3" w:rsidTr="000C0E01">
        <w:trPr>
          <w:trHeight w:val="565"/>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strike/>
                <w:sz w:val="17"/>
                <w:szCs w:val="17"/>
              </w:rPr>
            </w:pPr>
            <w:r w:rsidRPr="00F544B3">
              <w:rPr>
                <w:rFonts w:asciiTheme="minorHAnsi" w:hAnsiTheme="minorHAnsi"/>
                <w:bCs/>
                <w:strike/>
                <w:sz w:val="17"/>
                <w:szCs w:val="17"/>
              </w:rPr>
              <w:t>EZFRV, 1.2 - Kapacita v oblasti poradenství: V oblasti poradenství existuje dostatečná kapacita k zajištění poradenství týkajícího se regulatorních požadavků a všech aspektů spojených s udržitelným řízením a opatřeními v oblasti klimatu v zemědělství a lesnictví.</w:t>
            </w:r>
          </w:p>
        </w:tc>
        <w:tc>
          <w:tcPr>
            <w:tcW w:w="1701" w:type="dxa"/>
            <w:vAlign w:val="center"/>
          </w:tcPr>
          <w:p w:rsidR="002B6821" w:rsidRPr="00F544B3" w:rsidRDefault="002B6821" w:rsidP="00952632">
            <w:pPr>
              <w:spacing w:after="60" w:line="240" w:lineRule="auto"/>
              <w:jc w:val="left"/>
              <w:rPr>
                <w:rFonts w:asciiTheme="minorHAnsi" w:hAnsiTheme="minorHAnsi"/>
                <w:strike/>
                <w:color w:val="FF0000"/>
                <w:sz w:val="17"/>
                <w:szCs w:val="17"/>
              </w:rPr>
            </w:pPr>
            <w:r w:rsidRPr="00F544B3">
              <w:rPr>
                <w:rFonts w:asciiTheme="minorHAnsi" w:hAnsiTheme="minorHAnsi"/>
                <w:strike/>
                <w:color w:val="FF0000"/>
                <w:sz w:val="17"/>
                <w:szCs w:val="17"/>
              </w:rPr>
              <w:t>MZe</w:t>
            </w:r>
          </w:p>
        </w:tc>
        <w:tc>
          <w:tcPr>
            <w:tcW w:w="1418" w:type="dxa"/>
            <w:vAlign w:val="center"/>
          </w:tcPr>
          <w:p w:rsidR="002B6821" w:rsidRPr="00F544B3" w:rsidRDefault="002B6821" w:rsidP="00952632">
            <w:pPr>
              <w:spacing w:after="60" w:line="240" w:lineRule="auto"/>
              <w:jc w:val="left"/>
              <w:rPr>
                <w:rFonts w:asciiTheme="minorHAnsi" w:hAnsiTheme="minorHAnsi"/>
                <w:strike/>
                <w:sz w:val="17"/>
                <w:szCs w:val="17"/>
              </w:rPr>
            </w:pPr>
            <w:r w:rsidRPr="00F544B3">
              <w:rPr>
                <w:rFonts w:asciiTheme="minorHAnsi" w:hAnsiTheme="minorHAnsi"/>
                <w:strike/>
                <w:sz w:val="17"/>
                <w:szCs w:val="17"/>
              </w:rPr>
              <w:t>MŠMT</w:t>
            </w:r>
          </w:p>
          <w:p w:rsidR="002B6821" w:rsidRPr="00F544B3" w:rsidRDefault="002B6821" w:rsidP="00952632">
            <w:pPr>
              <w:spacing w:after="60" w:line="240" w:lineRule="auto"/>
              <w:jc w:val="left"/>
              <w:rPr>
                <w:rFonts w:asciiTheme="minorHAnsi" w:hAnsiTheme="minorHAnsi"/>
                <w:strike/>
                <w:sz w:val="17"/>
                <w:szCs w:val="17"/>
              </w:rPr>
            </w:pPr>
            <w:r w:rsidRPr="00F544B3">
              <w:rPr>
                <w:rFonts w:asciiTheme="minorHAnsi" w:hAnsiTheme="minorHAnsi"/>
                <w:strike/>
                <w:sz w:val="17"/>
                <w:szCs w:val="17"/>
              </w:rPr>
              <w:t>MPO</w:t>
            </w:r>
          </w:p>
        </w:tc>
        <w:tc>
          <w:tcPr>
            <w:tcW w:w="850" w:type="dxa"/>
            <w:vAlign w:val="center"/>
          </w:tcPr>
          <w:p w:rsidR="002B6821" w:rsidRPr="00F544B3" w:rsidRDefault="002B6821" w:rsidP="00952632">
            <w:pPr>
              <w:spacing w:after="60" w:line="240" w:lineRule="auto"/>
              <w:jc w:val="left"/>
              <w:rPr>
                <w:rFonts w:asciiTheme="minorHAnsi" w:hAnsiTheme="minorHAnsi"/>
                <w:strike/>
                <w:sz w:val="17"/>
                <w:szCs w:val="17"/>
              </w:rPr>
            </w:pPr>
            <w:r w:rsidRPr="00F544B3">
              <w:rPr>
                <w:rFonts w:asciiTheme="minorHAnsi" w:hAnsiTheme="minorHAnsi"/>
                <w:strike/>
                <w:sz w:val="17"/>
                <w:szCs w:val="17"/>
              </w:rPr>
              <w:t>PRV</w:t>
            </w:r>
          </w:p>
        </w:tc>
        <w:tc>
          <w:tcPr>
            <w:tcW w:w="709" w:type="dxa"/>
            <w:shd w:val="clear" w:color="auto" w:fill="auto"/>
            <w:vAlign w:val="center"/>
          </w:tcPr>
          <w:p w:rsidR="002B6821" w:rsidRPr="00F544B3" w:rsidRDefault="002B6821" w:rsidP="00952632">
            <w:pPr>
              <w:spacing w:after="60" w:line="240" w:lineRule="auto"/>
              <w:jc w:val="left"/>
              <w:rPr>
                <w:rFonts w:asciiTheme="minorHAnsi" w:hAnsiTheme="minorHAnsi"/>
                <w:sz w:val="17"/>
                <w:szCs w:val="17"/>
              </w:rPr>
            </w:pPr>
          </w:p>
        </w:tc>
      </w:tr>
      <w:tr w:rsidR="002B6821" w:rsidRPr="00F544B3" w:rsidTr="000C0E01">
        <w:trPr>
          <w:trHeight w:val="1838"/>
        </w:trPr>
        <w:tc>
          <w:tcPr>
            <w:tcW w:w="709" w:type="dxa"/>
            <w:vMerge w:val="restart"/>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
                <w:bCs/>
                <w:sz w:val="17"/>
                <w:szCs w:val="17"/>
              </w:rPr>
              <w:t>TC 2:</w:t>
            </w:r>
            <w:r w:rsidRPr="00F544B3">
              <w:rPr>
                <w:rFonts w:asciiTheme="minorHAnsi" w:hAnsiTheme="minorHAnsi"/>
                <w:bCs/>
                <w:sz w:val="17"/>
                <w:szCs w:val="17"/>
              </w:rPr>
              <w:t xml:space="preserve"> Zlepšení dostupnosti, využití a kvality informačních a komunikačních technologií</w:t>
            </w:r>
          </w:p>
        </w:tc>
        <w:tc>
          <w:tcPr>
            <w:tcW w:w="3827" w:type="dxa"/>
            <w:vAlign w:val="center"/>
          </w:tcPr>
          <w:p w:rsidR="002B6821" w:rsidRPr="00F544B3" w:rsidRDefault="002B6821" w:rsidP="00952632">
            <w:pPr>
              <w:spacing w:after="60" w:line="240" w:lineRule="auto"/>
              <w:jc w:val="left"/>
              <w:rPr>
                <w:rFonts w:asciiTheme="minorHAnsi" w:hAnsiTheme="minorHAnsi"/>
                <w:bCs/>
                <w:i/>
                <w:iCs/>
                <w:sz w:val="17"/>
                <w:szCs w:val="17"/>
              </w:rPr>
            </w:pPr>
            <w:r w:rsidRPr="00F544B3">
              <w:rPr>
                <w:rFonts w:asciiTheme="minorHAnsi" w:hAnsiTheme="minorHAnsi"/>
                <w:bCs/>
                <w:i/>
                <w:iCs/>
                <w:sz w:val="17"/>
                <w:szCs w:val="17"/>
              </w:rPr>
              <w:t xml:space="preserve">2.1: Digitální růst: </w:t>
            </w:r>
            <w:r w:rsidRPr="00F544B3">
              <w:rPr>
                <w:rFonts w:asciiTheme="minorHAnsi" w:hAnsiTheme="minorHAnsi"/>
                <w:bCs/>
                <w:sz w:val="17"/>
                <w:szCs w:val="17"/>
              </w:rPr>
              <w:t>Strategický rámec politiky pro digitální růst, jež má stimulovat poptávku po cenově dostupných, kvalitních a interoperabilních soukromých a veřejných službách v oblasti IKT a zvýšit míru jejich využívání občany, včetně zranitelných skupin, podniky a orgány veřejné správy včetně přeshraničních iniciativ</w:t>
            </w:r>
          </w:p>
        </w:tc>
        <w:tc>
          <w:tcPr>
            <w:tcW w:w="1701" w:type="dxa"/>
            <w:vAlign w:val="center"/>
          </w:tcPr>
          <w:p w:rsidR="002B6821" w:rsidRPr="00F544B3" w:rsidRDefault="002B6821" w:rsidP="00952632">
            <w:pPr>
              <w:spacing w:after="60" w:line="240" w:lineRule="auto"/>
              <w:jc w:val="left"/>
              <w:rPr>
                <w:rFonts w:asciiTheme="minorHAnsi" w:hAnsiTheme="minorHAnsi"/>
                <w:sz w:val="17"/>
                <w:szCs w:val="17"/>
                <w:highlight w:val="cyan"/>
              </w:rPr>
            </w:pPr>
            <w:r w:rsidRPr="00F544B3">
              <w:rPr>
                <w:rFonts w:asciiTheme="minorHAnsi" w:hAnsiTheme="minorHAnsi"/>
                <w:color w:val="FF0000"/>
                <w:sz w:val="17"/>
                <w:szCs w:val="17"/>
              </w:rPr>
              <w:t>MPO</w:t>
            </w:r>
          </w:p>
        </w:tc>
        <w:tc>
          <w:tcPr>
            <w:tcW w:w="1418" w:type="dxa"/>
            <w:vAlign w:val="center"/>
          </w:tcPr>
          <w:p w:rsidR="002B6821" w:rsidRPr="00F544B3" w:rsidRDefault="002B6821" w:rsidP="00952632">
            <w:pPr>
              <w:spacing w:after="60"/>
              <w:rPr>
                <w:rFonts w:asciiTheme="minorHAnsi" w:hAnsiTheme="minorHAnsi"/>
                <w:color w:val="000000"/>
                <w:sz w:val="17"/>
                <w:szCs w:val="17"/>
              </w:rPr>
            </w:pPr>
            <w:r w:rsidRPr="00F544B3">
              <w:rPr>
                <w:rFonts w:asciiTheme="minorHAnsi" w:hAnsiTheme="minorHAnsi"/>
                <w:color w:val="000000"/>
                <w:sz w:val="17"/>
                <w:szCs w:val="17"/>
              </w:rPr>
              <w:t>ÚV (RKIS)</w:t>
            </w:r>
          </w:p>
          <w:p w:rsidR="002B6821" w:rsidRPr="00F544B3" w:rsidRDefault="002B6821" w:rsidP="00952632">
            <w:pPr>
              <w:spacing w:after="60"/>
              <w:rPr>
                <w:rFonts w:asciiTheme="minorHAnsi" w:hAnsiTheme="minorHAnsi"/>
                <w:color w:val="000000"/>
                <w:sz w:val="17"/>
                <w:szCs w:val="17"/>
              </w:rPr>
            </w:pPr>
            <w:r w:rsidRPr="00F544B3">
              <w:rPr>
                <w:rFonts w:asciiTheme="minorHAnsi" w:hAnsiTheme="minorHAnsi"/>
                <w:color w:val="000000"/>
                <w:sz w:val="17"/>
                <w:szCs w:val="17"/>
              </w:rPr>
              <w:t>MV</w:t>
            </w:r>
          </w:p>
          <w:p w:rsidR="002B6821" w:rsidRPr="00F544B3" w:rsidRDefault="002B6821" w:rsidP="00952632">
            <w:pPr>
              <w:spacing w:after="60"/>
              <w:rPr>
                <w:rFonts w:asciiTheme="minorHAnsi" w:hAnsiTheme="minorHAnsi"/>
                <w:color w:val="000000"/>
                <w:sz w:val="17"/>
                <w:szCs w:val="17"/>
              </w:rPr>
            </w:pPr>
            <w:r w:rsidRPr="00F544B3">
              <w:rPr>
                <w:rFonts w:asciiTheme="minorHAnsi" w:hAnsiTheme="minorHAnsi"/>
                <w:color w:val="000000"/>
                <w:sz w:val="17"/>
                <w:szCs w:val="17"/>
              </w:rPr>
              <w:t xml:space="preserve">Další resorty </w:t>
            </w:r>
          </w:p>
          <w:p w:rsidR="002B6821" w:rsidRPr="00F544B3" w:rsidRDefault="002B6821" w:rsidP="00952632">
            <w:pPr>
              <w:spacing w:after="60"/>
              <w:rPr>
                <w:rFonts w:asciiTheme="minorHAnsi" w:hAnsiTheme="minorHAnsi"/>
                <w:color w:val="000000"/>
                <w:sz w:val="17"/>
                <w:szCs w:val="17"/>
              </w:rPr>
            </w:pPr>
            <w:r w:rsidRPr="00F544B3">
              <w:rPr>
                <w:rFonts w:asciiTheme="minorHAnsi" w:hAnsiTheme="minorHAnsi"/>
                <w:color w:val="000000"/>
                <w:sz w:val="17"/>
                <w:szCs w:val="17"/>
              </w:rPr>
              <w:t xml:space="preserve">NBÚ </w:t>
            </w:r>
          </w:p>
          <w:p w:rsidR="002B6821" w:rsidRPr="00F544B3" w:rsidRDefault="002B6821" w:rsidP="00952632">
            <w:pPr>
              <w:spacing w:after="60"/>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OP PIK</w:t>
            </w:r>
          </w:p>
        </w:tc>
        <w:tc>
          <w:tcPr>
            <w:tcW w:w="709" w:type="dxa"/>
            <w:shd w:val="clear" w:color="auto" w:fill="auto"/>
            <w:vAlign w:val="center"/>
          </w:tcPr>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OP VVV</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OP Z</w:t>
            </w:r>
          </w:p>
        </w:tc>
      </w:tr>
      <w:tr w:rsidR="002B6821" w:rsidRPr="00F544B3" w:rsidTr="000C0E01">
        <w:trPr>
          <w:trHeight w:val="1274"/>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37582F" w:rsidP="00952632">
            <w:pPr>
              <w:spacing w:after="60" w:line="240" w:lineRule="auto"/>
              <w:jc w:val="left"/>
              <w:rPr>
                <w:rFonts w:asciiTheme="minorHAnsi" w:hAnsiTheme="minorHAnsi"/>
                <w:bCs/>
                <w:sz w:val="17"/>
                <w:szCs w:val="17"/>
              </w:rPr>
            </w:pPr>
            <w:hyperlink r:id="rId9" w:anchor="RANGE!#REF!" w:history="1">
              <w:r w:rsidR="002B6821" w:rsidRPr="00F544B3">
                <w:rPr>
                  <w:rFonts w:asciiTheme="minorHAnsi" w:hAnsiTheme="minorHAnsi"/>
                  <w:bCs/>
                  <w:sz w:val="17"/>
                  <w:szCs w:val="17"/>
                </w:rPr>
                <w:t>2.2. Infrastruktura přístupových sítí nové generace: Existence vnitrostátních nebo regionálních plánů přístupových sítí nové generace, které zohledňují regionální opatření k dosažení cílů EU v oblasti vysokorychlostního přístupu k internetu se zaměřením na oblasti, kde trh není schopen poskytovat otevřenou infrastrukturu za dostupnou cenu a v kvalitě v souladu s pravidly EU pro hospodářskou soutěž a státní podpory, a poskytují dostupné služby zranitelným skupinám.</w:t>
              </w:r>
            </w:hyperlink>
          </w:p>
        </w:tc>
        <w:tc>
          <w:tcPr>
            <w:tcW w:w="1701" w:type="dxa"/>
            <w:vAlign w:val="center"/>
          </w:tcPr>
          <w:p w:rsidR="002B6821" w:rsidRPr="00F544B3" w:rsidRDefault="002B6821" w:rsidP="00952632">
            <w:pPr>
              <w:spacing w:after="60" w:line="240" w:lineRule="auto"/>
              <w:jc w:val="left"/>
              <w:rPr>
                <w:rFonts w:asciiTheme="minorHAnsi" w:hAnsiTheme="minorHAnsi"/>
                <w:strike/>
                <w:color w:val="000000"/>
                <w:sz w:val="17"/>
                <w:szCs w:val="17"/>
              </w:rPr>
            </w:pPr>
            <w:r w:rsidRPr="00F544B3">
              <w:rPr>
                <w:rFonts w:asciiTheme="minorHAnsi" w:hAnsiTheme="minorHAnsi"/>
                <w:color w:val="FF0000"/>
                <w:sz w:val="17"/>
                <w:szCs w:val="17"/>
              </w:rPr>
              <w:t>MPO</w:t>
            </w:r>
          </w:p>
        </w:tc>
        <w:tc>
          <w:tcPr>
            <w:tcW w:w="1418" w:type="dxa"/>
            <w:vAlign w:val="center"/>
          </w:tcPr>
          <w:p w:rsidR="002B6821" w:rsidRPr="00F544B3" w:rsidRDefault="002B6821" w:rsidP="00952632">
            <w:pPr>
              <w:spacing w:after="60"/>
              <w:rPr>
                <w:rFonts w:asciiTheme="minorHAnsi" w:hAnsiTheme="minorHAnsi"/>
                <w:strike/>
                <w:color w:val="000000"/>
                <w:sz w:val="17"/>
                <w:szCs w:val="17"/>
              </w:rPr>
            </w:pPr>
            <w:r w:rsidRPr="00F544B3">
              <w:rPr>
                <w:rFonts w:asciiTheme="minorHAnsi" w:hAnsiTheme="minorHAnsi"/>
                <w:sz w:val="17"/>
                <w:szCs w:val="17"/>
              </w:rPr>
              <w:t>ÚV (RKVIS)</w:t>
            </w:r>
          </w:p>
          <w:p w:rsidR="002B6821" w:rsidRPr="00F544B3" w:rsidRDefault="002B6821" w:rsidP="00952632">
            <w:pPr>
              <w:spacing w:after="6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MZe (má uvedeno jako PP 6.3., zatím kompromisem vyškrnuto)</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Další resorty</w:t>
            </w:r>
          </w:p>
          <w:p w:rsidR="00D257DE" w:rsidRDefault="00D257DE" w:rsidP="00952632">
            <w:pPr>
              <w:spacing w:after="60" w:line="240" w:lineRule="auto"/>
              <w:jc w:val="left"/>
              <w:rPr>
                <w:rFonts w:asciiTheme="minorHAnsi" w:hAnsiTheme="minorHAnsi"/>
                <w:color w:val="000000"/>
                <w:sz w:val="17"/>
                <w:szCs w:val="17"/>
              </w:rPr>
            </w:pPr>
            <w:r>
              <w:rPr>
                <w:rFonts w:asciiTheme="minorHAnsi" w:hAnsiTheme="minorHAnsi"/>
                <w:color w:val="000000"/>
                <w:sz w:val="17"/>
                <w:szCs w:val="17"/>
              </w:rPr>
              <w:t>MMR</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Kraje</w:t>
            </w:r>
          </w:p>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NBÚ</w:t>
            </w:r>
          </w:p>
        </w:tc>
        <w:tc>
          <w:tcPr>
            <w:tcW w:w="850" w:type="dxa"/>
            <w:vAlign w:val="center"/>
          </w:tcPr>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color w:val="000000"/>
                <w:sz w:val="17"/>
                <w:szCs w:val="17"/>
              </w:rPr>
              <w:t>OP PIK</w:t>
            </w:r>
          </w:p>
        </w:tc>
        <w:tc>
          <w:tcPr>
            <w:tcW w:w="709" w:type="dxa"/>
            <w:shd w:val="clear" w:color="auto" w:fill="auto"/>
            <w:vAlign w:val="center"/>
          </w:tcPr>
          <w:p w:rsidR="002B6821" w:rsidRPr="00F544B3" w:rsidRDefault="002B6821" w:rsidP="00952632">
            <w:pPr>
              <w:spacing w:after="60" w:line="240" w:lineRule="auto"/>
              <w:jc w:val="left"/>
              <w:rPr>
                <w:rFonts w:asciiTheme="minorHAnsi" w:hAnsiTheme="minorHAnsi"/>
                <w:color w:val="000000"/>
                <w:sz w:val="17"/>
                <w:szCs w:val="17"/>
              </w:rPr>
            </w:pPr>
            <w:r w:rsidRPr="00F544B3">
              <w:rPr>
                <w:rFonts w:asciiTheme="minorHAnsi" w:hAnsiTheme="minorHAnsi"/>
                <w:strike/>
                <w:color w:val="000000"/>
                <w:sz w:val="17"/>
                <w:szCs w:val="17"/>
              </w:rPr>
              <w:t>PRV</w:t>
            </w:r>
          </w:p>
        </w:tc>
      </w:tr>
      <w:tr w:rsidR="002B6821" w:rsidRPr="00F544B3" w:rsidTr="000C0E01">
        <w:trPr>
          <w:trHeight w:val="1712"/>
        </w:trPr>
        <w:tc>
          <w:tcPr>
            <w:tcW w:w="709" w:type="dxa"/>
            <w:vMerge w:val="restart"/>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
                <w:bCs/>
                <w:sz w:val="17"/>
                <w:szCs w:val="17"/>
              </w:rPr>
              <w:t>TC 3:</w:t>
            </w:r>
            <w:r w:rsidRPr="00F544B3">
              <w:rPr>
                <w:rFonts w:asciiTheme="minorHAnsi" w:hAnsiTheme="minorHAnsi"/>
                <w:bCs/>
                <w:sz w:val="17"/>
                <w:szCs w:val="17"/>
              </w:rPr>
              <w:t xml:space="preserve"> Zvýšení konkurenceschopnosti malých a středních podniků</w:t>
            </w:r>
          </w:p>
        </w:tc>
        <w:tc>
          <w:tcPr>
            <w:tcW w:w="3827" w:type="dxa"/>
            <w:vAlign w:val="center"/>
          </w:tcPr>
          <w:p w:rsidR="002B6821" w:rsidRPr="00F544B3" w:rsidRDefault="0037582F" w:rsidP="00952632">
            <w:pPr>
              <w:spacing w:after="60" w:line="240" w:lineRule="auto"/>
              <w:jc w:val="left"/>
              <w:rPr>
                <w:rFonts w:asciiTheme="minorHAnsi" w:hAnsiTheme="minorHAnsi"/>
                <w:bCs/>
                <w:sz w:val="17"/>
                <w:szCs w:val="17"/>
              </w:rPr>
            </w:pPr>
            <w:hyperlink r:id="rId10" w:anchor="RANGE!#REF!" w:history="1">
              <w:r w:rsidR="002B6821" w:rsidRPr="00F544B3">
                <w:rPr>
                  <w:rFonts w:asciiTheme="minorHAnsi" w:hAnsiTheme="minorHAnsi"/>
                  <w:bCs/>
                  <w:sz w:val="17"/>
                  <w:szCs w:val="17"/>
                </w:rPr>
                <w:t>3.1. Byla realizována zvláštní opatření k zesílení podporování podnikatelské činnosti v souladu se Small Business Act (SBA).</w:t>
              </w:r>
            </w:hyperlink>
          </w:p>
        </w:tc>
        <w:tc>
          <w:tcPr>
            <w:tcW w:w="1701" w:type="dxa"/>
            <w:vAlign w:val="center"/>
          </w:tcPr>
          <w:p w:rsidR="002B6821" w:rsidRPr="00F544B3" w:rsidRDefault="002B6821" w:rsidP="002F3F6C">
            <w:pPr>
              <w:spacing w:after="80" w:line="240" w:lineRule="auto"/>
              <w:jc w:val="left"/>
              <w:rPr>
                <w:rFonts w:asciiTheme="minorHAnsi" w:hAnsiTheme="minorHAnsi"/>
                <w:b/>
                <w:sz w:val="17"/>
                <w:szCs w:val="17"/>
              </w:rPr>
            </w:pPr>
            <w:r w:rsidRPr="00F544B3">
              <w:rPr>
                <w:rFonts w:asciiTheme="minorHAnsi" w:hAnsiTheme="minorHAnsi"/>
                <w:color w:val="FF0000"/>
                <w:sz w:val="17"/>
                <w:szCs w:val="17"/>
              </w:rPr>
              <w:t>MPO</w:t>
            </w:r>
            <w:r w:rsidRPr="00F544B3">
              <w:rPr>
                <w:rFonts w:asciiTheme="minorHAnsi" w:hAnsiTheme="minorHAnsi"/>
                <w:b/>
                <w:sz w:val="17"/>
                <w:szCs w:val="17"/>
              </w:rPr>
              <w:t xml:space="preserve"> / </w:t>
            </w:r>
          </w:p>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sz w:val="17"/>
                <w:szCs w:val="17"/>
              </w:rPr>
              <w:t xml:space="preserve">MSp za kritérium: opatření zaměřená na snížení nákladů </w:t>
            </w:r>
            <w:r w:rsidRPr="00F544B3">
              <w:rPr>
                <w:rFonts w:asciiTheme="minorHAnsi" w:hAnsiTheme="minorHAnsi"/>
                <w:strike/>
                <w:sz w:val="17"/>
                <w:szCs w:val="17"/>
              </w:rPr>
              <w:t xml:space="preserve">na 100 EUR </w:t>
            </w:r>
            <w:r w:rsidRPr="00F544B3">
              <w:rPr>
                <w:rFonts w:asciiTheme="minorHAnsi" w:hAnsiTheme="minorHAnsi"/>
                <w:sz w:val="17"/>
                <w:szCs w:val="17"/>
              </w:rPr>
              <w:t xml:space="preserve">a zkrácení doby potřebných pro založení podniku </w:t>
            </w:r>
            <w:r w:rsidRPr="00F544B3">
              <w:rPr>
                <w:rFonts w:asciiTheme="minorHAnsi" w:hAnsiTheme="minorHAnsi"/>
                <w:strike/>
                <w:sz w:val="17"/>
                <w:szCs w:val="17"/>
              </w:rPr>
              <w:t>na 3 dny</w:t>
            </w:r>
          </w:p>
        </w:tc>
        <w:tc>
          <w:tcPr>
            <w:tcW w:w="1418" w:type="dxa"/>
            <w:vAlign w:val="center"/>
          </w:tcPr>
          <w:p w:rsidR="002B6821" w:rsidRPr="00F544B3" w:rsidRDefault="002B6821" w:rsidP="002F3F6C">
            <w:pPr>
              <w:spacing w:after="8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 xml:space="preserve">MZe (má uvedeno jako PP 2.3.1, zatím kompromisem vyškrnuto) </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Další resorty</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PIK</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PPR</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p w:rsidR="002B6821" w:rsidRPr="00F544B3" w:rsidRDefault="002B6821" w:rsidP="002F3F6C">
            <w:pPr>
              <w:spacing w:after="8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PRV</w:t>
            </w:r>
          </w:p>
        </w:tc>
      </w:tr>
      <w:tr w:rsidR="002B6821" w:rsidRPr="00F544B3" w:rsidTr="000C0E01">
        <w:trPr>
          <w:trHeight w:val="960"/>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strike/>
                <w:sz w:val="17"/>
                <w:szCs w:val="17"/>
              </w:rPr>
            </w:pPr>
            <w:r w:rsidRPr="00F544B3">
              <w:rPr>
                <w:rFonts w:asciiTheme="minorHAnsi" w:hAnsiTheme="minorHAnsi"/>
                <w:bCs/>
                <w:strike/>
                <w:sz w:val="17"/>
                <w:szCs w:val="17"/>
              </w:rPr>
              <w:t>3.2. Provedení směrnice Evropského parlamentu a Rady 2011/7/EU ze dne 16. února 2011 o postupu proti opožděným platbám v obchodních transakcích do vnitrostátního práva.</w:t>
            </w:r>
          </w:p>
        </w:tc>
        <w:tc>
          <w:tcPr>
            <w:tcW w:w="1701" w:type="dxa"/>
            <w:vAlign w:val="center"/>
          </w:tcPr>
          <w:p w:rsidR="002B6821" w:rsidRPr="00F544B3" w:rsidRDefault="002B6821" w:rsidP="002F3F6C">
            <w:pPr>
              <w:spacing w:after="80" w:line="240" w:lineRule="auto"/>
              <w:jc w:val="left"/>
              <w:rPr>
                <w:rFonts w:asciiTheme="minorHAnsi" w:hAnsiTheme="minorHAnsi"/>
                <w:strike/>
                <w:sz w:val="17"/>
                <w:szCs w:val="17"/>
              </w:rPr>
            </w:pPr>
            <w:r w:rsidRPr="00F544B3">
              <w:rPr>
                <w:rFonts w:asciiTheme="minorHAnsi" w:hAnsiTheme="minorHAnsi"/>
                <w:strike/>
                <w:color w:val="FF0000"/>
                <w:sz w:val="17"/>
                <w:szCs w:val="17"/>
              </w:rPr>
              <w:t>MSp</w:t>
            </w:r>
          </w:p>
        </w:tc>
        <w:tc>
          <w:tcPr>
            <w:tcW w:w="1418" w:type="dxa"/>
            <w:vAlign w:val="center"/>
          </w:tcPr>
          <w:p w:rsidR="002B6821" w:rsidRPr="00F544B3" w:rsidRDefault="002B6821" w:rsidP="002F3F6C">
            <w:pPr>
              <w:spacing w:after="8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OP PIK</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OP PPR</w:t>
            </w:r>
          </w:p>
          <w:p w:rsidR="002B6821" w:rsidRPr="00F544B3" w:rsidRDefault="002B6821" w:rsidP="002F3F6C">
            <w:pPr>
              <w:spacing w:after="8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IROP</w:t>
            </w:r>
          </w:p>
          <w:p w:rsidR="002B6821" w:rsidRPr="00F544B3" w:rsidRDefault="002B6821" w:rsidP="002F3F6C">
            <w:pPr>
              <w:spacing w:after="8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PRV</w:t>
            </w:r>
          </w:p>
        </w:tc>
      </w:tr>
      <w:tr w:rsidR="002B6821" w:rsidRPr="00F544B3" w:rsidTr="000C0E01">
        <w:trPr>
          <w:trHeight w:val="1062"/>
        </w:trPr>
        <w:tc>
          <w:tcPr>
            <w:tcW w:w="709" w:type="dxa"/>
            <w:vMerge w:val="restart"/>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
                <w:bCs/>
                <w:sz w:val="17"/>
                <w:szCs w:val="17"/>
              </w:rPr>
            </w:pPr>
            <w:r w:rsidRPr="00F544B3">
              <w:rPr>
                <w:rFonts w:asciiTheme="minorHAnsi" w:hAnsiTheme="minorHAnsi"/>
                <w:b/>
                <w:bCs/>
                <w:sz w:val="17"/>
                <w:szCs w:val="17"/>
              </w:rPr>
              <w:t xml:space="preserve">TC 4: </w:t>
            </w:r>
            <w:r w:rsidRPr="00F544B3">
              <w:rPr>
                <w:rFonts w:asciiTheme="minorHAnsi" w:hAnsiTheme="minorHAnsi"/>
                <w:bCs/>
                <w:sz w:val="17"/>
                <w:szCs w:val="17"/>
              </w:rPr>
              <w:t>Podpora přechodu na nízkouhlíkové hospodářství ve všech odvětvích</w:t>
            </w:r>
          </w:p>
        </w:tc>
        <w:tc>
          <w:tcPr>
            <w:tcW w:w="3827" w:type="dxa"/>
            <w:vAlign w:val="center"/>
          </w:tcPr>
          <w:p w:rsidR="002B6821" w:rsidRPr="00F544B3" w:rsidRDefault="0037582F" w:rsidP="00952632">
            <w:pPr>
              <w:spacing w:after="60" w:line="240" w:lineRule="auto"/>
              <w:jc w:val="left"/>
              <w:rPr>
                <w:rFonts w:asciiTheme="minorHAnsi" w:hAnsiTheme="minorHAnsi"/>
                <w:bCs/>
                <w:sz w:val="17"/>
                <w:szCs w:val="17"/>
              </w:rPr>
            </w:pPr>
            <w:hyperlink r:id="rId11" w:anchor="RANGE!#REF!" w:history="1">
              <w:r w:rsidR="002B6821" w:rsidRPr="00F544B3">
                <w:rPr>
                  <w:rFonts w:asciiTheme="minorHAnsi" w:hAnsiTheme="minorHAnsi"/>
                  <w:bCs/>
                  <w:sz w:val="17"/>
                  <w:szCs w:val="17"/>
                </w:rPr>
                <w:t>4.1. Byla provedena opatření na podporu nákladově efektivního zvyšování energetické účinnosti u koncového uživatele a nákladově efektivních investic do energetické účinnosti při výstavbě a renovaci budov.</w:t>
              </w:r>
            </w:hyperlink>
          </w:p>
        </w:tc>
        <w:tc>
          <w:tcPr>
            <w:tcW w:w="1701" w:type="dxa"/>
            <w:vAlign w:val="center"/>
          </w:tcPr>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color w:val="FF0000"/>
                <w:sz w:val="17"/>
                <w:szCs w:val="17"/>
              </w:rPr>
              <w:t>MPO</w:t>
            </w:r>
            <w:r w:rsidRPr="00F544B3">
              <w:rPr>
                <w:rFonts w:asciiTheme="minorHAnsi" w:hAnsiTheme="minorHAnsi"/>
                <w:sz w:val="17"/>
                <w:szCs w:val="17"/>
              </w:rPr>
              <w:t xml:space="preserve"> </w:t>
            </w:r>
          </w:p>
        </w:tc>
        <w:tc>
          <w:tcPr>
            <w:tcW w:w="1418"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MŽP</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MMR</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OP PIK</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OP ŽP</w:t>
            </w:r>
          </w:p>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IROP</w:t>
            </w:r>
          </w:p>
          <w:p w:rsidR="002B6821" w:rsidRPr="00137D07"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OP PPR</w:t>
            </w:r>
          </w:p>
        </w:tc>
      </w:tr>
      <w:tr w:rsidR="002B6821" w:rsidRPr="00F544B3" w:rsidTr="000C0E01">
        <w:trPr>
          <w:trHeight w:val="529"/>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sz w:val="17"/>
                <w:szCs w:val="17"/>
              </w:rPr>
            </w:pPr>
            <w:r w:rsidRPr="00F544B3">
              <w:rPr>
                <w:rFonts w:asciiTheme="minorHAnsi" w:hAnsiTheme="minorHAnsi"/>
                <w:strike/>
                <w:sz w:val="17"/>
                <w:szCs w:val="17"/>
              </w:rPr>
              <w:t>EZFRV, 5.2 Energetická účinnost: provedení směrnice Evropského parlamentu a Rady 2006/32/ES ze dne 5. dubna 2006 o energetické účinnosti u konečného uživatele a o energetických službách do vnitrostátního práva.</w:t>
            </w:r>
          </w:p>
        </w:tc>
        <w:tc>
          <w:tcPr>
            <w:tcW w:w="1701" w:type="dxa"/>
            <w:vAlign w:val="center"/>
          </w:tcPr>
          <w:p w:rsidR="002B6821" w:rsidRPr="00F544B3" w:rsidRDefault="002B6821" w:rsidP="002F3F6C">
            <w:pPr>
              <w:spacing w:after="80" w:line="240" w:lineRule="auto"/>
              <w:jc w:val="left"/>
              <w:rPr>
                <w:rFonts w:asciiTheme="minorHAnsi" w:hAnsiTheme="minorHAnsi"/>
                <w:strike/>
                <w:sz w:val="17"/>
                <w:szCs w:val="17"/>
              </w:rPr>
            </w:pPr>
            <w:r w:rsidRPr="00F544B3">
              <w:rPr>
                <w:rFonts w:asciiTheme="minorHAnsi" w:hAnsiTheme="minorHAnsi"/>
                <w:strike/>
                <w:color w:val="FF0000"/>
                <w:sz w:val="17"/>
                <w:szCs w:val="17"/>
              </w:rPr>
              <w:t>MPO</w:t>
            </w:r>
            <w:r w:rsidRPr="00F544B3">
              <w:rPr>
                <w:rFonts w:asciiTheme="minorHAnsi" w:hAnsiTheme="minorHAnsi"/>
                <w:strike/>
                <w:sz w:val="17"/>
                <w:szCs w:val="17"/>
              </w:rPr>
              <w:t xml:space="preserve"> </w:t>
            </w:r>
          </w:p>
        </w:tc>
        <w:tc>
          <w:tcPr>
            <w:tcW w:w="1418" w:type="dxa"/>
            <w:vAlign w:val="center"/>
          </w:tcPr>
          <w:p w:rsidR="002B6821" w:rsidRPr="00F544B3" w:rsidRDefault="002B6821" w:rsidP="002F3F6C">
            <w:pPr>
              <w:spacing w:after="80" w:line="240" w:lineRule="auto"/>
              <w:jc w:val="left"/>
              <w:rPr>
                <w:rFonts w:asciiTheme="minorHAnsi" w:hAnsiTheme="minorHAnsi"/>
                <w:strike/>
                <w:sz w:val="17"/>
                <w:szCs w:val="17"/>
              </w:rPr>
            </w:pPr>
            <w:r w:rsidRPr="00F544B3">
              <w:rPr>
                <w:rFonts w:asciiTheme="minorHAnsi" w:hAnsiTheme="minorHAnsi"/>
                <w:strike/>
                <w:sz w:val="17"/>
                <w:szCs w:val="17"/>
              </w:rPr>
              <w:t xml:space="preserve">MZe </w:t>
            </w:r>
          </w:p>
          <w:p w:rsidR="002B6821" w:rsidRPr="00F544B3" w:rsidRDefault="002B6821" w:rsidP="002F3F6C">
            <w:pPr>
              <w:spacing w:after="80" w:line="240" w:lineRule="auto"/>
              <w:jc w:val="left"/>
              <w:rPr>
                <w:rFonts w:asciiTheme="minorHAnsi" w:hAnsiTheme="minorHAnsi"/>
                <w:strike/>
                <w:sz w:val="17"/>
                <w:szCs w:val="17"/>
              </w:rPr>
            </w:pPr>
            <w:r w:rsidRPr="00F544B3">
              <w:rPr>
                <w:rFonts w:asciiTheme="minorHAnsi" w:hAnsiTheme="minorHAnsi"/>
                <w:strike/>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strike/>
                <w:sz w:val="17"/>
                <w:szCs w:val="17"/>
              </w:rPr>
            </w:pPr>
            <w:r w:rsidRPr="00F544B3">
              <w:rPr>
                <w:rFonts w:asciiTheme="minorHAnsi" w:hAnsiTheme="minorHAnsi"/>
                <w:strike/>
                <w:sz w:val="17"/>
                <w:szCs w:val="17"/>
              </w:rPr>
              <w:t xml:space="preserve">PRV </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505"/>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color w:val="000000"/>
                <w:sz w:val="17"/>
                <w:szCs w:val="17"/>
              </w:rPr>
            </w:pPr>
            <w:r w:rsidRPr="00F544B3">
              <w:rPr>
                <w:rFonts w:asciiTheme="minorHAnsi" w:hAnsiTheme="minorHAnsi"/>
                <w:bCs/>
                <w:color w:val="000000"/>
                <w:sz w:val="17"/>
                <w:szCs w:val="17"/>
              </w:rPr>
              <w:t>4.2. Byla provedena opatření na podporu vysoce účinné kombinované výroby tepla a elektřiny.</w:t>
            </w:r>
          </w:p>
        </w:tc>
        <w:tc>
          <w:tcPr>
            <w:tcW w:w="1701" w:type="dxa"/>
            <w:vAlign w:val="center"/>
          </w:tcPr>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color w:val="FF0000"/>
                <w:sz w:val="17"/>
                <w:szCs w:val="17"/>
              </w:rPr>
              <w:t xml:space="preserve">MPO </w:t>
            </w:r>
          </w:p>
        </w:tc>
        <w:tc>
          <w:tcPr>
            <w:tcW w:w="1418" w:type="dxa"/>
            <w:vAlign w:val="center"/>
          </w:tcPr>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Kraje</w:t>
            </w:r>
          </w:p>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MŽP</w:t>
            </w:r>
          </w:p>
        </w:tc>
        <w:tc>
          <w:tcPr>
            <w:tcW w:w="850" w:type="dxa"/>
            <w:vAlign w:val="center"/>
          </w:tcPr>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OP PIK</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OP ŽP</w:t>
            </w:r>
          </w:p>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OP PPR</w:t>
            </w:r>
          </w:p>
        </w:tc>
      </w:tr>
      <w:tr w:rsidR="002B6821" w:rsidRPr="00F544B3" w:rsidTr="000C0E01">
        <w:trPr>
          <w:trHeight w:val="1052"/>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37582F" w:rsidP="00952632">
            <w:pPr>
              <w:spacing w:after="60" w:line="240" w:lineRule="auto"/>
              <w:jc w:val="left"/>
              <w:rPr>
                <w:rFonts w:asciiTheme="minorHAnsi" w:hAnsiTheme="minorHAnsi"/>
                <w:bCs/>
                <w:sz w:val="17"/>
                <w:szCs w:val="17"/>
              </w:rPr>
            </w:pPr>
            <w:hyperlink r:id="rId12" w:anchor="RANGE!#REF!" w:history="1">
              <w:r w:rsidR="002B6821" w:rsidRPr="00F544B3">
                <w:rPr>
                  <w:rFonts w:asciiTheme="minorHAnsi" w:hAnsiTheme="minorHAnsi"/>
                  <w:bCs/>
                  <w:sz w:val="17"/>
                  <w:szCs w:val="17"/>
                </w:rPr>
                <w:t>4.3. Byla provedena opatření na podporu výroby a distribuce energie z obnovitelných zdrojů.</w:t>
              </w:r>
            </w:hyperlink>
          </w:p>
        </w:tc>
        <w:tc>
          <w:tcPr>
            <w:tcW w:w="1701" w:type="dxa"/>
            <w:vAlign w:val="center"/>
          </w:tcPr>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color w:val="FF0000"/>
                <w:sz w:val="17"/>
                <w:szCs w:val="17"/>
              </w:rPr>
              <w:t xml:space="preserve">MPO </w:t>
            </w:r>
          </w:p>
        </w:tc>
        <w:tc>
          <w:tcPr>
            <w:tcW w:w="1418" w:type="dxa"/>
            <w:vAlign w:val="center"/>
          </w:tcPr>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MŽP</w:t>
            </w:r>
          </w:p>
          <w:p w:rsidR="002B6821" w:rsidRPr="00F544B3" w:rsidRDefault="002B6821" w:rsidP="002F3F6C">
            <w:pPr>
              <w:spacing w:after="80" w:line="240" w:lineRule="auto"/>
              <w:jc w:val="left"/>
              <w:rPr>
                <w:rFonts w:asciiTheme="minorHAnsi" w:hAnsiTheme="minorHAnsi"/>
                <w:strike/>
                <w:sz w:val="17"/>
                <w:szCs w:val="17"/>
              </w:rPr>
            </w:pPr>
            <w:r w:rsidRPr="00F544B3">
              <w:rPr>
                <w:rFonts w:asciiTheme="minorHAnsi" w:hAnsiTheme="minorHAnsi"/>
                <w:strike/>
                <w:sz w:val="17"/>
                <w:szCs w:val="17"/>
              </w:rPr>
              <w:t>MZe (</w:t>
            </w:r>
            <w:r w:rsidRPr="00F544B3">
              <w:rPr>
                <w:rFonts w:asciiTheme="minorHAnsi" w:hAnsiTheme="minorHAnsi"/>
                <w:strike/>
                <w:color w:val="000000"/>
                <w:sz w:val="17"/>
                <w:szCs w:val="17"/>
              </w:rPr>
              <w:t>má uvedeno jako PP 5.5., zatím kompromisem vyškrnuto)</w:t>
            </w:r>
          </w:p>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OP PIK</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OP ŽP</w:t>
            </w:r>
          </w:p>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IROP</w:t>
            </w:r>
          </w:p>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OP PPR</w:t>
            </w:r>
          </w:p>
          <w:p w:rsidR="002B6821" w:rsidRPr="00F544B3" w:rsidRDefault="002B6821" w:rsidP="002F3F6C">
            <w:pPr>
              <w:spacing w:after="80" w:line="240" w:lineRule="auto"/>
              <w:jc w:val="left"/>
              <w:rPr>
                <w:rFonts w:asciiTheme="minorHAnsi" w:hAnsiTheme="minorHAnsi"/>
                <w:strike/>
                <w:color w:val="000000"/>
                <w:sz w:val="17"/>
                <w:szCs w:val="17"/>
              </w:rPr>
            </w:pPr>
            <w:r w:rsidRPr="00F544B3">
              <w:rPr>
                <w:rFonts w:asciiTheme="minorHAnsi" w:hAnsiTheme="minorHAnsi"/>
                <w:strike/>
                <w:sz w:val="17"/>
                <w:szCs w:val="17"/>
              </w:rPr>
              <w:t>PRV</w:t>
            </w:r>
          </w:p>
        </w:tc>
      </w:tr>
      <w:tr w:rsidR="002B6821" w:rsidRPr="00F544B3" w:rsidTr="000C0E01">
        <w:trPr>
          <w:trHeight w:val="1258"/>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strike/>
                <w:sz w:val="17"/>
                <w:szCs w:val="17"/>
              </w:rPr>
            </w:pPr>
            <w:r w:rsidRPr="00F544B3">
              <w:rPr>
                <w:rFonts w:asciiTheme="minorHAnsi" w:hAnsiTheme="minorHAnsi"/>
                <w:strike/>
                <w:sz w:val="17"/>
                <w:szCs w:val="17"/>
              </w:rPr>
              <w:t>EZFRV, 5.1 Emise skleníkových plynů: soulad s čl. 6 odst. 1 rozhodnutí Evropského parlamentu a Rady č. 406/2009/ES ze dne 23. dubna 2009 o úsilí členských států snížit emise skleníkových plynů, aby byly splněny závazky Společenství v oblasti snížení emisí skleníkových plynů do roku 2020.</w:t>
            </w:r>
          </w:p>
        </w:tc>
        <w:tc>
          <w:tcPr>
            <w:tcW w:w="1701" w:type="dxa"/>
            <w:vAlign w:val="center"/>
          </w:tcPr>
          <w:p w:rsidR="002B6821" w:rsidRPr="00F544B3" w:rsidRDefault="002B6821" w:rsidP="002F3F6C">
            <w:pPr>
              <w:spacing w:after="80" w:line="240" w:lineRule="auto"/>
              <w:jc w:val="left"/>
              <w:rPr>
                <w:rFonts w:asciiTheme="minorHAnsi" w:hAnsiTheme="minorHAnsi"/>
                <w:strike/>
                <w:color w:val="FF0000"/>
                <w:sz w:val="17"/>
                <w:szCs w:val="17"/>
              </w:rPr>
            </w:pPr>
            <w:r w:rsidRPr="00F544B3">
              <w:rPr>
                <w:rFonts w:asciiTheme="minorHAnsi" w:hAnsiTheme="minorHAnsi"/>
                <w:strike/>
                <w:color w:val="FF0000"/>
                <w:sz w:val="17"/>
                <w:szCs w:val="17"/>
              </w:rPr>
              <w:t>MŽP</w:t>
            </w:r>
          </w:p>
        </w:tc>
        <w:tc>
          <w:tcPr>
            <w:tcW w:w="1418" w:type="dxa"/>
            <w:vAlign w:val="center"/>
          </w:tcPr>
          <w:p w:rsidR="002B6821" w:rsidRPr="00F544B3" w:rsidRDefault="002B6821" w:rsidP="002F3F6C">
            <w:pPr>
              <w:spacing w:after="80" w:line="240" w:lineRule="auto"/>
              <w:jc w:val="left"/>
              <w:rPr>
                <w:rFonts w:asciiTheme="minorHAnsi" w:hAnsiTheme="minorHAnsi"/>
                <w:strike/>
                <w:sz w:val="17"/>
                <w:szCs w:val="17"/>
              </w:rPr>
            </w:pPr>
            <w:r w:rsidRPr="00F544B3">
              <w:rPr>
                <w:rFonts w:asciiTheme="minorHAnsi" w:hAnsiTheme="minorHAnsi"/>
                <w:strike/>
                <w:sz w:val="17"/>
                <w:szCs w:val="17"/>
              </w:rPr>
              <w:t>MPO</w:t>
            </w:r>
          </w:p>
          <w:p w:rsidR="002B6821" w:rsidRPr="00F544B3" w:rsidRDefault="002B6821" w:rsidP="002F3F6C">
            <w:pPr>
              <w:spacing w:after="80" w:line="240" w:lineRule="auto"/>
              <w:jc w:val="left"/>
              <w:rPr>
                <w:rFonts w:asciiTheme="minorHAnsi" w:hAnsiTheme="minorHAnsi"/>
                <w:strike/>
                <w:sz w:val="17"/>
                <w:szCs w:val="17"/>
              </w:rPr>
            </w:pPr>
            <w:r w:rsidRPr="00F544B3">
              <w:rPr>
                <w:rFonts w:asciiTheme="minorHAnsi" w:hAnsiTheme="minorHAnsi"/>
                <w:strike/>
                <w:sz w:val="17"/>
                <w:szCs w:val="17"/>
              </w:rPr>
              <w:t>MZe</w:t>
            </w:r>
          </w:p>
          <w:p w:rsidR="002B6821" w:rsidRPr="00F544B3" w:rsidRDefault="002B6821" w:rsidP="002F3F6C">
            <w:pPr>
              <w:spacing w:after="80" w:line="240" w:lineRule="auto"/>
              <w:jc w:val="left"/>
              <w:rPr>
                <w:rFonts w:asciiTheme="minorHAnsi" w:hAnsiTheme="minorHAnsi"/>
                <w:strike/>
                <w:sz w:val="17"/>
                <w:szCs w:val="17"/>
              </w:rPr>
            </w:pPr>
            <w:r w:rsidRPr="00F544B3">
              <w:rPr>
                <w:rFonts w:asciiTheme="minorHAnsi" w:hAnsiTheme="minorHAnsi"/>
                <w:strike/>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strike/>
                <w:sz w:val="17"/>
                <w:szCs w:val="17"/>
              </w:rPr>
              <w:t>PRV</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205"/>
        </w:trPr>
        <w:tc>
          <w:tcPr>
            <w:tcW w:w="709" w:type="dxa"/>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
                <w:bCs/>
                <w:sz w:val="17"/>
                <w:szCs w:val="17"/>
              </w:rPr>
              <w:t>TC 5:</w:t>
            </w:r>
            <w:r w:rsidRPr="00F544B3">
              <w:rPr>
                <w:rFonts w:asciiTheme="minorHAnsi" w:hAnsiTheme="minorHAnsi"/>
                <w:bCs/>
                <w:sz w:val="17"/>
                <w:szCs w:val="17"/>
              </w:rPr>
              <w:t xml:space="preserve"> Podpora přizpůsobení se změně klimatu a předcházení rizikům</w:t>
            </w:r>
          </w:p>
        </w:tc>
        <w:tc>
          <w:tcPr>
            <w:tcW w:w="3827" w:type="dxa"/>
            <w:vAlign w:val="center"/>
          </w:tcPr>
          <w:p w:rsidR="002B6821" w:rsidRPr="00F544B3" w:rsidRDefault="0037582F" w:rsidP="00952632">
            <w:pPr>
              <w:spacing w:after="60" w:line="240" w:lineRule="auto"/>
              <w:jc w:val="left"/>
              <w:rPr>
                <w:rFonts w:asciiTheme="minorHAnsi" w:hAnsiTheme="minorHAnsi"/>
                <w:sz w:val="17"/>
                <w:szCs w:val="17"/>
                <w:u w:val="single"/>
              </w:rPr>
            </w:pPr>
            <w:hyperlink r:id="rId13" w:anchor="RANGE!#REF!" w:history="1">
              <w:r w:rsidR="002B6821" w:rsidRPr="00F544B3">
                <w:rPr>
                  <w:rFonts w:asciiTheme="minorHAnsi" w:hAnsiTheme="minorHAnsi"/>
                  <w:bCs/>
                  <w:sz w:val="17"/>
                  <w:szCs w:val="17"/>
                </w:rPr>
                <w:t>5.1. (a EZFRV: 4.4) Předcházení riziku a jeho řízení: Existence vnitrostátního nebo regionálního posuzování rizik pro zvládání katastrof s ohledem na přizpůsobení se změně klimatu</w:t>
              </w:r>
            </w:hyperlink>
          </w:p>
        </w:tc>
        <w:tc>
          <w:tcPr>
            <w:tcW w:w="1701" w:type="dxa"/>
            <w:vAlign w:val="center"/>
          </w:tcPr>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color w:val="FF0000"/>
                <w:sz w:val="17"/>
                <w:szCs w:val="17"/>
              </w:rPr>
              <w:t xml:space="preserve">MŽP </w:t>
            </w:r>
            <w:r w:rsidRPr="00F544B3">
              <w:rPr>
                <w:rFonts w:asciiTheme="minorHAnsi" w:hAnsiTheme="minorHAnsi"/>
                <w:sz w:val="17"/>
                <w:szCs w:val="17"/>
              </w:rPr>
              <w:t>/</w:t>
            </w:r>
          </w:p>
          <w:p w:rsidR="002B6821" w:rsidRPr="00F544B3" w:rsidRDefault="002B6821" w:rsidP="002F3F6C">
            <w:pPr>
              <w:spacing w:after="80" w:line="240" w:lineRule="auto"/>
              <w:jc w:val="left"/>
              <w:rPr>
                <w:rFonts w:asciiTheme="minorHAnsi" w:hAnsiTheme="minorHAnsi"/>
                <w:sz w:val="17"/>
                <w:szCs w:val="17"/>
              </w:rPr>
            </w:pPr>
            <w:r w:rsidRPr="00F544B3">
              <w:rPr>
                <w:rFonts w:asciiTheme="minorHAnsi" w:hAnsiTheme="minorHAnsi"/>
                <w:sz w:val="17"/>
                <w:szCs w:val="17"/>
              </w:rPr>
              <w:t>MZe, MV, MPO mají spolugesci za dílčí kritéria.</w:t>
            </w:r>
          </w:p>
        </w:tc>
        <w:tc>
          <w:tcPr>
            <w:tcW w:w="1418" w:type="dxa"/>
            <w:vAlign w:val="center"/>
          </w:tcPr>
          <w:p w:rsidR="002B6821" w:rsidRPr="00F544B3" w:rsidRDefault="002F3F6C"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K</w:t>
            </w:r>
            <w:r w:rsidR="002B6821" w:rsidRPr="00F544B3">
              <w:rPr>
                <w:rFonts w:asciiTheme="minorHAnsi" w:hAnsiTheme="minorHAnsi"/>
                <w:color w:val="000000"/>
                <w:sz w:val="17"/>
                <w:szCs w:val="17"/>
              </w:rPr>
              <w:t>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ŽP</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PRV</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tc>
      </w:tr>
      <w:tr w:rsidR="002B6821" w:rsidRPr="00F544B3" w:rsidTr="000C0E01">
        <w:trPr>
          <w:trHeight w:val="1689"/>
        </w:trPr>
        <w:tc>
          <w:tcPr>
            <w:tcW w:w="709" w:type="dxa"/>
            <w:vMerge w:val="restart"/>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
                <w:bCs/>
                <w:sz w:val="17"/>
                <w:szCs w:val="17"/>
              </w:rPr>
              <w:t>TC 6:</w:t>
            </w:r>
            <w:r w:rsidRPr="00F544B3">
              <w:rPr>
                <w:rFonts w:asciiTheme="minorHAnsi" w:hAnsiTheme="minorHAnsi"/>
                <w:bCs/>
                <w:sz w:val="17"/>
                <w:szCs w:val="17"/>
              </w:rPr>
              <w:t xml:space="preserve"> Ochrana životního prostředí a podpora udržitelného využívání zdrojů</w:t>
            </w:r>
          </w:p>
        </w:tc>
        <w:tc>
          <w:tcPr>
            <w:tcW w:w="3827" w:type="dxa"/>
            <w:vAlign w:val="center"/>
          </w:tcPr>
          <w:p w:rsidR="002B6821" w:rsidRPr="00F544B3" w:rsidRDefault="0037582F" w:rsidP="00952632">
            <w:pPr>
              <w:spacing w:after="60" w:line="240" w:lineRule="auto"/>
              <w:jc w:val="left"/>
              <w:rPr>
                <w:rFonts w:asciiTheme="minorHAnsi" w:hAnsiTheme="minorHAnsi"/>
                <w:sz w:val="17"/>
                <w:szCs w:val="17"/>
              </w:rPr>
            </w:pPr>
            <w:hyperlink r:id="rId14" w:anchor="RANGE!#REF!" w:history="1">
              <w:r w:rsidR="002B6821" w:rsidRPr="00F544B3">
                <w:rPr>
                  <w:rFonts w:asciiTheme="minorHAnsi" w:hAnsiTheme="minorHAnsi"/>
                  <w:sz w:val="17"/>
                  <w:szCs w:val="17"/>
                </w:rPr>
                <w:t xml:space="preserve">6.1. </w:t>
              </w:r>
              <w:r w:rsidR="002B6821" w:rsidRPr="00F544B3">
                <w:rPr>
                  <w:rFonts w:asciiTheme="minorHAnsi" w:hAnsiTheme="minorHAnsi"/>
                  <w:i/>
                  <w:iCs/>
                  <w:sz w:val="17"/>
                  <w:szCs w:val="17"/>
                </w:rPr>
                <w:t>Vodní hospodářství:</w:t>
              </w:r>
              <w:r w:rsidR="002B6821" w:rsidRPr="00F544B3">
                <w:rPr>
                  <w:rFonts w:asciiTheme="minorHAnsi" w:hAnsiTheme="minorHAnsi"/>
                  <w:sz w:val="17"/>
                  <w:szCs w:val="17"/>
                </w:rPr>
                <w:t xml:space="preserve"> existence a) politiky stanovování poplatků za vodu, která vhodným způsobem podněcuje uživatele k účinnému využívání vodních zdrojů, a b) odpovídajícího podílu různých způsobů využívání vody na úhradě nákladů na vodohospodářské služby v sazbě stanovené ve schváleném plánu povodí pro investice podporované příslušnými programy.</w:t>
              </w:r>
            </w:hyperlink>
          </w:p>
        </w:tc>
        <w:tc>
          <w:tcPr>
            <w:tcW w:w="1701" w:type="dxa"/>
            <w:vAlign w:val="center"/>
          </w:tcPr>
          <w:p w:rsidR="002B6821" w:rsidRPr="00F544B3" w:rsidRDefault="002B6821" w:rsidP="002F3F6C">
            <w:pPr>
              <w:spacing w:after="80" w:line="240" w:lineRule="auto"/>
              <w:rPr>
                <w:rFonts w:asciiTheme="minorHAnsi" w:hAnsiTheme="minorHAnsi"/>
                <w:color w:val="FF0000"/>
                <w:sz w:val="17"/>
                <w:szCs w:val="17"/>
              </w:rPr>
            </w:pPr>
            <w:r w:rsidRPr="00F544B3">
              <w:rPr>
                <w:rFonts w:asciiTheme="minorHAnsi" w:hAnsiTheme="minorHAnsi"/>
                <w:color w:val="FF0000"/>
                <w:sz w:val="17"/>
                <w:szCs w:val="17"/>
              </w:rPr>
              <w:t>MŽP a MZe</w:t>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ŽP</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1689"/>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iCs/>
                <w:strike/>
                <w:sz w:val="17"/>
                <w:szCs w:val="17"/>
              </w:rPr>
            </w:pPr>
            <w:r w:rsidRPr="00F544B3">
              <w:rPr>
                <w:rFonts w:asciiTheme="minorHAnsi" w:hAnsiTheme="minorHAnsi"/>
                <w:bCs/>
                <w:i/>
                <w:iCs/>
                <w:strike/>
                <w:sz w:val="17"/>
                <w:szCs w:val="17"/>
              </w:rPr>
              <w:t xml:space="preserve">EZFRV:5.3 Cena vody: </w:t>
            </w:r>
            <w:r w:rsidRPr="00F544B3">
              <w:rPr>
                <w:rFonts w:asciiTheme="minorHAnsi" w:hAnsiTheme="minorHAnsi"/>
                <w:bCs/>
                <w:iCs/>
                <w:strike/>
                <w:sz w:val="17"/>
                <w:szCs w:val="17"/>
              </w:rPr>
              <w:t>existence politiky v oblasti cen vody, která zajistí přiměřený příspěvek různých hospodářských odvětví k úhradě nákladů na vodohospodářské služby v souladu s článkem 9 směrnice Evropského parlamentu a Rady 2000/60/ES ze dne</w:t>
            </w:r>
          </w:p>
          <w:p w:rsidR="002B6821" w:rsidRPr="00F544B3" w:rsidRDefault="002B6821" w:rsidP="00952632">
            <w:pPr>
              <w:spacing w:after="60" w:line="240" w:lineRule="auto"/>
              <w:jc w:val="left"/>
              <w:rPr>
                <w:sz w:val="17"/>
                <w:szCs w:val="17"/>
                <w:highlight w:val="cyan"/>
              </w:rPr>
            </w:pPr>
            <w:r w:rsidRPr="00F544B3">
              <w:rPr>
                <w:rFonts w:asciiTheme="minorHAnsi" w:hAnsiTheme="minorHAnsi"/>
                <w:bCs/>
                <w:iCs/>
                <w:strike/>
                <w:sz w:val="17"/>
                <w:szCs w:val="17"/>
              </w:rPr>
              <w:t>23. října 2000, kterou se stanoví rámec pro činnost Společenství v oblasti vodní politiky.</w:t>
            </w:r>
          </w:p>
        </w:tc>
        <w:tc>
          <w:tcPr>
            <w:tcW w:w="1701" w:type="dxa"/>
            <w:vAlign w:val="center"/>
          </w:tcPr>
          <w:p w:rsidR="002B6821" w:rsidRPr="00F544B3" w:rsidRDefault="002B6821" w:rsidP="002F3F6C">
            <w:pPr>
              <w:spacing w:after="80" w:line="240" w:lineRule="auto"/>
              <w:rPr>
                <w:rFonts w:asciiTheme="minorHAnsi" w:hAnsiTheme="minorHAnsi"/>
                <w:strike/>
                <w:color w:val="FF0000"/>
                <w:sz w:val="17"/>
                <w:szCs w:val="17"/>
              </w:rPr>
            </w:pPr>
            <w:r w:rsidRPr="00F544B3">
              <w:rPr>
                <w:rFonts w:asciiTheme="minorHAnsi" w:hAnsiTheme="minorHAnsi"/>
                <w:strike/>
                <w:color w:val="FF0000"/>
                <w:sz w:val="17"/>
                <w:szCs w:val="17"/>
              </w:rPr>
              <w:t>MŽP a MZe</w:t>
            </w:r>
          </w:p>
        </w:tc>
        <w:tc>
          <w:tcPr>
            <w:tcW w:w="1418" w:type="dxa"/>
            <w:vAlign w:val="center"/>
          </w:tcPr>
          <w:p w:rsidR="002B6821" w:rsidRPr="00F544B3" w:rsidRDefault="002B6821" w:rsidP="002F3F6C">
            <w:pPr>
              <w:spacing w:after="80" w:line="240" w:lineRule="auto"/>
              <w:rPr>
                <w:rFonts w:asciiTheme="minorHAnsi" w:hAnsiTheme="minorHAnsi"/>
                <w:strike/>
                <w:color w:val="000000"/>
                <w:sz w:val="17"/>
                <w:szCs w:val="17"/>
              </w:rPr>
            </w:pPr>
            <w:r w:rsidRPr="00F544B3">
              <w:rPr>
                <w:rFonts w:asciiTheme="minorHAnsi" w:hAnsiTheme="minorHAnsi"/>
                <w:strike/>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PRV</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strike/>
                <w:color w:val="000000"/>
                <w:sz w:val="17"/>
                <w:szCs w:val="17"/>
              </w:rPr>
            </w:pPr>
          </w:p>
        </w:tc>
      </w:tr>
      <w:tr w:rsidR="002B6821" w:rsidRPr="00F544B3" w:rsidTr="000C0E01">
        <w:trPr>
          <w:trHeight w:val="245"/>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37582F" w:rsidP="00952632">
            <w:pPr>
              <w:spacing w:after="60" w:line="240" w:lineRule="auto"/>
              <w:jc w:val="left"/>
              <w:rPr>
                <w:rFonts w:asciiTheme="minorHAnsi" w:hAnsiTheme="minorHAnsi"/>
                <w:sz w:val="17"/>
                <w:szCs w:val="17"/>
              </w:rPr>
            </w:pPr>
            <w:hyperlink r:id="rId15" w:anchor="RANGE!#REF!" w:history="1">
              <w:r w:rsidR="002B6821" w:rsidRPr="00F544B3">
                <w:rPr>
                  <w:rFonts w:asciiTheme="minorHAnsi" w:hAnsiTheme="minorHAnsi"/>
                  <w:sz w:val="17"/>
                  <w:szCs w:val="17"/>
                </w:rPr>
                <w:t>6.2. Odpadové hospodářství: podpora investic do odpadového hospodářství udržitelných z hospodářského a environmentálního hlediska, zejména vypracování plánů pro nakládání s odpady v souladu se směrnicí 2008/98/ES o odpadech a s hierarchií způsobů nakládání s odpady.</w:t>
              </w:r>
            </w:hyperlink>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MŽP</w:t>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bCs/>
                <w:sz w:val="17"/>
                <w:szCs w:val="17"/>
              </w:rPr>
              <w:t>MPO</w:t>
            </w:r>
            <w:r w:rsidRPr="00F544B3">
              <w:rPr>
                <w:rFonts w:asciiTheme="minorHAnsi" w:hAnsiTheme="minorHAnsi"/>
                <w:color w:val="000000"/>
                <w:sz w:val="17"/>
                <w:szCs w:val="17"/>
              </w:rPr>
              <w:t xml:space="preserve"> </w:t>
            </w:r>
          </w:p>
          <w:p w:rsidR="002B6821" w:rsidRPr="00F544B3" w:rsidRDefault="002B6821" w:rsidP="002F3F6C">
            <w:pPr>
              <w:spacing w:after="80" w:line="240" w:lineRule="auto"/>
              <w:rPr>
                <w:rFonts w:asciiTheme="minorHAnsi" w:hAnsiTheme="minorHAnsi"/>
                <w:bCs/>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2F3F6C">
            <w:pPr>
              <w:spacing w:after="80" w:line="240" w:lineRule="auto"/>
              <w:rPr>
                <w:rFonts w:asciiTheme="minorHAnsi" w:hAnsiTheme="minorHAnsi"/>
                <w:bCs/>
                <w:sz w:val="17"/>
                <w:szCs w:val="17"/>
              </w:rPr>
            </w:pPr>
            <w:r w:rsidRPr="00F544B3">
              <w:rPr>
                <w:rFonts w:asciiTheme="minorHAnsi" w:hAnsiTheme="minorHAnsi"/>
                <w:bCs/>
                <w:sz w:val="17"/>
                <w:szCs w:val="17"/>
              </w:rPr>
              <w:t>OP ŽP</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1158"/>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sz w:val="17"/>
                <w:szCs w:val="17"/>
                <w:highlight w:val="cyan"/>
              </w:rPr>
            </w:pPr>
            <w:r w:rsidRPr="00F544B3">
              <w:rPr>
                <w:rFonts w:asciiTheme="minorHAnsi" w:hAnsiTheme="minorHAnsi"/>
                <w:bCs/>
                <w:i/>
                <w:iCs/>
                <w:strike/>
                <w:sz w:val="17"/>
                <w:szCs w:val="17"/>
              </w:rPr>
              <w:t xml:space="preserve">EZFRV:5.4. Plány pro nakládání s odpady: </w:t>
            </w:r>
            <w:r w:rsidRPr="00F544B3">
              <w:rPr>
                <w:rFonts w:asciiTheme="minorHAnsi" w:hAnsiTheme="minorHAnsi"/>
                <w:bCs/>
                <w:iCs/>
                <w:strike/>
                <w:sz w:val="17"/>
                <w:szCs w:val="17"/>
              </w:rPr>
              <w:t>provedení směrnice Evropského parlamentu a Rady 2008/98/ES ze dne 19. listopadu 2008 o odpadech a o zrušení některých směrnic do vnitrostátního práva, zejména vypracování plánů pro nakládání s odpady v souladu se směrnicí</w:t>
            </w:r>
          </w:p>
        </w:tc>
        <w:tc>
          <w:tcPr>
            <w:tcW w:w="1701" w:type="dxa"/>
            <w:vAlign w:val="center"/>
          </w:tcPr>
          <w:p w:rsidR="002B6821" w:rsidRPr="00F544B3" w:rsidRDefault="002B6821" w:rsidP="002F3F6C">
            <w:pPr>
              <w:spacing w:after="80" w:line="240" w:lineRule="auto"/>
              <w:jc w:val="left"/>
              <w:rPr>
                <w:rFonts w:asciiTheme="minorHAnsi" w:hAnsiTheme="minorHAnsi"/>
                <w:strike/>
                <w:color w:val="FF0000"/>
                <w:sz w:val="17"/>
                <w:szCs w:val="17"/>
              </w:rPr>
            </w:pPr>
            <w:r w:rsidRPr="00F544B3">
              <w:rPr>
                <w:rFonts w:asciiTheme="minorHAnsi" w:hAnsiTheme="minorHAnsi"/>
                <w:strike/>
                <w:color w:val="FF0000"/>
                <w:sz w:val="17"/>
                <w:szCs w:val="17"/>
              </w:rPr>
              <w:t>MŽP</w:t>
            </w:r>
          </w:p>
        </w:tc>
        <w:tc>
          <w:tcPr>
            <w:tcW w:w="1418" w:type="dxa"/>
            <w:vAlign w:val="center"/>
          </w:tcPr>
          <w:p w:rsidR="002B6821" w:rsidRPr="00F544B3" w:rsidRDefault="002B6821" w:rsidP="002F3F6C">
            <w:pPr>
              <w:spacing w:after="8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MZe</w:t>
            </w:r>
          </w:p>
        </w:tc>
        <w:tc>
          <w:tcPr>
            <w:tcW w:w="850" w:type="dxa"/>
            <w:vAlign w:val="center"/>
          </w:tcPr>
          <w:p w:rsidR="002B6821" w:rsidRPr="00F544B3" w:rsidRDefault="002B6821" w:rsidP="002F3F6C">
            <w:pPr>
              <w:spacing w:after="8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PRV</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1024"/>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EZFRV, 4.1 Dobrý zemědělský a environmentální stav: na vnitrostátní úrovni jsou zavedeny normy dobrého zemědělského a environmentálního stavu půdy podle hlavy VI kapitoly I nařízení (EU) č. horizontální nařízení/xxxx.</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MZe</w:t>
            </w:r>
          </w:p>
        </w:tc>
        <w:tc>
          <w:tcPr>
            <w:tcW w:w="1418"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MŽP</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PRV</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1019"/>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EZFRV, 4.2 Minimální požadavky na hnojiva a přípravky na ochranu rostlin: na vnitrostátní úrovni jsou vymezeny minimální požadavky na hnojiva a přípravky na ochranu rostlin podle hlavy III kapitoly I článku 29 tohoto nařízení.</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MZe</w:t>
            </w:r>
          </w:p>
        </w:tc>
        <w:tc>
          <w:tcPr>
            <w:tcW w:w="1418"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MŽP</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PRV</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590"/>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EZFRV, 4.3 Ostatní příslušné vnitrostátní normy: jsou vymezeny příslušné závazné vnitrostátní normy pro účely hlavy III kapitoly I článku 29 tohoto nařízení.</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MZe</w:t>
            </w:r>
          </w:p>
        </w:tc>
        <w:tc>
          <w:tcPr>
            <w:tcW w:w="1418" w:type="dxa"/>
            <w:vAlign w:val="center"/>
          </w:tcPr>
          <w:p w:rsidR="002B6821" w:rsidRPr="00F544B3" w:rsidRDefault="002B6821" w:rsidP="002F3F6C">
            <w:pPr>
              <w:spacing w:after="80" w:line="240" w:lineRule="auto"/>
              <w:jc w:val="left"/>
              <w:rPr>
                <w:rFonts w:asciiTheme="minorHAnsi" w:hAnsiTheme="minorHAnsi"/>
                <w:color w:val="000000"/>
                <w:sz w:val="17"/>
                <w:szCs w:val="17"/>
              </w:rPr>
            </w:pP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PRV</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600"/>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ENRF, Zřízení víceletého vnitrostátního strategického plánu pro akvakulturu, uvedeného v článku 43 [nařízení o společné rybářské politice] do roku 2014</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MZe</w:t>
            </w:r>
          </w:p>
        </w:tc>
        <w:tc>
          <w:tcPr>
            <w:tcW w:w="1418" w:type="dxa"/>
            <w:vAlign w:val="center"/>
          </w:tcPr>
          <w:p w:rsidR="002B6821" w:rsidRPr="00F544B3" w:rsidRDefault="002B6821" w:rsidP="002F3F6C">
            <w:pPr>
              <w:spacing w:after="80" w:line="240" w:lineRule="auto"/>
              <w:jc w:val="left"/>
              <w:rPr>
                <w:rFonts w:asciiTheme="minorHAnsi" w:hAnsiTheme="minorHAnsi"/>
                <w:color w:val="000000"/>
                <w:sz w:val="17"/>
                <w:szCs w:val="17"/>
              </w:rPr>
            </w:pP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R</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642"/>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ENRF , Zpráva o kapacitě byla předložena v souladu s článkem 35 [nařízení o SRP]</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MZe</w:t>
            </w:r>
          </w:p>
        </w:tc>
        <w:tc>
          <w:tcPr>
            <w:tcW w:w="1418" w:type="dxa"/>
            <w:vAlign w:val="center"/>
          </w:tcPr>
          <w:p w:rsidR="002B6821" w:rsidRPr="00F544B3" w:rsidRDefault="002B6821" w:rsidP="002F3F6C">
            <w:pPr>
              <w:spacing w:after="80" w:line="240" w:lineRule="auto"/>
              <w:jc w:val="left"/>
              <w:rPr>
                <w:rFonts w:asciiTheme="minorHAnsi" w:hAnsiTheme="minorHAnsi"/>
                <w:color w:val="000000"/>
                <w:sz w:val="17"/>
                <w:szCs w:val="17"/>
              </w:rPr>
            </w:pP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R</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991"/>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ENRF, Správní kapacita: je k dispozici správní kapacita pro dosažení souladu s požadavky na údaje pro řízení rybolovu stanovené v článku 37 [nařízení o společné rybářské politice],</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MZe</w:t>
            </w:r>
          </w:p>
        </w:tc>
        <w:tc>
          <w:tcPr>
            <w:tcW w:w="1418" w:type="dxa"/>
            <w:vAlign w:val="center"/>
          </w:tcPr>
          <w:p w:rsidR="002B6821" w:rsidRPr="00F544B3" w:rsidRDefault="002B6821" w:rsidP="002F3F6C">
            <w:pPr>
              <w:spacing w:after="80" w:line="240" w:lineRule="auto"/>
              <w:jc w:val="left"/>
              <w:rPr>
                <w:rFonts w:asciiTheme="minorHAnsi" w:hAnsiTheme="minorHAnsi"/>
                <w:color w:val="000000"/>
                <w:sz w:val="17"/>
                <w:szCs w:val="17"/>
              </w:rPr>
            </w:pP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R</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1239"/>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ENRF, Správní kapacita: je k dispozici správní kapacita umožňující dodržovat provádění systému Unie pro kontrolu, inspekce a vynucování stanoveného v článku 46 [nařízení o společné rybářské politice] a dále upřesněného v nařízení Rady (ES) č. 1224/2009.</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MZe</w:t>
            </w:r>
          </w:p>
        </w:tc>
        <w:tc>
          <w:tcPr>
            <w:tcW w:w="1418" w:type="dxa"/>
            <w:vAlign w:val="center"/>
          </w:tcPr>
          <w:p w:rsidR="002B6821" w:rsidRPr="00F544B3" w:rsidRDefault="002B6821" w:rsidP="002F3F6C">
            <w:pPr>
              <w:spacing w:after="80" w:line="240" w:lineRule="auto"/>
              <w:jc w:val="left"/>
              <w:rPr>
                <w:rFonts w:asciiTheme="minorHAnsi" w:hAnsiTheme="minorHAnsi"/>
                <w:color w:val="000000"/>
                <w:sz w:val="17"/>
                <w:szCs w:val="17"/>
              </w:rPr>
            </w:pP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R</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1689"/>
        </w:trPr>
        <w:tc>
          <w:tcPr>
            <w:tcW w:w="709" w:type="dxa"/>
            <w:vMerge w:val="restart"/>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
                <w:bCs/>
                <w:sz w:val="17"/>
                <w:szCs w:val="17"/>
              </w:rPr>
              <w:t>TC 7:</w:t>
            </w:r>
            <w:r w:rsidRPr="00F544B3">
              <w:rPr>
                <w:rFonts w:asciiTheme="minorHAnsi" w:hAnsiTheme="minorHAnsi"/>
                <w:bCs/>
                <w:sz w:val="17"/>
                <w:szCs w:val="17"/>
              </w:rPr>
              <w:t xml:space="preserve"> Podpora udržitelné dopravy a odstraňování překážek v klíčových síťových infrastrukturách</w:t>
            </w: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u w:val="single"/>
              </w:rPr>
              <w:t>7.1</w:t>
            </w:r>
            <w:r w:rsidRPr="00F544B3">
              <w:rPr>
                <w:rFonts w:asciiTheme="minorHAnsi" w:hAnsiTheme="minorHAnsi"/>
                <w:bCs/>
                <w:i/>
                <w:iCs/>
                <w:sz w:val="17"/>
                <w:szCs w:val="17"/>
                <w:u w:val="single"/>
              </w:rPr>
              <w:t>. Silniční doprava:</w:t>
            </w:r>
            <w:r w:rsidRPr="00F544B3">
              <w:rPr>
                <w:rFonts w:asciiTheme="minorHAnsi" w:hAnsiTheme="minorHAnsi"/>
                <w:bCs/>
                <w:sz w:val="17"/>
                <w:szCs w:val="17"/>
              </w:rPr>
              <w:t xml:space="preserve"> </w:t>
            </w:r>
          </w:p>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Existence komplexního plánu či komplexních plánů nebo rámce či rámců pro investice do dopravy v souladu s institucionálním uspořádáním členských států (včetně veřejné dopravy na regionální a místní úrovni), čímž se podporuje rozvoj infrastruktury a zvyšuje se dopravní obslužnost ve vztahu ke globálním a hlavním sítím TEN-T</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 xml:space="preserve">MD </w:t>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Kraje</w:t>
            </w:r>
          </w:p>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MŽP</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D</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tc>
      </w:tr>
      <w:tr w:rsidR="002B6821" w:rsidRPr="00F544B3" w:rsidTr="000C0E01">
        <w:trPr>
          <w:trHeight w:val="741"/>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i/>
                <w:sz w:val="17"/>
                <w:szCs w:val="17"/>
                <w:u w:val="single"/>
              </w:rPr>
              <w:t xml:space="preserve">7.2. Železniční doprava: </w:t>
            </w:r>
            <w:r w:rsidRPr="00F544B3">
              <w:rPr>
                <w:rFonts w:asciiTheme="minorHAnsi" w:hAnsiTheme="minorHAnsi"/>
                <w:bCs/>
                <w:sz w:val="17"/>
                <w:szCs w:val="17"/>
              </w:rPr>
              <w:t>Existence – v rámci komplexního národní</w:t>
            </w:r>
            <w:r w:rsidR="006A3117">
              <w:rPr>
                <w:rFonts w:asciiTheme="minorHAnsi" w:hAnsiTheme="minorHAnsi"/>
                <w:bCs/>
                <w:sz w:val="17"/>
                <w:szCs w:val="17"/>
              </w:rPr>
              <w:t>ho</w:t>
            </w:r>
            <w:r w:rsidRPr="00F544B3">
              <w:rPr>
                <w:rFonts w:asciiTheme="minorHAnsi" w:hAnsiTheme="minorHAnsi"/>
                <w:bCs/>
                <w:sz w:val="17"/>
                <w:szCs w:val="17"/>
              </w:rPr>
              <w:t xml:space="preserve"> dopravního plánu – explicitní kapitoly o rozvoji železniční dopravy, stanovení pořadí důležitosti investic v rámci hlavní transevropské sítě dopravní infrastruktury (TEN-T), komplexní sítě (jiné investice než do hlavní sítě TEN</w:t>
            </w:r>
            <w:r w:rsidRPr="00F544B3">
              <w:rPr>
                <w:rFonts w:asciiTheme="minorHAnsi" w:eastAsia="MS Mincho" w:hAnsi="MS Mincho" w:cs="MS Mincho"/>
                <w:bCs/>
                <w:sz w:val="17"/>
                <w:szCs w:val="17"/>
              </w:rPr>
              <w:t>‑</w:t>
            </w:r>
            <w:r w:rsidRPr="00F544B3">
              <w:rPr>
                <w:rFonts w:asciiTheme="minorHAnsi" w:hAnsiTheme="minorHAnsi" w:cs="Calibri"/>
                <w:bCs/>
                <w:sz w:val="17"/>
                <w:szCs w:val="17"/>
              </w:rPr>
              <w:t>T) a v oblasti sekundární dopravní obslužnosti železničního systému podle jejich příspěvku k mobilitě, udržitelnosti a vnitrostátním i celoevropským účinkům sítě. Investice se vztahují na mobilní majetek, interoperabili</w:t>
            </w:r>
            <w:r w:rsidRPr="00F544B3">
              <w:rPr>
                <w:rFonts w:asciiTheme="minorHAnsi" w:hAnsiTheme="minorHAnsi"/>
                <w:bCs/>
                <w:sz w:val="17"/>
                <w:szCs w:val="17"/>
              </w:rPr>
              <w:t>tu a budování kapacit.</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 xml:space="preserve">MD </w:t>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Kraje</w:t>
            </w:r>
          </w:p>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MŽP</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D</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tc>
      </w:tr>
      <w:tr w:rsidR="002B6821" w:rsidRPr="00F544B3" w:rsidTr="000C0E01">
        <w:trPr>
          <w:trHeight w:val="1294"/>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i/>
                <w:sz w:val="17"/>
                <w:szCs w:val="17"/>
              </w:rPr>
            </w:pPr>
            <w:r w:rsidRPr="00F544B3">
              <w:rPr>
                <w:rFonts w:asciiTheme="minorHAnsi" w:hAnsiTheme="minorHAnsi"/>
                <w:bCs/>
                <w:sz w:val="17"/>
                <w:szCs w:val="17"/>
              </w:rPr>
              <w:t>7.3 „Rozvoj inteligentních a účinných systémů distribuce, skladování a přenosu elektřiny (a plynu)“Existence plánů pro investice do inteligentní energetické infrastruktury a regulačních opatření, které přispívají ke zvýšení energetické účinnosti a bezpečnosti dodávek</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MPO</w:t>
            </w:r>
            <w:r w:rsidR="009A03FE">
              <w:rPr>
                <w:rStyle w:val="Znakapoznpodarou"/>
                <w:rFonts w:asciiTheme="minorHAnsi" w:hAnsiTheme="minorHAnsi"/>
                <w:color w:val="FF0000"/>
                <w:sz w:val="17"/>
                <w:szCs w:val="17"/>
              </w:rPr>
              <w:footnoteReference w:id="5"/>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494"/>
        </w:trPr>
        <w:tc>
          <w:tcPr>
            <w:tcW w:w="709" w:type="dxa"/>
            <w:vMerge w:val="restart"/>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
                <w:bCs/>
                <w:color w:val="FF0000"/>
                <w:sz w:val="17"/>
                <w:szCs w:val="17"/>
              </w:rPr>
              <w:t>TC 8:</w:t>
            </w:r>
            <w:r w:rsidRPr="00F544B3">
              <w:rPr>
                <w:rFonts w:asciiTheme="minorHAnsi" w:hAnsiTheme="minorHAnsi"/>
                <w:bCs/>
                <w:sz w:val="17"/>
                <w:szCs w:val="17"/>
              </w:rPr>
              <w:t xml:space="preserve"> Podpora zaměstnanosti a podpora mobility pracovních sil</w:t>
            </w: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8.1. Aktivní politiky trhu práce jsou koncipovány a prováděny v souladu s hlavními směry politik zaměstnanosti</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MPSV</w:t>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ÚP</w:t>
            </w:r>
          </w:p>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Z</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tc>
      </w:tr>
      <w:tr w:rsidR="002B6821" w:rsidRPr="00F544B3" w:rsidTr="000C0E01">
        <w:trPr>
          <w:trHeight w:val="1394"/>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 xml:space="preserve">8.2. </w:t>
            </w:r>
            <w:r w:rsidRPr="00F544B3">
              <w:rPr>
                <w:rFonts w:asciiTheme="minorHAnsi" w:hAnsiTheme="minorHAnsi"/>
                <w:bCs/>
                <w:i/>
                <w:iCs/>
                <w:sz w:val="17"/>
                <w:szCs w:val="17"/>
              </w:rPr>
              <w:t xml:space="preserve">Samostatná výdělečná činnost, podnikání a zakládání firem: </w:t>
            </w:r>
            <w:r w:rsidRPr="00F544B3">
              <w:rPr>
                <w:rFonts w:asciiTheme="minorHAnsi" w:hAnsiTheme="minorHAnsi"/>
                <w:bCs/>
                <w:sz w:val="17"/>
                <w:szCs w:val="17"/>
              </w:rPr>
              <w:t>existence strategického rámce politiky podpory začínajících podniků přispívající k začlenění.</w:t>
            </w:r>
          </w:p>
        </w:tc>
        <w:tc>
          <w:tcPr>
            <w:tcW w:w="1701" w:type="dxa"/>
            <w:vAlign w:val="center"/>
          </w:tcPr>
          <w:p w:rsidR="002B6821" w:rsidRPr="00F544B3" w:rsidRDefault="002B6821" w:rsidP="002F3F6C">
            <w:pPr>
              <w:spacing w:after="80" w:line="240" w:lineRule="auto"/>
              <w:jc w:val="left"/>
              <w:rPr>
                <w:rFonts w:asciiTheme="minorHAnsi" w:hAnsiTheme="minorHAnsi"/>
                <w:b/>
                <w:sz w:val="17"/>
                <w:szCs w:val="17"/>
              </w:rPr>
            </w:pPr>
            <w:r w:rsidRPr="00F544B3">
              <w:rPr>
                <w:rFonts w:asciiTheme="minorHAnsi" w:hAnsiTheme="minorHAnsi"/>
                <w:color w:val="FF0000"/>
                <w:sz w:val="17"/>
                <w:szCs w:val="17"/>
              </w:rPr>
              <w:t>MPO</w:t>
            </w:r>
            <w:r w:rsidRPr="00F544B3">
              <w:rPr>
                <w:rFonts w:asciiTheme="minorHAnsi" w:hAnsiTheme="minorHAnsi"/>
                <w:b/>
                <w:sz w:val="17"/>
                <w:szCs w:val="17"/>
              </w:rPr>
              <w:t xml:space="preserve"> / </w:t>
            </w:r>
          </w:p>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sz w:val="17"/>
                <w:szCs w:val="17"/>
              </w:rPr>
              <w:t xml:space="preserve">MSp za kritérium: opatření zaměřená na snížení nákladů </w:t>
            </w:r>
            <w:r w:rsidRPr="00F544B3">
              <w:rPr>
                <w:rFonts w:asciiTheme="minorHAnsi" w:hAnsiTheme="minorHAnsi"/>
                <w:strike/>
                <w:sz w:val="17"/>
                <w:szCs w:val="17"/>
              </w:rPr>
              <w:t xml:space="preserve">na 100 EUR </w:t>
            </w:r>
            <w:r w:rsidRPr="00F544B3">
              <w:rPr>
                <w:rFonts w:asciiTheme="minorHAnsi" w:hAnsiTheme="minorHAnsi"/>
                <w:sz w:val="17"/>
                <w:szCs w:val="17"/>
              </w:rPr>
              <w:t xml:space="preserve">a zkrácení doby potřebných pro založení podniku </w:t>
            </w:r>
            <w:r w:rsidRPr="00F544B3">
              <w:rPr>
                <w:rFonts w:asciiTheme="minorHAnsi" w:hAnsiTheme="minorHAnsi"/>
                <w:strike/>
                <w:sz w:val="17"/>
                <w:szCs w:val="17"/>
              </w:rPr>
              <w:t>na 3 dny</w:t>
            </w:r>
          </w:p>
        </w:tc>
        <w:tc>
          <w:tcPr>
            <w:tcW w:w="1418" w:type="dxa"/>
            <w:vAlign w:val="center"/>
          </w:tcPr>
          <w:p w:rsidR="002B6821" w:rsidRPr="00F544B3" w:rsidRDefault="002B6821" w:rsidP="002F3F6C">
            <w:pPr>
              <w:spacing w:after="8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 xml:space="preserve">MZe (má uvedeno jako PP 6.2, zatím kompromisem vyškrnuto) </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Další resorty</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PIK</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PPR</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p w:rsidR="002B6821" w:rsidRPr="00F544B3" w:rsidRDefault="002B6821" w:rsidP="002F3F6C">
            <w:pPr>
              <w:spacing w:after="80" w:line="240" w:lineRule="auto"/>
              <w:jc w:val="left"/>
              <w:rPr>
                <w:rFonts w:asciiTheme="minorHAnsi" w:hAnsiTheme="minorHAnsi"/>
                <w:strike/>
                <w:color w:val="000000"/>
                <w:sz w:val="17"/>
                <w:szCs w:val="17"/>
              </w:rPr>
            </w:pPr>
            <w:r w:rsidRPr="00F544B3">
              <w:rPr>
                <w:rFonts w:asciiTheme="minorHAnsi" w:hAnsiTheme="minorHAnsi"/>
                <w:strike/>
                <w:color w:val="000000"/>
                <w:sz w:val="17"/>
                <w:szCs w:val="17"/>
              </w:rPr>
              <w:t>PRV</w:t>
            </w:r>
          </w:p>
        </w:tc>
      </w:tr>
      <w:tr w:rsidR="002B6821" w:rsidRPr="00F544B3" w:rsidTr="000C0E01">
        <w:trPr>
          <w:trHeight w:val="1689"/>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8.3. Instituce trhu práce jsou modernizované a posílené v souladu s hlavními směry politiky zaměstnanosti;</w:t>
            </w:r>
          </w:p>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 Zahájení reforem institucí trhu práce předchází zavedení jasného strategického rámce příslušné politiky a předběžné hodnocení, včetně zohlednění problematiky rovnosti pohlaví.</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MPSV</w:t>
            </w:r>
          </w:p>
        </w:tc>
        <w:tc>
          <w:tcPr>
            <w:tcW w:w="1418" w:type="dxa"/>
            <w:vAlign w:val="center"/>
          </w:tcPr>
          <w:p w:rsidR="002B6821" w:rsidRPr="00F544B3" w:rsidRDefault="002B6821" w:rsidP="002F3F6C">
            <w:pPr>
              <w:spacing w:after="80" w:line="240" w:lineRule="auto"/>
              <w:rPr>
                <w:rFonts w:asciiTheme="minorHAnsi" w:hAnsiTheme="minorHAnsi"/>
                <w:bCs/>
                <w:sz w:val="17"/>
                <w:szCs w:val="17"/>
              </w:rPr>
            </w:pPr>
            <w:r w:rsidRPr="00F544B3">
              <w:rPr>
                <w:rFonts w:asciiTheme="minorHAnsi" w:hAnsiTheme="minorHAnsi"/>
                <w:bCs/>
                <w:sz w:val="17"/>
                <w:szCs w:val="17"/>
              </w:rPr>
              <w:t>ÚP</w:t>
            </w:r>
          </w:p>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bCs/>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Z</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tc>
      </w:tr>
      <w:tr w:rsidR="002B6821" w:rsidRPr="00F544B3" w:rsidTr="000C0E01">
        <w:trPr>
          <w:trHeight w:val="565"/>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37582F" w:rsidP="00952632">
            <w:pPr>
              <w:spacing w:after="60" w:line="240" w:lineRule="auto"/>
              <w:jc w:val="left"/>
              <w:rPr>
                <w:rFonts w:asciiTheme="minorHAnsi" w:hAnsiTheme="minorHAnsi"/>
                <w:bCs/>
                <w:sz w:val="17"/>
                <w:szCs w:val="17"/>
              </w:rPr>
            </w:pPr>
            <w:hyperlink r:id="rId16" w:anchor="RANGE!#REF!" w:history="1">
              <w:r w:rsidR="002B6821" w:rsidRPr="00F544B3">
                <w:rPr>
                  <w:rFonts w:asciiTheme="minorHAnsi" w:hAnsiTheme="minorHAnsi"/>
                  <w:bCs/>
                  <w:sz w:val="17"/>
                  <w:szCs w:val="17"/>
                </w:rPr>
                <w:t xml:space="preserve">8.4. Aktivní a zdravé stárnutí: Politiky aktivního stárnutí jsou koncipována v souladu s hlavními směry politiky zaměstnanosti </w:t>
              </w:r>
            </w:hyperlink>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MPSV</w:t>
            </w:r>
          </w:p>
        </w:tc>
        <w:tc>
          <w:tcPr>
            <w:tcW w:w="1418" w:type="dxa"/>
            <w:vAlign w:val="center"/>
          </w:tcPr>
          <w:p w:rsidR="002B6821" w:rsidRPr="00F544B3" w:rsidRDefault="002B6821" w:rsidP="002F3F6C">
            <w:pPr>
              <w:spacing w:after="80" w:line="240" w:lineRule="auto"/>
              <w:rPr>
                <w:rFonts w:asciiTheme="minorHAnsi" w:hAnsiTheme="minorHAnsi"/>
                <w:bCs/>
                <w:sz w:val="17"/>
                <w:szCs w:val="17"/>
              </w:rPr>
            </w:pPr>
            <w:r w:rsidRPr="00F544B3">
              <w:rPr>
                <w:rFonts w:asciiTheme="minorHAnsi" w:hAnsiTheme="minorHAnsi"/>
                <w:bCs/>
                <w:sz w:val="17"/>
                <w:szCs w:val="17"/>
              </w:rPr>
              <w:t>ÚP</w:t>
            </w:r>
          </w:p>
          <w:p w:rsidR="002B6821" w:rsidRPr="00F544B3" w:rsidRDefault="002B6821" w:rsidP="002F3F6C">
            <w:pPr>
              <w:spacing w:after="80" w:line="240" w:lineRule="auto"/>
              <w:rPr>
                <w:rFonts w:asciiTheme="minorHAnsi" w:hAnsiTheme="minorHAnsi"/>
                <w:bCs/>
                <w:sz w:val="17"/>
                <w:szCs w:val="17"/>
              </w:rPr>
            </w:pPr>
            <w:r w:rsidRPr="00F544B3">
              <w:rPr>
                <w:rFonts w:asciiTheme="minorHAnsi" w:hAnsiTheme="minorHAnsi"/>
                <w:bCs/>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Z</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tc>
      </w:tr>
      <w:tr w:rsidR="002B6821" w:rsidRPr="00F544B3" w:rsidTr="000C0E01">
        <w:trPr>
          <w:trHeight w:val="705"/>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37582F" w:rsidP="00952632">
            <w:pPr>
              <w:spacing w:after="60" w:line="240" w:lineRule="auto"/>
              <w:jc w:val="left"/>
              <w:rPr>
                <w:rFonts w:asciiTheme="minorHAnsi" w:hAnsiTheme="minorHAnsi"/>
                <w:bCs/>
                <w:sz w:val="17"/>
                <w:szCs w:val="17"/>
              </w:rPr>
            </w:pPr>
            <w:hyperlink r:id="rId17" w:anchor="RANGE!#REF!" w:history="1">
              <w:r w:rsidR="002B6821" w:rsidRPr="00F544B3">
                <w:rPr>
                  <w:rFonts w:asciiTheme="minorHAnsi" w:hAnsiTheme="minorHAnsi"/>
                  <w:bCs/>
                  <w:sz w:val="17"/>
                  <w:szCs w:val="17"/>
                </w:rPr>
                <w:t xml:space="preserve">8.5. </w:t>
              </w:r>
              <w:r w:rsidR="002B6821" w:rsidRPr="00F544B3">
                <w:rPr>
                  <w:rFonts w:asciiTheme="minorHAnsi" w:hAnsiTheme="minorHAnsi"/>
                  <w:bCs/>
                  <w:i/>
                  <w:iCs/>
                  <w:sz w:val="17"/>
                  <w:szCs w:val="17"/>
                </w:rPr>
                <w:t xml:space="preserve">Pomoc pracovníkům, podnikům a podnikatelům přizpůsobovat se změnám: </w:t>
              </w:r>
              <w:r w:rsidR="002B6821" w:rsidRPr="00F544B3">
                <w:rPr>
                  <w:rFonts w:asciiTheme="minorHAnsi" w:hAnsiTheme="minorHAnsi"/>
                  <w:bCs/>
                  <w:sz w:val="17"/>
                  <w:szCs w:val="17"/>
                </w:rPr>
                <w:t>Existence politik zaměřených na upřednostňování předvídání a dobré zvládání změn a restrukturalizací.</w:t>
              </w:r>
            </w:hyperlink>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MPSV</w:t>
            </w:r>
          </w:p>
        </w:tc>
        <w:tc>
          <w:tcPr>
            <w:tcW w:w="1418" w:type="dxa"/>
            <w:vAlign w:val="center"/>
          </w:tcPr>
          <w:p w:rsidR="002B6821" w:rsidRPr="00F544B3" w:rsidRDefault="002B6821" w:rsidP="002F3F6C">
            <w:pPr>
              <w:spacing w:after="80" w:line="240" w:lineRule="auto"/>
              <w:rPr>
                <w:rFonts w:asciiTheme="minorHAnsi" w:hAnsiTheme="minorHAnsi"/>
                <w:bCs/>
                <w:sz w:val="17"/>
                <w:szCs w:val="17"/>
              </w:rPr>
            </w:pPr>
            <w:r w:rsidRPr="00F544B3">
              <w:rPr>
                <w:rFonts w:asciiTheme="minorHAnsi" w:hAnsiTheme="minorHAnsi"/>
                <w:bCs/>
                <w:sz w:val="17"/>
                <w:szCs w:val="17"/>
              </w:rPr>
              <w:t>ÚP</w:t>
            </w:r>
          </w:p>
          <w:p w:rsidR="002B6821" w:rsidRPr="00F544B3" w:rsidRDefault="002B6821" w:rsidP="002F3F6C">
            <w:pPr>
              <w:spacing w:after="80" w:line="240" w:lineRule="auto"/>
              <w:rPr>
                <w:rFonts w:asciiTheme="minorHAnsi" w:hAnsiTheme="minorHAnsi"/>
                <w:bCs/>
                <w:sz w:val="17"/>
                <w:szCs w:val="17"/>
              </w:rPr>
            </w:pPr>
            <w:r w:rsidRPr="00F544B3">
              <w:rPr>
                <w:rFonts w:asciiTheme="minorHAnsi" w:hAnsiTheme="minorHAnsi"/>
                <w:bCs/>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Z</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876"/>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i/>
                <w:sz w:val="17"/>
                <w:szCs w:val="17"/>
                <w:u w:val="single"/>
              </w:rPr>
            </w:pPr>
            <w:r w:rsidRPr="00F544B3">
              <w:rPr>
                <w:rFonts w:asciiTheme="minorHAnsi" w:hAnsiTheme="minorHAnsi"/>
                <w:bCs/>
                <w:sz w:val="17"/>
                <w:szCs w:val="17"/>
              </w:rPr>
              <w:t>8 6. Trvalé začlenění na trh práce mladých lidí ve věku 15-24 let bez zaměstnání, vzdělávání nebo odborné přípravy: Existence komplexního strategického rámce politiky pro dosažení cílů Balíčku zaměstnanosti mládeže a zejména pro stanovení systému Záruka pro mládež v souladu s Doporučením Rady ze dne [xxx]</w:t>
            </w:r>
          </w:p>
        </w:tc>
        <w:tc>
          <w:tcPr>
            <w:tcW w:w="1701" w:type="dxa"/>
            <w:shd w:val="clear" w:color="auto" w:fill="FFFFFF" w:themeFill="background1"/>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MPSV</w:t>
            </w:r>
          </w:p>
        </w:tc>
        <w:tc>
          <w:tcPr>
            <w:tcW w:w="1418" w:type="dxa"/>
            <w:shd w:val="clear" w:color="auto" w:fill="FFFFFF" w:themeFill="background1"/>
            <w:vAlign w:val="center"/>
          </w:tcPr>
          <w:p w:rsidR="002B6821" w:rsidRPr="00F544B3" w:rsidRDefault="009A03FE" w:rsidP="002F3F6C">
            <w:pPr>
              <w:spacing w:after="80" w:line="240" w:lineRule="auto"/>
              <w:rPr>
                <w:rFonts w:asciiTheme="minorHAnsi" w:hAnsiTheme="minorHAnsi"/>
                <w:color w:val="000000"/>
                <w:sz w:val="17"/>
                <w:szCs w:val="17"/>
              </w:rPr>
            </w:pPr>
            <w:r>
              <w:rPr>
                <w:rStyle w:val="Znakapoznpodarou"/>
                <w:rFonts w:asciiTheme="minorHAnsi" w:hAnsiTheme="minorHAnsi"/>
                <w:color w:val="000000"/>
                <w:sz w:val="17"/>
                <w:szCs w:val="17"/>
              </w:rPr>
              <w:footnoteReference w:id="6"/>
            </w:r>
          </w:p>
        </w:tc>
        <w:tc>
          <w:tcPr>
            <w:tcW w:w="850" w:type="dxa"/>
            <w:shd w:val="clear" w:color="auto" w:fill="FFFFFF" w:themeFill="background1"/>
            <w:vAlign w:val="center"/>
          </w:tcPr>
          <w:p w:rsidR="002B6821" w:rsidRPr="00F544B3" w:rsidRDefault="002B6821" w:rsidP="002F3F6C">
            <w:pPr>
              <w:spacing w:after="80" w:line="240" w:lineRule="auto"/>
              <w:jc w:val="left"/>
              <w:rPr>
                <w:rFonts w:asciiTheme="minorHAnsi" w:hAnsiTheme="minorHAnsi"/>
                <w:color w:val="000000"/>
                <w:sz w:val="17"/>
                <w:szCs w:val="17"/>
              </w:rPr>
            </w:pP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178"/>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sz w:val="17"/>
                <w:szCs w:val="17"/>
              </w:rPr>
            </w:pPr>
            <w:r w:rsidRPr="00F544B3">
              <w:rPr>
                <w:rFonts w:asciiTheme="minorHAnsi" w:hAnsiTheme="minorHAnsi"/>
                <w:sz w:val="17"/>
                <w:szCs w:val="17"/>
              </w:rPr>
              <w:t>EZFRV, 6.1 Přístup k EZFRV: poskytnutí podpory přístupu příslušných zúčastněných stran k EZFRV.</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MZe</w:t>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PRV</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p>
        </w:tc>
      </w:tr>
      <w:tr w:rsidR="002B6821" w:rsidRPr="00F544B3" w:rsidTr="000C0E01">
        <w:trPr>
          <w:trHeight w:val="772"/>
        </w:trPr>
        <w:tc>
          <w:tcPr>
            <w:tcW w:w="709" w:type="dxa"/>
            <w:vMerge w:val="restart"/>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
                <w:bCs/>
                <w:color w:val="FF0000"/>
                <w:sz w:val="17"/>
                <w:szCs w:val="17"/>
              </w:rPr>
              <w:t>TC 9:</w:t>
            </w:r>
            <w:r w:rsidRPr="00F544B3">
              <w:rPr>
                <w:rFonts w:asciiTheme="minorHAnsi" w:hAnsiTheme="minorHAnsi"/>
                <w:bCs/>
                <w:sz w:val="17"/>
                <w:szCs w:val="17"/>
              </w:rPr>
              <w:t xml:space="preserve"> Investice do rozvoje dovedností, vzdělávání a celoživotního učení</w:t>
            </w:r>
          </w:p>
        </w:tc>
        <w:tc>
          <w:tcPr>
            <w:tcW w:w="3827" w:type="dxa"/>
            <w:vAlign w:val="center"/>
          </w:tcPr>
          <w:p w:rsidR="002B6821" w:rsidRPr="00F544B3" w:rsidRDefault="0037582F" w:rsidP="00952632">
            <w:pPr>
              <w:spacing w:after="60" w:line="240" w:lineRule="auto"/>
              <w:jc w:val="left"/>
              <w:rPr>
                <w:rFonts w:asciiTheme="minorHAnsi" w:hAnsiTheme="minorHAnsi"/>
                <w:bCs/>
                <w:sz w:val="17"/>
                <w:szCs w:val="17"/>
              </w:rPr>
            </w:pPr>
            <w:hyperlink r:id="rId18" w:anchor="RANGE!#REF!" w:history="1">
              <w:r w:rsidR="002B6821" w:rsidRPr="00F544B3">
                <w:rPr>
                  <w:rFonts w:asciiTheme="minorHAnsi" w:hAnsiTheme="minorHAnsi"/>
                  <w:bCs/>
                  <w:sz w:val="17"/>
                  <w:szCs w:val="17"/>
                </w:rPr>
                <w:t xml:space="preserve">9.1. </w:t>
              </w:r>
              <w:r w:rsidR="002B6821" w:rsidRPr="00F544B3">
                <w:rPr>
                  <w:rFonts w:asciiTheme="minorHAnsi" w:hAnsiTheme="minorHAnsi"/>
                  <w:bCs/>
                  <w:i/>
                  <w:iCs/>
                  <w:sz w:val="17"/>
                  <w:szCs w:val="17"/>
                </w:rPr>
                <w:t>Předčasné ukončování školní docházky:</w:t>
              </w:r>
              <w:r w:rsidR="002B6821" w:rsidRPr="00F544B3">
                <w:rPr>
                  <w:rFonts w:asciiTheme="minorHAnsi" w:hAnsiTheme="minorHAnsi"/>
                  <w:bCs/>
                  <w:sz w:val="17"/>
                  <w:szCs w:val="17"/>
                </w:rPr>
                <w:t xml:space="preserve"> existence strategického rámce politiky zaměřené na omezování předčasného ukončování školní docházky v mezích článku 165 SFEU.</w:t>
              </w:r>
            </w:hyperlink>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MŠMT</w:t>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VVV</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PPR</w:t>
            </w:r>
          </w:p>
        </w:tc>
      </w:tr>
      <w:tr w:rsidR="002B6821" w:rsidRPr="00F544B3" w:rsidTr="000C0E01">
        <w:trPr>
          <w:trHeight w:val="812"/>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37582F" w:rsidP="00952632">
            <w:pPr>
              <w:spacing w:after="60" w:line="240" w:lineRule="auto"/>
              <w:jc w:val="left"/>
              <w:rPr>
                <w:rFonts w:asciiTheme="minorHAnsi" w:hAnsiTheme="minorHAnsi"/>
                <w:bCs/>
                <w:sz w:val="17"/>
                <w:szCs w:val="17"/>
              </w:rPr>
            </w:pPr>
            <w:hyperlink r:id="rId19" w:anchor="RANGE!#REF!" w:history="1">
              <w:r w:rsidR="002B6821" w:rsidRPr="00F544B3">
                <w:rPr>
                  <w:rFonts w:asciiTheme="minorHAnsi" w:hAnsiTheme="minorHAnsi"/>
                  <w:bCs/>
                  <w:sz w:val="17"/>
                  <w:szCs w:val="17"/>
                </w:rPr>
                <w:t xml:space="preserve">9.2. </w:t>
              </w:r>
              <w:r w:rsidR="002B6821" w:rsidRPr="00F544B3">
                <w:rPr>
                  <w:rFonts w:asciiTheme="minorHAnsi" w:hAnsiTheme="minorHAnsi"/>
                  <w:bCs/>
                  <w:i/>
                  <w:iCs/>
                  <w:sz w:val="17"/>
                  <w:szCs w:val="17"/>
                </w:rPr>
                <w:t>Vysokoškolské vzdělání:</w:t>
              </w:r>
              <w:r w:rsidR="002B6821" w:rsidRPr="00F544B3">
                <w:rPr>
                  <w:rFonts w:asciiTheme="minorHAnsi" w:hAnsiTheme="minorHAnsi"/>
                  <w:bCs/>
                  <w:sz w:val="17"/>
                  <w:szCs w:val="17"/>
                </w:rPr>
                <w:t xml:space="preserve"> existence vnitrostátního nebo regionálního strategického rámce politiky zaměřené na zvyšování úrovně dosaženého terciárního vzdělání, kvality a účinnosti v mezích článku 165 SFEU.</w:t>
              </w:r>
            </w:hyperlink>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MŠMT</w:t>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VVV</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PPR</w:t>
            </w:r>
          </w:p>
        </w:tc>
      </w:tr>
      <w:tr w:rsidR="002B6821" w:rsidRPr="00F544B3" w:rsidTr="000C0E01">
        <w:trPr>
          <w:trHeight w:val="1160"/>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37582F" w:rsidP="00952632">
            <w:pPr>
              <w:spacing w:after="60" w:line="240" w:lineRule="auto"/>
              <w:jc w:val="left"/>
              <w:rPr>
                <w:rFonts w:asciiTheme="minorHAnsi" w:hAnsiTheme="minorHAnsi"/>
                <w:bCs/>
                <w:sz w:val="17"/>
                <w:szCs w:val="17"/>
              </w:rPr>
            </w:pPr>
            <w:hyperlink r:id="rId20" w:anchor="RANGE!#REF!" w:history="1">
              <w:r w:rsidR="002B6821" w:rsidRPr="00F544B3">
                <w:rPr>
                  <w:rFonts w:asciiTheme="minorHAnsi" w:hAnsiTheme="minorHAnsi"/>
                  <w:bCs/>
                  <w:sz w:val="17"/>
                  <w:szCs w:val="17"/>
                </w:rPr>
                <w:t xml:space="preserve">9.3. </w:t>
              </w:r>
              <w:r w:rsidR="002B6821" w:rsidRPr="00F544B3">
                <w:rPr>
                  <w:rFonts w:asciiTheme="minorHAnsi" w:hAnsiTheme="minorHAnsi"/>
                  <w:bCs/>
                  <w:i/>
                  <w:iCs/>
                  <w:sz w:val="17"/>
                  <w:szCs w:val="17"/>
                </w:rPr>
                <w:t>Celoživotní učení:</w:t>
              </w:r>
              <w:r w:rsidR="002B6821" w:rsidRPr="00F544B3">
                <w:rPr>
                  <w:rFonts w:asciiTheme="minorHAnsi" w:hAnsiTheme="minorHAnsi"/>
                  <w:bCs/>
                  <w:sz w:val="17"/>
                  <w:szCs w:val="17"/>
                </w:rPr>
                <w:t xml:space="preserve"> existence vnitrostátního nebo regionálního strategického rámce politiky celoživotního učení v mezích článku 165 SFEU.</w:t>
              </w:r>
            </w:hyperlink>
          </w:p>
        </w:tc>
        <w:tc>
          <w:tcPr>
            <w:tcW w:w="1701" w:type="dxa"/>
            <w:vAlign w:val="center"/>
          </w:tcPr>
          <w:p w:rsidR="002B6821" w:rsidRPr="00F544B3" w:rsidRDefault="002B6821" w:rsidP="002F3F6C">
            <w:pPr>
              <w:spacing w:after="80" w:line="240" w:lineRule="auto"/>
              <w:rPr>
                <w:rFonts w:asciiTheme="minorHAnsi" w:hAnsiTheme="minorHAnsi"/>
                <w:sz w:val="17"/>
                <w:szCs w:val="17"/>
              </w:rPr>
            </w:pPr>
            <w:r w:rsidRPr="00F544B3">
              <w:rPr>
                <w:rFonts w:asciiTheme="minorHAnsi" w:hAnsiTheme="minorHAnsi"/>
                <w:color w:val="FF0000"/>
                <w:sz w:val="17"/>
                <w:szCs w:val="17"/>
              </w:rPr>
              <w:t>MŠMT</w:t>
            </w:r>
            <w:r w:rsidRPr="00F544B3">
              <w:rPr>
                <w:rFonts w:asciiTheme="minorHAnsi" w:hAnsiTheme="minorHAnsi"/>
                <w:sz w:val="17"/>
                <w:szCs w:val="17"/>
              </w:rPr>
              <w:t xml:space="preserve"> / </w:t>
            </w:r>
          </w:p>
          <w:p w:rsidR="002B6821" w:rsidRPr="00F544B3" w:rsidRDefault="002B6821" w:rsidP="002F3F6C">
            <w:pPr>
              <w:spacing w:after="80" w:line="240" w:lineRule="auto"/>
              <w:rPr>
                <w:rFonts w:asciiTheme="minorHAnsi" w:hAnsiTheme="minorHAnsi"/>
                <w:color w:val="FF0000"/>
                <w:sz w:val="17"/>
                <w:szCs w:val="17"/>
              </w:rPr>
            </w:pPr>
            <w:r w:rsidRPr="00F544B3">
              <w:rPr>
                <w:rFonts w:asciiTheme="minorHAnsi" w:hAnsiTheme="minorHAnsi"/>
                <w:sz w:val="17"/>
                <w:szCs w:val="17"/>
              </w:rPr>
              <w:t>MPSV (spolugesce)</w:t>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VVV</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Z</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PPR</w:t>
            </w:r>
          </w:p>
        </w:tc>
      </w:tr>
      <w:tr w:rsidR="002B6821" w:rsidRPr="00F544B3" w:rsidTr="000C0E01">
        <w:trPr>
          <w:trHeight w:val="1119"/>
        </w:trPr>
        <w:tc>
          <w:tcPr>
            <w:tcW w:w="709" w:type="dxa"/>
            <w:vMerge w:val="restart"/>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
                <w:bCs/>
                <w:sz w:val="17"/>
                <w:szCs w:val="17"/>
              </w:rPr>
              <w:t>TC 10:</w:t>
            </w:r>
            <w:r w:rsidRPr="00F544B3">
              <w:rPr>
                <w:rFonts w:asciiTheme="minorHAnsi" w:hAnsiTheme="minorHAnsi"/>
                <w:bCs/>
                <w:sz w:val="17"/>
                <w:szCs w:val="17"/>
              </w:rPr>
              <w:t xml:space="preserve"> Podpora sociálního začleňování a boj proti chudobě</w:t>
            </w: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10.1. Existence a provedení vnitrostátního strategického rámce politiky v oblasti snižování chudoby zaměřené na aktivní začleňování osob vyloučených z trhu práce v souladu s hlavními směry politik zaměstnanosti.</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MPSV</w:t>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ASZ</w:t>
            </w:r>
          </w:p>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Z</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PPR</w:t>
            </w:r>
          </w:p>
        </w:tc>
      </w:tr>
      <w:tr w:rsidR="002B6821" w:rsidRPr="00F544B3" w:rsidTr="000C0E01">
        <w:trPr>
          <w:trHeight w:val="444"/>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37582F" w:rsidP="00952632">
            <w:pPr>
              <w:spacing w:after="60" w:line="240" w:lineRule="auto"/>
              <w:jc w:val="left"/>
              <w:rPr>
                <w:rFonts w:asciiTheme="minorHAnsi" w:hAnsiTheme="minorHAnsi"/>
                <w:bCs/>
                <w:sz w:val="17"/>
                <w:szCs w:val="17"/>
              </w:rPr>
            </w:pPr>
            <w:hyperlink r:id="rId21" w:anchor="RANGE!#REF!" w:history="1">
              <w:r w:rsidR="002B6821" w:rsidRPr="00F544B3">
                <w:rPr>
                  <w:rFonts w:asciiTheme="minorHAnsi" w:hAnsiTheme="minorHAnsi"/>
                  <w:bCs/>
                  <w:sz w:val="17"/>
                  <w:szCs w:val="17"/>
                </w:rPr>
                <w:t>10.2. Existuje vnitrostátní strategický rámec politiky začleňování Romů.</w:t>
              </w:r>
            </w:hyperlink>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ÚV (ASZ)</w:t>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MPSV</w:t>
            </w:r>
          </w:p>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Z</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PPR</w:t>
            </w:r>
          </w:p>
        </w:tc>
      </w:tr>
      <w:tr w:rsidR="002B6821" w:rsidRPr="00F544B3" w:rsidTr="000C0E01">
        <w:trPr>
          <w:trHeight w:val="722"/>
        </w:trPr>
        <w:tc>
          <w:tcPr>
            <w:tcW w:w="709" w:type="dxa"/>
            <w:vMerge/>
            <w:shd w:val="clear" w:color="auto" w:fill="auto"/>
            <w:tcMar>
              <w:left w:w="28" w:type="dxa"/>
              <w:right w:w="28" w:type="dxa"/>
            </w:tcMar>
            <w:vAlign w:val="center"/>
          </w:tcPr>
          <w:p w:rsidR="002B6821" w:rsidRPr="00F544B3" w:rsidRDefault="002B6821" w:rsidP="00952632">
            <w:pPr>
              <w:spacing w:after="60" w:line="240" w:lineRule="auto"/>
              <w:jc w:val="left"/>
              <w:rPr>
                <w:rFonts w:asciiTheme="minorHAnsi" w:hAnsiTheme="minorHAnsi"/>
                <w:bCs/>
                <w:sz w:val="17"/>
                <w:szCs w:val="17"/>
              </w:rPr>
            </w:pPr>
          </w:p>
        </w:tc>
        <w:tc>
          <w:tcPr>
            <w:tcW w:w="3827" w:type="dxa"/>
            <w:vAlign w:val="center"/>
          </w:tcPr>
          <w:p w:rsidR="002B6821" w:rsidRPr="00F544B3" w:rsidRDefault="002B6821" w:rsidP="00952632">
            <w:pPr>
              <w:spacing w:after="60" w:line="240" w:lineRule="auto"/>
              <w:jc w:val="left"/>
              <w:rPr>
                <w:rFonts w:asciiTheme="minorHAnsi" w:hAnsiTheme="minorHAnsi"/>
                <w:bCs/>
                <w:sz w:val="17"/>
                <w:szCs w:val="17"/>
              </w:rPr>
            </w:pPr>
            <w:r w:rsidRPr="00F544B3">
              <w:rPr>
                <w:rFonts w:asciiTheme="minorHAnsi" w:hAnsiTheme="minorHAnsi"/>
                <w:bCs/>
                <w:sz w:val="17"/>
                <w:szCs w:val="17"/>
              </w:rPr>
              <w:t xml:space="preserve">10.3. </w:t>
            </w:r>
            <w:r w:rsidRPr="00F544B3">
              <w:rPr>
                <w:rFonts w:asciiTheme="minorHAnsi" w:hAnsiTheme="minorHAnsi"/>
                <w:bCs/>
                <w:i/>
                <w:iCs/>
                <w:sz w:val="17"/>
                <w:szCs w:val="17"/>
              </w:rPr>
              <w:t xml:space="preserve">Zdraví: </w:t>
            </w:r>
            <w:r w:rsidRPr="00F544B3">
              <w:rPr>
                <w:rFonts w:asciiTheme="minorHAnsi" w:hAnsiTheme="minorHAnsi"/>
                <w:bCs/>
                <w:sz w:val="17"/>
                <w:szCs w:val="17"/>
              </w:rPr>
              <w:t>existence vnitrostátního nebo regionálního strategického rámce politiky v oblasti zdraví v mezích článku 168 SFEU, zajišťujícího ekonomickou udržitelnost.</w:t>
            </w:r>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MZd</w:t>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Z</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tc>
      </w:tr>
      <w:tr w:rsidR="002B6821" w:rsidRPr="00F544B3" w:rsidTr="000C0E01">
        <w:trPr>
          <w:trHeight w:val="1689"/>
        </w:trPr>
        <w:tc>
          <w:tcPr>
            <w:tcW w:w="709" w:type="dxa"/>
            <w:shd w:val="clear" w:color="auto" w:fill="auto"/>
            <w:tcMar>
              <w:left w:w="28" w:type="dxa"/>
              <w:right w:w="28" w:type="dxa"/>
            </w:tcMar>
            <w:vAlign w:val="center"/>
          </w:tcPr>
          <w:p w:rsidR="002B6821" w:rsidRPr="00F544B3" w:rsidRDefault="002B6821" w:rsidP="00F544B3">
            <w:pPr>
              <w:spacing w:after="80" w:line="240" w:lineRule="auto"/>
              <w:jc w:val="left"/>
              <w:rPr>
                <w:rFonts w:asciiTheme="minorHAnsi" w:hAnsiTheme="minorHAnsi"/>
                <w:bCs/>
                <w:sz w:val="17"/>
                <w:szCs w:val="17"/>
              </w:rPr>
            </w:pPr>
            <w:r w:rsidRPr="00F544B3">
              <w:rPr>
                <w:rFonts w:asciiTheme="minorHAnsi" w:hAnsiTheme="minorHAnsi"/>
                <w:b/>
                <w:bCs/>
                <w:color w:val="FF0000"/>
                <w:sz w:val="17"/>
                <w:szCs w:val="17"/>
              </w:rPr>
              <w:t>TC 11:</w:t>
            </w:r>
            <w:r w:rsidRPr="00F544B3">
              <w:rPr>
                <w:rFonts w:asciiTheme="minorHAnsi" w:hAnsiTheme="minorHAnsi"/>
                <w:bCs/>
                <w:sz w:val="17"/>
                <w:szCs w:val="17"/>
              </w:rPr>
              <w:t xml:space="preserve"> Posilování institucionální kapacity a účinné veřejné správy</w:t>
            </w:r>
          </w:p>
          <w:p w:rsidR="002B6821" w:rsidRPr="00F544B3" w:rsidRDefault="002B6821" w:rsidP="00F544B3">
            <w:pPr>
              <w:spacing w:after="80" w:line="240" w:lineRule="auto"/>
              <w:jc w:val="left"/>
              <w:rPr>
                <w:rFonts w:asciiTheme="minorHAnsi" w:hAnsiTheme="minorHAnsi"/>
                <w:b/>
                <w:bCs/>
                <w:color w:val="FF0000"/>
                <w:sz w:val="17"/>
                <w:szCs w:val="17"/>
              </w:rPr>
            </w:pPr>
            <w:r w:rsidRPr="00F544B3">
              <w:rPr>
                <w:rFonts w:asciiTheme="minorHAnsi" w:hAnsiTheme="minorHAnsi"/>
                <w:b/>
                <w:bCs/>
                <w:color w:val="FF0000"/>
                <w:sz w:val="17"/>
                <w:szCs w:val="17"/>
              </w:rPr>
              <w:t>Zároveň HC 1 u EZFRV</w:t>
            </w:r>
          </w:p>
        </w:tc>
        <w:tc>
          <w:tcPr>
            <w:tcW w:w="3827" w:type="dxa"/>
            <w:vAlign w:val="center"/>
          </w:tcPr>
          <w:p w:rsidR="002B6821" w:rsidRPr="00F544B3" w:rsidRDefault="002B6821" w:rsidP="00952632">
            <w:pPr>
              <w:spacing w:after="60" w:line="240" w:lineRule="auto"/>
              <w:jc w:val="left"/>
              <w:rPr>
                <w:rFonts w:asciiTheme="minorHAnsi" w:hAnsiTheme="minorHAnsi"/>
                <w:bCs/>
                <w:i/>
                <w:iCs/>
                <w:sz w:val="17"/>
                <w:szCs w:val="17"/>
              </w:rPr>
            </w:pPr>
            <w:r w:rsidRPr="00F544B3">
              <w:rPr>
                <w:rFonts w:asciiTheme="minorHAnsi" w:hAnsiTheme="minorHAnsi"/>
                <w:bCs/>
                <w:i/>
                <w:iCs/>
                <w:sz w:val="17"/>
                <w:szCs w:val="17"/>
              </w:rPr>
              <w:t>Účinnost veřejné správy v členských státech:</w:t>
            </w:r>
          </w:p>
          <w:p w:rsidR="002B6821" w:rsidRPr="00F544B3" w:rsidRDefault="0037582F" w:rsidP="00952632">
            <w:pPr>
              <w:spacing w:after="60" w:line="240" w:lineRule="auto"/>
              <w:jc w:val="left"/>
              <w:rPr>
                <w:rFonts w:asciiTheme="minorHAnsi" w:hAnsiTheme="minorHAnsi"/>
                <w:bCs/>
                <w:i/>
                <w:iCs/>
                <w:sz w:val="17"/>
                <w:szCs w:val="17"/>
              </w:rPr>
            </w:pPr>
            <w:hyperlink r:id="rId22" w:anchor="RANGE!#REF!" w:history="1">
              <w:r w:rsidR="002B6821" w:rsidRPr="00F544B3">
                <w:rPr>
                  <w:rFonts w:asciiTheme="minorHAnsi" w:hAnsiTheme="minorHAnsi"/>
                  <w:bCs/>
                  <w:sz w:val="17"/>
                  <w:szCs w:val="17"/>
                </w:rPr>
                <w:t>existence strategického rámce politiky zaměřené na posilování účinnosti veřejné správy členského státu, včetně reformy veřejné správy.</w:t>
              </w:r>
            </w:hyperlink>
          </w:p>
        </w:tc>
        <w:tc>
          <w:tcPr>
            <w:tcW w:w="1701" w:type="dxa"/>
            <w:vAlign w:val="center"/>
          </w:tcPr>
          <w:p w:rsidR="002B6821" w:rsidRPr="00F544B3" w:rsidRDefault="002B6821" w:rsidP="002F3F6C">
            <w:pPr>
              <w:spacing w:after="80" w:line="240" w:lineRule="auto"/>
              <w:jc w:val="left"/>
              <w:rPr>
                <w:rFonts w:asciiTheme="minorHAnsi" w:hAnsiTheme="minorHAnsi"/>
                <w:color w:val="FF0000"/>
                <w:sz w:val="17"/>
                <w:szCs w:val="17"/>
              </w:rPr>
            </w:pPr>
            <w:r w:rsidRPr="00F544B3">
              <w:rPr>
                <w:rFonts w:asciiTheme="minorHAnsi" w:hAnsiTheme="minorHAnsi"/>
                <w:color w:val="FF0000"/>
                <w:sz w:val="17"/>
                <w:szCs w:val="17"/>
              </w:rPr>
              <w:t>MV</w:t>
            </w:r>
          </w:p>
        </w:tc>
        <w:tc>
          <w:tcPr>
            <w:tcW w:w="1418" w:type="dxa"/>
            <w:vAlign w:val="center"/>
          </w:tcPr>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ÚV</w:t>
            </w:r>
          </w:p>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MZe (gesce za HC 1)</w:t>
            </w:r>
          </w:p>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 xml:space="preserve">Další resorty </w:t>
            </w:r>
          </w:p>
          <w:p w:rsidR="002B6821" w:rsidRPr="00F544B3" w:rsidRDefault="002B6821" w:rsidP="002F3F6C">
            <w:pPr>
              <w:spacing w:after="80" w:line="240" w:lineRule="auto"/>
              <w:rPr>
                <w:rFonts w:asciiTheme="minorHAnsi" w:hAnsiTheme="minorHAnsi"/>
                <w:color w:val="000000"/>
                <w:sz w:val="17"/>
                <w:szCs w:val="17"/>
              </w:rPr>
            </w:pPr>
            <w:r w:rsidRPr="00F544B3">
              <w:rPr>
                <w:rFonts w:asciiTheme="minorHAnsi" w:hAnsiTheme="minorHAnsi"/>
                <w:color w:val="000000"/>
                <w:sz w:val="17"/>
                <w:szCs w:val="17"/>
              </w:rPr>
              <w:t>Kraje</w:t>
            </w:r>
          </w:p>
        </w:tc>
        <w:tc>
          <w:tcPr>
            <w:tcW w:w="850" w:type="dxa"/>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OP Z</w:t>
            </w:r>
          </w:p>
        </w:tc>
        <w:tc>
          <w:tcPr>
            <w:tcW w:w="709" w:type="dxa"/>
            <w:shd w:val="clear" w:color="auto" w:fill="auto"/>
            <w:vAlign w:val="center"/>
          </w:tcPr>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IROP</w:t>
            </w:r>
          </w:p>
          <w:p w:rsidR="002B6821" w:rsidRPr="00F544B3" w:rsidRDefault="002B6821" w:rsidP="002F3F6C">
            <w:pPr>
              <w:spacing w:after="80" w:line="240" w:lineRule="auto"/>
              <w:jc w:val="left"/>
              <w:rPr>
                <w:rFonts w:asciiTheme="minorHAnsi" w:hAnsiTheme="minorHAnsi"/>
                <w:color w:val="000000"/>
                <w:sz w:val="17"/>
                <w:szCs w:val="17"/>
              </w:rPr>
            </w:pPr>
            <w:r w:rsidRPr="00F544B3">
              <w:rPr>
                <w:rFonts w:asciiTheme="minorHAnsi" w:hAnsiTheme="minorHAnsi"/>
                <w:color w:val="000000"/>
                <w:sz w:val="17"/>
                <w:szCs w:val="17"/>
              </w:rPr>
              <w:t>PRV</w:t>
            </w:r>
          </w:p>
        </w:tc>
      </w:tr>
    </w:tbl>
    <w:p w:rsidR="002B6821" w:rsidRDefault="002B6821" w:rsidP="002B6821">
      <w:pPr>
        <w:spacing w:before="120" w:after="60" w:line="288" w:lineRule="auto"/>
        <w:rPr>
          <w:rFonts w:asciiTheme="minorHAnsi" w:hAnsiTheme="minorHAnsi" w:cs="Arial"/>
          <w:b/>
        </w:rPr>
      </w:pPr>
    </w:p>
    <w:p w:rsidR="002B6821" w:rsidRPr="00F544B3" w:rsidRDefault="002B6821" w:rsidP="002B6821">
      <w:pPr>
        <w:spacing w:before="120" w:after="60" w:line="288" w:lineRule="auto"/>
        <w:rPr>
          <w:u w:val="single"/>
        </w:rPr>
      </w:pPr>
      <w:r w:rsidRPr="00F544B3">
        <w:rPr>
          <w:rFonts w:asciiTheme="minorHAnsi" w:hAnsiTheme="minorHAnsi" w:cs="Arial"/>
          <w:u w:val="single"/>
        </w:rPr>
        <w:t xml:space="preserve">Tab. </w:t>
      </w:r>
      <w:r w:rsidR="00706123">
        <w:rPr>
          <w:rFonts w:asciiTheme="minorHAnsi" w:hAnsiTheme="minorHAnsi" w:cs="Arial"/>
          <w:u w:val="single"/>
        </w:rPr>
        <w:t>8</w:t>
      </w:r>
      <w:r w:rsidRPr="00F544B3">
        <w:rPr>
          <w:rFonts w:asciiTheme="minorHAnsi" w:hAnsiTheme="minorHAnsi" w:cs="Arial"/>
          <w:u w:val="single"/>
        </w:rPr>
        <w:t xml:space="preserve">: Vymezení odpovědností v rámci </w:t>
      </w:r>
      <w:r w:rsidRPr="00F544B3">
        <w:rPr>
          <w:rFonts w:asciiTheme="minorHAnsi" w:hAnsiTheme="minorHAnsi" w:cs="Arial"/>
          <w:b/>
          <w:u w:val="single"/>
        </w:rPr>
        <w:t>obecných a horizontálních</w:t>
      </w:r>
      <w:r w:rsidRPr="00F544B3">
        <w:rPr>
          <w:rFonts w:asciiTheme="minorHAnsi" w:hAnsiTheme="minorHAnsi" w:cs="Arial"/>
          <w:u w:val="single"/>
        </w:rPr>
        <w:t xml:space="preserve"> předběžných podmínek</w:t>
      </w:r>
    </w:p>
    <w:tbl>
      <w:tblPr>
        <w:tblW w:w="91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47"/>
        <w:gridCol w:w="3525"/>
        <w:gridCol w:w="1693"/>
        <w:gridCol w:w="1412"/>
        <w:gridCol w:w="847"/>
        <w:gridCol w:w="748"/>
      </w:tblGrid>
      <w:tr w:rsidR="002B6821" w:rsidRPr="00706123" w:rsidTr="000C0E01">
        <w:trPr>
          <w:trHeight w:val="441"/>
          <w:tblHeader/>
        </w:trPr>
        <w:tc>
          <w:tcPr>
            <w:tcW w:w="947" w:type="dxa"/>
            <w:vMerge w:val="restart"/>
            <w:shd w:val="clear" w:color="auto" w:fill="95B3D7" w:themeFill="accent1" w:themeFillTint="99"/>
            <w:tcMar>
              <w:left w:w="28" w:type="dxa"/>
              <w:right w:w="28" w:type="dxa"/>
            </w:tcMar>
            <w:vAlign w:val="center"/>
          </w:tcPr>
          <w:p w:rsidR="002B6821" w:rsidRPr="00706123" w:rsidRDefault="002B6821" w:rsidP="00952632">
            <w:pPr>
              <w:spacing w:line="240" w:lineRule="auto"/>
              <w:jc w:val="center"/>
              <w:rPr>
                <w:rFonts w:asciiTheme="minorHAnsi" w:hAnsiTheme="minorHAnsi"/>
                <w:b/>
                <w:bCs/>
                <w:sz w:val="17"/>
                <w:szCs w:val="17"/>
              </w:rPr>
            </w:pPr>
            <w:r w:rsidRPr="00706123">
              <w:rPr>
                <w:rFonts w:asciiTheme="minorHAnsi" w:hAnsiTheme="minorHAnsi"/>
                <w:b/>
                <w:bCs/>
                <w:sz w:val="17"/>
                <w:szCs w:val="17"/>
              </w:rPr>
              <w:t>Oblast</w:t>
            </w:r>
          </w:p>
        </w:tc>
        <w:tc>
          <w:tcPr>
            <w:tcW w:w="3525" w:type="dxa"/>
            <w:vMerge w:val="restart"/>
            <w:shd w:val="clear" w:color="auto" w:fill="95B3D7" w:themeFill="accent1" w:themeFillTint="99"/>
            <w:vAlign w:val="center"/>
          </w:tcPr>
          <w:p w:rsidR="002B6821" w:rsidRPr="00706123" w:rsidRDefault="002B6821" w:rsidP="00952632">
            <w:pPr>
              <w:spacing w:line="240" w:lineRule="auto"/>
              <w:jc w:val="center"/>
              <w:rPr>
                <w:rFonts w:asciiTheme="minorHAnsi" w:hAnsiTheme="minorHAnsi"/>
                <w:b/>
                <w:sz w:val="17"/>
                <w:szCs w:val="17"/>
              </w:rPr>
            </w:pPr>
            <w:r w:rsidRPr="00706123">
              <w:rPr>
                <w:rFonts w:asciiTheme="minorHAnsi" w:hAnsiTheme="minorHAnsi"/>
                <w:b/>
                <w:sz w:val="17"/>
                <w:szCs w:val="17"/>
              </w:rPr>
              <w:t>Předběžná podmínka</w:t>
            </w:r>
          </w:p>
        </w:tc>
        <w:tc>
          <w:tcPr>
            <w:tcW w:w="3105" w:type="dxa"/>
            <w:gridSpan w:val="2"/>
            <w:shd w:val="clear" w:color="auto" w:fill="95B3D7" w:themeFill="accent1" w:themeFillTint="99"/>
            <w:vAlign w:val="center"/>
          </w:tcPr>
          <w:p w:rsidR="002B6821" w:rsidRPr="00706123" w:rsidRDefault="002B6821" w:rsidP="00952632">
            <w:pPr>
              <w:jc w:val="center"/>
              <w:rPr>
                <w:rFonts w:asciiTheme="minorHAnsi" w:hAnsiTheme="minorHAnsi"/>
                <w:b/>
                <w:sz w:val="17"/>
                <w:szCs w:val="17"/>
              </w:rPr>
            </w:pPr>
            <w:r w:rsidRPr="00706123">
              <w:rPr>
                <w:rFonts w:asciiTheme="minorHAnsi" w:hAnsiTheme="minorHAnsi"/>
                <w:b/>
                <w:sz w:val="17"/>
                <w:szCs w:val="17"/>
              </w:rPr>
              <w:t>Subjekty odpovědné za naplňování PP</w:t>
            </w:r>
          </w:p>
        </w:tc>
        <w:tc>
          <w:tcPr>
            <w:tcW w:w="1595" w:type="dxa"/>
            <w:gridSpan w:val="2"/>
            <w:shd w:val="clear" w:color="auto" w:fill="95B3D7" w:themeFill="accent1" w:themeFillTint="99"/>
            <w:vAlign w:val="center"/>
          </w:tcPr>
          <w:p w:rsidR="002B6821" w:rsidRPr="00706123" w:rsidRDefault="002B6821" w:rsidP="00952632">
            <w:pPr>
              <w:jc w:val="center"/>
              <w:rPr>
                <w:rFonts w:asciiTheme="minorHAnsi" w:hAnsiTheme="minorHAnsi"/>
                <w:b/>
                <w:color w:val="000000"/>
                <w:sz w:val="17"/>
                <w:szCs w:val="17"/>
              </w:rPr>
            </w:pPr>
            <w:r w:rsidRPr="00706123">
              <w:rPr>
                <w:rFonts w:asciiTheme="minorHAnsi" w:hAnsiTheme="minorHAnsi"/>
                <w:b/>
                <w:color w:val="000000"/>
                <w:sz w:val="17"/>
                <w:szCs w:val="17"/>
              </w:rPr>
              <w:t>Uplatnitelnost PP v OP</w:t>
            </w:r>
          </w:p>
        </w:tc>
      </w:tr>
      <w:tr w:rsidR="002B6821" w:rsidRPr="00706123" w:rsidTr="000C0E01">
        <w:trPr>
          <w:trHeight w:val="689"/>
          <w:tblHeader/>
        </w:trPr>
        <w:tc>
          <w:tcPr>
            <w:tcW w:w="947" w:type="dxa"/>
            <w:vMerge/>
            <w:shd w:val="clear" w:color="auto" w:fill="auto"/>
            <w:tcMar>
              <w:left w:w="28" w:type="dxa"/>
              <w:right w:w="28" w:type="dxa"/>
            </w:tcMar>
            <w:vAlign w:val="center"/>
          </w:tcPr>
          <w:p w:rsidR="002B6821" w:rsidRPr="00706123" w:rsidRDefault="002B6821" w:rsidP="00952632">
            <w:pPr>
              <w:spacing w:line="240" w:lineRule="auto"/>
              <w:jc w:val="left"/>
              <w:rPr>
                <w:rFonts w:asciiTheme="minorHAnsi" w:hAnsiTheme="minorHAnsi"/>
                <w:bCs/>
                <w:sz w:val="17"/>
                <w:szCs w:val="17"/>
              </w:rPr>
            </w:pPr>
          </w:p>
        </w:tc>
        <w:tc>
          <w:tcPr>
            <w:tcW w:w="3525" w:type="dxa"/>
            <w:vMerge/>
            <w:shd w:val="clear" w:color="auto" w:fill="B8CCE4" w:themeFill="accent1" w:themeFillTint="66"/>
            <w:vAlign w:val="center"/>
          </w:tcPr>
          <w:p w:rsidR="002B6821" w:rsidRPr="00706123" w:rsidRDefault="002B6821" w:rsidP="00952632">
            <w:pPr>
              <w:spacing w:line="240" w:lineRule="auto"/>
              <w:jc w:val="left"/>
              <w:rPr>
                <w:rFonts w:asciiTheme="minorHAnsi" w:hAnsiTheme="minorHAnsi"/>
                <w:sz w:val="17"/>
                <w:szCs w:val="17"/>
              </w:rPr>
            </w:pPr>
          </w:p>
        </w:tc>
        <w:tc>
          <w:tcPr>
            <w:tcW w:w="1693" w:type="dxa"/>
            <w:shd w:val="clear" w:color="auto" w:fill="DBE5F1" w:themeFill="accent1" w:themeFillTint="33"/>
            <w:vAlign w:val="center"/>
          </w:tcPr>
          <w:p w:rsidR="002B6821" w:rsidRPr="00706123" w:rsidRDefault="002B6821" w:rsidP="00952632">
            <w:pPr>
              <w:jc w:val="center"/>
              <w:rPr>
                <w:rFonts w:asciiTheme="minorHAnsi" w:hAnsiTheme="minorHAnsi"/>
                <w:sz w:val="17"/>
                <w:szCs w:val="17"/>
              </w:rPr>
            </w:pPr>
            <w:r w:rsidRPr="00706123">
              <w:rPr>
                <w:rFonts w:asciiTheme="minorHAnsi" w:hAnsiTheme="minorHAnsi"/>
                <w:sz w:val="17"/>
                <w:szCs w:val="17"/>
              </w:rPr>
              <w:t>Gestor za celou PP / Gestor za dílčí kritéria</w:t>
            </w:r>
          </w:p>
        </w:tc>
        <w:tc>
          <w:tcPr>
            <w:tcW w:w="1412" w:type="dxa"/>
            <w:shd w:val="clear" w:color="auto" w:fill="DBE5F1" w:themeFill="accent1" w:themeFillTint="33"/>
            <w:vAlign w:val="center"/>
          </w:tcPr>
          <w:p w:rsidR="002B6821" w:rsidRPr="00706123" w:rsidRDefault="002B6821" w:rsidP="00952632">
            <w:pPr>
              <w:jc w:val="center"/>
              <w:rPr>
                <w:rFonts w:asciiTheme="minorHAnsi" w:hAnsiTheme="minorHAnsi"/>
                <w:color w:val="000000"/>
                <w:sz w:val="17"/>
                <w:szCs w:val="17"/>
              </w:rPr>
            </w:pPr>
            <w:r w:rsidRPr="00706123">
              <w:rPr>
                <w:rFonts w:asciiTheme="minorHAnsi" w:hAnsiTheme="minorHAnsi"/>
                <w:color w:val="000000"/>
                <w:sz w:val="17"/>
                <w:szCs w:val="17"/>
              </w:rPr>
              <w:t>Další subjekty</w:t>
            </w:r>
          </w:p>
        </w:tc>
        <w:tc>
          <w:tcPr>
            <w:tcW w:w="847" w:type="dxa"/>
            <w:shd w:val="clear" w:color="auto" w:fill="DBE5F1" w:themeFill="accent1" w:themeFillTint="33"/>
            <w:vAlign w:val="center"/>
          </w:tcPr>
          <w:p w:rsidR="002B6821" w:rsidRPr="00706123" w:rsidRDefault="002B6821" w:rsidP="00952632">
            <w:pPr>
              <w:jc w:val="center"/>
              <w:rPr>
                <w:rFonts w:asciiTheme="minorHAnsi" w:hAnsiTheme="minorHAnsi"/>
                <w:color w:val="000000"/>
                <w:sz w:val="17"/>
                <w:szCs w:val="17"/>
              </w:rPr>
            </w:pPr>
            <w:r w:rsidRPr="00706123">
              <w:rPr>
                <w:rFonts w:asciiTheme="minorHAnsi" w:hAnsiTheme="minorHAnsi"/>
                <w:color w:val="000000"/>
                <w:sz w:val="17"/>
                <w:szCs w:val="17"/>
              </w:rPr>
              <w:t>Primární OP</w:t>
            </w:r>
          </w:p>
        </w:tc>
        <w:tc>
          <w:tcPr>
            <w:tcW w:w="748" w:type="dxa"/>
            <w:shd w:val="clear" w:color="auto" w:fill="DBE5F1" w:themeFill="accent1" w:themeFillTint="33"/>
            <w:vAlign w:val="center"/>
          </w:tcPr>
          <w:p w:rsidR="002B6821" w:rsidRPr="00706123" w:rsidRDefault="002B6821" w:rsidP="00952632">
            <w:pPr>
              <w:jc w:val="center"/>
              <w:rPr>
                <w:rFonts w:asciiTheme="minorHAnsi" w:hAnsiTheme="minorHAnsi"/>
                <w:color w:val="000000"/>
                <w:sz w:val="17"/>
                <w:szCs w:val="17"/>
              </w:rPr>
            </w:pPr>
            <w:r w:rsidRPr="00706123">
              <w:rPr>
                <w:rFonts w:asciiTheme="minorHAnsi" w:hAnsiTheme="minorHAnsi"/>
                <w:color w:val="000000"/>
                <w:sz w:val="17"/>
                <w:szCs w:val="17"/>
              </w:rPr>
              <w:t>Další OP</w:t>
            </w:r>
          </w:p>
        </w:tc>
      </w:tr>
      <w:tr w:rsidR="002B6821" w:rsidRPr="00706123" w:rsidTr="000C0E01">
        <w:trPr>
          <w:trHeight w:val="940"/>
        </w:trPr>
        <w:tc>
          <w:tcPr>
            <w:tcW w:w="947" w:type="dxa"/>
            <w:shd w:val="clear" w:color="auto" w:fill="auto"/>
            <w:tcMar>
              <w:left w:w="28" w:type="dxa"/>
              <w:right w:w="28" w:type="dxa"/>
            </w:tcMar>
            <w:vAlign w:val="center"/>
          </w:tcPr>
          <w:p w:rsidR="002B6821" w:rsidRPr="00706123" w:rsidRDefault="002B6821" w:rsidP="00952632">
            <w:pPr>
              <w:spacing w:line="240" w:lineRule="auto"/>
              <w:jc w:val="left"/>
              <w:rPr>
                <w:rFonts w:asciiTheme="minorHAnsi" w:hAnsiTheme="minorHAnsi"/>
                <w:b/>
                <w:bCs/>
                <w:strike/>
                <w:sz w:val="17"/>
                <w:szCs w:val="17"/>
              </w:rPr>
            </w:pPr>
            <w:r w:rsidRPr="00706123">
              <w:rPr>
                <w:rFonts w:asciiTheme="minorHAnsi" w:hAnsiTheme="minorHAnsi"/>
                <w:b/>
                <w:bCs/>
                <w:strike/>
                <w:sz w:val="17"/>
                <w:szCs w:val="17"/>
              </w:rPr>
              <w:t>1. Nediskrimace</w:t>
            </w:r>
          </w:p>
        </w:tc>
        <w:tc>
          <w:tcPr>
            <w:tcW w:w="3525" w:type="dxa"/>
            <w:vAlign w:val="center"/>
          </w:tcPr>
          <w:p w:rsidR="002B6821" w:rsidRPr="00706123" w:rsidRDefault="002B6821" w:rsidP="00952632">
            <w:pPr>
              <w:spacing w:line="240" w:lineRule="auto"/>
              <w:jc w:val="left"/>
              <w:rPr>
                <w:rFonts w:asciiTheme="minorHAnsi" w:hAnsiTheme="minorHAnsi"/>
                <w:strike/>
                <w:color w:val="000000"/>
                <w:sz w:val="17"/>
                <w:szCs w:val="17"/>
              </w:rPr>
            </w:pPr>
            <w:r w:rsidRPr="00706123">
              <w:rPr>
                <w:rFonts w:asciiTheme="minorHAnsi" w:hAnsiTheme="minorHAnsi"/>
                <w:strike/>
                <w:color w:val="000000"/>
                <w:sz w:val="17"/>
                <w:szCs w:val="17"/>
              </w:rPr>
              <w:t>Existence mechanismu, který zajišťuje účinné provádění a uplatňování směrnice 2000/78/ES ze dne 27. listopadu 2000, kterou se stanoví obecný rámec pro rovné zacházení v zaměstnání a povolání, a směrnice 2000/43/ES ze dne 29. června 2000, kterou se zavádí zásada rovného zacházení s osobami bez ohledu na jejich rasu nebo etnický původ</w:t>
            </w:r>
          </w:p>
        </w:tc>
        <w:tc>
          <w:tcPr>
            <w:tcW w:w="1693" w:type="dxa"/>
            <w:vAlign w:val="center"/>
          </w:tcPr>
          <w:p w:rsidR="002B6821" w:rsidRPr="00706123" w:rsidRDefault="002B6821" w:rsidP="00952632">
            <w:pPr>
              <w:spacing w:after="60" w:line="240" w:lineRule="auto"/>
              <w:jc w:val="left"/>
              <w:rPr>
                <w:rFonts w:asciiTheme="minorHAnsi" w:hAnsiTheme="minorHAnsi"/>
                <w:strike/>
                <w:color w:val="FF0000"/>
                <w:sz w:val="17"/>
                <w:szCs w:val="17"/>
              </w:rPr>
            </w:pPr>
            <w:r w:rsidRPr="00706123">
              <w:rPr>
                <w:rFonts w:asciiTheme="minorHAnsi" w:hAnsiTheme="minorHAnsi"/>
                <w:strike/>
                <w:color w:val="FF0000"/>
                <w:sz w:val="17"/>
                <w:szCs w:val="17"/>
              </w:rPr>
              <w:t>ÚV /</w:t>
            </w:r>
          </w:p>
          <w:p w:rsidR="002B6821" w:rsidRPr="00706123" w:rsidRDefault="002B6821" w:rsidP="00952632">
            <w:pPr>
              <w:spacing w:after="60" w:line="240" w:lineRule="auto"/>
              <w:jc w:val="left"/>
              <w:rPr>
                <w:rFonts w:asciiTheme="minorHAnsi" w:hAnsiTheme="minorHAnsi"/>
                <w:strike/>
                <w:color w:val="FF0000"/>
                <w:sz w:val="17"/>
                <w:szCs w:val="17"/>
              </w:rPr>
            </w:pPr>
            <w:r w:rsidRPr="00706123">
              <w:rPr>
                <w:rFonts w:asciiTheme="minorHAnsi" w:hAnsiTheme="minorHAnsi"/>
                <w:strike/>
                <w:sz w:val="17"/>
                <w:szCs w:val="17"/>
              </w:rPr>
              <w:t>Všechny ŘO (spolugesce za dílčí kritéria)</w:t>
            </w:r>
          </w:p>
        </w:tc>
        <w:tc>
          <w:tcPr>
            <w:tcW w:w="1412" w:type="dxa"/>
            <w:vAlign w:val="center"/>
          </w:tcPr>
          <w:p w:rsidR="002B6821" w:rsidRPr="00706123" w:rsidRDefault="002B6821" w:rsidP="00952632">
            <w:pPr>
              <w:spacing w:after="120" w:line="240" w:lineRule="auto"/>
              <w:jc w:val="left"/>
              <w:rPr>
                <w:rFonts w:asciiTheme="minorHAnsi" w:hAnsiTheme="minorHAnsi"/>
                <w:strike/>
                <w:color w:val="000000"/>
                <w:sz w:val="17"/>
                <w:szCs w:val="17"/>
              </w:rPr>
            </w:pPr>
            <w:r w:rsidRPr="00706123">
              <w:rPr>
                <w:rFonts w:asciiTheme="minorHAnsi" w:hAnsiTheme="minorHAnsi"/>
                <w:strike/>
                <w:color w:val="000000"/>
                <w:sz w:val="17"/>
                <w:szCs w:val="17"/>
              </w:rPr>
              <w:t>MPSV</w:t>
            </w:r>
          </w:p>
          <w:p w:rsidR="002B6821" w:rsidRPr="00706123" w:rsidRDefault="002B6821" w:rsidP="00952632">
            <w:pPr>
              <w:spacing w:after="120" w:line="240" w:lineRule="auto"/>
              <w:jc w:val="left"/>
              <w:rPr>
                <w:rFonts w:asciiTheme="minorHAnsi" w:hAnsiTheme="minorHAnsi"/>
                <w:strike/>
                <w:color w:val="000000"/>
                <w:sz w:val="17"/>
                <w:szCs w:val="17"/>
              </w:rPr>
            </w:pPr>
            <w:r w:rsidRPr="00706123">
              <w:rPr>
                <w:rFonts w:asciiTheme="minorHAnsi" w:hAnsiTheme="minorHAnsi"/>
                <w:strike/>
                <w:color w:val="000000"/>
                <w:sz w:val="17"/>
                <w:szCs w:val="17"/>
              </w:rPr>
              <w:t>MS</w:t>
            </w:r>
          </w:p>
        </w:tc>
        <w:tc>
          <w:tcPr>
            <w:tcW w:w="847" w:type="dxa"/>
            <w:vAlign w:val="center"/>
          </w:tcPr>
          <w:p w:rsidR="002B6821" w:rsidRPr="00706123" w:rsidRDefault="002B6821" w:rsidP="00952632">
            <w:pPr>
              <w:spacing w:after="120" w:line="264" w:lineRule="auto"/>
              <w:jc w:val="left"/>
              <w:rPr>
                <w:rFonts w:asciiTheme="minorHAnsi" w:hAnsiTheme="minorHAnsi"/>
                <w:strike/>
                <w:color w:val="000000"/>
                <w:sz w:val="17"/>
                <w:szCs w:val="17"/>
              </w:rPr>
            </w:pPr>
            <w:r w:rsidRPr="00706123">
              <w:rPr>
                <w:rFonts w:asciiTheme="minorHAnsi" w:hAnsiTheme="minorHAnsi"/>
                <w:strike/>
                <w:color w:val="000000"/>
                <w:sz w:val="17"/>
                <w:szCs w:val="17"/>
              </w:rPr>
              <w:t>Všechny OP</w:t>
            </w:r>
          </w:p>
        </w:tc>
        <w:tc>
          <w:tcPr>
            <w:tcW w:w="748" w:type="dxa"/>
            <w:shd w:val="clear" w:color="auto" w:fill="auto"/>
            <w:vAlign w:val="center"/>
          </w:tcPr>
          <w:p w:rsidR="002B6821" w:rsidRPr="00706123" w:rsidRDefault="002B6821" w:rsidP="00952632">
            <w:pPr>
              <w:spacing w:after="120" w:line="240" w:lineRule="auto"/>
              <w:jc w:val="left"/>
              <w:rPr>
                <w:rFonts w:asciiTheme="minorHAnsi" w:hAnsiTheme="minorHAnsi"/>
                <w:color w:val="000000"/>
                <w:sz w:val="17"/>
                <w:szCs w:val="17"/>
              </w:rPr>
            </w:pPr>
          </w:p>
        </w:tc>
      </w:tr>
      <w:tr w:rsidR="002B6821" w:rsidRPr="00706123" w:rsidTr="000C0E01">
        <w:trPr>
          <w:trHeight w:val="377"/>
        </w:trPr>
        <w:tc>
          <w:tcPr>
            <w:tcW w:w="947" w:type="dxa"/>
            <w:shd w:val="clear" w:color="auto" w:fill="auto"/>
            <w:tcMar>
              <w:left w:w="28" w:type="dxa"/>
              <w:right w:w="28" w:type="dxa"/>
            </w:tcMar>
            <w:vAlign w:val="center"/>
          </w:tcPr>
          <w:p w:rsidR="002B6821" w:rsidRPr="00706123" w:rsidRDefault="002B6821" w:rsidP="00952632">
            <w:pPr>
              <w:spacing w:line="240" w:lineRule="auto"/>
              <w:jc w:val="left"/>
              <w:rPr>
                <w:rFonts w:asciiTheme="minorHAnsi" w:hAnsiTheme="minorHAnsi"/>
                <w:b/>
                <w:bCs/>
                <w:strike/>
                <w:sz w:val="17"/>
                <w:szCs w:val="17"/>
              </w:rPr>
            </w:pPr>
            <w:r w:rsidRPr="00706123">
              <w:rPr>
                <w:rFonts w:asciiTheme="minorHAnsi" w:hAnsiTheme="minorHAnsi"/>
                <w:b/>
                <w:bCs/>
                <w:strike/>
                <w:sz w:val="17"/>
                <w:szCs w:val="17"/>
              </w:rPr>
              <w:t>2. Rovnost mužů a žen</w:t>
            </w:r>
          </w:p>
        </w:tc>
        <w:tc>
          <w:tcPr>
            <w:tcW w:w="3525" w:type="dxa"/>
            <w:vAlign w:val="center"/>
          </w:tcPr>
          <w:p w:rsidR="002B6821" w:rsidRPr="00706123" w:rsidRDefault="002B6821" w:rsidP="00952632">
            <w:pPr>
              <w:spacing w:line="240" w:lineRule="auto"/>
              <w:jc w:val="left"/>
              <w:rPr>
                <w:rFonts w:asciiTheme="minorHAnsi" w:hAnsiTheme="minorHAnsi"/>
                <w:strike/>
                <w:color w:val="000000"/>
                <w:sz w:val="17"/>
                <w:szCs w:val="17"/>
              </w:rPr>
            </w:pPr>
            <w:r w:rsidRPr="00706123">
              <w:rPr>
                <w:rFonts w:asciiTheme="minorHAnsi" w:hAnsiTheme="minorHAnsi"/>
                <w:strike/>
                <w:color w:val="000000"/>
                <w:sz w:val="17"/>
                <w:szCs w:val="17"/>
              </w:rPr>
              <w:t>Existence strategie na podporu rovnosti žen a mužů a mechanismu, který zajistí její účinné provádění</w:t>
            </w:r>
          </w:p>
        </w:tc>
        <w:tc>
          <w:tcPr>
            <w:tcW w:w="1693" w:type="dxa"/>
            <w:vAlign w:val="center"/>
          </w:tcPr>
          <w:p w:rsidR="002B6821" w:rsidRPr="00706123" w:rsidRDefault="002B6821" w:rsidP="00952632">
            <w:pPr>
              <w:spacing w:after="60" w:line="240" w:lineRule="auto"/>
              <w:jc w:val="left"/>
              <w:rPr>
                <w:rFonts w:asciiTheme="minorHAnsi" w:hAnsiTheme="minorHAnsi"/>
                <w:strike/>
                <w:color w:val="FF0000"/>
                <w:sz w:val="17"/>
                <w:szCs w:val="17"/>
              </w:rPr>
            </w:pPr>
            <w:r w:rsidRPr="00706123">
              <w:rPr>
                <w:rFonts w:asciiTheme="minorHAnsi" w:hAnsiTheme="minorHAnsi"/>
                <w:strike/>
                <w:color w:val="FF0000"/>
                <w:sz w:val="17"/>
                <w:szCs w:val="17"/>
              </w:rPr>
              <w:t>MPSV /</w:t>
            </w:r>
          </w:p>
          <w:p w:rsidR="002B6821" w:rsidRPr="00706123" w:rsidRDefault="002B6821" w:rsidP="00952632">
            <w:pPr>
              <w:spacing w:after="60" w:line="240" w:lineRule="auto"/>
              <w:jc w:val="left"/>
              <w:rPr>
                <w:rFonts w:asciiTheme="minorHAnsi" w:hAnsiTheme="minorHAnsi"/>
                <w:strike/>
                <w:color w:val="FF0000"/>
                <w:sz w:val="17"/>
                <w:szCs w:val="17"/>
              </w:rPr>
            </w:pPr>
            <w:r w:rsidRPr="00706123">
              <w:rPr>
                <w:rFonts w:asciiTheme="minorHAnsi" w:hAnsiTheme="minorHAnsi"/>
                <w:strike/>
                <w:sz w:val="17"/>
                <w:szCs w:val="17"/>
              </w:rPr>
              <w:t>Všechny ŘO (spolugesce za dílčí kritéria)</w:t>
            </w:r>
          </w:p>
        </w:tc>
        <w:tc>
          <w:tcPr>
            <w:tcW w:w="1412" w:type="dxa"/>
            <w:vAlign w:val="center"/>
          </w:tcPr>
          <w:p w:rsidR="002B6821" w:rsidRPr="00706123" w:rsidRDefault="002B6821" w:rsidP="00952632">
            <w:pPr>
              <w:spacing w:after="120" w:line="240" w:lineRule="auto"/>
              <w:jc w:val="left"/>
              <w:rPr>
                <w:rFonts w:asciiTheme="minorHAnsi" w:hAnsiTheme="minorHAnsi"/>
                <w:strike/>
                <w:color w:val="000000"/>
                <w:sz w:val="17"/>
                <w:szCs w:val="17"/>
              </w:rPr>
            </w:pPr>
            <w:r w:rsidRPr="00706123">
              <w:rPr>
                <w:rFonts w:asciiTheme="minorHAnsi" w:hAnsiTheme="minorHAnsi"/>
                <w:strike/>
                <w:color w:val="000000"/>
                <w:sz w:val="17"/>
                <w:szCs w:val="17"/>
              </w:rPr>
              <w:t>ASZ</w:t>
            </w:r>
          </w:p>
        </w:tc>
        <w:tc>
          <w:tcPr>
            <w:tcW w:w="847" w:type="dxa"/>
            <w:vAlign w:val="center"/>
          </w:tcPr>
          <w:p w:rsidR="002B6821" w:rsidRPr="00706123" w:rsidRDefault="002B6821" w:rsidP="00952632">
            <w:pPr>
              <w:spacing w:after="120" w:line="264" w:lineRule="auto"/>
              <w:jc w:val="left"/>
              <w:rPr>
                <w:rFonts w:asciiTheme="minorHAnsi" w:hAnsiTheme="minorHAnsi"/>
                <w:strike/>
                <w:color w:val="000000"/>
                <w:sz w:val="17"/>
                <w:szCs w:val="17"/>
              </w:rPr>
            </w:pPr>
            <w:r w:rsidRPr="00706123">
              <w:rPr>
                <w:rFonts w:asciiTheme="minorHAnsi" w:hAnsiTheme="minorHAnsi"/>
                <w:strike/>
                <w:color w:val="000000"/>
                <w:sz w:val="17"/>
                <w:szCs w:val="17"/>
              </w:rPr>
              <w:t>Všechny OP</w:t>
            </w:r>
          </w:p>
        </w:tc>
        <w:tc>
          <w:tcPr>
            <w:tcW w:w="748" w:type="dxa"/>
            <w:shd w:val="clear" w:color="auto" w:fill="auto"/>
            <w:vAlign w:val="center"/>
          </w:tcPr>
          <w:p w:rsidR="002B6821" w:rsidRPr="00706123" w:rsidRDefault="002B6821" w:rsidP="00952632">
            <w:pPr>
              <w:spacing w:after="120" w:line="240" w:lineRule="auto"/>
              <w:jc w:val="left"/>
              <w:rPr>
                <w:rFonts w:asciiTheme="minorHAnsi" w:hAnsiTheme="minorHAnsi"/>
                <w:color w:val="000000"/>
                <w:sz w:val="17"/>
                <w:szCs w:val="17"/>
              </w:rPr>
            </w:pPr>
          </w:p>
        </w:tc>
      </w:tr>
      <w:tr w:rsidR="002B6821" w:rsidRPr="00706123" w:rsidTr="000C0E01">
        <w:trPr>
          <w:trHeight w:val="246"/>
        </w:trPr>
        <w:tc>
          <w:tcPr>
            <w:tcW w:w="947" w:type="dxa"/>
            <w:shd w:val="clear" w:color="auto" w:fill="auto"/>
            <w:tcMar>
              <w:left w:w="28" w:type="dxa"/>
              <w:right w:w="28" w:type="dxa"/>
            </w:tcMar>
            <w:vAlign w:val="center"/>
          </w:tcPr>
          <w:p w:rsidR="002B6821" w:rsidRPr="00706123" w:rsidRDefault="002B6821" w:rsidP="00952632">
            <w:pPr>
              <w:spacing w:line="240" w:lineRule="auto"/>
              <w:jc w:val="left"/>
              <w:rPr>
                <w:rFonts w:asciiTheme="minorHAnsi" w:hAnsiTheme="minorHAnsi"/>
                <w:b/>
                <w:bCs/>
                <w:strike/>
                <w:sz w:val="17"/>
                <w:szCs w:val="17"/>
              </w:rPr>
            </w:pPr>
            <w:r w:rsidRPr="00706123">
              <w:rPr>
                <w:rFonts w:asciiTheme="minorHAnsi" w:hAnsiTheme="minorHAnsi"/>
                <w:b/>
                <w:bCs/>
                <w:strike/>
                <w:sz w:val="17"/>
                <w:szCs w:val="17"/>
              </w:rPr>
              <w:t>3. Zdravotní postižení</w:t>
            </w:r>
          </w:p>
        </w:tc>
        <w:tc>
          <w:tcPr>
            <w:tcW w:w="3525" w:type="dxa"/>
            <w:vAlign w:val="center"/>
          </w:tcPr>
          <w:p w:rsidR="002B6821" w:rsidRPr="00706123" w:rsidRDefault="002B6821" w:rsidP="00952632">
            <w:pPr>
              <w:spacing w:line="240" w:lineRule="auto"/>
              <w:jc w:val="left"/>
              <w:rPr>
                <w:rFonts w:asciiTheme="minorHAnsi" w:hAnsiTheme="minorHAnsi"/>
                <w:strike/>
                <w:color w:val="000000"/>
                <w:sz w:val="17"/>
                <w:szCs w:val="17"/>
              </w:rPr>
            </w:pPr>
            <w:r w:rsidRPr="00706123">
              <w:rPr>
                <w:rFonts w:asciiTheme="minorHAnsi" w:hAnsiTheme="minorHAnsi"/>
                <w:strike/>
                <w:color w:val="000000"/>
                <w:sz w:val="17"/>
                <w:szCs w:val="17"/>
              </w:rPr>
              <w:t>Existence mechanismu, který zajišťuje účinné provádění a uplatňování Úmluvy OSN o právech osob se zdravotním postižením</w:t>
            </w:r>
          </w:p>
        </w:tc>
        <w:tc>
          <w:tcPr>
            <w:tcW w:w="1693" w:type="dxa"/>
            <w:vAlign w:val="center"/>
          </w:tcPr>
          <w:p w:rsidR="002B6821" w:rsidRPr="00706123" w:rsidRDefault="002B6821" w:rsidP="00952632">
            <w:pPr>
              <w:spacing w:after="60" w:line="240" w:lineRule="auto"/>
              <w:jc w:val="left"/>
              <w:rPr>
                <w:rFonts w:asciiTheme="minorHAnsi" w:hAnsiTheme="minorHAnsi"/>
                <w:strike/>
                <w:color w:val="FF0000"/>
                <w:sz w:val="17"/>
                <w:szCs w:val="17"/>
              </w:rPr>
            </w:pPr>
            <w:r w:rsidRPr="00706123">
              <w:rPr>
                <w:rFonts w:asciiTheme="minorHAnsi" w:hAnsiTheme="minorHAnsi"/>
                <w:strike/>
                <w:color w:val="FF0000"/>
                <w:sz w:val="17"/>
                <w:szCs w:val="17"/>
              </w:rPr>
              <w:t>MPSV /</w:t>
            </w:r>
          </w:p>
          <w:p w:rsidR="002B6821" w:rsidRPr="00706123" w:rsidRDefault="002B6821" w:rsidP="00952632">
            <w:pPr>
              <w:spacing w:after="60" w:line="240" w:lineRule="auto"/>
              <w:jc w:val="left"/>
              <w:rPr>
                <w:rFonts w:asciiTheme="minorHAnsi" w:hAnsiTheme="minorHAnsi"/>
                <w:strike/>
                <w:sz w:val="17"/>
                <w:szCs w:val="17"/>
              </w:rPr>
            </w:pPr>
            <w:r w:rsidRPr="00706123">
              <w:rPr>
                <w:rFonts w:asciiTheme="minorHAnsi" w:hAnsiTheme="minorHAnsi"/>
                <w:strike/>
                <w:sz w:val="17"/>
                <w:szCs w:val="17"/>
              </w:rPr>
              <w:t>Všechny ŘO (spolugesce za dílčí kritéria)</w:t>
            </w:r>
          </w:p>
        </w:tc>
        <w:tc>
          <w:tcPr>
            <w:tcW w:w="1412" w:type="dxa"/>
            <w:vAlign w:val="center"/>
          </w:tcPr>
          <w:p w:rsidR="002B6821" w:rsidRPr="00706123" w:rsidRDefault="002B6821" w:rsidP="00952632">
            <w:pPr>
              <w:spacing w:after="120" w:line="240" w:lineRule="auto"/>
              <w:jc w:val="left"/>
              <w:rPr>
                <w:rFonts w:asciiTheme="minorHAnsi" w:hAnsiTheme="minorHAnsi"/>
                <w:strike/>
                <w:color w:val="000000"/>
                <w:sz w:val="17"/>
                <w:szCs w:val="17"/>
              </w:rPr>
            </w:pPr>
            <w:r w:rsidRPr="00706123">
              <w:rPr>
                <w:rFonts w:asciiTheme="minorHAnsi" w:hAnsiTheme="minorHAnsi"/>
                <w:strike/>
                <w:color w:val="000000"/>
                <w:sz w:val="17"/>
                <w:szCs w:val="17"/>
              </w:rPr>
              <w:t>ÚV</w:t>
            </w:r>
          </w:p>
          <w:p w:rsidR="002B6821" w:rsidRPr="00706123" w:rsidRDefault="002B6821" w:rsidP="00952632">
            <w:pPr>
              <w:spacing w:after="120" w:line="240" w:lineRule="auto"/>
              <w:jc w:val="left"/>
              <w:rPr>
                <w:rFonts w:asciiTheme="minorHAnsi" w:hAnsiTheme="minorHAnsi"/>
                <w:strike/>
                <w:color w:val="000000"/>
                <w:sz w:val="17"/>
                <w:szCs w:val="17"/>
              </w:rPr>
            </w:pPr>
            <w:r w:rsidRPr="00706123">
              <w:rPr>
                <w:rFonts w:asciiTheme="minorHAnsi" w:hAnsiTheme="minorHAnsi"/>
                <w:strike/>
                <w:color w:val="000000"/>
                <w:sz w:val="17"/>
                <w:szCs w:val="17"/>
              </w:rPr>
              <w:t>MZd</w:t>
            </w:r>
          </w:p>
        </w:tc>
        <w:tc>
          <w:tcPr>
            <w:tcW w:w="847" w:type="dxa"/>
            <w:vAlign w:val="center"/>
          </w:tcPr>
          <w:p w:rsidR="002B6821" w:rsidRPr="00706123" w:rsidRDefault="002B6821" w:rsidP="00952632">
            <w:pPr>
              <w:spacing w:after="120" w:line="264" w:lineRule="auto"/>
              <w:jc w:val="left"/>
              <w:rPr>
                <w:rFonts w:asciiTheme="minorHAnsi" w:hAnsiTheme="minorHAnsi"/>
                <w:strike/>
                <w:color w:val="000000"/>
                <w:sz w:val="17"/>
                <w:szCs w:val="17"/>
              </w:rPr>
            </w:pPr>
            <w:r w:rsidRPr="00706123">
              <w:rPr>
                <w:rFonts w:asciiTheme="minorHAnsi" w:hAnsiTheme="minorHAnsi"/>
                <w:strike/>
                <w:color w:val="000000"/>
                <w:sz w:val="17"/>
                <w:szCs w:val="17"/>
              </w:rPr>
              <w:t>Všechny OP</w:t>
            </w:r>
          </w:p>
        </w:tc>
        <w:tc>
          <w:tcPr>
            <w:tcW w:w="748" w:type="dxa"/>
            <w:shd w:val="clear" w:color="auto" w:fill="auto"/>
            <w:vAlign w:val="center"/>
          </w:tcPr>
          <w:p w:rsidR="002B6821" w:rsidRPr="00706123" w:rsidRDefault="002B6821" w:rsidP="00952632">
            <w:pPr>
              <w:spacing w:after="120" w:line="240" w:lineRule="auto"/>
              <w:jc w:val="left"/>
              <w:rPr>
                <w:rFonts w:asciiTheme="minorHAnsi" w:hAnsiTheme="minorHAnsi"/>
                <w:color w:val="000000"/>
                <w:sz w:val="17"/>
                <w:szCs w:val="17"/>
              </w:rPr>
            </w:pPr>
          </w:p>
        </w:tc>
      </w:tr>
      <w:tr w:rsidR="002B6821" w:rsidRPr="00706123" w:rsidTr="000C0E01">
        <w:trPr>
          <w:trHeight w:val="980"/>
        </w:trPr>
        <w:tc>
          <w:tcPr>
            <w:tcW w:w="947" w:type="dxa"/>
            <w:shd w:val="clear" w:color="auto" w:fill="auto"/>
            <w:tcMar>
              <w:left w:w="28" w:type="dxa"/>
              <w:right w:w="28" w:type="dxa"/>
            </w:tcMar>
            <w:vAlign w:val="center"/>
          </w:tcPr>
          <w:p w:rsidR="002B6821" w:rsidRPr="00706123" w:rsidRDefault="002B6821" w:rsidP="00952632">
            <w:pPr>
              <w:spacing w:line="240" w:lineRule="auto"/>
              <w:jc w:val="left"/>
              <w:rPr>
                <w:rFonts w:asciiTheme="minorHAnsi" w:hAnsiTheme="minorHAnsi"/>
                <w:b/>
                <w:bCs/>
                <w:sz w:val="17"/>
                <w:szCs w:val="17"/>
              </w:rPr>
            </w:pPr>
            <w:r w:rsidRPr="00706123">
              <w:rPr>
                <w:rFonts w:asciiTheme="minorHAnsi" w:hAnsiTheme="minorHAnsi"/>
                <w:b/>
                <w:bCs/>
                <w:sz w:val="17"/>
                <w:szCs w:val="17"/>
              </w:rPr>
              <w:t>4. Veřejné zakázky</w:t>
            </w:r>
          </w:p>
        </w:tc>
        <w:tc>
          <w:tcPr>
            <w:tcW w:w="3525" w:type="dxa"/>
            <w:vAlign w:val="center"/>
          </w:tcPr>
          <w:p w:rsidR="002B6821" w:rsidRPr="00706123" w:rsidRDefault="002B6821" w:rsidP="00952632">
            <w:pPr>
              <w:spacing w:line="240" w:lineRule="auto"/>
              <w:jc w:val="left"/>
              <w:rPr>
                <w:rFonts w:asciiTheme="minorHAnsi" w:hAnsiTheme="minorHAnsi"/>
                <w:bCs/>
                <w:sz w:val="17"/>
                <w:szCs w:val="17"/>
              </w:rPr>
            </w:pPr>
            <w:r w:rsidRPr="00706123">
              <w:rPr>
                <w:rFonts w:asciiTheme="minorHAnsi" w:hAnsiTheme="minorHAnsi"/>
                <w:color w:val="000000"/>
                <w:sz w:val="17"/>
                <w:szCs w:val="17"/>
              </w:rPr>
              <w:t>Existence opatření pro účinné uplatňování právních předpisů EU týkajících se zadávání veřejných zakázek v oblasti společného strategického rámce pro fondy.</w:t>
            </w:r>
          </w:p>
        </w:tc>
        <w:tc>
          <w:tcPr>
            <w:tcW w:w="1693" w:type="dxa"/>
            <w:vAlign w:val="center"/>
          </w:tcPr>
          <w:p w:rsidR="002B6821" w:rsidRPr="00706123" w:rsidRDefault="002B6821" w:rsidP="00952632">
            <w:pPr>
              <w:spacing w:after="60" w:line="240" w:lineRule="auto"/>
              <w:jc w:val="left"/>
              <w:rPr>
                <w:rFonts w:asciiTheme="minorHAnsi" w:hAnsiTheme="minorHAnsi"/>
                <w:color w:val="FF0000"/>
                <w:sz w:val="17"/>
                <w:szCs w:val="17"/>
              </w:rPr>
            </w:pPr>
            <w:r w:rsidRPr="00706123">
              <w:rPr>
                <w:rFonts w:asciiTheme="minorHAnsi" w:hAnsiTheme="minorHAnsi"/>
                <w:color w:val="FF0000"/>
                <w:sz w:val="17"/>
                <w:szCs w:val="17"/>
              </w:rPr>
              <w:t>MMR</w:t>
            </w:r>
          </w:p>
          <w:p w:rsidR="002B6821" w:rsidRPr="00706123" w:rsidRDefault="002B6821" w:rsidP="00952632">
            <w:pPr>
              <w:spacing w:after="60" w:line="240" w:lineRule="auto"/>
              <w:jc w:val="left"/>
              <w:rPr>
                <w:rFonts w:asciiTheme="minorHAnsi" w:hAnsiTheme="minorHAnsi"/>
                <w:sz w:val="17"/>
                <w:szCs w:val="17"/>
              </w:rPr>
            </w:pPr>
            <w:r w:rsidRPr="00706123">
              <w:rPr>
                <w:rFonts w:asciiTheme="minorHAnsi" w:hAnsiTheme="minorHAnsi"/>
                <w:sz w:val="17"/>
                <w:szCs w:val="17"/>
              </w:rPr>
              <w:t>Všechny ŘO (spolugesce za dílčí kritéria)</w:t>
            </w:r>
          </w:p>
        </w:tc>
        <w:tc>
          <w:tcPr>
            <w:tcW w:w="1412" w:type="dxa"/>
            <w:vAlign w:val="center"/>
          </w:tcPr>
          <w:p w:rsidR="002B6821" w:rsidRPr="00706123" w:rsidRDefault="002B6821" w:rsidP="00952632">
            <w:pPr>
              <w:spacing w:after="120" w:line="240" w:lineRule="auto"/>
              <w:jc w:val="left"/>
              <w:rPr>
                <w:rFonts w:asciiTheme="minorHAnsi" w:hAnsiTheme="minorHAnsi"/>
                <w:color w:val="000000"/>
                <w:sz w:val="17"/>
                <w:szCs w:val="17"/>
              </w:rPr>
            </w:pPr>
          </w:p>
        </w:tc>
        <w:tc>
          <w:tcPr>
            <w:tcW w:w="847" w:type="dxa"/>
            <w:vAlign w:val="center"/>
          </w:tcPr>
          <w:p w:rsidR="002B6821" w:rsidRPr="00706123" w:rsidRDefault="002B6821" w:rsidP="00952632">
            <w:pPr>
              <w:spacing w:after="120" w:line="264" w:lineRule="auto"/>
              <w:jc w:val="left"/>
              <w:rPr>
                <w:rFonts w:asciiTheme="minorHAnsi" w:hAnsiTheme="minorHAnsi"/>
                <w:color w:val="000000"/>
                <w:sz w:val="17"/>
                <w:szCs w:val="17"/>
              </w:rPr>
            </w:pPr>
            <w:r w:rsidRPr="00706123">
              <w:rPr>
                <w:rFonts w:asciiTheme="minorHAnsi" w:hAnsiTheme="minorHAnsi"/>
                <w:color w:val="000000"/>
                <w:sz w:val="17"/>
                <w:szCs w:val="17"/>
              </w:rPr>
              <w:t>Všechny OP</w:t>
            </w:r>
          </w:p>
        </w:tc>
        <w:tc>
          <w:tcPr>
            <w:tcW w:w="748" w:type="dxa"/>
            <w:shd w:val="clear" w:color="auto" w:fill="auto"/>
            <w:vAlign w:val="center"/>
          </w:tcPr>
          <w:p w:rsidR="002B6821" w:rsidRPr="00706123" w:rsidRDefault="002B6821" w:rsidP="00952632">
            <w:pPr>
              <w:spacing w:after="120" w:line="240" w:lineRule="auto"/>
              <w:jc w:val="left"/>
              <w:rPr>
                <w:rFonts w:asciiTheme="minorHAnsi" w:hAnsiTheme="minorHAnsi"/>
                <w:color w:val="000000"/>
                <w:sz w:val="17"/>
                <w:szCs w:val="17"/>
              </w:rPr>
            </w:pPr>
          </w:p>
        </w:tc>
      </w:tr>
      <w:tr w:rsidR="002B6821" w:rsidRPr="00706123" w:rsidTr="000C0E01">
        <w:trPr>
          <w:trHeight w:val="980"/>
        </w:trPr>
        <w:tc>
          <w:tcPr>
            <w:tcW w:w="947" w:type="dxa"/>
            <w:shd w:val="clear" w:color="auto" w:fill="auto"/>
            <w:tcMar>
              <w:left w:w="28" w:type="dxa"/>
              <w:right w:w="28" w:type="dxa"/>
            </w:tcMar>
            <w:vAlign w:val="center"/>
          </w:tcPr>
          <w:p w:rsidR="002B6821" w:rsidRPr="00706123" w:rsidRDefault="002B6821" w:rsidP="00952632">
            <w:pPr>
              <w:spacing w:line="240" w:lineRule="auto"/>
              <w:jc w:val="left"/>
              <w:rPr>
                <w:rFonts w:asciiTheme="minorHAnsi" w:hAnsiTheme="minorHAnsi"/>
                <w:bCs/>
                <w:sz w:val="17"/>
                <w:szCs w:val="17"/>
              </w:rPr>
            </w:pPr>
            <w:r w:rsidRPr="00706123">
              <w:rPr>
                <w:rFonts w:asciiTheme="minorHAnsi" w:hAnsiTheme="minorHAnsi"/>
                <w:b/>
                <w:bCs/>
                <w:sz w:val="17"/>
                <w:szCs w:val="17"/>
              </w:rPr>
              <w:t>5. Veřejná podpora</w:t>
            </w:r>
          </w:p>
        </w:tc>
        <w:tc>
          <w:tcPr>
            <w:tcW w:w="3525" w:type="dxa"/>
            <w:vAlign w:val="center"/>
          </w:tcPr>
          <w:p w:rsidR="002B6821" w:rsidRPr="00706123" w:rsidRDefault="002B6821" w:rsidP="00952632">
            <w:pPr>
              <w:spacing w:line="240" w:lineRule="auto"/>
              <w:jc w:val="left"/>
              <w:rPr>
                <w:rFonts w:asciiTheme="minorHAnsi" w:hAnsiTheme="minorHAnsi"/>
                <w:bCs/>
                <w:sz w:val="17"/>
                <w:szCs w:val="17"/>
              </w:rPr>
            </w:pPr>
            <w:r w:rsidRPr="00706123">
              <w:rPr>
                <w:rFonts w:asciiTheme="minorHAnsi" w:hAnsiTheme="minorHAnsi"/>
                <w:color w:val="000000"/>
                <w:sz w:val="17"/>
                <w:szCs w:val="17"/>
              </w:rPr>
              <w:t>Existence opatření pro účinné uplatňování právních předpisů EU týkajících se veřejné podpory v oblasti společného strategického rámce pro fondy.</w:t>
            </w:r>
          </w:p>
        </w:tc>
        <w:tc>
          <w:tcPr>
            <w:tcW w:w="1693" w:type="dxa"/>
            <w:vAlign w:val="center"/>
          </w:tcPr>
          <w:p w:rsidR="002B6821" w:rsidRPr="00706123" w:rsidRDefault="002B6821" w:rsidP="00952632">
            <w:pPr>
              <w:spacing w:after="60" w:line="240" w:lineRule="auto"/>
              <w:jc w:val="left"/>
              <w:rPr>
                <w:rFonts w:asciiTheme="minorHAnsi" w:hAnsiTheme="minorHAnsi"/>
                <w:color w:val="FF0000"/>
                <w:sz w:val="17"/>
                <w:szCs w:val="17"/>
              </w:rPr>
            </w:pPr>
            <w:r w:rsidRPr="00706123">
              <w:rPr>
                <w:rFonts w:asciiTheme="minorHAnsi" w:hAnsiTheme="minorHAnsi"/>
                <w:color w:val="FF0000"/>
                <w:sz w:val="17"/>
                <w:szCs w:val="17"/>
              </w:rPr>
              <w:t>MMR /</w:t>
            </w:r>
          </w:p>
          <w:p w:rsidR="002B6821" w:rsidRPr="00706123" w:rsidRDefault="002B6821" w:rsidP="00952632">
            <w:pPr>
              <w:spacing w:after="60" w:line="240" w:lineRule="auto"/>
              <w:jc w:val="left"/>
              <w:rPr>
                <w:rFonts w:asciiTheme="minorHAnsi" w:hAnsiTheme="minorHAnsi"/>
                <w:color w:val="FF0000"/>
                <w:sz w:val="17"/>
                <w:szCs w:val="17"/>
              </w:rPr>
            </w:pPr>
            <w:r w:rsidRPr="00706123">
              <w:rPr>
                <w:rFonts w:asciiTheme="minorHAnsi" w:hAnsiTheme="minorHAnsi"/>
                <w:sz w:val="17"/>
                <w:szCs w:val="17"/>
              </w:rPr>
              <w:t>Všechny ŘO (spolugesce za dílčí kritéria)</w:t>
            </w:r>
          </w:p>
        </w:tc>
        <w:tc>
          <w:tcPr>
            <w:tcW w:w="1412" w:type="dxa"/>
            <w:vAlign w:val="center"/>
          </w:tcPr>
          <w:p w:rsidR="002B6821" w:rsidRPr="00706123" w:rsidRDefault="002B6821" w:rsidP="00952632">
            <w:pPr>
              <w:spacing w:after="120" w:line="240" w:lineRule="auto"/>
              <w:jc w:val="left"/>
              <w:rPr>
                <w:rFonts w:asciiTheme="minorHAnsi" w:hAnsiTheme="minorHAnsi"/>
                <w:color w:val="000000"/>
                <w:sz w:val="17"/>
                <w:szCs w:val="17"/>
              </w:rPr>
            </w:pPr>
            <w:r w:rsidRPr="00706123">
              <w:rPr>
                <w:rFonts w:asciiTheme="minorHAnsi" w:hAnsiTheme="minorHAnsi"/>
                <w:color w:val="000000"/>
                <w:sz w:val="17"/>
                <w:szCs w:val="17"/>
              </w:rPr>
              <w:t>ÚOHS</w:t>
            </w:r>
          </w:p>
        </w:tc>
        <w:tc>
          <w:tcPr>
            <w:tcW w:w="847" w:type="dxa"/>
            <w:vAlign w:val="center"/>
          </w:tcPr>
          <w:p w:rsidR="002B6821" w:rsidRPr="00706123" w:rsidRDefault="002B6821" w:rsidP="00952632">
            <w:pPr>
              <w:spacing w:after="120" w:line="264" w:lineRule="auto"/>
              <w:jc w:val="left"/>
              <w:rPr>
                <w:rFonts w:asciiTheme="minorHAnsi" w:hAnsiTheme="minorHAnsi"/>
                <w:color w:val="000000"/>
                <w:sz w:val="17"/>
                <w:szCs w:val="17"/>
              </w:rPr>
            </w:pPr>
            <w:r w:rsidRPr="00706123">
              <w:rPr>
                <w:rFonts w:asciiTheme="minorHAnsi" w:hAnsiTheme="minorHAnsi"/>
                <w:color w:val="000000"/>
                <w:sz w:val="17"/>
                <w:szCs w:val="17"/>
              </w:rPr>
              <w:t>Všechny OP</w:t>
            </w:r>
          </w:p>
        </w:tc>
        <w:tc>
          <w:tcPr>
            <w:tcW w:w="748" w:type="dxa"/>
            <w:shd w:val="clear" w:color="auto" w:fill="auto"/>
            <w:vAlign w:val="center"/>
          </w:tcPr>
          <w:p w:rsidR="002B6821" w:rsidRPr="00706123" w:rsidRDefault="002B6821" w:rsidP="00952632">
            <w:pPr>
              <w:spacing w:after="120" w:line="240" w:lineRule="auto"/>
              <w:jc w:val="left"/>
              <w:rPr>
                <w:rFonts w:asciiTheme="minorHAnsi" w:hAnsiTheme="minorHAnsi"/>
                <w:color w:val="000000"/>
                <w:sz w:val="17"/>
                <w:szCs w:val="17"/>
              </w:rPr>
            </w:pPr>
          </w:p>
        </w:tc>
      </w:tr>
      <w:tr w:rsidR="002B6821" w:rsidRPr="00706123" w:rsidTr="000C0E01">
        <w:trPr>
          <w:trHeight w:val="980"/>
        </w:trPr>
        <w:tc>
          <w:tcPr>
            <w:tcW w:w="947" w:type="dxa"/>
            <w:shd w:val="clear" w:color="auto" w:fill="auto"/>
            <w:tcMar>
              <w:left w:w="28" w:type="dxa"/>
              <w:right w:w="28" w:type="dxa"/>
            </w:tcMar>
            <w:vAlign w:val="center"/>
          </w:tcPr>
          <w:p w:rsidR="002B6821" w:rsidRPr="00706123" w:rsidRDefault="002B6821" w:rsidP="00952632">
            <w:pPr>
              <w:spacing w:line="240" w:lineRule="auto"/>
              <w:jc w:val="left"/>
              <w:rPr>
                <w:rFonts w:asciiTheme="minorHAnsi" w:hAnsiTheme="minorHAnsi"/>
                <w:b/>
                <w:bCs/>
                <w:sz w:val="15"/>
                <w:szCs w:val="15"/>
              </w:rPr>
            </w:pPr>
            <w:r w:rsidRPr="00706123">
              <w:rPr>
                <w:rFonts w:asciiTheme="minorHAnsi" w:hAnsiTheme="minorHAnsi"/>
                <w:b/>
                <w:bCs/>
                <w:sz w:val="15"/>
                <w:szCs w:val="15"/>
              </w:rPr>
              <w:t>6. Právní předpisy pro oblast životního prostředí týkající se posuzování vlivů na životní prostředí (EIA) a strategického posuzování vlivů na životní prostředí (SEA)</w:t>
            </w:r>
          </w:p>
        </w:tc>
        <w:tc>
          <w:tcPr>
            <w:tcW w:w="3525" w:type="dxa"/>
            <w:vAlign w:val="center"/>
          </w:tcPr>
          <w:p w:rsidR="002B6821" w:rsidRPr="00706123" w:rsidRDefault="002B6821" w:rsidP="00952632">
            <w:pPr>
              <w:spacing w:line="240" w:lineRule="auto"/>
              <w:jc w:val="left"/>
              <w:rPr>
                <w:rFonts w:asciiTheme="minorHAnsi" w:hAnsiTheme="minorHAnsi"/>
                <w:bCs/>
                <w:sz w:val="17"/>
                <w:szCs w:val="17"/>
              </w:rPr>
            </w:pPr>
            <w:r w:rsidRPr="00706123">
              <w:rPr>
                <w:rFonts w:asciiTheme="minorHAnsi" w:hAnsiTheme="minorHAnsi"/>
                <w:color w:val="000000"/>
                <w:sz w:val="17"/>
                <w:szCs w:val="17"/>
              </w:rPr>
              <w:t>Existence funkčního uspořádání, které zajišťuje účinné uplatňování právních předpisů EU souvisejících s EIA a SEA.</w:t>
            </w:r>
          </w:p>
        </w:tc>
        <w:tc>
          <w:tcPr>
            <w:tcW w:w="1693" w:type="dxa"/>
            <w:vAlign w:val="center"/>
          </w:tcPr>
          <w:p w:rsidR="002B6821" w:rsidRPr="00706123" w:rsidRDefault="002B6821" w:rsidP="00952632">
            <w:pPr>
              <w:spacing w:after="60" w:line="240" w:lineRule="auto"/>
              <w:jc w:val="left"/>
              <w:rPr>
                <w:rFonts w:asciiTheme="minorHAnsi" w:hAnsiTheme="minorHAnsi"/>
                <w:color w:val="FF0000"/>
                <w:sz w:val="17"/>
                <w:szCs w:val="17"/>
              </w:rPr>
            </w:pPr>
            <w:r w:rsidRPr="00706123">
              <w:rPr>
                <w:rFonts w:asciiTheme="minorHAnsi" w:hAnsiTheme="minorHAnsi"/>
                <w:color w:val="FF0000"/>
                <w:sz w:val="17"/>
                <w:szCs w:val="17"/>
              </w:rPr>
              <w:t>MŽP /</w:t>
            </w:r>
          </w:p>
          <w:p w:rsidR="002B6821" w:rsidRPr="00706123" w:rsidRDefault="002B6821" w:rsidP="00952632">
            <w:pPr>
              <w:spacing w:after="60" w:line="240" w:lineRule="auto"/>
              <w:jc w:val="left"/>
              <w:rPr>
                <w:rFonts w:asciiTheme="minorHAnsi" w:hAnsiTheme="minorHAnsi"/>
                <w:color w:val="FF0000"/>
                <w:sz w:val="17"/>
                <w:szCs w:val="17"/>
              </w:rPr>
            </w:pPr>
            <w:r w:rsidRPr="00706123">
              <w:rPr>
                <w:rFonts w:asciiTheme="minorHAnsi" w:hAnsiTheme="minorHAnsi"/>
                <w:sz w:val="17"/>
                <w:szCs w:val="17"/>
              </w:rPr>
              <w:t>Dotčené ŘO (za dílčí kritéria)</w:t>
            </w:r>
          </w:p>
        </w:tc>
        <w:tc>
          <w:tcPr>
            <w:tcW w:w="1412" w:type="dxa"/>
            <w:vAlign w:val="center"/>
          </w:tcPr>
          <w:p w:rsidR="002B6821" w:rsidRPr="00706123" w:rsidRDefault="002B6821" w:rsidP="00706123">
            <w:pPr>
              <w:spacing w:after="120" w:line="240" w:lineRule="auto"/>
              <w:jc w:val="left"/>
              <w:rPr>
                <w:rFonts w:asciiTheme="minorHAnsi" w:hAnsiTheme="minorHAnsi"/>
                <w:color w:val="000000"/>
                <w:sz w:val="17"/>
                <w:szCs w:val="17"/>
              </w:rPr>
            </w:pPr>
            <w:r w:rsidRPr="00706123">
              <w:rPr>
                <w:rFonts w:asciiTheme="minorHAnsi" w:hAnsiTheme="minorHAnsi"/>
                <w:color w:val="000000"/>
                <w:sz w:val="17"/>
                <w:szCs w:val="17"/>
              </w:rPr>
              <w:t>Další resorty</w:t>
            </w:r>
          </w:p>
        </w:tc>
        <w:tc>
          <w:tcPr>
            <w:tcW w:w="847" w:type="dxa"/>
            <w:vAlign w:val="center"/>
          </w:tcPr>
          <w:p w:rsidR="002B6821" w:rsidRPr="00706123" w:rsidRDefault="002B6821" w:rsidP="00952632">
            <w:pPr>
              <w:spacing w:after="120" w:line="264" w:lineRule="auto"/>
              <w:jc w:val="left"/>
              <w:rPr>
                <w:rFonts w:asciiTheme="minorHAnsi" w:hAnsiTheme="minorHAnsi"/>
                <w:color w:val="000000"/>
                <w:sz w:val="17"/>
                <w:szCs w:val="17"/>
              </w:rPr>
            </w:pPr>
            <w:r w:rsidRPr="00706123">
              <w:rPr>
                <w:rFonts w:asciiTheme="minorHAnsi" w:hAnsiTheme="minorHAnsi"/>
                <w:color w:val="000000"/>
                <w:sz w:val="17"/>
                <w:szCs w:val="17"/>
              </w:rPr>
              <w:t>OP D</w:t>
            </w:r>
          </w:p>
          <w:p w:rsidR="002B6821" w:rsidRPr="00706123" w:rsidRDefault="002B6821" w:rsidP="00952632">
            <w:pPr>
              <w:spacing w:after="120" w:line="264" w:lineRule="auto"/>
              <w:jc w:val="left"/>
              <w:rPr>
                <w:rFonts w:asciiTheme="minorHAnsi" w:hAnsiTheme="minorHAnsi"/>
                <w:color w:val="000000"/>
                <w:sz w:val="17"/>
                <w:szCs w:val="17"/>
              </w:rPr>
            </w:pPr>
            <w:r w:rsidRPr="00706123">
              <w:rPr>
                <w:rFonts w:asciiTheme="minorHAnsi" w:hAnsiTheme="minorHAnsi"/>
                <w:color w:val="000000"/>
                <w:sz w:val="17"/>
                <w:szCs w:val="17"/>
              </w:rPr>
              <w:t>OP ŽP</w:t>
            </w:r>
          </w:p>
          <w:p w:rsidR="002B6821" w:rsidRPr="00706123" w:rsidRDefault="002B6821" w:rsidP="00952632">
            <w:pPr>
              <w:spacing w:after="120" w:line="264" w:lineRule="auto"/>
              <w:jc w:val="left"/>
              <w:rPr>
                <w:rFonts w:asciiTheme="minorHAnsi" w:hAnsiTheme="minorHAnsi"/>
                <w:color w:val="000000"/>
                <w:sz w:val="17"/>
                <w:szCs w:val="17"/>
              </w:rPr>
            </w:pPr>
            <w:r w:rsidRPr="00706123">
              <w:rPr>
                <w:rFonts w:asciiTheme="minorHAnsi" w:hAnsiTheme="minorHAnsi"/>
                <w:color w:val="000000"/>
                <w:sz w:val="17"/>
                <w:szCs w:val="17"/>
              </w:rPr>
              <w:t>OP PIK</w:t>
            </w:r>
          </w:p>
          <w:p w:rsidR="002B6821" w:rsidRPr="00706123" w:rsidRDefault="002B6821" w:rsidP="00952632">
            <w:pPr>
              <w:spacing w:after="120" w:line="264" w:lineRule="auto"/>
              <w:jc w:val="left"/>
              <w:rPr>
                <w:rFonts w:asciiTheme="minorHAnsi" w:hAnsiTheme="minorHAnsi"/>
                <w:color w:val="000000"/>
                <w:sz w:val="17"/>
                <w:szCs w:val="17"/>
              </w:rPr>
            </w:pPr>
            <w:r w:rsidRPr="00706123">
              <w:rPr>
                <w:rFonts w:asciiTheme="minorHAnsi" w:hAnsiTheme="minorHAnsi"/>
                <w:color w:val="000000"/>
                <w:sz w:val="17"/>
                <w:szCs w:val="17"/>
              </w:rPr>
              <w:t>OP VVV</w:t>
            </w:r>
          </w:p>
          <w:p w:rsidR="002B6821" w:rsidRPr="00706123" w:rsidRDefault="002B6821" w:rsidP="00952632">
            <w:pPr>
              <w:spacing w:after="120" w:line="264" w:lineRule="auto"/>
              <w:jc w:val="left"/>
              <w:rPr>
                <w:rFonts w:asciiTheme="minorHAnsi" w:hAnsiTheme="minorHAnsi"/>
                <w:color w:val="000000"/>
                <w:sz w:val="17"/>
                <w:szCs w:val="17"/>
              </w:rPr>
            </w:pPr>
            <w:r w:rsidRPr="00706123">
              <w:rPr>
                <w:rFonts w:asciiTheme="minorHAnsi" w:hAnsiTheme="minorHAnsi"/>
                <w:color w:val="000000"/>
                <w:sz w:val="17"/>
                <w:szCs w:val="17"/>
              </w:rPr>
              <w:t>IROP</w:t>
            </w:r>
          </w:p>
          <w:p w:rsidR="002B6821" w:rsidRPr="00706123" w:rsidRDefault="002B6821" w:rsidP="00952632">
            <w:pPr>
              <w:spacing w:after="120" w:line="264" w:lineRule="auto"/>
              <w:jc w:val="left"/>
              <w:rPr>
                <w:rFonts w:asciiTheme="minorHAnsi" w:hAnsiTheme="minorHAnsi"/>
                <w:color w:val="000000"/>
                <w:sz w:val="17"/>
                <w:szCs w:val="17"/>
              </w:rPr>
            </w:pPr>
            <w:r w:rsidRPr="00706123">
              <w:rPr>
                <w:rFonts w:asciiTheme="minorHAnsi" w:hAnsiTheme="minorHAnsi"/>
                <w:color w:val="000000"/>
                <w:sz w:val="17"/>
                <w:szCs w:val="17"/>
              </w:rPr>
              <w:t>OP PPR</w:t>
            </w:r>
          </w:p>
        </w:tc>
        <w:tc>
          <w:tcPr>
            <w:tcW w:w="748" w:type="dxa"/>
            <w:shd w:val="clear" w:color="auto" w:fill="auto"/>
            <w:vAlign w:val="center"/>
          </w:tcPr>
          <w:p w:rsidR="002B6821" w:rsidRPr="00706123" w:rsidRDefault="002B6821" w:rsidP="00952632">
            <w:pPr>
              <w:spacing w:after="120" w:line="240" w:lineRule="auto"/>
              <w:jc w:val="left"/>
              <w:rPr>
                <w:rFonts w:asciiTheme="minorHAnsi" w:hAnsiTheme="minorHAnsi"/>
                <w:color w:val="000000"/>
                <w:sz w:val="17"/>
                <w:szCs w:val="17"/>
              </w:rPr>
            </w:pPr>
          </w:p>
        </w:tc>
      </w:tr>
      <w:tr w:rsidR="002B6821" w:rsidRPr="00706123" w:rsidTr="000C0E01">
        <w:trPr>
          <w:trHeight w:val="980"/>
        </w:trPr>
        <w:tc>
          <w:tcPr>
            <w:tcW w:w="947" w:type="dxa"/>
            <w:vMerge w:val="restart"/>
            <w:shd w:val="clear" w:color="auto" w:fill="auto"/>
            <w:tcMar>
              <w:left w:w="28" w:type="dxa"/>
              <w:right w:w="28" w:type="dxa"/>
            </w:tcMar>
            <w:vAlign w:val="center"/>
          </w:tcPr>
          <w:p w:rsidR="002B6821" w:rsidRPr="00706123" w:rsidRDefault="002B6821" w:rsidP="00952632">
            <w:pPr>
              <w:spacing w:line="240" w:lineRule="auto"/>
              <w:jc w:val="left"/>
              <w:rPr>
                <w:rFonts w:asciiTheme="minorHAnsi" w:hAnsiTheme="minorHAnsi"/>
                <w:b/>
                <w:bCs/>
                <w:color w:val="FF0000"/>
                <w:sz w:val="17"/>
                <w:szCs w:val="17"/>
              </w:rPr>
            </w:pPr>
            <w:r w:rsidRPr="00706123">
              <w:rPr>
                <w:rFonts w:asciiTheme="minorHAnsi" w:hAnsiTheme="minorHAnsi"/>
                <w:b/>
                <w:bCs/>
                <w:color w:val="FF0000"/>
                <w:sz w:val="17"/>
                <w:szCs w:val="17"/>
              </w:rPr>
              <w:t>7. Statistické systémy a ukazatele výsledků</w:t>
            </w:r>
          </w:p>
        </w:tc>
        <w:tc>
          <w:tcPr>
            <w:tcW w:w="3525" w:type="dxa"/>
            <w:vAlign w:val="center"/>
          </w:tcPr>
          <w:p w:rsidR="002B6821" w:rsidRPr="00706123" w:rsidRDefault="002B6821" w:rsidP="00952632">
            <w:pPr>
              <w:spacing w:line="240" w:lineRule="auto"/>
              <w:jc w:val="left"/>
              <w:rPr>
                <w:rFonts w:asciiTheme="minorHAnsi" w:hAnsiTheme="minorHAnsi"/>
                <w:bCs/>
                <w:sz w:val="17"/>
                <w:szCs w:val="17"/>
              </w:rPr>
            </w:pPr>
            <w:r w:rsidRPr="00706123">
              <w:rPr>
                <w:rFonts w:asciiTheme="minorHAnsi" w:hAnsiTheme="minorHAnsi"/>
                <w:color w:val="000000"/>
                <w:sz w:val="17"/>
                <w:szCs w:val="17"/>
              </w:rPr>
              <w:t>Existence statistického systému nezbytného k provádění hodnocení za účelem posouzení účinnosti a dopadu programů.</w:t>
            </w:r>
          </w:p>
        </w:tc>
        <w:tc>
          <w:tcPr>
            <w:tcW w:w="1693" w:type="dxa"/>
            <w:vAlign w:val="center"/>
          </w:tcPr>
          <w:p w:rsidR="002B6821" w:rsidRPr="00706123" w:rsidRDefault="002B6821" w:rsidP="00952632">
            <w:pPr>
              <w:spacing w:after="60" w:line="240" w:lineRule="auto"/>
              <w:jc w:val="left"/>
              <w:rPr>
                <w:rFonts w:asciiTheme="minorHAnsi" w:hAnsiTheme="minorHAnsi"/>
                <w:color w:val="FF0000"/>
                <w:sz w:val="17"/>
                <w:szCs w:val="17"/>
              </w:rPr>
            </w:pPr>
            <w:r w:rsidRPr="00706123">
              <w:rPr>
                <w:rFonts w:asciiTheme="minorHAnsi" w:hAnsiTheme="minorHAnsi"/>
                <w:color w:val="FF0000"/>
                <w:sz w:val="17"/>
                <w:szCs w:val="17"/>
              </w:rPr>
              <w:t>MMR /</w:t>
            </w:r>
          </w:p>
          <w:p w:rsidR="002B6821" w:rsidRPr="00706123" w:rsidRDefault="002B6821" w:rsidP="00952632">
            <w:pPr>
              <w:spacing w:after="60" w:line="240" w:lineRule="auto"/>
              <w:jc w:val="left"/>
              <w:rPr>
                <w:rFonts w:asciiTheme="minorHAnsi" w:hAnsiTheme="minorHAnsi"/>
                <w:color w:val="FF0000"/>
                <w:sz w:val="17"/>
                <w:szCs w:val="17"/>
              </w:rPr>
            </w:pPr>
            <w:r w:rsidRPr="00706123">
              <w:rPr>
                <w:rFonts w:asciiTheme="minorHAnsi" w:hAnsiTheme="minorHAnsi"/>
                <w:sz w:val="17"/>
                <w:szCs w:val="17"/>
              </w:rPr>
              <w:t>Všechny ŘO (spolugesce za dílčí kritéria)</w:t>
            </w:r>
          </w:p>
        </w:tc>
        <w:tc>
          <w:tcPr>
            <w:tcW w:w="1412" w:type="dxa"/>
            <w:vAlign w:val="center"/>
          </w:tcPr>
          <w:p w:rsidR="002B6821" w:rsidRPr="00706123" w:rsidRDefault="002B6821" w:rsidP="00952632">
            <w:pPr>
              <w:spacing w:after="120" w:line="240" w:lineRule="auto"/>
              <w:jc w:val="left"/>
              <w:rPr>
                <w:rFonts w:asciiTheme="minorHAnsi" w:hAnsiTheme="minorHAnsi"/>
                <w:color w:val="000000"/>
                <w:sz w:val="17"/>
                <w:szCs w:val="17"/>
              </w:rPr>
            </w:pPr>
            <w:r w:rsidRPr="00706123">
              <w:rPr>
                <w:rFonts w:asciiTheme="minorHAnsi" w:hAnsiTheme="minorHAnsi"/>
                <w:color w:val="000000"/>
                <w:sz w:val="17"/>
                <w:szCs w:val="17"/>
              </w:rPr>
              <w:t>Další resorty</w:t>
            </w:r>
          </w:p>
          <w:p w:rsidR="002B6821" w:rsidRPr="00706123" w:rsidRDefault="002B6821" w:rsidP="00952632">
            <w:pPr>
              <w:spacing w:after="120" w:line="240" w:lineRule="auto"/>
              <w:jc w:val="left"/>
              <w:rPr>
                <w:rFonts w:asciiTheme="minorHAnsi" w:hAnsiTheme="minorHAnsi"/>
                <w:color w:val="000000"/>
                <w:sz w:val="17"/>
                <w:szCs w:val="17"/>
              </w:rPr>
            </w:pPr>
            <w:r w:rsidRPr="00706123">
              <w:rPr>
                <w:rFonts w:asciiTheme="minorHAnsi" w:hAnsiTheme="minorHAnsi"/>
                <w:color w:val="000000"/>
                <w:sz w:val="17"/>
                <w:szCs w:val="17"/>
              </w:rPr>
              <w:t>ČSÚ</w:t>
            </w:r>
          </w:p>
          <w:p w:rsidR="002B6821" w:rsidRPr="00706123" w:rsidRDefault="002B6821" w:rsidP="00952632">
            <w:pPr>
              <w:spacing w:after="120" w:line="240" w:lineRule="auto"/>
              <w:jc w:val="left"/>
              <w:rPr>
                <w:rFonts w:asciiTheme="minorHAnsi" w:hAnsiTheme="minorHAnsi"/>
                <w:color w:val="000000"/>
                <w:sz w:val="17"/>
                <w:szCs w:val="17"/>
              </w:rPr>
            </w:pPr>
            <w:r w:rsidRPr="00706123">
              <w:rPr>
                <w:rFonts w:asciiTheme="minorHAnsi" w:hAnsiTheme="minorHAnsi"/>
                <w:color w:val="000000"/>
                <w:sz w:val="17"/>
                <w:szCs w:val="17"/>
              </w:rPr>
              <w:t>MZe</w:t>
            </w:r>
          </w:p>
        </w:tc>
        <w:tc>
          <w:tcPr>
            <w:tcW w:w="847" w:type="dxa"/>
            <w:vAlign w:val="center"/>
          </w:tcPr>
          <w:p w:rsidR="002B6821" w:rsidRPr="00706123" w:rsidRDefault="002B6821" w:rsidP="00952632">
            <w:pPr>
              <w:spacing w:after="120" w:line="264" w:lineRule="auto"/>
              <w:jc w:val="left"/>
              <w:rPr>
                <w:rFonts w:asciiTheme="minorHAnsi" w:hAnsiTheme="minorHAnsi"/>
                <w:color w:val="000000"/>
                <w:sz w:val="17"/>
                <w:szCs w:val="17"/>
              </w:rPr>
            </w:pPr>
            <w:r w:rsidRPr="00706123">
              <w:rPr>
                <w:rFonts w:asciiTheme="minorHAnsi" w:hAnsiTheme="minorHAnsi"/>
                <w:color w:val="000000"/>
                <w:sz w:val="17"/>
                <w:szCs w:val="17"/>
              </w:rPr>
              <w:t>Všechny OP</w:t>
            </w:r>
          </w:p>
        </w:tc>
        <w:tc>
          <w:tcPr>
            <w:tcW w:w="748" w:type="dxa"/>
            <w:shd w:val="clear" w:color="auto" w:fill="auto"/>
            <w:vAlign w:val="center"/>
          </w:tcPr>
          <w:p w:rsidR="002B6821" w:rsidRPr="00706123" w:rsidRDefault="002B6821" w:rsidP="00952632">
            <w:pPr>
              <w:spacing w:after="120" w:line="240" w:lineRule="auto"/>
              <w:jc w:val="left"/>
              <w:rPr>
                <w:rFonts w:asciiTheme="minorHAnsi" w:hAnsiTheme="minorHAnsi"/>
                <w:color w:val="000000"/>
                <w:sz w:val="17"/>
                <w:szCs w:val="17"/>
              </w:rPr>
            </w:pPr>
          </w:p>
        </w:tc>
      </w:tr>
      <w:tr w:rsidR="002B6821" w:rsidRPr="00706123" w:rsidTr="000C0E01">
        <w:trPr>
          <w:trHeight w:val="256"/>
        </w:trPr>
        <w:tc>
          <w:tcPr>
            <w:tcW w:w="947" w:type="dxa"/>
            <w:vMerge/>
            <w:shd w:val="clear" w:color="auto" w:fill="auto"/>
            <w:tcMar>
              <w:left w:w="28" w:type="dxa"/>
              <w:right w:w="28" w:type="dxa"/>
            </w:tcMar>
            <w:vAlign w:val="center"/>
          </w:tcPr>
          <w:p w:rsidR="002B6821" w:rsidRPr="00706123" w:rsidRDefault="002B6821" w:rsidP="00952632">
            <w:pPr>
              <w:spacing w:line="240" w:lineRule="auto"/>
              <w:jc w:val="left"/>
              <w:rPr>
                <w:rFonts w:asciiTheme="minorHAnsi" w:hAnsiTheme="minorHAnsi"/>
                <w:b/>
                <w:bCs/>
                <w:color w:val="FF0000"/>
                <w:sz w:val="17"/>
                <w:szCs w:val="17"/>
              </w:rPr>
            </w:pPr>
          </w:p>
        </w:tc>
        <w:tc>
          <w:tcPr>
            <w:tcW w:w="3525" w:type="dxa"/>
            <w:vAlign w:val="center"/>
          </w:tcPr>
          <w:p w:rsidR="002B6821" w:rsidRPr="00706123" w:rsidRDefault="002B6821" w:rsidP="00952632">
            <w:pPr>
              <w:spacing w:line="240" w:lineRule="auto"/>
              <w:jc w:val="left"/>
              <w:rPr>
                <w:rFonts w:asciiTheme="minorHAnsi" w:hAnsiTheme="minorHAnsi"/>
                <w:bCs/>
                <w:sz w:val="17"/>
                <w:szCs w:val="17"/>
              </w:rPr>
            </w:pPr>
            <w:r w:rsidRPr="00706123">
              <w:rPr>
                <w:rFonts w:asciiTheme="minorHAnsi" w:hAnsiTheme="minorHAnsi"/>
                <w:color w:val="000000"/>
                <w:sz w:val="17"/>
                <w:szCs w:val="17"/>
              </w:rPr>
              <w:t>Existence systému ukazatelů výsledků nezbytného k výběru opatření, jež budou nejúčinněji přispívat k dosahování požadovaných výsledků, k monitorování pokroku při dosahování výsledků a k provedení posouzení dopadů</w:t>
            </w:r>
          </w:p>
        </w:tc>
        <w:tc>
          <w:tcPr>
            <w:tcW w:w="1693" w:type="dxa"/>
            <w:vAlign w:val="center"/>
          </w:tcPr>
          <w:p w:rsidR="002B6821" w:rsidRPr="00706123" w:rsidRDefault="002B6821" w:rsidP="00952632">
            <w:pPr>
              <w:spacing w:after="60" w:line="240" w:lineRule="auto"/>
              <w:jc w:val="left"/>
              <w:rPr>
                <w:rFonts w:asciiTheme="minorHAnsi" w:hAnsiTheme="minorHAnsi"/>
                <w:color w:val="FF0000"/>
                <w:sz w:val="17"/>
                <w:szCs w:val="17"/>
              </w:rPr>
            </w:pPr>
            <w:r w:rsidRPr="00706123">
              <w:rPr>
                <w:rFonts w:asciiTheme="minorHAnsi" w:hAnsiTheme="minorHAnsi"/>
                <w:color w:val="FF0000"/>
                <w:sz w:val="17"/>
                <w:szCs w:val="17"/>
              </w:rPr>
              <w:t>MMR /</w:t>
            </w:r>
          </w:p>
          <w:p w:rsidR="002B6821" w:rsidRPr="00706123" w:rsidRDefault="002B6821" w:rsidP="00952632">
            <w:pPr>
              <w:spacing w:after="60" w:line="240" w:lineRule="auto"/>
              <w:jc w:val="left"/>
              <w:rPr>
                <w:rFonts w:asciiTheme="minorHAnsi" w:hAnsiTheme="minorHAnsi"/>
                <w:color w:val="FF0000"/>
                <w:sz w:val="17"/>
                <w:szCs w:val="17"/>
              </w:rPr>
            </w:pPr>
            <w:r w:rsidRPr="00706123">
              <w:rPr>
                <w:rFonts w:asciiTheme="minorHAnsi" w:hAnsiTheme="minorHAnsi"/>
                <w:sz w:val="17"/>
                <w:szCs w:val="17"/>
              </w:rPr>
              <w:t>Všechny ŘO (spolugesce za dílčí kritéria)</w:t>
            </w:r>
          </w:p>
        </w:tc>
        <w:tc>
          <w:tcPr>
            <w:tcW w:w="1412" w:type="dxa"/>
            <w:vAlign w:val="center"/>
          </w:tcPr>
          <w:p w:rsidR="002B6821" w:rsidRPr="00706123" w:rsidRDefault="002B6821" w:rsidP="00952632">
            <w:pPr>
              <w:spacing w:after="120" w:line="240" w:lineRule="auto"/>
              <w:jc w:val="left"/>
              <w:rPr>
                <w:rFonts w:asciiTheme="minorHAnsi" w:hAnsiTheme="minorHAnsi"/>
                <w:color w:val="000000"/>
                <w:sz w:val="17"/>
                <w:szCs w:val="17"/>
              </w:rPr>
            </w:pPr>
            <w:r w:rsidRPr="00706123">
              <w:rPr>
                <w:rFonts w:asciiTheme="minorHAnsi" w:hAnsiTheme="minorHAnsi"/>
                <w:color w:val="000000"/>
                <w:sz w:val="17"/>
                <w:szCs w:val="17"/>
              </w:rPr>
              <w:t>Další resorty</w:t>
            </w:r>
          </w:p>
          <w:p w:rsidR="002B6821" w:rsidRPr="00706123" w:rsidRDefault="002B6821" w:rsidP="00952632">
            <w:pPr>
              <w:spacing w:after="120" w:line="240" w:lineRule="auto"/>
              <w:jc w:val="left"/>
              <w:rPr>
                <w:rFonts w:asciiTheme="minorHAnsi" w:hAnsiTheme="minorHAnsi"/>
                <w:color w:val="000000"/>
                <w:sz w:val="17"/>
                <w:szCs w:val="17"/>
              </w:rPr>
            </w:pPr>
            <w:r w:rsidRPr="00706123">
              <w:rPr>
                <w:rFonts w:asciiTheme="minorHAnsi" w:hAnsiTheme="minorHAnsi"/>
                <w:color w:val="000000"/>
                <w:sz w:val="17"/>
                <w:szCs w:val="17"/>
              </w:rPr>
              <w:t>ČSÚ</w:t>
            </w:r>
          </w:p>
          <w:p w:rsidR="002B6821" w:rsidRPr="00706123" w:rsidRDefault="002B6821" w:rsidP="00952632">
            <w:pPr>
              <w:spacing w:after="120" w:line="240" w:lineRule="auto"/>
              <w:jc w:val="left"/>
              <w:rPr>
                <w:rFonts w:asciiTheme="minorHAnsi" w:hAnsiTheme="minorHAnsi"/>
                <w:color w:val="000000"/>
                <w:sz w:val="17"/>
                <w:szCs w:val="17"/>
              </w:rPr>
            </w:pPr>
            <w:r w:rsidRPr="00706123">
              <w:rPr>
                <w:rFonts w:asciiTheme="minorHAnsi" w:hAnsiTheme="minorHAnsi"/>
                <w:color w:val="000000"/>
                <w:sz w:val="17"/>
                <w:szCs w:val="17"/>
              </w:rPr>
              <w:t>MZe</w:t>
            </w:r>
          </w:p>
        </w:tc>
        <w:tc>
          <w:tcPr>
            <w:tcW w:w="847" w:type="dxa"/>
            <w:vAlign w:val="center"/>
          </w:tcPr>
          <w:p w:rsidR="002B6821" w:rsidRPr="00706123" w:rsidRDefault="002B6821" w:rsidP="00952632">
            <w:pPr>
              <w:spacing w:after="120" w:line="264" w:lineRule="auto"/>
              <w:jc w:val="left"/>
              <w:rPr>
                <w:rFonts w:asciiTheme="minorHAnsi" w:hAnsiTheme="minorHAnsi"/>
                <w:color w:val="000000"/>
                <w:sz w:val="17"/>
                <w:szCs w:val="17"/>
              </w:rPr>
            </w:pPr>
            <w:r w:rsidRPr="00706123">
              <w:rPr>
                <w:rFonts w:asciiTheme="minorHAnsi" w:hAnsiTheme="minorHAnsi"/>
                <w:color w:val="000000"/>
                <w:sz w:val="17"/>
                <w:szCs w:val="17"/>
              </w:rPr>
              <w:t>Všechny OP</w:t>
            </w:r>
          </w:p>
        </w:tc>
        <w:tc>
          <w:tcPr>
            <w:tcW w:w="748" w:type="dxa"/>
            <w:shd w:val="clear" w:color="auto" w:fill="auto"/>
            <w:vAlign w:val="center"/>
          </w:tcPr>
          <w:p w:rsidR="002B6821" w:rsidRPr="00706123" w:rsidRDefault="002B6821" w:rsidP="00952632">
            <w:pPr>
              <w:spacing w:after="120" w:line="240" w:lineRule="auto"/>
              <w:jc w:val="left"/>
              <w:rPr>
                <w:rFonts w:asciiTheme="minorHAnsi" w:hAnsiTheme="minorHAnsi"/>
                <w:color w:val="000000"/>
                <w:sz w:val="17"/>
                <w:szCs w:val="17"/>
              </w:rPr>
            </w:pPr>
          </w:p>
        </w:tc>
      </w:tr>
      <w:tr w:rsidR="002B6821" w:rsidRPr="00706123" w:rsidTr="000C0E01">
        <w:trPr>
          <w:trHeight w:val="980"/>
        </w:trPr>
        <w:tc>
          <w:tcPr>
            <w:tcW w:w="947" w:type="dxa"/>
            <w:shd w:val="clear" w:color="auto" w:fill="auto"/>
            <w:tcMar>
              <w:left w:w="28" w:type="dxa"/>
              <w:right w:w="28" w:type="dxa"/>
            </w:tcMar>
            <w:vAlign w:val="center"/>
          </w:tcPr>
          <w:p w:rsidR="002B6821" w:rsidRPr="00706123" w:rsidRDefault="002B6821" w:rsidP="00952632">
            <w:pPr>
              <w:spacing w:line="240" w:lineRule="auto"/>
              <w:jc w:val="left"/>
              <w:rPr>
                <w:rFonts w:asciiTheme="minorHAnsi" w:hAnsiTheme="minorHAnsi"/>
                <w:bCs/>
                <w:sz w:val="17"/>
                <w:szCs w:val="17"/>
              </w:rPr>
            </w:pPr>
            <w:r w:rsidRPr="00706123">
              <w:rPr>
                <w:rFonts w:asciiTheme="minorHAnsi" w:hAnsiTheme="minorHAnsi"/>
                <w:b/>
                <w:bCs/>
                <w:color w:val="FF0000"/>
                <w:sz w:val="17"/>
                <w:szCs w:val="17"/>
              </w:rPr>
              <w:t>HC 2. Lidské zdroje</w:t>
            </w:r>
          </w:p>
        </w:tc>
        <w:tc>
          <w:tcPr>
            <w:tcW w:w="3525" w:type="dxa"/>
            <w:vAlign w:val="center"/>
          </w:tcPr>
          <w:p w:rsidR="002B6821" w:rsidRPr="00706123" w:rsidRDefault="002B6821" w:rsidP="00952632">
            <w:pPr>
              <w:spacing w:line="240" w:lineRule="auto"/>
              <w:jc w:val="left"/>
              <w:rPr>
                <w:rFonts w:asciiTheme="minorHAnsi" w:hAnsiTheme="minorHAnsi"/>
                <w:bCs/>
                <w:iCs/>
                <w:sz w:val="17"/>
                <w:szCs w:val="17"/>
              </w:rPr>
            </w:pPr>
            <w:r w:rsidRPr="00706123">
              <w:rPr>
                <w:rFonts w:asciiTheme="minorHAnsi" w:hAnsiTheme="minorHAnsi"/>
                <w:bCs/>
                <w:iCs/>
                <w:sz w:val="17"/>
                <w:szCs w:val="17"/>
              </w:rPr>
              <w:t>Subjekty odpovědné za řízení a provádění programů rozvoje venkova mají dostatečnou kapacitu v oblasti lidských zdrojů, řízení odborné přípravy a systémů IT</w:t>
            </w:r>
          </w:p>
        </w:tc>
        <w:tc>
          <w:tcPr>
            <w:tcW w:w="1693" w:type="dxa"/>
            <w:vAlign w:val="center"/>
          </w:tcPr>
          <w:p w:rsidR="002B6821" w:rsidRPr="00706123" w:rsidRDefault="002B6821" w:rsidP="00952632">
            <w:pPr>
              <w:spacing w:after="60" w:line="240" w:lineRule="auto"/>
              <w:jc w:val="left"/>
              <w:rPr>
                <w:rFonts w:asciiTheme="minorHAnsi" w:hAnsiTheme="minorHAnsi"/>
                <w:color w:val="FF0000"/>
                <w:sz w:val="17"/>
                <w:szCs w:val="17"/>
              </w:rPr>
            </w:pPr>
            <w:r w:rsidRPr="00706123">
              <w:rPr>
                <w:rFonts w:asciiTheme="minorHAnsi" w:hAnsiTheme="minorHAnsi"/>
                <w:color w:val="FF0000"/>
                <w:sz w:val="17"/>
                <w:szCs w:val="17"/>
              </w:rPr>
              <w:t>MZe</w:t>
            </w:r>
          </w:p>
        </w:tc>
        <w:tc>
          <w:tcPr>
            <w:tcW w:w="1412" w:type="dxa"/>
            <w:vAlign w:val="center"/>
          </w:tcPr>
          <w:p w:rsidR="002B6821" w:rsidRPr="00706123" w:rsidRDefault="002B6821" w:rsidP="00952632">
            <w:pPr>
              <w:spacing w:after="120" w:line="240" w:lineRule="auto"/>
              <w:jc w:val="left"/>
              <w:rPr>
                <w:rFonts w:asciiTheme="minorHAnsi" w:hAnsiTheme="minorHAnsi"/>
                <w:color w:val="000000"/>
                <w:sz w:val="17"/>
                <w:szCs w:val="17"/>
              </w:rPr>
            </w:pPr>
          </w:p>
        </w:tc>
        <w:tc>
          <w:tcPr>
            <w:tcW w:w="847" w:type="dxa"/>
            <w:vAlign w:val="center"/>
          </w:tcPr>
          <w:p w:rsidR="002B6821" w:rsidRPr="00706123" w:rsidRDefault="002B6821" w:rsidP="00952632">
            <w:pPr>
              <w:spacing w:after="120" w:line="264" w:lineRule="auto"/>
              <w:jc w:val="left"/>
              <w:rPr>
                <w:rFonts w:asciiTheme="minorHAnsi" w:hAnsiTheme="minorHAnsi"/>
                <w:color w:val="000000"/>
                <w:sz w:val="17"/>
                <w:szCs w:val="17"/>
              </w:rPr>
            </w:pPr>
            <w:r w:rsidRPr="00706123">
              <w:rPr>
                <w:rFonts w:asciiTheme="minorHAnsi" w:hAnsiTheme="minorHAnsi"/>
                <w:color w:val="000000"/>
                <w:sz w:val="17"/>
                <w:szCs w:val="17"/>
              </w:rPr>
              <w:t>PRV</w:t>
            </w:r>
          </w:p>
        </w:tc>
        <w:tc>
          <w:tcPr>
            <w:tcW w:w="748" w:type="dxa"/>
            <w:shd w:val="clear" w:color="auto" w:fill="auto"/>
            <w:vAlign w:val="center"/>
          </w:tcPr>
          <w:p w:rsidR="002B6821" w:rsidRPr="00706123" w:rsidRDefault="002B6821" w:rsidP="00952632">
            <w:pPr>
              <w:spacing w:after="120" w:line="240" w:lineRule="auto"/>
              <w:jc w:val="left"/>
              <w:rPr>
                <w:rFonts w:asciiTheme="minorHAnsi" w:hAnsiTheme="minorHAnsi"/>
                <w:color w:val="000000"/>
                <w:sz w:val="17"/>
                <w:szCs w:val="17"/>
              </w:rPr>
            </w:pPr>
          </w:p>
        </w:tc>
      </w:tr>
      <w:tr w:rsidR="002B6821" w:rsidRPr="00706123" w:rsidTr="000C0E01">
        <w:trPr>
          <w:trHeight w:val="672"/>
        </w:trPr>
        <w:tc>
          <w:tcPr>
            <w:tcW w:w="947" w:type="dxa"/>
            <w:shd w:val="clear" w:color="auto" w:fill="auto"/>
            <w:tcMar>
              <w:left w:w="28" w:type="dxa"/>
              <w:right w:w="28" w:type="dxa"/>
            </w:tcMar>
            <w:vAlign w:val="center"/>
          </w:tcPr>
          <w:p w:rsidR="002B6821" w:rsidRPr="00706123" w:rsidRDefault="002B6821" w:rsidP="00952632">
            <w:pPr>
              <w:spacing w:line="240" w:lineRule="auto"/>
              <w:jc w:val="left"/>
              <w:rPr>
                <w:rFonts w:asciiTheme="minorHAnsi" w:hAnsiTheme="minorHAnsi"/>
                <w:bCs/>
                <w:sz w:val="17"/>
                <w:szCs w:val="17"/>
              </w:rPr>
            </w:pPr>
            <w:r w:rsidRPr="00706123">
              <w:rPr>
                <w:rFonts w:asciiTheme="minorHAnsi" w:hAnsiTheme="minorHAnsi"/>
                <w:b/>
                <w:bCs/>
                <w:color w:val="FF0000"/>
                <w:sz w:val="17"/>
                <w:szCs w:val="17"/>
              </w:rPr>
              <w:t>HC 3. Výběrová kritéria</w:t>
            </w:r>
          </w:p>
        </w:tc>
        <w:tc>
          <w:tcPr>
            <w:tcW w:w="3525" w:type="dxa"/>
            <w:vAlign w:val="center"/>
          </w:tcPr>
          <w:p w:rsidR="002B6821" w:rsidRPr="00706123" w:rsidRDefault="002B6821" w:rsidP="00952632">
            <w:pPr>
              <w:spacing w:line="240" w:lineRule="auto"/>
              <w:jc w:val="left"/>
              <w:rPr>
                <w:rFonts w:asciiTheme="minorHAnsi" w:hAnsiTheme="minorHAnsi"/>
                <w:bCs/>
                <w:sz w:val="17"/>
                <w:szCs w:val="17"/>
              </w:rPr>
            </w:pPr>
            <w:r w:rsidRPr="00706123">
              <w:rPr>
                <w:rFonts w:asciiTheme="minorHAnsi" w:hAnsiTheme="minorHAnsi"/>
                <w:bCs/>
                <w:sz w:val="17"/>
                <w:szCs w:val="17"/>
              </w:rPr>
              <w:t>Je vymezen vhodný přístup, který stanoví zásady, pokud jde o určení výběrových kritérií pro projekty a místní rozvoj</w:t>
            </w:r>
          </w:p>
        </w:tc>
        <w:tc>
          <w:tcPr>
            <w:tcW w:w="1693" w:type="dxa"/>
            <w:vAlign w:val="center"/>
          </w:tcPr>
          <w:p w:rsidR="002B6821" w:rsidRPr="00706123" w:rsidRDefault="002B6821" w:rsidP="00952632">
            <w:pPr>
              <w:spacing w:after="120" w:line="240" w:lineRule="auto"/>
              <w:jc w:val="left"/>
              <w:rPr>
                <w:rFonts w:asciiTheme="minorHAnsi" w:hAnsiTheme="minorHAnsi"/>
                <w:color w:val="FF0000"/>
                <w:sz w:val="17"/>
                <w:szCs w:val="17"/>
              </w:rPr>
            </w:pPr>
            <w:r w:rsidRPr="00706123">
              <w:rPr>
                <w:rFonts w:asciiTheme="minorHAnsi" w:hAnsiTheme="minorHAnsi"/>
                <w:color w:val="FF0000"/>
                <w:sz w:val="17"/>
                <w:szCs w:val="17"/>
              </w:rPr>
              <w:t>MZe</w:t>
            </w:r>
          </w:p>
        </w:tc>
        <w:tc>
          <w:tcPr>
            <w:tcW w:w="1412" w:type="dxa"/>
            <w:vAlign w:val="center"/>
          </w:tcPr>
          <w:p w:rsidR="002B6821" w:rsidRPr="00706123" w:rsidRDefault="002B6821" w:rsidP="00952632">
            <w:pPr>
              <w:spacing w:after="120" w:line="240" w:lineRule="auto"/>
              <w:jc w:val="left"/>
              <w:rPr>
                <w:rFonts w:asciiTheme="minorHAnsi" w:hAnsiTheme="minorHAnsi"/>
                <w:color w:val="000000"/>
                <w:sz w:val="17"/>
                <w:szCs w:val="17"/>
              </w:rPr>
            </w:pPr>
          </w:p>
        </w:tc>
        <w:tc>
          <w:tcPr>
            <w:tcW w:w="847" w:type="dxa"/>
            <w:vAlign w:val="center"/>
          </w:tcPr>
          <w:p w:rsidR="002B6821" w:rsidRPr="00706123" w:rsidRDefault="002B6821" w:rsidP="00952632">
            <w:pPr>
              <w:spacing w:after="120" w:line="264" w:lineRule="auto"/>
              <w:jc w:val="left"/>
              <w:rPr>
                <w:rFonts w:asciiTheme="minorHAnsi" w:hAnsiTheme="minorHAnsi"/>
                <w:color w:val="000000"/>
                <w:sz w:val="17"/>
                <w:szCs w:val="17"/>
              </w:rPr>
            </w:pPr>
            <w:r w:rsidRPr="00706123">
              <w:rPr>
                <w:rFonts w:asciiTheme="minorHAnsi" w:hAnsiTheme="minorHAnsi"/>
                <w:color w:val="000000"/>
                <w:sz w:val="17"/>
                <w:szCs w:val="17"/>
              </w:rPr>
              <w:t>PRV</w:t>
            </w:r>
          </w:p>
        </w:tc>
        <w:tc>
          <w:tcPr>
            <w:tcW w:w="748" w:type="dxa"/>
            <w:shd w:val="clear" w:color="auto" w:fill="auto"/>
            <w:vAlign w:val="center"/>
          </w:tcPr>
          <w:p w:rsidR="002B6821" w:rsidRPr="00706123" w:rsidRDefault="002B6821" w:rsidP="00952632">
            <w:pPr>
              <w:spacing w:after="120" w:line="240" w:lineRule="auto"/>
              <w:jc w:val="left"/>
              <w:rPr>
                <w:rFonts w:asciiTheme="minorHAnsi" w:hAnsiTheme="minorHAnsi"/>
                <w:color w:val="000000"/>
                <w:sz w:val="17"/>
                <w:szCs w:val="17"/>
              </w:rPr>
            </w:pPr>
          </w:p>
        </w:tc>
      </w:tr>
    </w:tbl>
    <w:p w:rsidR="003E2761" w:rsidRDefault="003E2761" w:rsidP="003E2761">
      <w:pPr>
        <w:spacing w:before="360" w:after="200" w:line="276" w:lineRule="auto"/>
        <w:ind w:left="425"/>
        <w:rPr>
          <w:rFonts w:asciiTheme="minorHAnsi" w:eastAsiaTheme="majorEastAsia" w:hAnsiTheme="minorHAnsi"/>
        </w:rPr>
      </w:pPr>
    </w:p>
    <w:p w:rsidR="003E2761" w:rsidRDefault="003E2761">
      <w:pPr>
        <w:spacing w:before="360" w:after="200" w:line="276" w:lineRule="auto"/>
        <w:ind w:left="425"/>
        <w:rPr>
          <w:rFonts w:asciiTheme="minorHAnsi" w:eastAsiaTheme="majorEastAsia" w:hAnsiTheme="minorHAnsi"/>
        </w:rPr>
      </w:pPr>
      <w:r>
        <w:rPr>
          <w:rFonts w:asciiTheme="minorHAnsi" w:eastAsiaTheme="majorEastAsia" w:hAnsiTheme="minorHAnsi"/>
        </w:rPr>
        <w:br w:type="page"/>
      </w:r>
    </w:p>
    <w:p w:rsidR="008F2634" w:rsidRPr="00C909EF" w:rsidRDefault="00537010" w:rsidP="003E2761">
      <w:pPr>
        <w:pStyle w:val="Nadpis11"/>
        <w:numPr>
          <w:ilvl w:val="1"/>
          <w:numId w:val="2"/>
        </w:numPr>
        <w:spacing w:after="120"/>
        <w:ind w:left="567" w:hanging="567"/>
        <w:rPr>
          <w:rFonts w:asciiTheme="minorHAnsi" w:eastAsiaTheme="majorEastAsia" w:hAnsiTheme="minorHAnsi"/>
        </w:rPr>
      </w:pPr>
      <w:bookmarkStart w:id="15" w:name="_Toc359587669"/>
      <w:r w:rsidRPr="00C909EF">
        <w:rPr>
          <w:rFonts w:asciiTheme="minorHAnsi" w:eastAsiaTheme="majorEastAsia" w:hAnsiTheme="minorHAnsi"/>
        </w:rPr>
        <w:t>Karta rizikových</w:t>
      </w:r>
      <w:r w:rsidR="008F2634" w:rsidRPr="00C909EF">
        <w:rPr>
          <w:rFonts w:asciiTheme="minorHAnsi" w:eastAsiaTheme="majorEastAsia" w:hAnsiTheme="minorHAnsi"/>
        </w:rPr>
        <w:t xml:space="preserve"> předběžn</w:t>
      </w:r>
      <w:r w:rsidRPr="00C909EF">
        <w:rPr>
          <w:rFonts w:asciiTheme="minorHAnsi" w:eastAsiaTheme="majorEastAsia" w:hAnsiTheme="minorHAnsi"/>
        </w:rPr>
        <w:t>ých</w:t>
      </w:r>
      <w:r w:rsidR="008F2634" w:rsidRPr="00C909EF">
        <w:rPr>
          <w:rFonts w:asciiTheme="minorHAnsi" w:eastAsiaTheme="majorEastAsia" w:hAnsiTheme="minorHAnsi"/>
        </w:rPr>
        <w:t xml:space="preserve"> podmín</w:t>
      </w:r>
      <w:r w:rsidRPr="00C909EF">
        <w:rPr>
          <w:rFonts w:asciiTheme="minorHAnsi" w:eastAsiaTheme="majorEastAsia" w:hAnsiTheme="minorHAnsi"/>
        </w:rPr>
        <w:t>ek</w:t>
      </w:r>
      <w:bookmarkEnd w:id="15"/>
    </w:p>
    <w:p w:rsidR="00C909EF" w:rsidRDefault="00CE54EB" w:rsidP="00175FC4">
      <w:pPr>
        <w:pStyle w:val="Odstavecseseznamem"/>
        <w:tabs>
          <w:tab w:val="left" w:pos="6379"/>
        </w:tabs>
        <w:spacing w:before="120" w:after="60" w:line="288" w:lineRule="auto"/>
        <w:ind w:left="0"/>
        <w:contextualSpacing w:val="0"/>
        <w:rPr>
          <w:rFonts w:asciiTheme="minorHAnsi" w:eastAsia="Arial Unicode MS" w:hAnsiTheme="minorHAnsi"/>
        </w:rPr>
      </w:pPr>
      <w:r>
        <w:rPr>
          <w:rFonts w:asciiTheme="minorHAnsi" w:eastAsia="Arial Unicode MS" w:hAnsiTheme="minorHAnsi"/>
        </w:rPr>
        <w:t xml:space="preserve">Tabulka </w:t>
      </w:r>
      <w:r w:rsidR="00706123">
        <w:rPr>
          <w:rFonts w:asciiTheme="minorHAnsi" w:eastAsia="Arial Unicode MS" w:hAnsiTheme="minorHAnsi"/>
        </w:rPr>
        <w:t xml:space="preserve">9 </w:t>
      </w:r>
      <w:r>
        <w:rPr>
          <w:rFonts w:asciiTheme="minorHAnsi" w:eastAsia="Arial Unicode MS" w:hAnsiTheme="minorHAnsi"/>
        </w:rPr>
        <w:t xml:space="preserve">uvádí přehled </w:t>
      </w:r>
      <w:r w:rsidR="008F0328">
        <w:rPr>
          <w:rFonts w:asciiTheme="minorHAnsi" w:eastAsia="Arial Unicode MS" w:hAnsiTheme="minorHAnsi"/>
        </w:rPr>
        <w:t xml:space="preserve">identifikovaných </w:t>
      </w:r>
      <w:r>
        <w:rPr>
          <w:rFonts w:asciiTheme="minorHAnsi" w:eastAsia="Arial Unicode MS" w:hAnsiTheme="minorHAnsi"/>
        </w:rPr>
        <w:t>rizikových předběžných podmínek s popisem možných problémů, rizik nebo bariér stojících v jejich naplňování</w:t>
      </w:r>
      <w:r w:rsidR="00537010">
        <w:rPr>
          <w:rFonts w:asciiTheme="minorHAnsi" w:eastAsia="Arial Unicode MS" w:hAnsiTheme="minorHAnsi"/>
        </w:rPr>
        <w:t xml:space="preserve">, tzv. Kartu rizikových předběžných podmínek. </w:t>
      </w:r>
      <w:r w:rsidR="00BA71A3">
        <w:rPr>
          <w:rFonts w:asciiTheme="minorHAnsi" w:eastAsia="Arial Unicode MS" w:hAnsiTheme="minorHAnsi"/>
        </w:rPr>
        <w:t xml:space="preserve">Na základě </w:t>
      </w:r>
      <w:r w:rsidR="00BA71A3" w:rsidRPr="002534B3">
        <w:rPr>
          <w:rFonts w:asciiTheme="minorHAnsi" w:eastAsia="Arial Unicode MS" w:hAnsiTheme="minorHAnsi"/>
        </w:rPr>
        <w:t>usnesení vlády</w:t>
      </w:r>
      <w:r w:rsidR="00885B82">
        <w:rPr>
          <w:rFonts w:asciiTheme="minorHAnsi" w:eastAsia="Arial Unicode MS" w:hAnsiTheme="minorHAnsi"/>
        </w:rPr>
        <w:t xml:space="preserve"> ze dne 12. června 2013</w:t>
      </w:r>
      <w:r w:rsidR="00BA71A3" w:rsidRPr="002534B3">
        <w:rPr>
          <w:rFonts w:asciiTheme="minorHAnsi" w:eastAsia="Arial Unicode MS" w:hAnsiTheme="minorHAnsi"/>
        </w:rPr>
        <w:t xml:space="preserve"> </w:t>
      </w:r>
      <w:r w:rsidR="00BA71A3">
        <w:rPr>
          <w:rFonts w:asciiTheme="minorHAnsi" w:eastAsia="Arial Unicode MS" w:hAnsiTheme="minorHAnsi"/>
        </w:rPr>
        <w:t>jsou jednotliví gestoři povinni do 30.</w:t>
      </w:r>
      <w:r w:rsidR="00885B82">
        <w:rPr>
          <w:rFonts w:asciiTheme="minorHAnsi" w:eastAsia="Arial Unicode MS" w:hAnsiTheme="minorHAnsi"/>
        </w:rPr>
        <w:t xml:space="preserve"> </w:t>
      </w:r>
      <w:r w:rsidR="00BA71A3">
        <w:rPr>
          <w:rFonts w:asciiTheme="minorHAnsi" w:eastAsia="Arial Unicode MS" w:hAnsiTheme="minorHAnsi"/>
        </w:rPr>
        <w:t>6.</w:t>
      </w:r>
      <w:r w:rsidR="00885B82">
        <w:rPr>
          <w:rFonts w:asciiTheme="minorHAnsi" w:eastAsia="Arial Unicode MS" w:hAnsiTheme="minorHAnsi"/>
        </w:rPr>
        <w:t xml:space="preserve"> </w:t>
      </w:r>
      <w:r w:rsidR="00BA71A3">
        <w:rPr>
          <w:rFonts w:asciiTheme="minorHAnsi" w:eastAsia="Arial Unicode MS" w:hAnsiTheme="minorHAnsi"/>
        </w:rPr>
        <w:t>2013 předložit ministrovi pro místní rozvoj Kartu rizikových předběžných podmínek</w:t>
      </w:r>
      <w:r>
        <w:rPr>
          <w:rFonts w:asciiTheme="minorHAnsi" w:eastAsia="Arial Unicode MS" w:hAnsiTheme="minorHAnsi"/>
        </w:rPr>
        <w:t xml:space="preserve">. </w:t>
      </w:r>
    </w:p>
    <w:p w:rsidR="00764767" w:rsidRDefault="00CE54EB" w:rsidP="00764767">
      <w:pPr>
        <w:pStyle w:val="Odstavecseseznamem"/>
        <w:tabs>
          <w:tab w:val="left" w:pos="6379"/>
        </w:tabs>
        <w:spacing w:before="120" w:after="60" w:line="288" w:lineRule="auto"/>
        <w:ind w:left="0"/>
        <w:contextualSpacing w:val="0"/>
        <w:rPr>
          <w:rFonts w:asciiTheme="minorHAnsi" w:eastAsia="Arial Unicode MS" w:hAnsiTheme="minorHAnsi"/>
        </w:rPr>
      </w:pPr>
      <w:r>
        <w:rPr>
          <w:rFonts w:asciiTheme="minorHAnsi" w:eastAsia="Arial Unicode MS" w:hAnsiTheme="minorHAnsi"/>
        </w:rPr>
        <w:t>Na zákl</w:t>
      </w:r>
      <w:r w:rsidR="008E7C04">
        <w:rPr>
          <w:rFonts w:asciiTheme="minorHAnsi" w:eastAsia="Arial Unicode MS" w:hAnsiTheme="minorHAnsi"/>
        </w:rPr>
        <w:t>a</w:t>
      </w:r>
      <w:r>
        <w:rPr>
          <w:rFonts w:asciiTheme="minorHAnsi" w:eastAsia="Arial Unicode MS" w:hAnsiTheme="minorHAnsi"/>
        </w:rPr>
        <w:t>dě stanovených odpovědností</w:t>
      </w:r>
      <w:r w:rsidR="00BA71A3">
        <w:rPr>
          <w:rFonts w:asciiTheme="minorHAnsi" w:eastAsia="Arial Unicode MS" w:hAnsiTheme="minorHAnsi"/>
        </w:rPr>
        <w:t xml:space="preserve"> a i s ohledem na první fázi hodnocení programů</w:t>
      </w:r>
      <w:r>
        <w:rPr>
          <w:rFonts w:asciiTheme="minorHAnsi" w:eastAsia="Arial Unicode MS" w:hAnsiTheme="minorHAnsi"/>
        </w:rPr>
        <w:t xml:space="preserve"> </w:t>
      </w:r>
      <w:r w:rsidR="00F0088B">
        <w:rPr>
          <w:rFonts w:asciiTheme="minorHAnsi" w:eastAsia="Arial Unicode MS" w:hAnsiTheme="minorHAnsi"/>
        </w:rPr>
        <w:t xml:space="preserve">MMR identifikovalo rizikové předběžné podmínky, které jsou uvedeny v Kartě předběžných podmínek. </w:t>
      </w:r>
      <w:r w:rsidR="00764767" w:rsidRPr="00764767">
        <w:rPr>
          <w:rFonts w:asciiTheme="minorHAnsi" w:eastAsia="Arial Unicode MS" w:hAnsiTheme="minorHAnsi"/>
        </w:rPr>
        <w:t xml:space="preserve">Zároveň MMR provedlo tzv. screening řízení vedených proti </w:t>
      </w:r>
      <w:r w:rsidR="00B42125">
        <w:rPr>
          <w:rFonts w:asciiTheme="minorHAnsi" w:eastAsia="Arial Unicode MS" w:hAnsiTheme="minorHAnsi"/>
        </w:rPr>
        <w:t>ČR</w:t>
      </w:r>
      <w:r w:rsidR="00764767" w:rsidRPr="00764767">
        <w:rPr>
          <w:rFonts w:asciiTheme="minorHAnsi" w:eastAsia="Arial Unicode MS" w:hAnsiTheme="minorHAnsi"/>
        </w:rPr>
        <w:t xml:space="preserve"> (tabulka 10).</w:t>
      </w:r>
      <w:r w:rsidR="00764767">
        <w:rPr>
          <w:rFonts w:asciiTheme="minorHAnsi" w:eastAsia="Arial Unicode MS" w:hAnsiTheme="minorHAnsi"/>
        </w:rPr>
        <w:t xml:space="preserve"> Screening odráží p</w:t>
      </w:r>
      <w:r w:rsidR="00764767" w:rsidRPr="00764767">
        <w:rPr>
          <w:rFonts w:asciiTheme="minorHAnsi" w:eastAsia="Arial Unicode MS" w:hAnsiTheme="minorHAnsi"/>
        </w:rPr>
        <w:t>osouzení relevance směrnic, které vykazují problematickou transpozici do právního řádu ČR, s předběžnými podmínkami a vazbou na operační programy v programovém období 2014 – 2020</w:t>
      </w:r>
    </w:p>
    <w:p w:rsidR="00C909EF" w:rsidRDefault="00F0088B" w:rsidP="00175FC4">
      <w:pPr>
        <w:pStyle w:val="Odstavecseseznamem"/>
        <w:tabs>
          <w:tab w:val="left" w:pos="6379"/>
        </w:tabs>
        <w:spacing w:before="120" w:after="60" w:line="288" w:lineRule="auto"/>
        <w:ind w:left="0"/>
        <w:contextualSpacing w:val="0"/>
        <w:rPr>
          <w:rFonts w:asciiTheme="minorHAnsi" w:eastAsia="Arial Unicode MS" w:hAnsiTheme="minorHAnsi"/>
        </w:rPr>
      </w:pPr>
      <w:r>
        <w:rPr>
          <w:rFonts w:asciiTheme="minorHAnsi" w:eastAsia="Arial Unicode MS" w:hAnsiTheme="minorHAnsi"/>
        </w:rPr>
        <w:t xml:space="preserve">Gestoři </w:t>
      </w:r>
      <w:r w:rsidR="005D2FBB">
        <w:rPr>
          <w:rFonts w:asciiTheme="minorHAnsi" w:eastAsia="Arial Unicode MS" w:hAnsiTheme="minorHAnsi"/>
        </w:rPr>
        <w:t xml:space="preserve">(i řídící orgány) </w:t>
      </w:r>
      <w:r>
        <w:rPr>
          <w:rFonts w:asciiTheme="minorHAnsi" w:eastAsia="Arial Unicode MS" w:hAnsiTheme="minorHAnsi"/>
        </w:rPr>
        <w:t>předběžných podmínek v souladu s usnesení</w:t>
      </w:r>
      <w:r w:rsidR="001A1225">
        <w:rPr>
          <w:rFonts w:asciiTheme="minorHAnsi" w:eastAsia="Arial Unicode MS" w:hAnsiTheme="minorHAnsi"/>
        </w:rPr>
        <w:t>m</w:t>
      </w:r>
      <w:r>
        <w:rPr>
          <w:rFonts w:asciiTheme="minorHAnsi" w:eastAsia="Arial Unicode MS" w:hAnsiTheme="minorHAnsi"/>
        </w:rPr>
        <w:t xml:space="preserve"> vlády </w:t>
      </w:r>
      <w:r w:rsidRPr="00764767">
        <w:rPr>
          <w:rFonts w:asciiTheme="minorHAnsi" w:eastAsia="Arial Unicode MS" w:hAnsiTheme="minorHAnsi"/>
        </w:rPr>
        <w:t xml:space="preserve">doplní a aktualizují </w:t>
      </w:r>
      <w:r w:rsidR="0094429D" w:rsidRPr="00764767">
        <w:rPr>
          <w:rFonts w:asciiTheme="minorHAnsi" w:eastAsia="Arial Unicode MS" w:hAnsiTheme="minorHAnsi"/>
        </w:rPr>
        <w:t xml:space="preserve">(nejlépe ve změnovém režimu) </w:t>
      </w:r>
      <w:r w:rsidRPr="00764767">
        <w:rPr>
          <w:rFonts w:asciiTheme="minorHAnsi" w:eastAsia="Arial Unicode MS" w:hAnsiTheme="minorHAnsi"/>
        </w:rPr>
        <w:t xml:space="preserve">údaje v této kartě, a to </w:t>
      </w:r>
      <w:r w:rsidR="008B0A16" w:rsidRPr="00764767">
        <w:rPr>
          <w:rFonts w:asciiTheme="minorHAnsi" w:eastAsia="Arial Unicode MS" w:hAnsiTheme="minorHAnsi"/>
        </w:rPr>
        <w:t>především</w:t>
      </w:r>
      <w:r w:rsidR="005D2FBB" w:rsidRPr="00764767">
        <w:rPr>
          <w:rFonts w:asciiTheme="minorHAnsi" w:eastAsia="Arial Unicode MS" w:hAnsiTheme="minorHAnsi"/>
        </w:rPr>
        <w:t xml:space="preserve"> N</w:t>
      </w:r>
      <w:r w:rsidR="00CE33FB" w:rsidRPr="00764767">
        <w:rPr>
          <w:rFonts w:asciiTheme="minorHAnsi" w:eastAsia="Arial Unicode MS" w:hAnsiTheme="minorHAnsi"/>
        </w:rPr>
        <w:t>á</w:t>
      </w:r>
      <w:r w:rsidR="005D2FBB" w:rsidRPr="00764767">
        <w:rPr>
          <w:rFonts w:asciiTheme="minorHAnsi" w:eastAsia="Arial Unicode MS" w:hAnsiTheme="minorHAnsi"/>
        </w:rPr>
        <w:t>vrh o</w:t>
      </w:r>
      <w:r w:rsidR="005D2FBB">
        <w:rPr>
          <w:rFonts w:asciiTheme="minorHAnsi" w:eastAsia="Arial Unicode MS" w:hAnsiTheme="minorHAnsi"/>
        </w:rPr>
        <w:t xml:space="preserve">patření </w:t>
      </w:r>
      <w:r w:rsidR="00CE33FB">
        <w:rPr>
          <w:rFonts w:asciiTheme="minorHAnsi" w:eastAsia="Arial Unicode MS" w:hAnsiTheme="minorHAnsi"/>
        </w:rPr>
        <w:t>(změn) a Harmonogram</w:t>
      </w:r>
      <w:r w:rsidR="008B0A16">
        <w:rPr>
          <w:rFonts w:asciiTheme="minorHAnsi" w:eastAsia="Arial Unicode MS" w:hAnsiTheme="minorHAnsi"/>
        </w:rPr>
        <w:t>, dále také údaje k dílčím sloupcům, pokud např. bude nutné upravit gesce, relevantnost pro OP atd.</w:t>
      </w:r>
      <w:r w:rsidR="000C0E01">
        <w:rPr>
          <w:rFonts w:asciiTheme="minorHAnsi" w:eastAsia="Arial Unicode MS" w:hAnsiTheme="minorHAnsi"/>
        </w:rPr>
        <w:t xml:space="preserve"> </w:t>
      </w:r>
      <w:r w:rsidR="00AE4E4D">
        <w:rPr>
          <w:rFonts w:asciiTheme="minorHAnsi" w:eastAsia="Arial Unicode MS" w:hAnsiTheme="minorHAnsi"/>
        </w:rPr>
        <w:t>Toto doplnění uvedou i přesto, že MMR poskytl</w:t>
      </w:r>
      <w:r w:rsidR="006F3368">
        <w:rPr>
          <w:rFonts w:asciiTheme="minorHAnsi" w:eastAsia="Arial Unicode MS" w:hAnsiTheme="minorHAnsi"/>
        </w:rPr>
        <w:t>i</w:t>
      </w:r>
      <w:r w:rsidR="00AE4E4D">
        <w:rPr>
          <w:rFonts w:asciiTheme="minorHAnsi" w:eastAsia="Arial Unicode MS" w:hAnsiTheme="minorHAnsi"/>
        </w:rPr>
        <w:t xml:space="preserve"> v předchozí fázi jakékoli vysvětlení.</w:t>
      </w:r>
    </w:p>
    <w:p w:rsidR="00CE54EB" w:rsidRPr="00773491" w:rsidRDefault="001A626E" w:rsidP="00175FC4">
      <w:pPr>
        <w:pStyle w:val="Odstavecseseznamem"/>
        <w:tabs>
          <w:tab w:val="left" w:pos="6379"/>
        </w:tabs>
        <w:spacing w:before="120" w:after="60" w:line="288" w:lineRule="auto"/>
        <w:ind w:left="0"/>
        <w:contextualSpacing w:val="0"/>
        <w:rPr>
          <w:rFonts w:asciiTheme="minorHAnsi" w:eastAsia="Arial Unicode MS" w:hAnsiTheme="minorHAnsi"/>
        </w:rPr>
      </w:pPr>
      <w:r>
        <w:rPr>
          <w:rFonts w:asciiTheme="minorHAnsi" w:eastAsia="Arial Unicode MS" w:hAnsiTheme="minorHAnsi"/>
        </w:rPr>
        <w:t xml:space="preserve">MMR </w:t>
      </w:r>
      <w:r w:rsidR="00C909EF">
        <w:rPr>
          <w:rFonts w:asciiTheme="minorHAnsi" w:eastAsia="Arial Unicode MS" w:hAnsiTheme="minorHAnsi"/>
        </w:rPr>
        <w:t xml:space="preserve">zhodnotí vyplněné Karty rizikových PP </w:t>
      </w:r>
      <w:r w:rsidR="006F3368">
        <w:rPr>
          <w:rFonts w:asciiTheme="minorHAnsi" w:eastAsia="Arial Unicode MS" w:hAnsiTheme="minorHAnsi"/>
        </w:rPr>
        <w:t>i</w:t>
      </w:r>
      <w:r w:rsidR="00C909EF">
        <w:rPr>
          <w:rFonts w:asciiTheme="minorHAnsi" w:eastAsia="Arial Unicode MS" w:hAnsiTheme="minorHAnsi"/>
        </w:rPr>
        <w:t xml:space="preserve"> v souvislosti s hodnocením programů odevzdaných MMR do konce června 2013</w:t>
      </w:r>
      <w:r w:rsidR="00375DCE">
        <w:rPr>
          <w:rFonts w:asciiTheme="minorHAnsi" w:eastAsia="Arial Unicode MS" w:hAnsiTheme="minorHAnsi"/>
        </w:rPr>
        <w:t xml:space="preserve"> a bude dále postupovat vůči rizikovým podle charakteru zhodnocení</w:t>
      </w:r>
      <w:r w:rsidR="00C909EF">
        <w:rPr>
          <w:rFonts w:asciiTheme="minorHAnsi" w:eastAsia="Arial Unicode MS" w:hAnsiTheme="minorHAnsi"/>
        </w:rPr>
        <w:t>.</w:t>
      </w:r>
      <w:r w:rsidR="00D040E8">
        <w:rPr>
          <w:rFonts w:asciiTheme="minorHAnsi" w:eastAsia="Arial Unicode MS" w:hAnsiTheme="minorHAnsi"/>
        </w:rPr>
        <w:t xml:space="preserve"> Tímto však není dotčena povinnost řídicích orgánů bez zbytečného odkladu oznamovat MMR veškeré skutečnosti, které mohou mít potenciálně negativní vliv na splnění předběžné podmínky.</w:t>
      </w:r>
      <w:r w:rsidR="000C0E01">
        <w:rPr>
          <w:rFonts w:asciiTheme="minorHAnsi" w:eastAsia="Arial Unicode MS" w:hAnsiTheme="minorHAnsi"/>
        </w:rPr>
        <w:t xml:space="preserve"> </w:t>
      </w:r>
      <w:r w:rsidR="00262CEC">
        <w:rPr>
          <w:rFonts w:asciiTheme="minorHAnsi" w:eastAsia="Arial Unicode MS" w:hAnsiTheme="minorHAnsi"/>
        </w:rPr>
        <w:t>Informaci o rizikovosti</w:t>
      </w:r>
      <w:r w:rsidR="008F0328">
        <w:rPr>
          <w:rFonts w:asciiTheme="minorHAnsi" w:eastAsia="Arial Unicode MS" w:hAnsiTheme="minorHAnsi"/>
        </w:rPr>
        <w:t xml:space="preserve"> předběžn</w:t>
      </w:r>
      <w:r w:rsidR="00262CEC">
        <w:rPr>
          <w:rFonts w:asciiTheme="minorHAnsi" w:eastAsia="Arial Unicode MS" w:hAnsiTheme="minorHAnsi"/>
        </w:rPr>
        <w:t>ých</w:t>
      </w:r>
      <w:r w:rsidR="008F0328">
        <w:rPr>
          <w:rFonts w:asciiTheme="minorHAnsi" w:eastAsia="Arial Unicode MS" w:hAnsiTheme="minorHAnsi"/>
        </w:rPr>
        <w:t xml:space="preserve"> podmín</w:t>
      </w:r>
      <w:r w:rsidR="00262CEC">
        <w:rPr>
          <w:rFonts w:asciiTheme="minorHAnsi" w:eastAsia="Arial Unicode MS" w:hAnsiTheme="minorHAnsi"/>
        </w:rPr>
        <w:t>ek</w:t>
      </w:r>
      <w:r w:rsidR="008F0328">
        <w:rPr>
          <w:rFonts w:asciiTheme="minorHAnsi" w:eastAsia="Arial Unicode MS" w:hAnsiTheme="minorHAnsi"/>
        </w:rPr>
        <w:t xml:space="preserve"> vyplní i ty subjekty, které </w:t>
      </w:r>
      <w:r w:rsidR="00375DCE">
        <w:rPr>
          <w:rFonts w:asciiTheme="minorHAnsi" w:eastAsia="Arial Unicode MS" w:hAnsiTheme="minorHAnsi"/>
        </w:rPr>
        <w:t xml:space="preserve">nejsou řídícími orgány a jsou uvedeny jako gestor. Vyplní se informace i tehdy pokud není </w:t>
      </w:r>
      <w:r w:rsidR="00C46DC4">
        <w:rPr>
          <w:rFonts w:asciiTheme="minorHAnsi" w:eastAsia="Arial Unicode MS" w:hAnsiTheme="minorHAnsi"/>
        </w:rPr>
        <w:t>v</w:t>
      </w:r>
      <w:r w:rsidR="00262CEC">
        <w:rPr>
          <w:rFonts w:asciiTheme="minorHAnsi" w:eastAsia="Arial Unicode MS" w:hAnsiTheme="minorHAnsi"/>
        </w:rPr>
        <w:t xml:space="preserve"> </w:t>
      </w:r>
      <w:r w:rsidR="008F0328">
        <w:rPr>
          <w:rFonts w:asciiTheme="minorHAnsi" w:eastAsia="Arial Unicode MS" w:hAnsiTheme="minorHAnsi"/>
        </w:rPr>
        <w:t xml:space="preserve">plnění předběžných podmínek </w:t>
      </w:r>
      <w:r w:rsidR="00375DCE">
        <w:rPr>
          <w:rFonts w:asciiTheme="minorHAnsi" w:eastAsia="Arial Unicode MS" w:hAnsiTheme="minorHAnsi"/>
        </w:rPr>
        <w:t xml:space="preserve">spatřován </w:t>
      </w:r>
      <w:r w:rsidR="00262CEC">
        <w:rPr>
          <w:rFonts w:asciiTheme="minorHAnsi" w:eastAsia="Arial Unicode MS" w:hAnsiTheme="minorHAnsi"/>
        </w:rPr>
        <w:t>žádn</w:t>
      </w:r>
      <w:r w:rsidR="00C46DC4">
        <w:rPr>
          <w:rFonts w:asciiTheme="minorHAnsi" w:eastAsia="Arial Unicode MS" w:hAnsiTheme="minorHAnsi"/>
        </w:rPr>
        <w:t xml:space="preserve">ý </w:t>
      </w:r>
      <w:r w:rsidR="00262CEC">
        <w:rPr>
          <w:rFonts w:asciiTheme="minorHAnsi" w:eastAsia="Arial Unicode MS" w:hAnsiTheme="minorHAnsi"/>
        </w:rPr>
        <w:t>problém</w:t>
      </w:r>
      <w:r w:rsidR="00C46DC4">
        <w:rPr>
          <w:rFonts w:asciiTheme="minorHAnsi" w:eastAsia="Arial Unicode MS" w:hAnsiTheme="minorHAnsi"/>
        </w:rPr>
        <w:t xml:space="preserve"> nebo bariér</w:t>
      </w:r>
      <w:r w:rsidR="00375DCE">
        <w:rPr>
          <w:rFonts w:asciiTheme="minorHAnsi" w:eastAsia="Arial Unicode MS" w:hAnsiTheme="minorHAnsi"/>
        </w:rPr>
        <w:t>a</w:t>
      </w:r>
      <w:r w:rsidR="008F0328">
        <w:rPr>
          <w:rFonts w:asciiTheme="minorHAnsi" w:eastAsia="Arial Unicode MS" w:hAnsiTheme="minorHAnsi"/>
        </w:rPr>
        <w:t>.</w:t>
      </w:r>
    </w:p>
    <w:p w:rsidR="00523D12" w:rsidRPr="00523D12" w:rsidRDefault="00523D12" w:rsidP="00523D12">
      <w:pPr>
        <w:pStyle w:val="DAVA"/>
        <w:spacing w:before="0" w:after="120"/>
        <w:rPr>
          <w:rFonts w:asciiTheme="minorHAnsi" w:hAnsiTheme="minorHAnsi"/>
          <w:sz w:val="2"/>
          <w:szCs w:val="2"/>
        </w:rPr>
      </w:pPr>
    </w:p>
    <w:p w:rsidR="00FB6D8F" w:rsidRDefault="00FB6D8F">
      <w:pPr>
        <w:spacing w:before="360" w:after="200" w:line="276" w:lineRule="auto"/>
        <w:ind w:left="425"/>
        <w:rPr>
          <w:rFonts w:asciiTheme="minorHAnsi" w:hAnsiTheme="minorHAnsi"/>
          <w:b/>
        </w:rPr>
      </w:pPr>
      <w:r>
        <w:rPr>
          <w:rFonts w:asciiTheme="minorHAnsi" w:hAnsiTheme="minorHAnsi"/>
          <w:b/>
        </w:rPr>
        <w:br w:type="page"/>
      </w:r>
    </w:p>
    <w:p w:rsidR="009963D0" w:rsidRDefault="009963D0">
      <w:pPr>
        <w:spacing w:before="360" w:after="200" w:line="276" w:lineRule="auto"/>
        <w:ind w:left="425"/>
        <w:rPr>
          <w:rFonts w:asciiTheme="minorHAnsi" w:hAnsiTheme="minorHAnsi"/>
          <w:b/>
        </w:rPr>
        <w:sectPr w:rsidR="009963D0" w:rsidSect="00B106C9">
          <w:footerReference w:type="default" r:id="rId23"/>
          <w:pgSz w:w="11906" w:h="16838"/>
          <w:pgMar w:top="1417" w:right="1417" w:bottom="1417" w:left="1417" w:header="708" w:footer="708" w:gutter="0"/>
          <w:cols w:space="708"/>
          <w:docGrid w:linePitch="360"/>
        </w:sectPr>
      </w:pPr>
    </w:p>
    <w:p w:rsidR="009963D0" w:rsidRPr="008B0A16" w:rsidRDefault="008B0A16" w:rsidP="003E2761">
      <w:pPr>
        <w:spacing w:after="60" w:line="276" w:lineRule="auto"/>
        <w:ind w:left="-709"/>
        <w:rPr>
          <w:rFonts w:asciiTheme="minorHAnsi" w:hAnsiTheme="minorHAnsi"/>
          <w:u w:val="single"/>
        </w:rPr>
      </w:pPr>
      <w:r w:rsidRPr="008B0A16">
        <w:rPr>
          <w:rFonts w:asciiTheme="minorHAnsi" w:hAnsiTheme="minorHAnsi"/>
          <w:u w:val="single"/>
        </w:rPr>
        <w:t xml:space="preserve">Tabulka </w:t>
      </w:r>
      <w:r w:rsidR="003E2761">
        <w:rPr>
          <w:rFonts w:asciiTheme="minorHAnsi" w:hAnsiTheme="minorHAnsi"/>
          <w:u w:val="single"/>
        </w:rPr>
        <w:t>9</w:t>
      </w:r>
      <w:r w:rsidRPr="008B0A16">
        <w:rPr>
          <w:rFonts w:asciiTheme="minorHAnsi" w:hAnsiTheme="minorHAnsi"/>
          <w:u w:val="single"/>
        </w:rPr>
        <w:t xml:space="preserve">: </w:t>
      </w:r>
      <w:r>
        <w:rPr>
          <w:rFonts w:asciiTheme="minorHAnsi" w:hAnsiTheme="minorHAnsi"/>
          <w:u w:val="single"/>
        </w:rPr>
        <w:t>K</w:t>
      </w:r>
      <w:r w:rsidRPr="008B0A16">
        <w:rPr>
          <w:rFonts w:asciiTheme="minorHAnsi" w:hAnsiTheme="minorHAnsi"/>
          <w:u w:val="single"/>
        </w:rPr>
        <w:t>arta rizikových předběžných podmínek</w:t>
      </w:r>
    </w:p>
    <w:tbl>
      <w:tblPr>
        <w:tblW w:w="1488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3260"/>
        <w:gridCol w:w="1560"/>
        <w:gridCol w:w="3543"/>
        <w:gridCol w:w="709"/>
        <w:gridCol w:w="851"/>
        <w:gridCol w:w="2976"/>
        <w:gridCol w:w="1134"/>
      </w:tblGrid>
      <w:tr w:rsidR="008751EC" w:rsidRPr="00280437" w:rsidTr="008751EC">
        <w:trPr>
          <w:trHeight w:val="840"/>
          <w:tblHeader/>
        </w:trPr>
        <w:tc>
          <w:tcPr>
            <w:tcW w:w="851" w:type="dxa"/>
            <w:shd w:val="clear" w:color="auto" w:fill="95B3D7" w:themeFill="accent1" w:themeFillTint="99"/>
            <w:vAlign w:val="center"/>
            <w:hideMark/>
          </w:tcPr>
          <w:p w:rsidR="008751EC" w:rsidRPr="00280437" w:rsidRDefault="008751EC" w:rsidP="008751EC">
            <w:pPr>
              <w:spacing w:line="240" w:lineRule="auto"/>
              <w:rPr>
                <w:rFonts w:asciiTheme="minorHAnsi" w:hAnsiTheme="minorHAnsi"/>
                <w:b/>
                <w:bCs/>
                <w:color w:val="000000"/>
                <w:sz w:val="16"/>
                <w:szCs w:val="16"/>
              </w:rPr>
            </w:pPr>
            <w:r w:rsidRPr="00280437">
              <w:rPr>
                <w:rFonts w:asciiTheme="minorHAnsi" w:hAnsiTheme="minorHAnsi"/>
                <w:b/>
                <w:bCs/>
                <w:color w:val="000000"/>
                <w:sz w:val="16"/>
                <w:szCs w:val="16"/>
              </w:rPr>
              <w:t>Předběžná podmínka</w:t>
            </w:r>
          </w:p>
        </w:tc>
        <w:tc>
          <w:tcPr>
            <w:tcW w:w="3260" w:type="dxa"/>
            <w:shd w:val="clear" w:color="auto" w:fill="95B3D7" w:themeFill="accent1" w:themeFillTint="99"/>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Identifikovaná rizika u předběžných podmínek</w:t>
            </w:r>
          </w:p>
        </w:tc>
        <w:tc>
          <w:tcPr>
            <w:tcW w:w="1560" w:type="dxa"/>
            <w:shd w:val="clear" w:color="auto" w:fill="95B3D7" w:themeFill="accent1" w:themeFillTint="99"/>
            <w:vAlign w:val="center"/>
          </w:tcPr>
          <w:p w:rsidR="008751EC" w:rsidRPr="00280437" w:rsidRDefault="008751EC" w:rsidP="008751EC">
            <w:pPr>
              <w:spacing w:line="240" w:lineRule="auto"/>
              <w:rPr>
                <w:rFonts w:asciiTheme="minorHAnsi" w:hAnsiTheme="minorHAnsi"/>
                <w:b/>
                <w:bCs/>
                <w:color w:val="000000"/>
                <w:sz w:val="16"/>
                <w:szCs w:val="16"/>
              </w:rPr>
            </w:pPr>
            <w:r w:rsidRPr="00280437">
              <w:rPr>
                <w:rFonts w:asciiTheme="minorHAnsi" w:hAnsiTheme="minorHAnsi"/>
                <w:b/>
                <w:bCs/>
                <w:color w:val="000000"/>
                <w:sz w:val="16"/>
                <w:szCs w:val="16"/>
              </w:rPr>
              <w:t>Specifikace rizika</w:t>
            </w:r>
          </w:p>
        </w:tc>
        <w:tc>
          <w:tcPr>
            <w:tcW w:w="3543" w:type="dxa"/>
            <w:shd w:val="clear" w:color="auto" w:fill="95B3D7" w:themeFill="accent1" w:themeFillTint="99"/>
            <w:vAlign w:val="center"/>
          </w:tcPr>
          <w:p w:rsidR="008751EC" w:rsidRPr="00280437" w:rsidRDefault="008751EC" w:rsidP="008751EC">
            <w:pPr>
              <w:spacing w:line="240" w:lineRule="auto"/>
              <w:rPr>
                <w:rFonts w:asciiTheme="minorHAnsi" w:hAnsiTheme="minorHAnsi"/>
                <w:b/>
                <w:bCs/>
                <w:color w:val="000000"/>
                <w:sz w:val="16"/>
                <w:szCs w:val="16"/>
              </w:rPr>
            </w:pPr>
            <w:r>
              <w:rPr>
                <w:rFonts w:asciiTheme="minorHAnsi" w:hAnsiTheme="minorHAnsi"/>
                <w:b/>
                <w:bCs/>
                <w:color w:val="000000"/>
                <w:sz w:val="16"/>
                <w:szCs w:val="16"/>
              </w:rPr>
              <w:t>Dosavadní h</w:t>
            </w:r>
            <w:r w:rsidRPr="00280437">
              <w:rPr>
                <w:rFonts w:asciiTheme="minorHAnsi" w:hAnsiTheme="minorHAnsi"/>
                <w:b/>
                <w:bCs/>
                <w:color w:val="000000"/>
                <w:sz w:val="16"/>
                <w:szCs w:val="16"/>
              </w:rPr>
              <w:t>odnocení NOK</w:t>
            </w:r>
          </w:p>
        </w:tc>
        <w:tc>
          <w:tcPr>
            <w:tcW w:w="709" w:type="dxa"/>
            <w:shd w:val="clear" w:color="auto" w:fill="95B3D7" w:themeFill="accent1" w:themeFillTint="99"/>
            <w:vAlign w:val="center"/>
          </w:tcPr>
          <w:p w:rsidR="008751EC" w:rsidRPr="00280437" w:rsidRDefault="008751EC" w:rsidP="008751EC">
            <w:pPr>
              <w:spacing w:line="240" w:lineRule="auto"/>
              <w:rPr>
                <w:rFonts w:asciiTheme="minorHAnsi" w:hAnsiTheme="minorHAnsi"/>
                <w:b/>
                <w:bCs/>
                <w:color w:val="000000"/>
                <w:sz w:val="16"/>
                <w:szCs w:val="16"/>
              </w:rPr>
            </w:pPr>
            <w:r w:rsidRPr="00280437">
              <w:rPr>
                <w:rFonts w:asciiTheme="minorHAnsi" w:hAnsiTheme="minorHAnsi"/>
                <w:b/>
                <w:bCs/>
                <w:color w:val="000000"/>
                <w:sz w:val="16"/>
                <w:szCs w:val="16"/>
              </w:rPr>
              <w:t>Gestor</w:t>
            </w:r>
          </w:p>
        </w:tc>
        <w:tc>
          <w:tcPr>
            <w:tcW w:w="851" w:type="dxa"/>
            <w:shd w:val="clear" w:color="auto" w:fill="95B3D7" w:themeFill="accent1" w:themeFillTint="99"/>
            <w:vAlign w:val="center"/>
          </w:tcPr>
          <w:p w:rsidR="008751EC" w:rsidRPr="00280437" w:rsidRDefault="008751EC" w:rsidP="008751EC">
            <w:pPr>
              <w:spacing w:line="240" w:lineRule="auto"/>
              <w:rPr>
                <w:rFonts w:asciiTheme="minorHAnsi" w:hAnsiTheme="minorHAnsi"/>
                <w:b/>
                <w:bCs/>
                <w:color w:val="000000"/>
                <w:sz w:val="16"/>
                <w:szCs w:val="16"/>
              </w:rPr>
            </w:pPr>
            <w:r w:rsidRPr="00280437">
              <w:rPr>
                <w:rFonts w:asciiTheme="minorHAnsi" w:hAnsiTheme="minorHAnsi"/>
                <w:b/>
                <w:bCs/>
                <w:color w:val="000000"/>
                <w:sz w:val="16"/>
                <w:szCs w:val="16"/>
              </w:rPr>
              <w:t>Relevantní pro OP</w:t>
            </w:r>
          </w:p>
        </w:tc>
        <w:tc>
          <w:tcPr>
            <w:tcW w:w="2976" w:type="dxa"/>
            <w:shd w:val="clear" w:color="auto" w:fill="95B3D7" w:themeFill="accent1" w:themeFillTint="99"/>
            <w:vAlign w:val="center"/>
          </w:tcPr>
          <w:p w:rsidR="008751EC" w:rsidRPr="00280437" w:rsidRDefault="008751EC" w:rsidP="008751EC">
            <w:pPr>
              <w:spacing w:line="240" w:lineRule="auto"/>
              <w:rPr>
                <w:rFonts w:asciiTheme="minorHAnsi" w:hAnsiTheme="minorHAnsi"/>
                <w:b/>
                <w:bCs/>
                <w:color w:val="000000"/>
                <w:sz w:val="16"/>
                <w:szCs w:val="16"/>
              </w:rPr>
            </w:pPr>
            <w:r w:rsidRPr="00280437">
              <w:rPr>
                <w:rFonts w:asciiTheme="minorHAnsi" w:hAnsiTheme="minorHAnsi"/>
                <w:b/>
                <w:bCs/>
                <w:color w:val="000000"/>
                <w:sz w:val="16"/>
                <w:szCs w:val="16"/>
              </w:rPr>
              <w:t>Návrh opatření (změn)</w:t>
            </w:r>
          </w:p>
        </w:tc>
        <w:tc>
          <w:tcPr>
            <w:tcW w:w="1134" w:type="dxa"/>
            <w:shd w:val="clear" w:color="auto" w:fill="95B3D7" w:themeFill="accent1" w:themeFillTint="99"/>
            <w:vAlign w:val="center"/>
          </w:tcPr>
          <w:p w:rsidR="008751EC" w:rsidRPr="00280437" w:rsidRDefault="008751EC" w:rsidP="008751EC">
            <w:pPr>
              <w:spacing w:line="240" w:lineRule="auto"/>
              <w:rPr>
                <w:rFonts w:asciiTheme="minorHAnsi" w:hAnsiTheme="minorHAnsi"/>
                <w:b/>
                <w:bCs/>
                <w:color w:val="000000"/>
                <w:sz w:val="16"/>
                <w:szCs w:val="16"/>
              </w:rPr>
            </w:pPr>
            <w:r>
              <w:rPr>
                <w:rFonts w:asciiTheme="minorHAnsi" w:hAnsiTheme="minorHAnsi"/>
                <w:b/>
                <w:bCs/>
                <w:color w:val="000000"/>
                <w:sz w:val="16"/>
                <w:szCs w:val="16"/>
              </w:rPr>
              <w:t>Harmonogram</w:t>
            </w:r>
          </w:p>
        </w:tc>
      </w:tr>
      <w:tr w:rsidR="008751EC" w:rsidRPr="00280437" w:rsidTr="008751EC">
        <w:trPr>
          <w:trHeight w:val="725"/>
        </w:trPr>
        <w:tc>
          <w:tcPr>
            <w:tcW w:w="851" w:type="dxa"/>
            <w:vMerge w:val="restart"/>
            <w:shd w:val="clear" w:color="auto" w:fill="DBE5F1" w:themeFill="accent1" w:themeFillTint="33"/>
            <w:vAlign w:val="center"/>
            <w:hideMark/>
          </w:tcPr>
          <w:p w:rsidR="008751EC"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1.1. Výzkum a inovace</w:t>
            </w:r>
          </w:p>
          <w:p w:rsidR="000973D4" w:rsidRPr="000973D4" w:rsidRDefault="000973D4" w:rsidP="008751EC">
            <w:pPr>
              <w:spacing w:line="240" w:lineRule="auto"/>
              <w:rPr>
                <w:rFonts w:asciiTheme="minorHAnsi" w:hAnsiTheme="minorHAnsi"/>
                <w:b/>
                <w:bCs/>
                <w:strike/>
                <w:sz w:val="16"/>
                <w:szCs w:val="16"/>
              </w:rPr>
            </w:pPr>
            <w:r w:rsidRPr="000973D4">
              <w:rPr>
                <w:rFonts w:asciiTheme="minorHAnsi" w:hAnsiTheme="minorHAnsi"/>
                <w:b/>
                <w:bCs/>
                <w:strike/>
                <w:sz w:val="16"/>
                <w:szCs w:val="16"/>
              </w:rPr>
              <w:t>EZFRV: 1.1.</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Smart specialization a Regionální inovační strategie – zaměření S3 a propojení na regionální strategie.</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MMR přeformulováno – bude nutné v další fázi aktualizovat stanovisko gestora</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MŠMT</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VVV</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p>
          <w:p w:rsidR="008751EC" w:rsidRPr="00F834AC" w:rsidRDefault="008751EC" w:rsidP="008751EC">
            <w:pPr>
              <w:spacing w:before="60" w:line="240" w:lineRule="auto"/>
              <w:jc w:val="left"/>
              <w:rPr>
                <w:rFonts w:asciiTheme="minorHAnsi" w:hAnsiTheme="minorHAnsi"/>
                <w:bCs/>
                <w:strike/>
                <w:color w:val="4F81BD" w:themeColor="accent1"/>
                <w:sz w:val="16"/>
                <w:szCs w:val="16"/>
              </w:rPr>
            </w:pPr>
            <w:r w:rsidRPr="006071C6">
              <w:rPr>
                <w:rFonts w:asciiTheme="minorHAnsi" w:hAnsiTheme="minorHAnsi"/>
                <w:bCs/>
                <w:color w:val="4F81BD" w:themeColor="accent1"/>
                <w:sz w:val="16"/>
                <w:szCs w:val="16"/>
              </w:rPr>
              <w:t>OP PPR</w:t>
            </w:r>
            <w:r w:rsidR="00F834AC">
              <w:rPr>
                <w:rFonts w:asciiTheme="minorHAnsi" w:hAnsiTheme="minorHAnsi"/>
                <w:bCs/>
                <w:color w:val="4F81BD" w:themeColor="accent1"/>
                <w:sz w:val="16"/>
                <w:szCs w:val="16"/>
              </w:rPr>
              <w:t xml:space="preserve">, </w:t>
            </w:r>
            <w:r w:rsidR="00F834AC">
              <w:rPr>
                <w:rFonts w:asciiTheme="minorHAnsi" w:hAnsiTheme="minorHAnsi"/>
                <w:bCs/>
                <w:strike/>
                <w:color w:val="4F81BD" w:themeColor="accent1"/>
                <w:sz w:val="16"/>
                <w:szCs w:val="16"/>
              </w:rPr>
              <w:t>PRV</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570"/>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Počet, vazby a zaměření strategických dokument v dané oblasti nevyhovuje požadavkům:</w:t>
            </w:r>
          </w:p>
          <w:p w:rsidR="008751EC" w:rsidRPr="006071C6" w:rsidRDefault="008751EC" w:rsidP="008751EC">
            <w:pPr>
              <w:pStyle w:val="Odstavecseseznamem"/>
              <w:numPr>
                <w:ilvl w:val="0"/>
                <w:numId w:val="41"/>
              </w:numPr>
              <w:ind w:left="355" w:hanging="284"/>
              <w:jc w:val="left"/>
              <w:rPr>
                <w:rFonts w:asciiTheme="minorHAnsi" w:hAnsiTheme="minorHAnsi"/>
                <w:sz w:val="16"/>
                <w:szCs w:val="16"/>
              </w:rPr>
            </w:pPr>
            <w:r w:rsidRPr="006071C6">
              <w:rPr>
                <w:rFonts w:asciiTheme="minorHAnsi" w:hAnsiTheme="minorHAnsi"/>
                <w:sz w:val="16"/>
                <w:szCs w:val="16"/>
              </w:rPr>
              <w:t>Národní inovační strategie</w:t>
            </w:r>
          </w:p>
          <w:p w:rsidR="008751EC" w:rsidRPr="006071C6" w:rsidRDefault="008751EC" w:rsidP="008751EC">
            <w:pPr>
              <w:pStyle w:val="Odstavecseseznamem"/>
              <w:numPr>
                <w:ilvl w:val="0"/>
                <w:numId w:val="41"/>
              </w:numPr>
              <w:ind w:left="355" w:hanging="284"/>
              <w:jc w:val="left"/>
              <w:rPr>
                <w:rFonts w:asciiTheme="minorHAnsi" w:hAnsiTheme="minorHAnsi"/>
                <w:sz w:val="16"/>
                <w:szCs w:val="16"/>
              </w:rPr>
            </w:pPr>
            <w:r w:rsidRPr="006071C6">
              <w:rPr>
                <w:rFonts w:asciiTheme="minorHAnsi" w:hAnsiTheme="minorHAnsi"/>
                <w:sz w:val="16"/>
                <w:szCs w:val="16"/>
              </w:rPr>
              <w:t>Strategie mezinárodní konkurenceschopnosti</w:t>
            </w:r>
          </w:p>
          <w:p w:rsidR="008751EC" w:rsidRPr="006071C6" w:rsidRDefault="008751EC" w:rsidP="008751EC">
            <w:pPr>
              <w:pStyle w:val="Odstavecseseznamem"/>
              <w:numPr>
                <w:ilvl w:val="0"/>
                <w:numId w:val="41"/>
              </w:numPr>
              <w:ind w:left="355" w:hanging="284"/>
              <w:jc w:val="left"/>
              <w:rPr>
                <w:rFonts w:asciiTheme="minorHAnsi" w:hAnsiTheme="minorHAnsi"/>
                <w:sz w:val="16"/>
                <w:szCs w:val="16"/>
              </w:rPr>
            </w:pPr>
            <w:r w:rsidRPr="006071C6">
              <w:rPr>
                <w:rFonts w:asciiTheme="minorHAnsi" w:hAnsiTheme="minorHAnsi"/>
                <w:sz w:val="16"/>
                <w:szCs w:val="16"/>
              </w:rPr>
              <w:t>Národní politika výzkumu, vývoje a inovací</w:t>
            </w:r>
          </w:p>
          <w:p w:rsidR="008751EC" w:rsidRPr="006071C6" w:rsidRDefault="008751EC" w:rsidP="008751EC">
            <w:pPr>
              <w:pStyle w:val="Odstavecseseznamem"/>
              <w:numPr>
                <w:ilvl w:val="0"/>
                <w:numId w:val="41"/>
              </w:numPr>
              <w:ind w:left="355" w:hanging="284"/>
              <w:jc w:val="left"/>
              <w:rPr>
                <w:rFonts w:asciiTheme="minorHAnsi" w:hAnsiTheme="minorHAnsi"/>
                <w:sz w:val="16"/>
                <w:szCs w:val="16"/>
              </w:rPr>
            </w:pPr>
            <w:r w:rsidRPr="006071C6">
              <w:rPr>
                <w:rFonts w:asciiTheme="minorHAnsi" w:hAnsiTheme="minorHAnsi"/>
                <w:sz w:val="16"/>
                <w:szCs w:val="16"/>
              </w:rPr>
              <w:t>Strategie inteligentní specializace</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MMR přeformulováno – bude nutné v další fázi aktualizovat stanovisko gestora</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MŠMT</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MPO</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ÚV</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VVV</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PPR</w:t>
            </w:r>
            <w:r w:rsidR="00F834AC">
              <w:rPr>
                <w:rFonts w:asciiTheme="minorHAnsi" w:hAnsiTheme="minorHAnsi"/>
                <w:bCs/>
                <w:color w:val="4F81BD" w:themeColor="accent1"/>
                <w:sz w:val="16"/>
                <w:szCs w:val="16"/>
              </w:rPr>
              <w:t xml:space="preserve">, </w:t>
            </w:r>
            <w:r w:rsidR="00F834AC">
              <w:rPr>
                <w:rFonts w:asciiTheme="minorHAnsi" w:hAnsiTheme="minorHAnsi"/>
                <w:bCs/>
                <w:strike/>
                <w:color w:val="4F81BD" w:themeColor="accent1"/>
                <w:sz w:val="16"/>
                <w:szCs w:val="16"/>
              </w:rPr>
              <w:t>PRV</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654"/>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 xml:space="preserve">Vymezení rozpočtu a zdrojů pro VaV – nejasné jak bude řešeno. </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MŠMT</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VVV</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PPR</w:t>
            </w:r>
            <w:r w:rsidR="00F834AC">
              <w:rPr>
                <w:rFonts w:asciiTheme="minorHAnsi" w:hAnsiTheme="minorHAnsi"/>
                <w:bCs/>
                <w:color w:val="4F81BD" w:themeColor="accent1"/>
                <w:sz w:val="16"/>
                <w:szCs w:val="16"/>
              </w:rPr>
              <w:t xml:space="preserve">, </w:t>
            </w:r>
            <w:r w:rsidR="00F834AC">
              <w:rPr>
                <w:rFonts w:asciiTheme="minorHAnsi" w:hAnsiTheme="minorHAnsi"/>
                <w:bCs/>
                <w:strike/>
                <w:color w:val="4F81BD" w:themeColor="accent1"/>
                <w:sz w:val="16"/>
                <w:szCs w:val="16"/>
              </w:rPr>
              <w:t>PRV</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690"/>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Reforma VaV (včetně VaV výdajů), VŠ atd. – viz také dále</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MŠMT</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VVV</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PPR</w:t>
            </w:r>
            <w:r w:rsidR="00F834AC">
              <w:rPr>
                <w:rFonts w:asciiTheme="minorHAnsi" w:hAnsiTheme="minorHAnsi"/>
                <w:bCs/>
                <w:color w:val="4F81BD" w:themeColor="accent1"/>
                <w:sz w:val="16"/>
                <w:szCs w:val="16"/>
              </w:rPr>
              <w:t xml:space="preserve">, </w:t>
            </w:r>
            <w:r w:rsidR="00F834AC">
              <w:rPr>
                <w:rFonts w:asciiTheme="minorHAnsi" w:hAnsiTheme="minorHAnsi"/>
                <w:bCs/>
                <w:strike/>
                <w:color w:val="4F81BD" w:themeColor="accent1"/>
                <w:sz w:val="16"/>
                <w:szCs w:val="16"/>
              </w:rPr>
              <w:t>PRV</w:t>
            </w:r>
            <w:r w:rsidRPr="006071C6">
              <w:rPr>
                <w:rFonts w:asciiTheme="minorHAnsi" w:hAnsiTheme="minorHAnsi"/>
                <w:bCs/>
                <w:color w:val="4F81BD" w:themeColor="accent1"/>
                <w:sz w:val="16"/>
                <w:szCs w:val="16"/>
              </w:rPr>
              <w:t xml:space="preserve"> </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373"/>
        </w:trPr>
        <w:tc>
          <w:tcPr>
            <w:tcW w:w="851" w:type="dxa"/>
            <w:vMerge w:val="restart"/>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2.1. Digitální růst</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 xml:space="preserve">Státní politika Digitální Česko 2 – dokument, který byl vládou přijat, se odkazuje na řadu aktivit, které mají být teprve naplňovány (tzn. dokument nedopovídá přímo na plnění, dokazuje se na vytvoření dílčích podkladů). </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MMR přeformulováno – bude nutné v další fázi aktualizovat stanovisko gestora.</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MPO</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ÚV (RKVIS)</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r w:rsidR="00753315">
              <w:rPr>
                <w:rFonts w:asciiTheme="minorHAnsi" w:hAnsiTheme="minorHAnsi"/>
                <w:bCs/>
                <w:color w:val="4F81BD" w:themeColor="accent1"/>
                <w:sz w:val="16"/>
                <w:szCs w:val="16"/>
              </w:rPr>
              <w:t>, OP VVV, OP Z</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385"/>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Strategie veřejné správy a eGovernment – dokument neschválen; nejasné, zda bude zastřešovat i např. eSystémy.</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MMR přeformulováno – bude nutné v další fázi aktualizovat stanovisko gestora</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MV</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r w:rsidR="00753315">
              <w:rPr>
                <w:rFonts w:asciiTheme="minorHAnsi" w:hAnsiTheme="minorHAnsi"/>
                <w:bCs/>
                <w:color w:val="4F81BD" w:themeColor="accent1"/>
                <w:sz w:val="16"/>
                <w:szCs w:val="16"/>
              </w:rPr>
              <w:t>, OP VVV, OP Z</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539"/>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Strategie eHealth - MZd uvedlo, že o existenci strategii diskutuje; není zřejmé</w:t>
            </w:r>
            <w:r w:rsidR="003E2761">
              <w:rPr>
                <w:rFonts w:asciiTheme="minorHAnsi" w:hAnsiTheme="minorHAnsi"/>
                <w:sz w:val="16"/>
                <w:szCs w:val="16"/>
              </w:rPr>
              <w:t>,</w:t>
            </w:r>
            <w:r w:rsidRPr="006071C6">
              <w:rPr>
                <w:rFonts w:asciiTheme="minorHAnsi" w:hAnsiTheme="minorHAnsi"/>
                <w:sz w:val="16"/>
                <w:szCs w:val="16"/>
              </w:rPr>
              <w:t xml:space="preserve"> zda bude existovat.</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MMR přeformulováno – bude nutné v další fázi aktualizovat stanovisko gestora</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MZd</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další resorty</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r w:rsidR="00753315">
              <w:rPr>
                <w:rFonts w:asciiTheme="minorHAnsi" w:hAnsiTheme="minorHAnsi"/>
                <w:bCs/>
                <w:color w:val="4F81BD" w:themeColor="accent1"/>
                <w:sz w:val="16"/>
                <w:szCs w:val="16"/>
              </w:rPr>
              <w:t>, OP VVV, OP Z</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811"/>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Počítačová gramotnost – DigiČesko tuto oblast řeší velmi obecně (není předmětem dokumentu); MŠMT / MPSV mají údajně řešit společný dokument (vazba i na celkovou gesci kritéria v rámci 2.1).</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MMR přeformulováno – bude nutné v další fázi aktualizovat stanovisko gestora</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MŠMT</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MPSV</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r w:rsidR="00753315">
              <w:rPr>
                <w:rFonts w:asciiTheme="minorHAnsi" w:hAnsiTheme="minorHAnsi"/>
                <w:bCs/>
                <w:color w:val="4F81BD" w:themeColor="accent1"/>
                <w:sz w:val="16"/>
                <w:szCs w:val="16"/>
              </w:rPr>
              <w:t>, OP VVV, OP Z</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534"/>
        </w:trPr>
        <w:tc>
          <w:tcPr>
            <w:tcW w:w="851" w:type="dxa"/>
            <w:vMerge w:val="restart"/>
            <w:shd w:val="clear" w:color="auto" w:fill="DBE5F1" w:themeFill="accent1" w:themeFillTint="33"/>
            <w:vAlign w:val="center"/>
            <w:hideMark/>
          </w:tcPr>
          <w:p w:rsidR="008751EC"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 xml:space="preserve">2.2. Infrastruktura přístupových sítí </w:t>
            </w:r>
          </w:p>
          <w:p w:rsidR="000973D4" w:rsidRPr="000973D4" w:rsidRDefault="000973D4" w:rsidP="008751EC">
            <w:pPr>
              <w:spacing w:line="240" w:lineRule="auto"/>
              <w:rPr>
                <w:rFonts w:asciiTheme="minorHAnsi" w:hAnsiTheme="minorHAnsi"/>
                <w:b/>
                <w:bCs/>
                <w:strike/>
                <w:sz w:val="16"/>
                <w:szCs w:val="16"/>
              </w:rPr>
            </w:pPr>
            <w:r>
              <w:rPr>
                <w:rFonts w:asciiTheme="minorHAnsi" w:hAnsiTheme="minorHAnsi"/>
                <w:b/>
                <w:bCs/>
                <w:strike/>
                <w:sz w:val="16"/>
                <w:szCs w:val="16"/>
              </w:rPr>
              <w:t>EZFRV: 6.3.</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 xml:space="preserve">Potřeba legislativních i nelegislativních změn </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709" w:type="dxa"/>
            <w:shd w:val="clear" w:color="auto" w:fill="DBE5F1" w:themeFill="accent1" w:themeFillTint="33"/>
            <w:vAlign w:val="center"/>
          </w:tcPr>
          <w:p w:rsidR="008751EC" w:rsidRPr="006071C6" w:rsidRDefault="008751EC" w:rsidP="00336DF6">
            <w:pPr>
              <w:spacing w:before="80" w:line="240" w:lineRule="auto"/>
              <w:jc w:val="left"/>
              <w:rPr>
                <w:rFonts w:asciiTheme="minorHAnsi" w:hAnsiTheme="minorHAnsi"/>
                <w:sz w:val="16"/>
                <w:szCs w:val="16"/>
              </w:rPr>
            </w:pPr>
            <w:r w:rsidRPr="006071C6">
              <w:rPr>
                <w:rFonts w:asciiTheme="minorHAnsi" w:hAnsiTheme="minorHAnsi"/>
                <w:sz w:val="16"/>
                <w:szCs w:val="16"/>
              </w:rPr>
              <w:t>MPO</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r w:rsidR="00F834AC">
              <w:rPr>
                <w:rFonts w:asciiTheme="minorHAnsi" w:hAnsiTheme="minorHAnsi"/>
                <w:bCs/>
                <w:color w:val="4F81BD" w:themeColor="accent1"/>
                <w:sz w:val="16"/>
                <w:szCs w:val="16"/>
              </w:rPr>
              <w:t xml:space="preserve">, </w:t>
            </w:r>
            <w:r w:rsidR="00F834AC">
              <w:rPr>
                <w:rFonts w:asciiTheme="minorHAnsi" w:hAnsiTheme="minorHAnsi"/>
                <w:bCs/>
                <w:strike/>
                <w:color w:val="4F81BD" w:themeColor="accent1"/>
                <w:sz w:val="16"/>
                <w:szCs w:val="16"/>
              </w:rPr>
              <w:t>PRV</w:t>
            </w:r>
          </w:p>
        </w:tc>
        <w:tc>
          <w:tcPr>
            <w:tcW w:w="2976"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Jedná se o problematiku provázanosti stavebního zákona a zákona o elektronických komunikacích, přičemž podle původního Digitálního Česka i podle aktualizované verze Digitální Česko 2 předpokládá zpracování metodické pomůcky pro sjednocení aplikační praxe některých ustanovení zákona o elektronických komunikacích a stavebního zákona.</w:t>
            </w: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343"/>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Rovněž svou roli u této předběžné podmínky hraje nedořešené Digi Česko.</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MPO</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r w:rsidR="00F834AC">
              <w:rPr>
                <w:rFonts w:asciiTheme="minorHAnsi" w:hAnsiTheme="minorHAnsi"/>
                <w:bCs/>
                <w:color w:val="4F81BD" w:themeColor="accent1"/>
                <w:sz w:val="16"/>
                <w:szCs w:val="16"/>
              </w:rPr>
              <w:t xml:space="preserve">, </w:t>
            </w:r>
            <w:r w:rsidR="00F834AC">
              <w:rPr>
                <w:rFonts w:asciiTheme="minorHAnsi" w:hAnsiTheme="minorHAnsi"/>
                <w:bCs/>
                <w:strike/>
                <w:color w:val="4F81BD" w:themeColor="accent1"/>
                <w:sz w:val="16"/>
                <w:szCs w:val="16"/>
              </w:rPr>
              <w:t>PRV</w:t>
            </w:r>
          </w:p>
        </w:tc>
        <w:tc>
          <w:tcPr>
            <w:tcW w:w="2976"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Původní Digitální Česko bude nahrazeno svoji aktualizací – Digitální Česko 2, ve které se předpokládá, že RVKIS vypracuje návrh dalších opatření pro podporu výstavby NGA sítí, která se zaměří na využití veřejných zdrojů, zjednodušení administrativy spojené s výstavbou a na snížení poplatků spojených s věcnými břemeny. Dále bude vypracován Národní program podpory projektů zaměřených na budování přístupových sítí nové generace.</w:t>
            </w: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516"/>
        </w:trPr>
        <w:tc>
          <w:tcPr>
            <w:tcW w:w="851" w:type="dxa"/>
            <w:vMerge w:val="restart"/>
            <w:shd w:val="clear" w:color="auto" w:fill="DBE5F1" w:themeFill="accent1" w:themeFillTint="33"/>
            <w:vAlign w:val="center"/>
            <w:hideMark/>
          </w:tcPr>
          <w:p w:rsidR="008751EC"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 xml:space="preserve">3.1. Podnikatelské činnosti - Small Business Act </w:t>
            </w:r>
          </w:p>
          <w:p w:rsidR="000973D4" w:rsidRPr="008446E4" w:rsidRDefault="000973D4" w:rsidP="008751EC">
            <w:pPr>
              <w:spacing w:line="240" w:lineRule="auto"/>
              <w:rPr>
                <w:rFonts w:asciiTheme="minorHAnsi" w:hAnsiTheme="minorHAnsi"/>
                <w:b/>
                <w:bCs/>
                <w:strike/>
                <w:sz w:val="16"/>
                <w:szCs w:val="16"/>
              </w:rPr>
            </w:pPr>
            <w:r w:rsidRPr="008446E4">
              <w:rPr>
                <w:rFonts w:asciiTheme="minorHAnsi" w:hAnsiTheme="minorHAnsi"/>
                <w:b/>
                <w:bCs/>
                <w:strike/>
                <w:sz w:val="16"/>
                <w:szCs w:val="16"/>
              </w:rPr>
              <w:t>EZFRV</w:t>
            </w:r>
            <w:r w:rsidR="008446E4" w:rsidRPr="008446E4">
              <w:rPr>
                <w:rFonts w:asciiTheme="minorHAnsi" w:hAnsiTheme="minorHAnsi"/>
                <w:b/>
                <w:bCs/>
                <w:strike/>
                <w:sz w:val="16"/>
                <w:szCs w:val="16"/>
              </w:rPr>
              <w:t>: 2.3.1</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trike/>
                <w:sz w:val="16"/>
                <w:szCs w:val="16"/>
              </w:rPr>
            </w:pPr>
            <w:r w:rsidRPr="006071C6">
              <w:rPr>
                <w:rFonts w:asciiTheme="minorHAnsi" w:hAnsiTheme="minorHAnsi"/>
                <w:sz w:val="16"/>
                <w:szCs w:val="16"/>
              </w:rPr>
              <w:t xml:space="preserve">Delší než nařízením požadovaná lhůta k založení podniku </w:t>
            </w:r>
            <w:r w:rsidRPr="006071C6">
              <w:rPr>
                <w:rFonts w:asciiTheme="minorHAnsi" w:hAnsiTheme="minorHAnsi"/>
                <w:strike/>
                <w:sz w:val="16"/>
                <w:szCs w:val="16"/>
              </w:rPr>
              <w:t>(3dny).</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nejasného výkladu EK ohledně metodologie výpočtu doby a nákladů k založení podniku.</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MSP</w:t>
            </w:r>
            <w:r w:rsidRPr="006071C6">
              <w:rPr>
                <w:rFonts w:asciiTheme="minorHAnsi" w:hAnsiTheme="minorHAnsi"/>
                <w:sz w:val="16"/>
                <w:szCs w:val="16"/>
              </w:rPr>
              <w:br/>
              <w:t>MPO</w:t>
            </w:r>
          </w:p>
        </w:tc>
        <w:tc>
          <w:tcPr>
            <w:tcW w:w="851" w:type="dxa"/>
            <w:shd w:val="clear" w:color="auto" w:fill="DBE5F1" w:themeFill="accent1" w:themeFillTint="33"/>
            <w:vAlign w:val="center"/>
          </w:tcPr>
          <w:p w:rsidR="008751EC" w:rsidRPr="006F3368" w:rsidRDefault="008751EC" w:rsidP="008751EC">
            <w:pPr>
              <w:spacing w:before="60" w:line="240" w:lineRule="auto"/>
              <w:jc w:val="left"/>
              <w:rPr>
                <w:rFonts w:asciiTheme="minorHAnsi" w:hAnsiTheme="minorHAnsi"/>
                <w:bCs/>
                <w:strike/>
                <w:color w:val="4F81BD" w:themeColor="accent1"/>
                <w:sz w:val="16"/>
                <w:szCs w:val="16"/>
              </w:rPr>
            </w:pPr>
            <w:r w:rsidRPr="006071C6">
              <w:rPr>
                <w:rFonts w:asciiTheme="minorHAnsi" w:hAnsiTheme="minorHAnsi"/>
                <w:bCs/>
                <w:color w:val="4F81BD" w:themeColor="accent1"/>
                <w:sz w:val="16"/>
                <w:szCs w:val="16"/>
              </w:rPr>
              <w:t>OP PIK, OP PPR, IROP</w:t>
            </w:r>
            <w:r w:rsidR="006F3368">
              <w:rPr>
                <w:rFonts w:asciiTheme="minorHAnsi" w:hAnsiTheme="minorHAnsi"/>
                <w:bCs/>
                <w:color w:val="4F81BD" w:themeColor="accent1"/>
                <w:sz w:val="16"/>
                <w:szCs w:val="16"/>
              </w:rPr>
              <w:t xml:space="preserve">, </w:t>
            </w:r>
            <w:r w:rsidR="006F3368">
              <w:rPr>
                <w:rFonts w:asciiTheme="minorHAnsi" w:hAnsiTheme="minorHAnsi"/>
                <w:bCs/>
                <w:strike/>
                <w:color w:val="4F81BD" w:themeColor="accent1"/>
                <w:sz w:val="16"/>
                <w:szCs w:val="16"/>
              </w:rPr>
              <w:t>PRV</w:t>
            </w:r>
          </w:p>
        </w:tc>
        <w:tc>
          <w:tcPr>
            <w:tcW w:w="2976" w:type="dxa"/>
            <w:shd w:val="clear" w:color="auto" w:fill="FFFFFF" w:themeFill="background1"/>
            <w:vAlign w:val="center"/>
          </w:tcPr>
          <w:p w:rsidR="008751EC" w:rsidRPr="006F3368" w:rsidRDefault="00F12826" w:rsidP="008751EC">
            <w:pPr>
              <w:spacing w:line="240" w:lineRule="auto"/>
              <w:jc w:val="left"/>
              <w:rPr>
                <w:rFonts w:asciiTheme="minorHAnsi" w:hAnsiTheme="minorHAnsi"/>
                <w:sz w:val="16"/>
                <w:szCs w:val="16"/>
              </w:rPr>
            </w:pPr>
            <w:r w:rsidRPr="00F12826">
              <w:rPr>
                <w:rFonts w:asciiTheme="minorHAnsi" w:hAnsiTheme="minorHAnsi"/>
                <w:sz w:val="16"/>
                <w:szCs w:val="16"/>
              </w:rPr>
              <w:t>Ke zkrácení lhůt má dojít účinností zákona o veřejných rejstřících, který umožní zápis prostřednictvím notáře takovým způsobem, že zápis bude možné provést během jednoho dne.</w:t>
            </w:r>
          </w:p>
          <w:p w:rsidR="008751EC" w:rsidRPr="006F3368" w:rsidRDefault="00F12826" w:rsidP="008751EC">
            <w:pPr>
              <w:spacing w:line="240" w:lineRule="auto"/>
              <w:jc w:val="left"/>
              <w:rPr>
                <w:rFonts w:asciiTheme="minorHAnsi" w:hAnsiTheme="minorHAnsi"/>
                <w:sz w:val="16"/>
                <w:szCs w:val="16"/>
              </w:rPr>
            </w:pPr>
            <w:r w:rsidRPr="00F12826">
              <w:rPr>
                <w:rFonts w:asciiTheme="minorHAnsi" w:hAnsiTheme="minorHAnsi"/>
                <w:sz w:val="16"/>
                <w:szCs w:val="16"/>
              </w:rPr>
              <w:t xml:space="preserve"> Dále pak rekodifikací soukromého práva v důsledku nabytí účinnosti zákona o obchodních korporacích a rejstříku.</w:t>
            </w:r>
          </w:p>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Byl zaslán dotaz na EK ohledně metodologie výpočtu.</w:t>
            </w:r>
          </w:p>
        </w:tc>
        <w:tc>
          <w:tcPr>
            <w:tcW w:w="1134"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1.1.2014</w:t>
            </w:r>
          </w:p>
        </w:tc>
      </w:tr>
      <w:tr w:rsidR="008751EC" w:rsidRPr="00280437" w:rsidTr="008751EC">
        <w:trPr>
          <w:trHeight w:val="2546"/>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highlight w:val="yellow"/>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trike/>
                <w:sz w:val="16"/>
                <w:szCs w:val="16"/>
              </w:rPr>
            </w:pPr>
            <w:r w:rsidRPr="006071C6">
              <w:rPr>
                <w:rFonts w:asciiTheme="minorHAnsi" w:hAnsiTheme="minorHAnsi"/>
                <w:sz w:val="16"/>
                <w:szCs w:val="16"/>
              </w:rPr>
              <w:t xml:space="preserve">Náklady/poplatky nezbytné k založení podniku jsou vyšší, než je požadováno nařízením </w:t>
            </w:r>
            <w:r w:rsidRPr="006071C6">
              <w:rPr>
                <w:rFonts w:asciiTheme="minorHAnsi" w:hAnsiTheme="minorHAnsi"/>
                <w:strike/>
                <w:sz w:val="16"/>
                <w:szCs w:val="16"/>
              </w:rPr>
              <w:t>(100 EUR).</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nejasného výkladu EK ohledně metodologie výpočtu nákladů k založení podniku.</w:t>
            </w: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 (nutnost přijetí nové právní úpravy k zajištění PP)</w:t>
            </w:r>
          </w:p>
          <w:p w:rsidR="008751EC" w:rsidRPr="006071C6" w:rsidRDefault="008751EC" w:rsidP="008751EC">
            <w:pPr>
              <w:spacing w:line="240" w:lineRule="auto"/>
              <w:jc w:val="left"/>
              <w:rPr>
                <w:rFonts w:asciiTheme="minorHAnsi" w:hAnsiTheme="minorHAnsi"/>
                <w:sz w:val="16"/>
                <w:szCs w:val="16"/>
              </w:rPr>
            </w:pPr>
            <w:r>
              <w:rPr>
                <w:rFonts w:asciiTheme="minorHAnsi" w:hAnsiTheme="minorHAnsi"/>
                <w:sz w:val="16"/>
                <w:szCs w:val="16"/>
              </w:rPr>
              <w:t>O</w:t>
            </w:r>
            <w:r w:rsidRPr="006071C6">
              <w:rPr>
                <w:rFonts w:asciiTheme="minorHAnsi" w:hAnsiTheme="minorHAnsi"/>
                <w:sz w:val="16"/>
                <w:szCs w:val="16"/>
              </w:rPr>
              <w:t>btížné hledání politické shody na snižování nákladů/poplatků</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 xml:space="preserve">Dosavadní kroky k zajištění této PP se jeví jako nedostatečné a bude nutné přijmout další legislativní kroky ke snížení nákladů, jinak reálně hrozí riziko nespuštění/pozastavení plateb. </w:t>
            </w:r>
          </w:p>
          <w:p w:rsidR="008751EC" w:rsidRPr="006071C6" w:rsidRDefault="008751EC" w:rsidP="008751EC">
            <w:pPr>
              <w:spacing w:line="240" w:lineRule="auto"/>
              <w:jc w:val="left"/>
              <w:rPr>
                <w:rFonts w:asciiTheme="minorHAnsi" w:hAnsiTheme="minorHAnsi"/>
                <w:sz w:val="16"/>
                <w:szCs w:val="16"/>
              </w:rPr>
            </w:pPr>
          </w:p>
          <w:p w:rsidR="008751EC" w:rsidRPr="006071C6" w:rsidRDefault="008751EC" w:rsidP="008751EC">
            <w:pPr>
              <w:spacing w:line="240" w:lineRule="auto"/>
              <w:jc w:val="left"/>
              <w:rPr>
                <w:rFonts w:asciiTheme="minorHAnsi" w:hAnsiTheme="minorHAnsi"/>
                <w:sz w:val="16"/>
                <w:szCs w:val="16"/>
                <w:highlight w:val="yellow"/>
              </w:rPr>
            </w:pPr>
            <w:r w:rsidRPr="006071C6">
              <w:rPr>
                <w:rFonts w:asciiTheme="minorHAnsi" w:hAnsiTheme="minorHAnsi"/>
                <w:sz w:val="16"/>
                <w:szCs w:val="16"/>
              </w:rPr>
              <w:t>Byl zaslán dotaz na EK ohledně metodologie výpočtu.</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MSP</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MPO</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PPR</w:t>
            </w:r>
          </w:p>
          <w:p w:rsidR="008751EC" w:rsidRPr="00A732F0" w:rsidRDefault="008751EC" w:rsidP="008751EC">
            <w:pPr>
              <w:spacing w:before="60" w:line="240" w:lineRule="auto"/>
              <w:jc w:val="left"/>
              <w:rPr>
                <w:rFonts w:asciiTheme="minorHAnsi" w:hAnsiTheme="minorHAnsi"/>
                <w:bCs/>
                <w:strike/>
                <w:color w:val="4F81BD" w:themeColor="accent1"/>
                <w:sz w:val="16"/>
                <w:szCs w:val="16"/>
              </w:rPr>
            </w:pPr>
            <w:r w:rsidRPr="006071C6">
              <w:rPr>
                <w:rFonts w:asciiTheme="minorHAnsi" w:hAnsiTheme="minorHAnsi"/>
                <w:bCs/>
                <w:color w:val="4F81BD" w:themeColor="accent1"/>
                <w:sz w:val="16"/>
                <w:szCs w:val="16"/>
              </w:rPr>
              <w:t>IROP</w:t>
            </w:r>
            <w:r w:rsidR="00A732F0">
              <w:rPr>
                <w:rFonts w:asciiTheme="minorHAnsi" w:hAnsiTheme="minorHAnsi"/>
                <w:bCs/>
                <w:color w:val="4F81BD" w:themeColor="accent1"/>
                <w:sz w:val="16"/>
                <w:szCs w:val="16"/>
              </w:rPr>
              <w:t xml:space="preserve">, </w:t>
            </w:r>
            <w:r w:rsidR="00A732F0">
              <w:rPr>
                <w:rFonts w:asciiTheme="minorHAnsi" w:hAnsiTheme="minorHAnsi"/>
                <w:bCs/>
                <w:strike/>
                <w:color w:val="4F81BD" w:themeColor="accent1"/>
                <w:sz w:val="16"/>
                <w:szCs w:val="16"/>
              </w:rPr>
              <w:t>PRV</w:t>
            </w:r>
          </w:p>
        </w:tc>
        <w:tc>
          <w:tcPr>
            <w:tcW w:w="2976"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 xml:space="preserve">K částečnému snížení nákladů došlo zák. č.111/2009 Sb,o základních registrech, a jeho využívání při zakládání podniků, odstranění povinnosti dokládat výpis z RT u společníků a výpis z KN souvisejícího se sídlem osoby a snížením zákl. kap. s.r.o. z 200 000 Kč na 1 Kč. </w:t>
            </w: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803"/>
        </w:trPr>
        <w:tc>
          <w:tcPr>
            <w:tcW w:w="851" w:type="dxa"/>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trike/>
                <w:sz w:val="16"/>
                <w:szCs w:val="16"/>
              </w:rPr>
              <w:t xml:space="preserve">3.2 </w:t>
            </w:r>
            <w:r>
              <w:rPr>
                <w:rFonts w:asciiTheme="minorHAnsi" w:hAnsiTheme="minorHAnsi"/>
                <w:b/>
                <w:bCs/>
                <w:strike/>
                <w:sz w:val="16"/>
                <w:szCs w:val="16"/>
              </w:rPr>
              <w:t>O</w:t>
            </w:r>
            <w:r w:rsidRPr="00280437">
              <w:rPr>
                <w:rFonts w:asciiTheme="minorHAnsi" w:hAnsiTheme="minorHAnsi"/>
                <w:b/>
                <w:bCs/>
                <w:strike/>
                <w:sz w:val="16"/>
                <w:szCs w:val="16"/>
              </w:rPr>
              <w:t>požděn</w:t>
            </w:r>
            <w:r>
              <w:rPr>
                <w:rFonts w:asciiTheme="minorHAnsi" w:hAnsiTheme="minorHAnsi"/>
                <w:b/>
                <w:bCs/>
                <w:strike/>
                <w:sz w:val="16"/>
                <w:szCs w:val="16"/>
              </w:rPr>
              <w:t>é</w:t>
            </w:r>
            <w:r w:rsidRPr="00280437">
              <w:rPr>
                <w:rFonts w:asciiTheme="minorHAnsi" w:hAnsiTheme="minorHAnsi"/>
                <w:b/>
                <w:bCs/>
                <w:strike/>
                <w:sz w:val="16"/>
                <w:szCs w:val="16"/>
              </w:rPr>
              <w:t xml:space="preserve"> platb</w:t>
            </w:r>
            <w:r>
              <w:rPr>
                <w:rFonts w:asciiTheme="minorHAnsi" w:hAnsiTheme="minorHAnsi"/>
                <w:b/>
                <w:bCs/>
                <w:strike/>
                <w:sz w:val="16"/>
                <w:szCs w:val="16"/>
              </w:rPr>
              <w:t>y</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trike/>
                <w:sz w:val="16"/>
                <w:szCs w:val="16"/>
              </w:rPr>
              <w:t>Implementace směrnice č. 2011/7/EU proti opožděným platbám v obchodních transakcích. Dne bylo zahájeno řízení č. 2013/0212 pro chybnou transpozici směrnice.</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trike/>
                <w:sz w:val="16"/>
                <w:szCs w:val="16"/>
              </w:rPr>
            </w:pPr>
            <w:r w:rsidRPr="006071C6">
              <w:rPr>
                <w:rFonts w:asciiTheme="minorHAnsi" w:hAnsiTheme="minorHAnsi"/>
                <w:sz w:val="16"/>
                <w:szCs w:val="16"/>
              </w:rPr>
              <w:t>R</w:t>
            </w:r>
            <w:r w:rsidRPr="006071C6">
              <w:rPr>
                <w:rFonts w:asciiTheme="minorHAnsi" w:hAnsiTheme="minorHAnsi"/>
                <w:strike/>
                <w:sz w:val="16"/>
                <w:szCs w:val="16"/>
              </w:rPr>
              <w:t>iziko časové – novela obchodního zákoníku je v leg. procesu. Nicméně od 1.1.2014 nabude účinnosti NOZ, který tuto problematiku rovněž upravuje. Riziko časové a implementační následující postup závisí především na vyjádření EK.</w:t>
            </w:r>
          </w:p>
        </w:tc>
        <w:tc>
          <w:tcPr>
            <w:tcW w:w="3543" w:type="dxa"/>
            <w:shd w:val="clear" w:color="auto" w:fill="DBE5F1" w:themeFill="accent1" w:themeFillTint="33"/>
            <w:vAlign w:val="center"/>
          </w:tcPr>
          <w:p w:rsidR="008751EC" w:rsidRPr="006071C6" w:rsidRDefault="008751EC" w:rsidP="00B224E4">
            <w:pPr>
              <w:spacing w:line="240" w:lineRule="auto"/>
              <w:jc w:val="left"/>
              <w:rPr>
                <w:rFonts w:asciiTheme="minorHAnsi" w:hAnsiTheme="minorHAnsi"/>
                <w:strike/>
                <w:sz w:val="16"/>
                <w:szCs w:val="16"/>
              </w:rPr>
            </w:pPr>
            <w:r w:rsidRPr="006071C6">
              <w:rPr>
                <w:rFonts w:asciiTheme="minorHAnsi" w:hAnsiTheme="minorHAnsi"/>
                <w:strike/>
                <w:sz w:val="16"/>
                <w:szCs w:val="16"/>
              </w:rPr>
              <w:t>Byl zaslán dotaz na EK požadující objasnění vyhodnocování předběžných podmínek, na něž je vázáno řízení.</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trike/>
                <w:sz w:val="16"/>
                <w:szCs w:val="16"/>
              </w:rPr>
              <w:t>MSP</w:t>
            </w:r>
          </w:p>
        </w:tc>
        <w:tc>
          <w:tcPr>
            <w:tcW w:w="851" w:type="dxa"/>
            <w:shd w:val="clear" w:color="auto" w:fill="DBE5F1" w:themeFill="accent1" w:themeFillTint="33"/>
            <w:vAlign w:val="center"/>
          </w:tcPr>
          <w:p w:rsidR="008751EC" w:rsidRPr="00B224E4" w:rsidRDefault="008751EC" w:rsidP="008751EC">
            <w:pPr>
              <w:spacing w:before="60" w:line="240" w:lineRule="auto"/>
              <w:jc w:val="left"/>
              <w:rPr>
                <w:rFonts w:asciiTheme="minorHAnsi" w:hAnsiTheme="minorHAnsi"/>
                <w:bCs/>
                <w:strike/>
                <w:color w:val="4F81BD" w:themeColor="accent1"/>
                <w:sz w:val="16"/>
                <w:szCs w:val="16"/>
              </w:rPr>
            </w:pPr>
            <w:r w:rsidRPr="00B224E4">
              <w:rPr>
                <w:rFonts w:asciiTheme="minorHAnsi" w:hAnsiTheme="minorHAnsi"/>
                <w:bCs/>
                <w:strike/>
                <w:color w:val="4F81BD" w:themeColor="accent1"/>
                <w:sz w:val="16"/>
                <w:szCs w:val="16"/>
              </w:rPr>
              <w:t>OP PIK</w:t>
            </w:r>
          </w:p>
          <w:p w:rsidR="008751EC" w:rsidRPr="00B224E4" w:rsidRDefault="008751EC" w:rsidP="008751EC">
            <w:pPr>
              <w:spacing w:before="60" w:line="240" w:lineRule="auto"/>
              <w:jc w:val="left"/>
              <w:rPr>
                <w:rFonts w:asciiTheme="minorHAnsi" w:hAnsiTheme="minorHAnsi"/>
                <w:bCs/>
                <w:strike/>
                <w:color w:val="4F81BD" w:themeColor="accent1"/>
                <w:sz w:val="16"/>
                <w:szCs w:val="16"/>
              </w:rPr>
            </w:pPr>
            <w:r w:rsidRPr="00B224E4">
              <w:rPr>
                <w:rFonts w:asciiTheme="minorHAnsi" w:hAnsiTheme="minorHAnsi"/>
                <w:bCs/>
                <w:strike/>
                <w:color w:val="4F81BD" w:themeColor="accent1"/>
                <w:sz w:val="16"/>
                <w:szCs w:val="16"/>
              </w:rPr>
              <w:t>OP PPR</w:t>
            </w:r>
          </w:p>
          <w:p w:rsidR="008751EC" w:rsidRPr="00A732F0" w:rsidRDefault="008751EC" w:rsidP="008751EC">
            <w:pPr>
              <w:spacing w:before="60" w:line="240" w:lineRule="auto"/>
              <w:jc w:val="left"/>
              <w:rPr>
                <w:rFonts w:asciiTheme="minorHAnsi" w:hAnsiTheme="minorHAnsi"/>
                <w:bCs/>
                <w:color w:val="4F81BD" w:themeColor="accent1"/>
                <w:sz w:val="16"/>
                <w:szCs w:val="16"/>
              </w:rPr>
            </w:pPr>
            <w:r w:rsidRPr="00B224E4">
              <w:rPr>
                <w:rFonts w:asciiTheme="minorHAnsi" w:hAnsiTheme="minorHAnsi"/>
                <w:bCs/>
                <w:strike/>
                <w:color w:val="4F81BD" w:themeColor="accent1"/>
                <w:sz w:val="16"/>
                <w:szCs w:val="16"/>
              </w:rPr>
              <w:t>IROP</w:t>
            </w:r>
            <w:r w:rsidR="00A732F0">
              <w:rPr>
                <w:rFonts w:asciiTheme="minorHAnsi" w:hAnsiTheme="minorHAnsi"/>
                <w:bCs/>
                <w:strike/>
                <w:color w:val="4F81BD" w:themeColor="accent1"/>
                <w:sz w:val="16"/>
                <w:szCs w:val="16"/>
              </w:rPr>
              <w:t xml:space="preserve">, </w:t>
            </w:r>
            <w:r w:rsidR="00F12826" w:rsidRPr="00F12826">
              <w:rPr>
                <w:rFonts w:asciiTheme="minorHAnsi" w:hAnsiTheme="minorHAnsi"/>
                <w:bCs/>
                <w:strike/>
                <w:color w:val="4F81BD" w:themeColor="accent1"/>
                <w:sz w:val="16"/>
                <w:szCs w:val="16"/>
              </w:rPr>
              <w:t>PRV</w:t>
            </w:r>
          </w:p>
        </w:tc>
        <w:tc>
          <w:tcPr>
            <w:tcW w:w="2976" w:type="dxa"/>
            <w:shd w:val="clear" w:color="auto" w:fill="FFFFFF" w:themeFill="background1"/>
            <w:vAlign w:val="center"/>
          </w:tcPr>
          <w:p w:rsidR="008751EC" w:rsidRPr="00441046" w:rsidRDefault="00F12826" w:rsidP="008751EC">
            <w:pPr>
              <w:spacing w:line="240" w:lineRule="auto"/>
              <w:jc w:val="left"/>
              <w:rPr>
                <w:rFonts w:asciiTheme="minorHAnsi" w:hAnsiTheme="minorHAnsi"/>
                <w:strike/>
                <w:sz w:val="16"/>
                <w:szCs w:val="16"/>
                <w:highlight w:val="cyan"/>
              </w:rPr>
            </w:pPr>
            <w:r w:rsidRPr="00F12826">
              <w:rPr>
                <w:rFonts w:asciiTheme="minorHAnsi" w:hAnsiTheme="minorHAnsi"/>
                <w:strike/>
                <w:sz w:val="16"/>
                <w:szCs w:val="16"/>
              </w:rPr>
              <w:t>Urychleně přijmout novelu obchodního zákoníku. Nary novely byl vrácen Senátem s pozměňovacím návrhem.</w:t>
            </w:r>
          </w:p>
        </w:tc>
        <w:tc>
          <w:tcPr>
            <w:tcW w:w="1134" w:type="dxa"/>
            <w:shd w:val="clear" w:color="auto" w:fill="FFFFFF" w:themeFill="background1"/>
            <w:vAlign w:val="center"/>
          </w:tcPr>
          <w:p w:rsidR="008751EC" w:rsidRPr="00441046" w:rsidRDefault="00F12826" w:rsidP="008751EC">
            <w:pPr>
              <w:spacing w:line="240" w:lineRule="auto"/>
              <w:jc w:val="left"/>
              <w:rPr>
                <w:rFonts w:asciiTheme="minorHAnsi" w:hAnsiTheme="minorHAnsi"/>
                <w:strike/>
                <w:sz w:val="16"/>
                <w:szCs w:val="16"/>
                <w:highlight w:val="cyan"/>
              </w:rPr>
            </w:pPr>
            <w:r w:rsidRPr="00F12826">
              <w:rPr>
                <w:rFonts w:asciiTheme="minorHAnsi" w:hAnsiTheme="minorHAnsi"/>
                <w:strike/>
                <w:sz w:val="16"/>
                <w:szCs w:val="16"/>
              </w:rPr>
              <w:t>8-12. 2013</w:t>
            </w:r>
          </w:p>
        </w:tc>
      </w:tr>
      <w:tr w:rsidR="008751EC" w:rsidRPr="00280437" w:rsidTr="00B224E4">
        <w:trPr>
          <w:trHeight w:val="421"/>
        </w:trPr>
        <w:tc>
          <w:tcPr>
            <w:tcW w:w="851" w:type="dxa"/>
            <w:shd w:val="clear" w:color="auto" w:fill="DBE5F1" w:themeFill="accent1" w:themeFillTint="33"/>
            <w:vAlign w:val="center"/>
            <w:hideMark/>
          </w:tcPr>
          <w:p w:rsidR="008751EC"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 xml:space="preserve">4.1. </w:t>
            </w:r>
            <w:r>
              <w:rPr>
                <w:rFonts w:asciiTheme="minorHAnsi" w:hAnsiTheme="minorHAnsi"/>
                <w:b/>
                <w:bCs/>
                <w:sz w:val="16"/>
                <w:szCs w:val="16"/>
              </w:rPr>
              <w:t>E</w:t>
            </w:r>
            <w:r w:rsidRPr="00280437">
              <w:rPr>
                <w:rFonts w:asciiTheme="minorHAnsi" w:hAnsiTheme="minorHAnsi"/>
                <w:b/>
                <w:bCs/>
                <w:sz w:val="16"/>
                <w:szCs w:val="16"/>
              </w:rPr>
              <w:t>nerg</w:t>
            </w:r>
            <w:r>
              <w:rPr>
                <w:rFonts w:asciiTheme="minorHAnsi" w:hAnsiTheme="minorHAnsi"/>
                <w:b/>
                <w:bCs/>
                <w:sz w:val="16"/>
                <w:szCs w:val="16"/>
              </w:rPr>
              <w:t>etická</w:t>
            </w:r>
            <w:r w:rsidRPr="00280437">
              <w:rPr>
                <w:rFonts w:asciiTheme="minorHAnsi" w:hAnsiTheme="minorHAnsi"/>
                <w:b/>
                <w:bCs/>
                <w:sz w:val="16"/>
                <w:szCs w:val="16"/>
              </w:rPr>
              <w:t xml:space="preserve"> účinnosti a renovace budov</w:t>
            </w:r>
          </w:p>
          <w:p w:rsidR="008751EC" w:rsidRDefault="008751EC" w:rsidP="008751EC">
            <w:pPr>
              <w:spacing w:line="240" w:lineRule="auto"/>
              <w:rPr>
                <w:rFonts w:asciiTheme="minorHAnsi" w:hAnsiTheme="minorHAnsi"/>
                <w:b/>
                <w:bCs/>
                <w:sz w:val="16"/>
                <w:szCs w:val="16"/>
              </w:rPr>
            </w:pPr>
          </w:p>
          <w:p w:rsidR="008751EC" w:rsidRPr="00280437" w:rsidRDefault="008751EC" w:rsidP="008751EC">
            <w:pPr>
              <w:spacing w:line="240" w:lineRule="auto"/>
              <w:rPr>
                <w:rFonts w:asciiTheme="minorHAnsi" w:hAnsiTheme="minorHAnsi"/>
                <w:b/>
                <w:bCs/>
                <w:sz w:val="16"/>
                <w:szCs w:val="16"/>
              </w:rPr>
            </w:pPr>
            <w:r w:rsidRPr="00B86099">
              <w:rPr>
                <w:rFonts w:asciiTheme="minorHAnsi" w:hAnsiTheme="minorHAnsi"/>
                <w:b/>
                <w:bCs/>
                <w:strike/>
                <w:sz w:val="16"/>
                <w:szCs w:val="16"/>
              </w:rPr>
              <w:t>EZFRV 5.2. Energetická účinnost</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1)Zahájeno řízení  č. 2012/0335 ve stadiu formálního upozornění pro neprovedení notifikace směrnice. č. 2010/31/EU, o energetické náročnosti budov</w:t>
            </w: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 xml:space="preserve">2) Předložení novely zákona č. 406/2000 Sb., o hospodaření energií. Návrh je v rozporu s čl. 11 (energetické štítky) směrnice č. 2010/ 31/EU, o energetické náročnosti budov. Vláda schválila tento návrh na svém jednání dne 22.5. 2013. </w:t>
            </w: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3) Zahájeno řízení č. 2013/4007 ve stadiu formálního upozornění pro chybnou transpozici směrnice č. 2006/32/ES, o energetické účinnosti u konečného uživatele pro nesprávnou transpozici čl. 13</w:t>
            </w:r>
          </w:p>
        </w:tc>
        <w:tc>
          <w:tcPr>
            <w:tcW w:w="1560"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sz w:val="16"/>
                <w:szCs w:val="16"/>
              </w:rPr>
            </w:pPr>
            <w:r w:rsidRPr="006071C6">
              <w:rPr>
                <w:rFonts w:asciiTheme="minorHAnsi" w:hAnsiTheme="minorHAnsi"/>
                <w:sz w:val="16"/>
                <w:szCs w:val="16"/>
              </w:rPr>
              <w:t>1)Riziko časové a implementační, následující postup závisí především na vyjádření EK.</w:t>
            </w:r>
          </w:p>
          <w:p w:rsidR="008751EC" w:rsidRPr="006071C6" w:rsidRDefault="008751EC" w:rsidP="008751EC">
            <w:pPr>
              <w:spacing w:before="60" w:line="240" w:lineRule="auto"/>
              <w:jc w:val="left"/>
              <w:rPr>
                <w:rFonts w:asciiTheme="minorHAnsi" w:hAnsiTheme="minorHAnsi"/>
                <w:sz w:val="16"/>
                <w:szCs w:val="16"/>
              </w:rPr>
            </w:pPr>
            <w:r w:rsidRPr="006071C6">
              <w:rPr>
                <w:rFonts w:asciiTheme="minorHAnsi" w:hAnsiTheme="minorHAnsi"/>
                <w:sz w:val="16"/>
                <w:szCs w:val="16"/>
              </w:rPr>
              <w:t>2) Riziko zahájení řízení vůči ČR pro nesprávnou implementaci.</w:t>
            </w:r>
          </w:p>
          <w:p w:rsidR="008751EC" w:rsidRPr="006071C6" w:rsidRDefault="008751EC" w:rsidP="008751EC">
            <w:pPr>
              <w:spacing w:before="60" w:line="240" w:lineRule="auto"/>
              <w:jc w:val="left"/>
              <w:rPr>
                <w:rFonts w:asciiTheme="minorHAnsi" w:hAnsiTheme="minorHAnsi"/>
                <w:sz w:val="16"/>
                <w:szCs w:val="16"/>
              </w:rPr>
            </w:pPr>
            <w:r w:rsidRPr="006071C6">
              <w:rPr>
                <w:rFonts w:asciiTheme="minorHAnsi" w:hAnsiTheme="minorHAnsi"/>
                <w:sz w:val="16"/>
                <w:szCs w:val="16"/>
              </w:rPr>
              <w:t>3)Riziko časové a implementační, následující postup závisí především na vyjádření EK.</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1+3)</w:t>
            </w:r>
            <w:r>
              <w:rPr>
                <w:rFonts w:asciiTheme="minorHAnsi" w:hAnsiTheme="minorHAnsi"/>
                <w:sz w:val="16"/>
                <w:szCs w:val="16"/>
              </w:rPr>
              <w:t xml:space="preserve"> </w:t>
            </w:r>
            <w:r w:rsidRPr="006071C6">
              <w:rPr>
                <w:rFonts w:asciiTheme="minorHAnsi" w:hAnsiTheme="minorHAnsi"/>
                <w:sz w:val="16"/>
                <w:szCs w:val="16"/>
              </w:rPr>
              <w:t>Byl zaslán dotaz na EK požadující objasnění vyhodnocování předběžných podmínek, na něž je vázáno řízení.</w:t>
            </w:r>
          </w:p>
          <w:p w:rsidR="008751EC" w:rsidRPr="006071C6" w:rsidRDefault="008751EC" w:rsidP="008751EC">
            <w:pPr>
              <w:spacing w:line="240" w:lineRule="auto"/>
              <w:jc w:val="left"/>
              <w:rPr>
                <w:rFonts w:asciiTheme="minorHAnsi" w:hAnsiTheme="minorHAnsi"/>
                <w:sz w:val="16"/>
                <w:szCs w:val="16"/>
              </w:rPr>
            </w:pP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Vzhledem k tomu, že se jedná o v PP explicitně definované směrnice je nutné, pokud nebude stanovisko EK opačné, považovat tyto podmínky za nesplněné.</w:t>
            </w: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 xml:space="preserve">2) Čl. 11 směrnice a jeho splnění je explicitně definovanou PP. V případě schválení návrhu zákona hrozí vysoké riziko pozastavení/nespuštěn plateb. </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MPO</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MŽP</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MMR</w:t>
            </w:r>
          </w:p>
        </w:tc>
        <w:tc>
          <w:tcPr>
            <w:tcW w:w="851" w:type="dxa"/>
            <w:shd w:val="clear" w:color="auto" w:fill="DBE5F1" w:themeFill="accent1" w:themeFillTint="33"/>
            <w:vAlign w:val="center"/>
          </w:tcPr>
          <w:p w:rsidR="008751EC" w:rsidRPr="006071C6" w:rsidRDefault="008751EC" w:rsidP="008751EC">
            <w:pPr>
              <w:keepNext/>
              <w:keepLines/>
              <w:spacing w:before="60" w:line="240" w:lineRule="auto"/>
              <w:jc w:val="left"/>
              <w:outlineLvl w:val="0"/>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p>
          <w:p w:rsidR="008751EC" w:rsidRPr="006071C6" w:rsidRDefault="008751EC" w:rsidP="008751EC">
            <w:pPr>
              <w:keepNext/>
              <w:keepLines/>
              <w:spacing w:before="60" w:line="240" w:lineRule="auto"/>
              <w:jc w:val="left"/>
              <w:outlineLvl w:val="0"/>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PPR</w:t>
            </w:r>
          </w:p>
          <w:p w:rsidR="008751EC" w:rsidRPr="006071C6" w:rsidRDefault="008751EC" w:rsidP="008751EC">
            <w:pPr>
              <w:keepNext/>
              <w:keepLines/>
              <w:spacing w:before="60" w:line="240" w:lineRule="auto"/>
              <w:jc w:val="left"/>
              <w:outlineLvl w:val="0"/>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ŽP</w:t>
            </w:r>
          </w:p>
          <w:p w:rsidR="008751EC" w:rsidRPr="006071C6" w:rsidRDefault="008751EC" w:rsidP="008751EC">
            <w:pPr>
              <w:keepNext/>
              <w:keepLines/>
              <w:spacing w:before="60" w:line="240" w:lineRule="auto"/>
              <w:jc w:val="left"/>
              <w:outlineLvl w:val="0"/>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r w:rsidR="00C946CB">
              <w:rPr>
                <w:rFonts w:asciiTheme="minorHAnsi" w:hAnsiTheme="minorHAnsi"/>
                <w:bCs/>
                <w:color w:val="4F81BD" w:themeColor="accent1"/>
                <w:sz w:val="16"/>
                <w:szCs w:val="16"/>
              </w:rPr>
              <w:t>,</w:t>
            </w:r>
            <w:r w:rsidR="00F12826" w:rsidRPr="00F12826">
              <w:rPr>
                <w:rFonts w:asciiTheme="minorHAnsi" w:hAnsiTheme="minorHAnsi"/>
                <w:bCs/>
                <w:strike/>
                <w:color w:val="4F81BD" w:themeColor="accent1"/>
                <w:sz w:val="16"/>
                <w:szCs w:val="16"/>
              </w:rPr>
              <w:t xml:space="preserve"> PRV</w:t>
            </w:r>
          </w:p>
        </w:tc>
        <w:tc>
          <w:tcPr>
            <w:tcW w:w="2976" w:type="dxa"/>
            <w:shd w:val="clear" w:color="auto" w:fill="FFFFFF" w:themeFill="background1"/>
            <w:vAlign w:val="center"/>
          </w:tcPr>
          <w:p w:rsidR="008751EC" w:rsidRPr="00A732F0" w:rsidRDefault="00F12826" w:rsidP="008751EC">
            <w:pPr>
              <w:keepNext/>
              <w:keepLines/>
              <w:spacing w:before="480" w:line="240" w:lineRule="auto"/>
              <w:jc w:val="left"/>
              <w:outlineLvl w:val="0"/>
              <w:rPr>
                <w:rFonts w:asciiTheme="minorHAnsi" w:hAnsiTheme="minorHAnsi"/>
                <w:sz w:val="16"/>
                <w:szCs w:val="16"/>
              </w:rPr>
            </w:pPr>
            <w:r w:rsidRPr="00F12826">
              <w:rPr>
                <w:rFonts w:asciiTheme="minorHAnsi" w:hAnsiTheme="minorHAnsi"/>
                <w:sz w:val="16"/>
                <w:szCs w:val="16"/>
              </w:rPr>
              <w:t>1)ČR na formální upozornění odpověděla dne 31. 10. 2012.</w:t>
            </w:r>
          </w:p>
          <w:p w:rsidR="008751EC" w:rsidRPr="00441046" w:rsidRDefault="00F12826" w:rsidP="008751EC">
            <w:pPr>
              <w:keepNext/>
              <w:keepLines/>
              <w:spacing w:before="480" w:line="240" w:lineRule="auto"/>
              <w:jc w:val="left"/>
              <w:outlineLvl w:val="0"/>
              <w:rPr>
                <w:rFonts w:asciiTheme="minorHAnsi" w:hAnsiTheme="minorHAnsi"/>
                <w:sz w:val="16"/>
                <w:szCs w:val="16"/>
                <w:highlight w:val="cyan"/>
              </w:rPr>
            </w:pPr>
            <w:r w:rsidRPr="00F12826">
              <w:rPr>
                <w:rFonts w:asciiTheme="minorHAnsi" w:hAnsiTheme="minorHAnsi"/>
                <w:sz w:val="16"/>
                <w:szCs w:val="16"/>
              </w:rPr>
              <w:t>3) ČR na formální upozornění odpověděla dne 21.5.2013.</w:t>
            </w:r>
          </w:p>
        </w:tc>
        <w:tc>
          <w:tcPr>
            <w:tcW w:w="1134" w:type="dxa"/>
            <w:shd w:val="clear" w:color="auto" w:fill="FFFFFF" w:themeFill="background1"/>
            <w:vAlign w:val="center"/>
          </w:tcPr>
          <w:p w:rsidR="008751EC" w:rsidRPr="00441046" w:rsidRDefault="008751EC" w:rsidP="008751EC">
            <w:pPr>
              <w:keepNext/>
              <w:keepLines/>
              <w:spacing w:before="480" w:line="240" w:lineRule="auto"/>
              <w:jc w:val="left"/>
              <w:outlineLvl w:val="0"/>
              <w:rPr>
                <w:rFonts w:asciiTheme="minorHAnsi" w:hAnsiTheme="minorHAnsi"/>
                <w:sz w:val="16"/>
                <w:szCs w:val="16"/>
                <w:highlight w:val="cyan"/>
              </w:rPr>
            </w:pPr>
          </w:p>
        </w:tc>
      </w:tr>
      <w:tr w:rsidR="008751EC" w:rsidRPr="00280437" w:rsidTr="008751EC">
        <w:trPr>
          <w:trHeight w:val="562"/>
        </w:trPr>
        <w:tc>
          <w:tcPr>
            <w:tcW w:w="851" w:type="dxa"/>
            <w:shd w:val="clear" w:color="auto" w:fill="DBE5F1" w:themeFill="accent1" w:themeFillTint="33"/>
            <w:vAlign w:val="center"/>
            <w:hideMark/>
          </w:tcPr>
          <w:p w:rsidR="008751EC"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 xml:space="preserve">4.3. Opatření na podporu výroby a distribuce energie z </w:t>
            </w:r>
            <w:r>
              <w:rPr>
                <w:rFonts w:asciiTheme="minorHAnsi" w:hAnsiTheme="minorHAnsi"/>
                <w:b/>
                <w:bCs/>
                <w:sz w:val="16"/>
                <w:szCs w:val="16"/>
              </w:rPr>
              <w:t>OZE</w:t>
            </w:r>
            <w:r w:rsidRPr="00280437">
              <w:rPr>
                <w:rFonts w:asciiTheme="minorHAnsi" w:hAnsiTheme="minorHAnsi"/>
                <w:b/>
                <w:bCs/>
                <w:sz w:val="16"/>
                <w:szCs w:val="16"/>
              </w:rPr>
              <w:t>.</w:t>
            </w:r>
          </w:p>
          <w:p w:rsidR="00C946CB" w:rsidRPr="00C946CB" w:rsidRDefault="00C946CB" w:rsidP="008751EC">
            <w:pPr>
              <w:spacing w:line="240" w:lineRule="auto"/>
              <w:rPr>
                <w:rFonts w:asciiTheme="minorHAnsi" w:hAnsiTheme="minorHAnsi"/>
                <w:b/>
                <w:bCs/>
                <w:strike/>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1)Zahájeno řízení č. 2012/2154, ve stadiu formálního upozornění, v němž EK namítá nesplnění povinností, které ČR vyplývají z čl. 4 odst. 1 směrnice 2009/28/ES, a to tím, že nepřijala a neoznámila NAP OZE.</w:t>
            </w: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 xml:space="preserve">2)Zahájeno řízení č. 2011/0057 pro neprovedení notifikace ve stadiu odůvodněného stanoviska týkající se směrnice č. 2009/28/ES, o podpoře využívání energie z obnovitelných zdrojů. </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1+2)Riziko časové a implementační, následující postup závisí především na vyjádření EK.</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1 + 2) Byl zaslán dotaz na EK požadující objasnění vyhodnocování PP, na něž je vázáno řízení.</w:t>
            </w: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Vzhledem k tomu, že se jedná o v PP explicitně definované směrnice, je nutné, pokud nebude stanovisko EK opačné, považovat tyto podmínky za nesplněné.</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MPO</w:t>
            </w:r>
          </w:p>
        </w:tc>
        <w:tc>
          <w:tcPr>
            <w:tcW w:w="851" w:type="dxa"/>
            <w:shd w:val="clear" w:color="auto" w:fill="DBE5F1" w:themeFill="accent1" w:themeFillTint="33"/>
            <w:vAlign w:val="center"/>
          </w:tcPr>
          <w:p w:rsidR="008751EC" w:rsidRPr="006071C6" w:rsidRDefault="008751EC" w:rsidP="008751EC">
            <w:pPr>
              <w:keepNext/>
              <w:keepLines/>
              <w:spacing w:before="60" w:line="240" w:lineRule="auto"/>
              <w:jc w:val="left"/>
              <w:outlineLvl w:val="0"/>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p>
          <w:p w:rsidR="008751EC" w:rsidRPr="006071C6" w:rsidRDefault="008751EC" w:rsidP="008751EC">
            <w:pPr>
              <w:keepNext/>
              <w:keepLines/>
              <w:spacing w:before="60" w:line="240" w:lineRule="auto"/>
              <w:jc w:val="left"/>
              <w:outlineLvl w:val="0"/>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PPR</w:t>
            </w:r>
          </w:p>
          <w:p w:rsidR="008751EC" w:rsidRPr="006071C6" w:rsidRDefault="008751EC" w:rsidP="008751EC">
            <w:pPr>
              <w:keepNext/>
              <w:keepLines/>
              <w:spacing w:before="60" w:line="240" w:lineRule="auto"/>
              <w:jc w:val="left"/>
              <w:outlineLvl w:val="0"/>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ŽP</w:t>
            </w:r>
          </w:p>
          <w:p w:rsidR="008751EC" w:rsidRDefault="008751EC" w:rsidP="008751EC">
            <w:pPr>
              <w:keepNext/>
              <w:keepLines/>
              <w:spacing w:before="60" w:line="240" w:lineRule="auto"/>
              <w:jc w:val="left"/>
              <w:outlineLvl w:val="0"/>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p>
          <w:p w:rsidR="00C946CB" w:rsidRPr="00C946CB" w:rsidRDefault="00C946CB" w:rsidP="008751EC">
            <w:pPr>
              <w:keepNext/>
              <w:keepLines/>
              <w:spacing w:before="60" w:line="240" w:lineRule="auto"/>
              <w:jc w:val="left"/>
              <w:outlineLvl w:val="0"/>
              <w:rPr>
                <w:rFonts w:asciiTheme="minorHAnsi" w:hAnsiTheme="minorHAnsi"/>
                <w:bCs/>
                <w:strike/>
                <w:color w:val="4F81BD" w:themeColor="accent1"/>
                <w:sz w:val="16"/>
                <w:szCs w:val="16"/>
              </w:rPr>
            </w:pPr>
          </w:p>
        </w:tc>
        <w:tc>
          <w:tcPr>
            <w:tcW w:w="2976" w:type="dxa"/>
            <w:shd w:val="clear" w:color="auto" w:fill="FFFFFF" w:themeFill="background1"/>
            <w:vAlign w:val="center"/>
          </w:tcPr>
          <w:p w:rsidR="008751EC" w:rsidRPr="00441046" w:rsidRDefault="00F12826" w:rsidP="008751EC">
            <w:pPr>
              <w:keepNext/>
              <w:keepLines/>
              <w:spacing w:before="480" w:line="240" w:lineRule="auto"/>
              <w:jc w:val="left"/>
              <w:outlineLvl w:val="0"/>
              <w:rPr>
                <w:rFonts w:asciiTheme="minorHAnsi" w:hAnsiTheme="minorHAnsi"/>
                <w:sz w:val="16"/>
                <w:szCs w:val="16"/>
                <w:highlight w:val="cyan"/>
              </w:rPr>
            </w:pPr>
            <w:r w:rsidRPr="00F12826">
              <w:rPr>
                <w:rFonts w:asciiTheme="minorHAnsi" w:hAnsiTheme="minorHAnsi"/>
                <w:sz w:val="16"/>
                <w:szCs w:val="16"/>
              </w:rPr>
              <w:t>1)V odpovědi ČR ze dne 30. 11. 2012 je namítáno, že aktualizovaný NAP je úplný. V současné době čeká ČR na odpověď.</w:t>
            </w:r>
          </w:p>
        </w:tc>
        <w:tc>
          <w:tcPr>
            <w:tcW w:w="1134" w:type="dxa"/>
            <w:shd w:val="clear" w:color="auto" w:fill="FFFFFF" w:themeFill="background1"/>
            <w:vAlign w:val="center"/>
          </w:tcPr>
          <w:p w:rsidR="008751EC" w:rsidRPr="00441046" w:rsidRDefault="008751EC" w:rsidP="008751EC">
            <w:pPr>
              <w:keepNext/>
              <w:keepLines/>
              <w:spacing w:before="480" w:line="240" w:lineRule="auto"/>
              <w:jc w:val="left"/>
              <w:outlineLvl w:val="0"/>
              <w:rPr>
                <w:rFonts w:asciiTheme="minorHAnsi" w:hAnsiTheme="minorHAnsi"/>
                <w:sz w:val="16"/>
                <w:szCs w:val="16"/>
                <w:highlight w:val="cyan"/>
              </w:rPr>
            </w:pPr>
          </w:p>
        </w:tc>
      </w:tr>
      <w:tr w:rsidR="008751EC" w:rsidRPr="00280437" w:rsidTr="008751EC">
        <w:trPr>
          <w:trHeight w:val="1441"/>
        </w:trPr>
        <w:tc>
          <w:tcPr>
            <w:tcW w:w="851" w:type="dxa"/>
            <w:shd w:val="clear" w:color="auto" w:fill="DBE5F1" w:themeFill="accent1" w:themeFillTint="33"/>
            <w:vAlign w:val="center"/>
            <w:hideMark/>
          </w:tcPr>
          <w:p w:rsidR="008751EC"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5.1. Předcházení riziku</w:t>
            </w:r>
          </w:p>
          <w:p w:rsidR="008751EC" w:rsidRDefault="008751EC" w:rsidP="008751EC">
            <w:pPr>
              <w:spacing w:line="240" w:lineRule="auto"/>
              <w:rPr>
                <w:rFonts w:asciiTheme="minorHAnsi" w:hAnsiTheme="minorHAnsi"/>
                <w:b/>
                <w:bCs/>
                <w:sz w:val="16"/>
                <w:szCs w:val="16"/>
              </w:rPr>
            </w:pPr>
          </w:p>
          <w:p w:rsidR="008751EC" w:rsidRPr="00280437" w:rsidRDefault="008751EC" w:rsidP="008751EC">
            <w:pPr>
              <w:spacing w:line="240" w:lineRule="auto"/>
              <w:rPr>
                <w:rFonts w:asciiTheme="minorHAnsi" w:hAnsiTheme="minorHAnsi"/>
                <w:b/>
                <w:bCs/>
                <w:sz w:val="16"/>
                <w:szCs w:val="16"/>
              </w:rPr>
            </w:pPr>
            <w:r>
              <w:rPr>
                <w:rFonts w:asciiTheme="minorHAnsi" w:hAnsiTheme="minorHAnsi"/>
                <w:b/>
                <w:bCs/>
                <w:sz w:val="16"/>
                <w:szCs w:val="16"/>
              </w:rPr>
              <w:t>EZFRV: 4.4. obdobná podmínka</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Posuzování rizik v ČR není zavedeno – řešení prostřednictvím Strategie přizpůsobení se změně klimatu, u které však není jasné, zda bude akcentovat Komisí požadované parametry; plánované schválení dokumentu 06/2013.</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w:t>
            </w: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adekvátního naplnění požadavků EK.</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MŽP</w:t>
            </w:r>
          </w:p>
          <w:p w:rsidR="008751EC" w:rsidRDefault="008751EC" w:rsidP="008751EC">
            <w:pPr>
              <w:spacing w:before="80" w:line="240" w:lineRule="auto"/>
              <w:jc w:val="left"/>
              <w:rPr>
                <w:rFonts w:asciiTheme="minorHAnsi" w:hAnsiTheme="minorHAnsi"/>
                <w:sz w:val="16"/>
                <w:szCs w:val="16"/>
              </w:rPr>
            </w:pPr>
            <w:r>
              <w:rPr>
                <w:rFonts w:asciiTheme="minorHAnsi" w:hAnsiTheme="minorHAnsi"/>
                <w:sz w:val="16"/>
                <w:szCs w:val="16"/>
              </w:rPr>
              <w:t>Mze</w:t>
            </w:r>
          </w:p>
          <w:p w:rsidR="008751EC" w:rsidRDefault="008751EC" w:rsidP="008751EC">
            <w:pPr>
              <w:spacing w:before="80" w:line="240" w:lineRule="auto"/>
              <w:jc w:val="left"/>
              <w:rPr>
                <w:rFonts w:asciiTheme="minorHAnsi" w:hAnsiTheme="minorHAnsi"/>
                <w:sz w:val="16"/>
                <w:szCs w:val="16"/>
              </w:rPr>
            </w:pPr>
            <w:r>
              <w:rPr>
                <w:rFonts w:asciiTheme="minorHAnsi" w:hAnsiTheme="minorHAnsi"/>
                <w:sz w:val="16"/>
                <w:szCs w:val="16"/>
              </w:rPr>
              <w:t>MV</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GŘ HZS</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ŽP</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PRV</w:t>
            </w:r>
          </w:p>
        </w:tc>
        <w:tc>
          <w:tcPr>
            <w:tcW w:w="2976"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Zaslán dotaz na EK v souvislosti s problematikou systému 112.</w:t>
            </w:r>
          </w:p>
        </w:tc>
        <w:tc>
          <w:tcPr>
            <w:tcW w:w="1134"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Strategie by měla být účinná od 1.1.2014.</w:t>
            </w:r>
          </w:p>
        </w:tc>
      </w:tr>
      <w:tr w:rsidR="008751EC" w:rsidRPr="00280437" w:rsidTr="008751EC">
        <w:trPr>
          <w:trHeight w:val="516"/>
        </w:trPr>
        <w:tc>
          <w:tcPr>
            <w:tcW w:w="851" w:type="dxa"/>
            <w:vMerge w:val="restart"/>
            <w:shd w:val="clear" w:color="auto" w:fill="DBE5F1" w:themeFill="accent1" w:themeFillTint="33"/>
            <w:vAlign w:val="center"/>
            <w:hideMark/>
          </w:tcPr>
          <w:p w:rsidR="008751EC"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6.1. Vodní hospodářství.</w:t>
            </w:r>
          </w:p>
          <w:p w:rsidR="00696293" w:rsidRPr="00696293" w:rsidRDefault="00696293" w:rsidP="008751EC">
            <w:pPr>
              <w:keepNext/>
              <w:tabs>
                <w:tab w:val="num" w:pos="720"/>
              </w:tabs>
              <w:spacing w:line="240" w:lineRule="auto"/>
              <w:ind w:hanging="720"/>
              <w:outlineLvl w:val="2"/>
              <w:rPr>
                <w:rFonts w:asciiTheme="minorHAnsi" w:hAnsiTheme="minorHAnsi"/>
                <w:b/>
                <w:bCs/>
                <w:strike/>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Nedostatečné podmínky provozních smluv a nedostatečná regulace vodohospodářského trhu.</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nesouhlasu EK s navrženým řešením.</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Řešení problematiky provozních smluv prostřednictvím aktualizace přílohy č. 7 k OP ŽP 2007-2013 se nejeví jako dostatečné a systémové řešení. V případě nesouhlasu EK s navrhovaným řešením existuje riziko nespuštění/pozastavení plateb.</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MŽP</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MZe</w:t>
            </w:r>
          </w:p>
        </w:tc>
        <w:tc>
          <w:tcPr>
            <w:tcW w:w="851" w:type="dxa"/>
            <w:shd w:val="clear" w:color="auto" w:fill="DBE5F1" w:themeFill="accent1" w:themeFillTint="33"/>
            <w:vAlign w:val="center"/>
          </w:tcPr>
          <w:p w:rsidR="008751EC" w:rsidRPr="006071C6" w:rsidRDefault="008751EC" w:rsidP="008751EC">
            <w:pPr>
              <w:keepNext/>
              <w:keepLines/>
              <w:spacing w:before="60" w:line="240" w:lineRule="auto"/>
              <w:jc w:val="left"/>
              <w:outlineLvl w:val="0"/>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ŽP</w:t>
            </w:r>
          </w:p>
          <w:p w:rsidR="008751EC" w:rsidRPr="00696293" w:rsidRDefault="008751EC" w:rsidP="008751EC">
            <w:pPr>
              <w:keepNext/>
              <w:keepLines/>
              <w:spacing w:before="60" w:line="240" w:lineRule="auto"/>
              <w:jc w:val="left"/>
              <w:outlineLvl w:val="0"/>
              <w:rPr>
                <w:rFonts w:asciiTheme="minorHAnsi" w:hAnsiTheme="minorHAnsi"/>
                <w:bCs/>
                <w:strike/>
                <w:color w:val="4F81BD" w:themeColor="accent1"/>
                <w:sz w:val="16"/>
                <w:szCs w:val="16"/>
              </w:rPr>
            </w:pPr>
          </w:p>
        </w:tc>
        <w:tc>
          <w:tcPr>
            <w:tcW w:w="2976" w:type="dxa"/>
            <w:shd w:val="clear" w:color="auto" w:fill="FFFFFF" w:themeFill="background1"/>
            <w:vAlign w:val="center"/>
          </w:tcPr>
          <w:p w:rsidR="008751EC" w:rsidRPr="00441046" w:rsidRDefault="00F12826" w:rsidP="008751EC">
            <w:pPr>
              <w:keepNext/>
              <w:keepLines/>
              <w:spacing w:line="240" w:lineRule="auto"/>
              <w:jc w:val="left"/>
              <w:outlineLvl w:val="0"/>
              <w:rPr>
                <w:rFonts w:asciiTheme="minorHAnsi" w:hAnsiTheme="minorHAnsi"/>
                <w:sz w:val="16"/>
                <w:szCs w:val="16"/>
                <w:highlight w:val="cyan"/>
              </w:rPr>
            </w:pPr>
            <w:r w:rsidRPr="00F12826">
              <w:rPr>
                <w:rFonts w:asciiTheme="minorHAnsi" w:hAnsiTheme="minorHAnsi"/>
                <w:sz w:val="16"/>
                <w:szCs w:val="16"/>
              </w:rPr>
              <w:t>Řešení prostřednictvím aktualizace přílohy k současnému OP ŽP.</w:t>
            </w:r>
          </w:p>
        </w:tc>
        <w:tc>
          <w:tcPr>
            <w:tcW w:w="1134" w:type="dxa"/>
            <w:shd w:val="clear" w:color="auto" w:fill="FFFFFF" w:themeFill="background1"/>
            <w:vAlign w:val="center"/>
          </w:tcPr>
          <w:p w:rsidR="008751EC" w:rsidRPr="00441046" w:rsidRDefault="008751EC" w:rsidP="008751EC">
            <w:pPr>
              <w:keepNext/>
              <w:keepLines/>
              <w:spacing w:before="480" w:line="240" w:lineRule="auto"/>
              <w:jc w:val="left"/>
              <w:outlineLvl w:val="0"/>
              <w:rPr>
                <w:rFonts w:asciiTheme="minorHAnsi" w:hAnsiTheme="minorHAnsi"/>
                <w:sz w:val="16"/>
                <w:szCs w:val="16"/>
                <w:highlight w:val="cyan"/>
              </w:rPr>
            </w:pPr>
          </w:p>
        </w:tc>
      </w:tr>
      <w:tr w:rsidR="008751EC" w:rsidRPr="00280437" w:rsidTr="008751EC">
        <w:trPr>
          <w:trHeight w:val="518"/>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highlight w:val="yellow"/>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Zřízení nezávislé regulační instituce – v ČR na zřízení jednotného regulátora neexistuje politická shoda</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nesouhlasu EK s navrženým řešením. Problematické nalézání shody i na vnitrostátní úrovni.</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V případě nesouhlasu EK s navrhovaným řešením, případně nenalezení shody hrozí ze strany EK nespuštění/zastavení plateb.</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MŽP</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MZe</w:t>
            </w:r>
          </w:p>
        </w:tc>
        <w:tc>
          <w:tcPr>
            <w:tcW w:w="851" w:type="dxa"/>
            <w:shd w:val="clear" w:color="auto" w:fill="DBE5F1" w:themeFill="accent1" w:themeFillTint="33"/>
            <w:vAlign w:val="center"/>
          </w:tcPr>
          <w:p w:rsidR="008751EC" w:rsidRPr="00696293" w:rsidRDefault="008751EC" w:rsidP="008751EC">
            <w:pPr>
              <w:keepNext/>
              <w:keepLines/>
              <w:spacing w:before="60" w:line="240" w:lineRule="auto"/>
              <w:jc w:val="left"/>
              <w:outlineLvl w:val="0"/>
              <w:rPr>
                <w:rFonts w:asciiTheme="minorHAnsi" w:hAnsiTheme="minorHAnsi"/>
                <w:bCs/>
                <w:strike/>
                <w:color w:val="4F81BD" w:themeColor="accent1"/>
                <w:sz w:val="16"/>
                <w:szCs w:val="16"/>
              </w:rPr>
            </w:pPr>
            <w:r w:rsidRPr="006071C6">
              <w:rPr>
                <w:rFonts w:asciiTheme="minorHAnsi" w:hAnsiTheme="minorHAnsi"/>
                <w:bCs/>
                <w:color w:val="4F81BD" w:themeColor="accent1"/>
                <w:sz w:val="16"/>
                <w:szCs w:val="16"/>
              </w:rPr>
              <w:t>OP ŽP</w:t>
            </w:r>
          </w:p>
        </w:tc>
        <w:tc>
          <w:tcPr>
            <w:tcW w:w="2976" w:type="dxa"/>
            <w:shd w:val="clear" w:color="auto" w:fill="FFFFFF" w:themeFill="background1"/>
            <w:vAlign w:val="center"/>
          </w:tcPr>
          <w:p w:rsidR="008751EC" w:rsidRPr="00441046" w:rsidRDefault="008751EC" w:rsidP="008751EC">
            <w:pPr>
              <w:keepNext/>
              <w:keepLines/>
              <w:spacing w:before="480" w:line="240" w:lineRule="auto"/>
              <w:jc w:val="left"/>
              <w:outlineLvl w:val="0"/>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8751EC" w:rsidP="008751EC">
            <w:pPr>
              <w:keepNext/>
              <w:keepLines/>
              <w:spacing w:before="480" w:line="240" w:lineRule="auto"/>
              <w:jc w:val="left"/>
              <w:outlineLvl w:val="0"/>
              <w:rPr>
                <w:rFonts w:asciiTheme="minorHAnsi" w:hAnsiTheme="minorHAnsi"/>
                <w:sz w:val="16"/>
                <w:szCs w:val="16"/>
                <w:highlight w:val="cyan"/>
              </w:rPr>
            </w:pPr>
          </w:p>
        </w:tc>
      </w:tr>
      <w:tr w:rsidR="008751EC" w:rsidRPr="00280437" w:rsidTr="008751EC">
        <w:trPr>
          <w:trHeight w:val="518"/>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highlight w:val="yellow"/>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Pozdní předání strategických dokumentů – Plány povodí a Plány pro zvládání povodňových rizik</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 a nemožnost aktuálně vyhodnotit obsah.</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Vzhledem k vyjádření EK, že nemůže hodnotit plnění PP na základě neexistujících/neschválených materiálů, existuje riziko nespuštění plateb ze strany EK. Z hlediska NOK se naplnění jeví jako nedostatečné.</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MŽP</w:t>
            </w:r>
          </w:p>
        </w:tc>
        <w:tc>
          <w:tcPr>
            <w:tcW w:w="851" w:type="dxa"/>
            <w:shd w:val="clear" w:color="auto" w:fill="DBE5F1" w:themeFill="accent1" w:themeFillTint="33"/>
            <w:vAlign w:val="center"/>
          </w:tcPr>
          <w:p w:rsidR="008751EC" w:rsidRPr="00696293" w:rsidRDefault="008751EC" w:rsidP="008751EC">
            <w:pPr>
              <w:keepNext/>
              <w:keepLines/>
              <w:spacing w:before="60" w:line="240" w:lineRule="auto"/>
              <w:jc w:val="left"/>
              <w:outlineLvl w:val="0"/>
              <w:rPr>
                <w:rFonts w:asciiTheme="minorHAnsi" w:hAnsiTheme="minorHAnsi"/>
                <w:bCs/>
                <w:strike/>
                <w:color w:val="4F81BD" w:themeColor="accent1"/>
                <w:sz w:val="16"/>
                <w:szCs w:val="16"/>
              </w:rPr>
            </w:pPr>
            <w:r w:rsidRPr="006071C6">
              <w:rPr>
                <w:rFonts w:asciiTheme="minorHAnsi" w:hAnsiTheme="minorHAnsi"/>
                <w:bCs/>
                <w:color w:val="4F81BD" w:themeColor="accent1"/>
                <w:sz w:val="16"/>
                <w:szCs w:val="16"/>
              </w:rPr>
              <w:t>OP ŽP</w:t>
            </w:r>
          </w:p>
        </w:tc>
        <w:tc>
          <w:tcPr>
            <w:tcW w:w="2976" w:type="dxa"/>
            <w:shd w:val="clear" w:color="auto" w:fill="FFFFFF" w:themeFill="background1"/>
            <w:vAlign w:val="center"/>
          </w:tcPr>
          <w:p w:rsidR="008751EC" w:rsidRPr="00441046" w:rsidRDefault="008751EC" w:rsidP="008751EC">
            <w:pPr>
              <w:keepNext/>
              <w:keepLines/>
              <w:spacing w:line="240" w:lineRule="auto"/>
              <w:jc w:val="left"/>
              <w:outlineLvl w:val="0"/>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F12826" w:rsidP="008751EC">
            <w:pPr>
              <w:keepNext/>
              <w:keepLines/>
              <w:spacing w:line="240" w:lineRule="auto"/>
              <w:jc w:val="left"/>
              <w:outlineLvl w:val="0"/>
              <w:rPr>
                <w:rFonts w:asciiTheme="minorHAnsi" w:hAnsiTheme="minorHAnsi"/>
                <w:sz w:val="16"/>
                <w:szCs w:val="16"/>
                <w:highlight w:val="cyan"/>
              </w:rPr>
            </w:pPr>
            <w:r w:rsidRPr="00F12826">
              <w:rPr>
                <w:rFonts w:asciiTheme="minorHAnsi" w:hAnsiTheme="minorHAnsi"/>
                <w:sz w:val="16"/>
                <w:szCs w:val="16"/>
              </w:rPr>
              <w:t>22.3.2016 na EK</w:t>
            </w:r>
          </w:p>
        </w:tc>
      </w:tr>
      <w:tr w:rsidR="008751EC" w:rsidRPr="00280437" w:rsidTr="008751EC">
        <w:trPr>
          <w:trHeight w:val="814"/>
        </w:trPr>
        <w:tc>
          <w:tcPr>
            <w:tcW w:w="851" w:type="dxa"/>
            <w:vMerge w:val="restart"/>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6.2. Odpadové hospodářství</w:t>
            </w:r>
          </w:p>
        </w:tc>
        <w:tc>
          <w:tcPr>
            <w:tcW w:w="3260" w:type="dxa"/>
            <w:shd w:val="clear" w:color="auto" w:fill="DBE5F1" w:themeFill="accent1" w:themeFillTint="33"/>
            <w:vAlign w:val="center"/>
            <w:hideMark/>
          </w:tcPr>
          <w:p w:rsidR="008751EC" w:rsidRPr="006071C6" w:rsidRDefault="008751EC" w:rsidP="008751EC">
            <w:pPr>
              <w:jc w:val="left"/>
              <w:rPr>
                <w:rFonts w:asciiTheme="minorHAnsi" w:hAnsiTheme="minorHAnsi"/>
                <w:sz w:val="16"/>
                <w:szCs w:val="16"/>
              </w:rPr>
            </w:pPr>
            <w:r w:rsidRPr="006071C6">
              <w:rPr>
                <w:rFonts w:asciiTheme="minorHAnsi" w:hAnsiTheme="minorHAnsi"/>
                <w:sz w:val="16"/>
                <w:szCs w:val="16"/>
              </w:rPr>
              <w:t>Nepřijetí Plánu odpadového hospodářství.</w:t>
            </w:r>
          </w:p>
        </w:tc>
        <w:tc>
          <w:tcPr>
            <w:tcW w:w="1560" w:type="dxa"/>
            <w:shd w:val="clear" w:color="auto" w:fill="DBE5F1" w:themeFill="accent1" w:themeFillTint="33"/>
            <w:vAlign w:val="center"/>
          </w:tcPr>
          <w:p w:rsidR="008751EC" w:rsidRPr="006071C6" w:rsidRDefault="008751EC" w:rsidP="008751EC">
            <w:pPr>
              <w:jc w:val="left"/>
              <w:rPr>
                <w:rFonts w:asciiTheme="minorHAnsi" w:hAnsiTheme="minorHAnsi"/>
                <w:sz w:val="16"/>
                <w:szCs w:val="16"/>
              </w:rPr>
            </w:pPr>
            <w:r w:rsidRPr="006071C6">
              <w:rPr>
                <w:rFonts w:asciiTheme="minorHAnsi" w:hAnsiTheme="minorHAnsi"/>
                <w:sz w:val="16"/>
                <w:szCs w:val="16"/>
              </w:rPr>
              <w:t>Riziko časové a nemožnost aktuálně vyhodnotit obsah POH.</w:t>
            </w:r>
          </w:p>
        </w:tc>
        <w:tc>
          <w:tcPr>
            <w:tcW w:w="3543" w:type="dxa"/>
            <w:shd w:val="clear" w:color="auto" w:fill="DBE5F1" w:themeFill="accent1" w:themeFillTint="33"/>
            <w:vAlign w:val="center"/>
          </w:tcPr>
          <w:p w:rsidR="008751EC" w:rsidRPr="006071C6" w:rsidRDefault="008751EC" w:rsidP="008751EC">
            <w:pPr>
              <w:keepNext/>
              <w:keepLines/>
              <w:spacing w:line="240" w:lineRule="auto"/>
              <w:jc w:val="left"/>
              <w:outlineLvl w:val="0"/>
              <w:rPr>
                <w:rFonts w:asciiTheme="minorHAnsi" w:hAnsiTheme="minorHAnsi"/>
                <w:sz w:val="16"/>
                <w:szCs w:val="16"/>
              </w:rPr>
            </w:pPr>
          </w:p>
        </w:tc>
        <w:tc>
          <w:tcPr>
            <w:tcW w:w="709" w:type="dxa"/>
            <w:shd w:val="clear" w:color="auto" w:fill="DBE5F1" w:themeFill="accent1" w:themeFillTint="33"/>
            <w:vAlign w:val="center"/>
          </w:tcPr>
          <w:p w:rsidR="008751EC" w:rsidRPr="006071C6" w:rsidRDefault="008751EC" w:rsidP="008751EC">
            <w:pPr>
              <w:spacing w:before="80"/>
              <w:jc w:val="left"/>
              <w:rPr>
                <w:rFonts w:asciiTheme="minorHAnsi" w:hAnsiTheme="minorHAnsi"/>
                <w:sz w:val="16"/>
                <w:szCs w:val="16"/>
              </w:rPr>
            </w:pPr>
            <w:r w:rsidRPr="006071C6">
              <w:rPr>
                <w:rFonts w:asciiTheme="minorHAnsi" w:hAnsiTheme="minorHAnsi"/>
                <w:sz w:val="16"/>
                <w:szCs w:val="16"/>
              </w:rPr>
              <w:t>MŽ</w:t>
            </w:r>
            <w:r>
              <w:rPr>
                <w:rFonts w:asciiTheme="minorHAnsi" w:hAnsiTheme="minorHAnsi"/>
                <w:sz w:val="16"/>
                <w:szCs w:val="16"/>
              </w:rPr>
              <w:t>P</w:t>
            </w:r>
          </w:p>
        </w:tc>
        <w:tc>
          <w:tcPr>
            <w:tcW w:w="851" w:type="dxa"/>
            <w:shd w:val="clear" w:color="auto" w:fill="DBE5F1" w:themeFill="accent1" w:themeFillTint="33"/>
            <w:vAlign w:val="center"/>
          </w:tcPr>
          <w:p w:rsidR="008751EC" w:rsidRPr="006071C6" w:rsidRDefault="008751EC" w:rsidP="008751EC">
            <w:pPr>
              <w:keepNext/>
              <w:keepLines/>
              <w:spacing w:before="60"/>
              <w:jc w:val="left"/>
              <w:outlineLvl w:val="0"/>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ŽP</w:t>
            </w:r>
          </w:p>
        </w:tc>
        <w:tc>
          <w:tcPr>
            <w:tcW w:w="2976" w:type="dxa"/>
            <w:shd w:val="clear" w:color="auto" w:fill="FFFFFF" w:themeFill="background1"/>
            <w:vAlign w:val="center"/>
          </w:tcPr>
          <w:p w:rsidR="008751EC" w:rsidRPr="00441046" w:rsidRDefault="00F12826" w:rsidP="008751EC">
            <w:pPr>
              <w:keepNext/>
              <w:keepLines/>
              <w:jc w:val="left"/>
              <w:outlineLvl w:val="0"/>
              <w:rPr>
                <w:rFonts w:asciiTheme="minorHAnsi" w:hAnsiTheme="minorHAnsi"/>
                <w:sz w:val="16"/>
                <w:szCs w:val="16"/>
                <w:highlight w:val="cyan"/>
              </w:rPr>
            </w:pPr>
            <w:r w:rsidRPr="00F12826">
              <w:rPr>
                <w:rFonts w:asciiTheme="minorHAnsi" w:hAnsiTheme="minorHAnsi"/>
                <w:sz w:val="16"/>
                <w:szCs w:val="16"/>
              </w:rPr>
              <w:t>Zpracován návrh. Původní plán prodloužen do 1.7. 2014.</w:t>
            </w:r>
          </w:p>
        </w:tc>
        <w:tc>
          <w:tcPr>
            <w:tcW w:w="1134" w:type="dxa"/>
            <w:shd w:val="clear" w:color="auto" w:fill="FFFFFF" w:themeFill="background1"/>
            <w:vAlign w:val="center"/>
          </w:tcPr>
          <w:p w:rsidR="008751EC" w:rsidRPr="00441046" w:rsidRDefault="00F12826" w:rsidP="008751EC">
            <w:pPr>
              <w:keepNext/>
              <w:keepLines/>
              <w:jc w:val="left"/>
              <w:outlineLvl w:val="0"/>
              <w:rPr>
                <w:rFonts w:asciiTheme="minorHAnsi" w:hAnsiTheme="minorHAnsi"/>
                <w:sz w:val="16"/>
                <w:szCs w:val="16"/>
                <w:highlight w:val="cyan"/>
              </w:rPr>
            </w:pPr>
            <w:r w:rsidRPr="00F12826">
              <w:rPr>
                <w:rFonts w:asciiTheme="minorHAnsi" w:hAnsiTheme="minorHAnsi"/>
                <w:sz w:val="16"/>
                <w:szCs w:val="16"/>
              </w:rPr>
              <w:t>Předložení vládě 6/2013.</w:t>
            </w:r>
          </w:p>
        </w:tc>
      </w:tr>
      <w:tr w:rsidR="008751EC" w:rsidRPr="00280437" w:rsidTr="008751EC">
        <w:trPr>
          <w:trHeight w:val="339"/>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Nepřijetí Programu předcházení vzniku odpadů.</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 a nemožnost aktuálně vyhodnotit obsah strategie.</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MŽP</w:t>
            </w:r>
          </w:p>
        </w:tc>
        <w:tc>
          <w:tcPr>
            <w:tcW w:w="851" w:type="dxa"/>
            <w:shd w:val="clear" w:color="auto" w:fill="DBE5F1" w:themeFill="accent1" w:themeFillTint="33"/>
            <w:vAlign w:val="center"/>
          </w:tcPr>
          <w:p w:rsidR="008751EC" w:rsidRPr="006071C6" w:rsidRDefault="008751EC" w:rsidP="008751EC">
            <w:pPr>
              <w:keepNext/>
              <w:keepLines/>
              <w:spacing w:before="60" w:line="240" w:lineRule="auto"/>
              <w:jc w:val="left"/>
              <w:outlineLvl w:val="0"/>
              <w:rPr>
                <w:rFonts w:asciiTheme="minorHAnsi" w:hAnsiTheme="minorHAnsi"/>
                <w:bCs/>
                <w:color w:val="4F81BD" w:themeColor="accent1"/>
                <w:sz w:val="16"/>
                <w:szCs w:val="16"/>
              </w:rPr>
            </w:pPr>
            <w:r>
              <w:rPr>
                <w:rFonts w:asciiTheme="minorHAnsi" w:hAnsiTheme="minorHAnsi"/>
                <w:bCs/>
                <w:color w:val="4F81BD" w:themeColor="accent1"/>
                <w:sz w:val="16"/>
                <w:szCs w:val="16"/>
              </w:rPr>
              <w:t>OP ŽP</w:t>
            </w:r>
          </w:p>
        </w:tc>
        <w:tc>
          <w:tcPr>
            <w:tcW w:w="2976" w:type="dxa"/>
            <w:shd w:val="clear" w:color="auto" w:fill="FFFFFF" w:themeFill="background1"/>
            <w:vAlign w:val="center"/>
          </w:tcPr>
          <w:p w:rsidR="008751EC" w:rsidRPr="00441046" w:rsidRDefault="00F12826" w:rsidP="008751EC">
            <w:pPr>
              <w:keepNext/>
              <w:keepLines/>
              <w:spacing w:line="240" w:lineRule="auto"/>
              <w:jc w:val="left"/>
              <w:outlineLvl w:val="0"/>
              <w:rPr>
                <w:rFonts w:asciiTheme="minorHAnsi" w:hAnsiTheme="minorHAnsi"/>
                <w:sz w:val="16"/>
                <w:szCs w:val="16"/>
                <w:highlight w:val="cyan"/>
              </w:rPr>
            </w:pPr>
            <w:r w:rsidRPr="00F12826">
              <w:rPr>
                <w:rFonts w:asciiTheme="minorHAnsi" w:hAnsiTheme="minorHAnsi"/>
                <w:sz w:val="16"/>
                <w:szCs w:val="16"/>
              </w:rPr>
              <w:t>V současné době probíhá zpracování.</w:t>
            </w:r>
          </w:p>
        </w:tc>
        <w:tc>
          <w:tcPr>
            <w:tcW w:w="1134" w:type="dxa"/>
            <w:shd w:val="clear" w:color="auto" w:fill="FFFFFF" w:themeFill="background1"/>
            <w:vAlign w:val="center"/>
          </w:tcPr>
          <w:p w:rsidR="008751EC" w:rsidRPr="00441046" w:rsidRDefault="00F12826" w:rsidP="008751EC">
            <w:pPr>
              <w:keepNext/>
              <w:keepLines/>
              <w:spacing w:line="240" w:lineRule="auto"/>
              <w:jc w:val="left"/>
              <w:outlineLvl w:val="0"/>
              <w:rPr>
                <w:rFonts w:asciiTheme="minorHAnsi" w:hAnsiTheme="minorHAnsi"/>
                <w:sz w:val="16"/>
                <w:szCs w:val="16"/>
                <w:highlight w:val="cyan"/>
              </w:rPr>
            </w:pPr>
            <w:r w:rsidRPr="00F12826">
              <w:rPr>
                <w:rFonts w:asciiTheme="minorHAnsi" w:hAnsiTheme="minorHAnsi"/>
                <w:sz w:val="16"/>
                <w:szCs w:val="16"/>
              </w:rPr>
              <w:t>Předložení vládě 12/2013.</w:t>
            </w:r>
          </w:p>
        </w:tc>
      </w:tr>
      <w:tr w:rsidR="008751EC" w:rsidRPr="00280437" w:rsidTr="008751EC">
        <w:trPr>
          <w:trHeight w:val="502"/>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Realizace opatření v souladu se směrnicí 2008/98/ES.</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 a nemožnost aktuálně vyhodnotit obsah.</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MŽP</w:t>
            </w:r>
          </w:p>
        </w:tc>
        <w:tc>
          <w:tcPr>
            <w:tcW w:w="851" w:type="dxa"/>
            <w:shd w:val="clear" w:color="auto" w:fill="DBE5F1" w:themeFill="accent1" w:themeFillTint="33"/>
            <w:vAlign w:val="center"/>
          </w:tcPr>
          <w:p w:rsidR="008751EC" w:rsidRPr="006071C6" w:rsidRDefault="008751EC" w:rsidP="008751EC">
            <w:pPr>
              <w:keepNext/>
              <w:keepLines/>
              <w:spacing w:before="60" w:line="240" w:lineRule="auto"/>
              <w:jc w:val="left"/>
              <w:outlineLvl w:val="0"/>
              <w:rPr>
                <w:rFonts w:asciiTheme="minorHAnsi" w:hAnsiTheme="minorHAnsi"/>
                <w:bCs/>
                <w:color w:val="4F81BD" w:themeColor="accent1"/>
                <w:sz w:val="16"/>
                <w:szCs w:val="16"/>
              </w:rPr>
            </w:pPr>
            <w:r>
              <w:rPr>
                <w:rFonts w:asciiTheme="minorHAnsi" w:hAnsiTheme="minorHAnsi"/>
                <w:bCs/>
                <w:color w:val="4F81BD" w:themeColor="accent1"/>
                <w:sz w:val="16"/>
                <w:szCs w:val="16"/>
              </w:rPr>
              <w:t>OP ŽP</w:t>
            </w:r>
          </w:p>
        </w:tc>
        <w:tc>
          <w:tcPr>
            <w:tcW w:w="2976" w:type="dxa"/>
            <w:shd w:val="clear" w:color="auto" w:fill="FFFFFF" w:themeFill="background1"/>
            <w:vAlign w:val="center"/>
          </w:tcPr>
          <w:p w:rsidR="008751EC" w:rsidRPr="00441046" w:rsidRDefault="008751EC" w:rsidP="008751EC">
            <w:pPr>
              <w:keepNext/>
              <w:keepLines/>
              <w:spacing w:line="240" w:lineRule="auto"/>
              <w:jc w:val="left"/>
              <w:outlineLvl w:val="0"/>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8751EC" w:rsidP="008751EC">
            <w:pPr>
              <w:keepNext/>
              <w:keepLines/>
              <w:spacing w:line="240" w:lineRule="auto"/>
              <w:jc w:val="left"/>
              <w:outlineLvl w:val="0"/>
              <w:rPr>
                <w:rFonts w:asciiTheme="minorHAnsi" w:hAnsiTheme="minorHAnsi"/>
                <w:sz w:val="16"/>
                <w:szCs w:val="16"/>
                <w:highlight w:val="cyan"/>
              </w:rPr>
            </w:pPr>
          </w:p>
        </w:tc>
      </w:tr>
      <w:tr w:rsidR="008751EC" w:rsidRPr="00280437" w:rsidTr="008751EC">
        <w:trPr>
          <w:trHeight w:val="666"/>
        </w:trPr>
        <w:tc>
          <w:tcPr>
            <w:tcW w:w="851" w:type="dxa"/>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 xml:space="preserve">8.1. Aktivní politiky trhu práce </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-Naplnění původních předpokladů reformy služeb zaměstanosti.</w:t>
            </w:r>
          </w:p>
          <w:p w:rsidR="008751EC" w:rsidRPr="006071C6" w:rsidRDefault="008751EC" w:rsidP="008751EC">
            <w:pPr>
              <w:spacing w:line="240" w:lineRule="auto"/>
              <w:jc w:val="left"/>
              <w:rPr>
                <w:rFonts w:asciiTheme="minorHAnsi" w:hAnsiTheme="minorHAnsi"/>
                <w:sz w:val="16"/>
                <w:szCs w:val="16"/>
                <w:highlight w:val="yellow"/>
              </w:rPr>
            </w:pPr>
            <w:r w:rsidRPr="006071C6">
              <w:rPr>
                <w:rFonts w:asciiTheme="minorHAnsi" w:hAnsiTheme="minorHAnsi"/>
                <w:sz w:val="16"/>
                <w:szCs w:val="16"/>
              </w:rPr>
              <w:t>- Časové hledisko schválení strategie politiky zaměstnanosti, má být zpracována až konce roku 2013..</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 a nemožnost aktuálně vyhodnotit obsah strategie.</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Vzhledem k vyjádření EK, že nemůže hodnotit plnění PP na základě neexistujících/neschválených materiálů, existuje riziko nespuštění plateb ze strany EK.  Z hlediska NOK je tedy třeba tuto PP považovat za nesplněnou.</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highlight w:val="yellow"/>
              </w:rPr>
            </w:pPr>
            <w:r w:rsidRPr="006071C6">
              <w:rPr>
                <w:rFonts w:asciiTheme="minorHAnsi" w:hAnsiTheme="minorHAnsi"/>
                <w:sz w:val="16"/>
                <w:szCs w:val="16"/>
              </w:rPr>
              <w:t>MPSV</w:t>
            </w:r>
          </w:p>
        </w:tc>
        <w:tc>
          <w:tcPr>
            <w:tcW w:w="851" w:type="dxa"/>
            <w:shd w:val="clear" w:color="auto" w:fill="DBE5F1" w:themeFill="accent1" w:themeFillTint="33"/>
            <w:vAlign w:val="center"/>
          </w:tcPr>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OPZ</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c>
          <w:tcPr>
            <w:tcW w:w="1134"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Schválení pravděpodobně v průběhu 2014.</w:t>
            </w:r>
          </w:p>
        </w:tc>
      </w:tr>
      <w:tr w:rsidR="008751EC" w:rsidRPr="00280437" w:rsidTr="008751EC">
        <w:trPr>
          <w:trHeight w:val="1106"/>
        </w:trPr>
        <w:tc>
          <w:tcPr>
            <w:tcW w:w="851" w:type="dxa"/>
            <w:vMerge w:val="restart"/>
            <w:shd w:val="clear" w:color="auto" w:fill="DBE5F1" w:themeFill="accent1" w:themeFillTint="33"/>
            <w:vAlign w:val="center"/>
            <w:hideMark/>
          </w:tcPr>
          <w:p w:rsidR="008751EC"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8.2. S</w:t>
            </w:r>
            <w:r>
              <w:rPr>
                <w:rFonts w:asciiTheme="minorHAnsi" w:hAnsiTheme="minorHAnsi"/>
                <w:b/>
                <w:bCs/>
                <w:sz w:val="16"/>
                <w:szCs w:val="16"/>
              </w:rPr>
              <w:t>VČ</w:t>
            </w:r>
            <w:r w:rsidRPr="00280437">
              <w:rPr>
                <w:rFonts w:asciiTheme="minorHAnsi" w:hAnsiTheme="minorHAnsi"/>
                <w:b/>
                <w:bCs/>
                <w:sz w:val="16"/>
                <w:szCs w:val="16"/>
              </w:rPr>
              <w:t>, podnikání a zakládání firem</w:t>
            </w:r>
          </w:p>
          <w:p w:rsidR="008751EC" w:rsidRDefault="008751EC" w:rsidP="008751EC">
            <w:pPr>
              <w:spacing w:line="240" w:lineRule="auto"/>
              <w:rPr>
                <w:rFonts w:asciiTheme="minorHAnsi" w:hAnsiTheme="minorHAnsi"/>
                <w:b/>
                <w:bCs/>
                <w:sz w:val="16"/>
                <w:szCs w:val="16"/>
              </w:rPr>
            </w:pPr>
          </w:p>
          <w:p w:rsidR="008751EC" w:rsidRPr="00280437" w:rsidRDefault="008751EC" w:rsidP="008751EC">
            <w:pPr>
              <w:spacing w:line="240" w:lineRule="auto"/>
              <w:rPr>
                <w:rFonts w:asciiTheme="minorHAnsi" w:hAnsiTheme="minorHAnsi"/>
                <w:b/>
                <w:bCs/>
                <w:sz w:val="16"/>
                <w:szCs w:val="16"/>
              </w:rPr>
            </w:pPr>
            <w:r>
              <w:rPr>
                <w:rFonts w:asciiTheme="minorHAnsi" w:hAnsiTheme="minorHAnsi"/>
                <w:b/>
                <w:bCs/>
                <w:sz w:val="16"/>
                <w:szCs w:val="16"/>
              </w:rPr>
              <w:t>EZFRV 6.2</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Časové hledisko schválení strategie politiky zaměstnanosti, má být zpracována až konce roku 2013)</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 a nemožnost aktuálně vyhodnotit obsah strategie.</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Vzhledem k vyjádření EK, že nemůže hodnotit plnění PP na základě neexistujících/neschválených materiálů, existuje riziko nespuštění plateb ze strany EK. Z hlediska NOK je tedy třeba tuto PP považovat za nesplněnou.</w:t>
            </w:r>
          </w:p>
        </w:tc>
        <w:tc>
          <w:tcPr>
            <w:tcW w:w="709" w:type="dxa"/>
            <w:shd w:val="clear" w:color="auto" w:fill="DBE5F1" w:themeFill="accent1" w:themeFillTint="33"/>
            <w:vAlign w:val="center"/>
          </w:tcPr>
          <w:p w:rsidR="008751EC" w:rsidRDefault="008751EC" w:rsidP="008751EC">
            <w:pPr>
              <w:spacing w:before="80" w:line="240" w:lineRule="auto"/>
              <w:jc w:val="left"/>
              <w:rPr>
                <w:rFonts w:asciiTheme="minorHAnsi" w:hAnsiTheme="minorHAnsi"/>
                <w:sz w:val="16"/>
                <w:szCs w:val="16"/>
              </w:rPr>
            </w:pPr>
            <w:r>
              <w:rPr>
                <w:rFonts w:asciiTheme="minorHAnsi" w:hAnsiTheme="minorHAnsi"/>
                <w:sz w:val="16"/>
                <w:szCs w:val="16"/>
              </w:rPr>
              <w:t>MPO</w:t>
            </w:r>
          </w:p>
          <w:p w:rsidR="008751EC" w:rsidRDefault="008751EC" w:rsidP="008751EC">
            <w:pPr>
              <w:spacing w:before="80" w:line="240" w:lineRule="auto"/>
              <w:jc w:val="left"/>
              <w:rPr>
                <w:rFonts w:asciiTheme="minorHAnsi" w:hAnsiTheme="minorHAnsi"/>
                <w:sz w:val="16"/>
                <w:szCs w:val="16"/>
              </w:rPr>
            </w:pPr>
            <w:r>
              <w:rPr>
                <w:rFonts w:asciiTheme="minorHAnsi" w:hAnsiTheme="minorHAnsi"/>
                <w:sz w:val="16"/>
                <w:szCs w:val="16"/>
              </w:rPr>
              <w:t>MPSV</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MSp</w:t>
            </w:r>
          </w:p>
        </w:tc>
        <w:tc>
          <w:tcPr>
            <w:tcW w:w="851" w:type="dxa"/>
            <w:shd w:val="clear" w:color="auto" w:fill="DBE5F1" w:themeFill="accent1" w:themeFillTint="33"/>
            <w:vAlign w:val="center"/>
          </w:tcPr>
          <w:p w:rsidR="008751EC" w:rsidRDefault="000014E6"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OP PIK,</w:t>
            </w:r>
            <w:r w:rsidR="008751EC">
              <w:rPr>
                <w:rFonts w:asciiTheme="minorHAnsi" w:hAnsiTheme="minorHAnsi"/>
                <w:bCs/>
                <w:color w:val="4F81BD" w:themeColor="accent1"/>
                <w:sz w:val="16"/>
                <w:szCs w:val="16"/>
              </w:rPr>
              <w:t>OPZ,</w:t>
            </w:r>
          </w:p>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I</w:t>
            </w:r>
            <w:r w:rsidRPr="006071C6">
              <w:rPr>
                <w:rFonts w:asciiTheme="minorHAnsi" w:hAnsiTheme="minorHAnsi"/>
                <w:bCs/>
                <w:color w:val="4F81BD" w:themeColor="accent1"/>
                <w:sz w:val="16"/>
                <w:szCs w:val="16"/>
              </w:rPr>
              <w:t>ROP</w:t>
            </w:r>
          </w:p>
          <w:p w:rsidR="008751EC" w:rsidRPr="002F4715" w:rsidRDefault="00F12826" w:rsidP="008751EC">
            <w:pPr>
              <w:spacing w:before="60" w:line="240" w:lineRule="auto"/>
              <w:jc w:val="left"/>
              <w:rPr>
                <w:rFonts w:asciiTheme="minorHAnsi" w:hAnsiTheme="minorHAnsi"/>
                <w:bCs/>
                <w:strike/>
                <w:color w:val="4F81BD" w:themeColor="accent1"/>
                <w:sz w:val="16"/>
                <w:szCs w:val="16"/>
              </w:rPr>
            </w:pPr>
            <w:r w:rsidRPr="00F12826">
              <w:rPr>
                <w:rFonts w:asciiTheme="minorHAnsi" w:hAnsiTheme="minorHAnsi"/>
                <w:bCs/>
                <w:strike/>
                <w:color w:val="4F81BD" w:themeColor="accent1"/>
                <w:sz w:val="16"/>
                <w:szCs w:val="16"/>
              </w:rPr>
              <w:t>PRV</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c>
          <w:tcPr>
            <w:tcW w:w="1134"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Schválení pravděpodobně až v průběhu 2014.</w:t>
            </w:r>
          </w:p>
        </w:tc>
      </w:tr>
      <w:tr w:rsidR="008751EC" w:rsidRPr="00280437" w:rsidTr="008751EC">
        <w:trPr>
          <w:trHeight w:val="465"/>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Totožný požadavek jako bod 3.1.</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b/>
                <w:bCs/>
                <w:color w:val="4F81BD" w:themeColor="accent1"/>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b/>
                <w:bCs/>
                <w:color w:val="4F81BD" w:themeColor="accent1"/>
                <w:sz w:val="16"/>
                <w:szCs w:val="16"/>
              </w:rPr>
            </w:pPr>
          </w:p>
        </w:tc>
        <w:tc>
          <w:tcPr>
            <w:tcW w:w="709" w:type="dxa"/>
            <w:shd w:val="clear" w:color="auto" w:fill="DBE5F1" w:themeFill="accent1" w:themeFillTint="33"/>
            <w:vAlign w:val="center"/>
          </w:tcPr>
          <w:p w:rsidR="008751EC"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MPO</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MSp</w:t>
            </w:r>
          </w:p>
        </w:tc>
        <w:tc>
          <w:tcPr>
            <w:tcW w:w="851" w:type="dxa"/>
            <w:shd w:val="clear" w:color="auto" w:fill="DBE5F1" w:themeFill="accent1" w:themeFillTint="33"/>
            <w:vAlign w:val="center"/>
          </w:tcPr>
          <w:p w:rsidR="008751EC" w:rsidRDefault="000014E6"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 xml:space="preserve">OP PIK, </w:t>
            </w:r>
            <w:r w:rsidR="008751EC">
              <w:rPr>
                <w:rFonts w:asciiTheme="minorHAnsi" w:hAnsiTheme="minorHAnsi"/>
                <w:bCs/>
                <w:color w:val="4F81BD" w:themeColor="accent1"/>
                <w:sz w:val="16"/>
                <w:szCs w:val="16"/>
              </w:rPr>
              <w:t>OPZ</w:t>
            </w:r>
          </w:p>
          <w:p w:rsidR="008751EC"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p>
          <w:p w:rsidR="008751EC" w:rsidRPr="002F4715" w:rsidRDefault="00F12826" w:rsidP="008751EC">
            <w:pPr>
              <w:spacing w:before="60" w:line="240" w:lineRule="auto"/>
              <w:jc w:val="left"/>
              <w:rPr>
                <w:rFonts w:asciiTheme="minorHAnsi" w:hAnsiTheme="minorHAnsi"/>
                <w:bCs/>
                <w:strike/>
                <w:color w:val="4F81BD" w:themeColor="accent1"/>
                <w:sz w:val="16"/>
                <w:szCs w:val="16"/>
              </w:rPr>
            </w:pPr>
            <w:r w:rsidRPr="00F12826">
              <w:rPr>
                <w:rFonts w:asciiTheme="minorHAnsi" w:hAnsiTheme="minorHAnsi"/>
                <w:bCs/>
                <w:strike/>
                <w:color w:val="4F81BD" w:themeColor="accent1"/>
                <w:sz w:val="16"/>
                <w:szCs w:val="16"/>
              </w:rPr>
              <w:t>PRV</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r>
      <w:tr w:rsidR="008751EC" w:rsidRPr="00280437" w:rsidTr="008751EC">
        <w:trPr>
          <w:trHeight w:val="720"/>
        </w:trPr>
        <w:tc>
          <w:tcPr>
            <w:tcW w:w="851" w:type="dxa"/>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 xml:space="preserve">8.3. Instituce trhu práce </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Naplnění původních předpokladů reformy služeb zaměstnanosti.</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MPSV</w:t>
            </w:r>
          </w:p>
        </w:tc>
        <w:tc>
          <w:tcPr>
            <w:tcW w:w="851" w:type="dxa"/>
            <w:shd w:val="clear" w:color="auto" w:fill="DBE5F1" w:themeFill="accent1" w:themeFillTint="33"/>
            <w:vAlign w:val="center"/>
          </w:tcPr>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OPZ</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c>
          <w:tcPr>
            <w:tcW w:w="1134"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 xml:space="preserve">V průběhu 2014. </w:t>
            </w:r>
          </w:p>
        </w:tc>
      </w:tr>
      <w:tr w:rsidR="008751EC" w:rsidRPr="00280437" w:rsidTr="008751EC">
        <w:trPr>
          <w:trHeight w:val="1087"/>
        </w:trPr>
        <w:tc>
          <w:tcPr>
            <w:tcW w:w="851" w:type="dxa"/>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 xml:space="preserve">8.5. Pomoc pracovníkům, podnikům a podnikatelům </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Zpoždění u projektů, které řeší předvídání pracovních příležitostí:Projekt „Předvídání kvalifikačních potřeb na trhu práce“ Projekt „Rozvoj a implementace Národní soustavy povolání (NSP III) - dokončení a aktualizace NSP, kompletace popisů povolání.</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Vzhledem k vyjádření EK, že nemůže hodnotit plnění PP na základě neexistujících/neschválených materiálů, existuje riziko nespuštění plateb ze strany EK. Z hlediska NOK je tedy třeba tuto PP považovat za nesplněnou.</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MPSV</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OPZ</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c>
          <w:tcPr>
            <w:tcW w:w="1134"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V průběhu roku 2013 a 2014</w:t>
            </w:r>
          </w:p>
        </w:tc>
      </w:tr>
      <w:tr w:rsidR="008751EC" w:rsidRPr="00280437" w:rsidTr="008751EC">
        <w:trPr>
          <w:trHeight w:val="420"/>
        </w:trPr>
        <w:tc>
          <w:tcPr>
            <w:tcW w:w="851" w:type="dxa"/>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9.1. Předčasné ukončování školní docházky</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Není vytvořena aktualizace Dlouhodobého záměru vzdělávání a Strategie rozvoje vzdělávání do roku 2020.</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 a nemožnost vyhodnotit relevanci obsahu neexistujících materiálů.</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 xml:space="preserve">Vzhledem k vyjádření EK, že nemůže hodnotit plnění PP na základě neexistujících/neschválených materiálů, </w:t>
            </w: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existuje riziko nespuštění plateb ze strany EK. Z hlediska NOK je tedy třeba tuto PP považovat za nesplněnou.</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MŠMT</w:t>
            </w:r>
          </w:p>
        </w:tc>
        <w:tc>
          <w:tcPr>
            <w:tcW w:w="851" w:type="dxa"/>
            <w:shd w:val="clear" w:color="auto" w:fill="DBE5F1" w:themeFill="accent1" w:themeFillTint="33"/>
            <w:vAlign w:val="center"/>
          </w:tcPr>
          <w:p w:rsidR="008751EC"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w:t>
            </w:r>
            <w:r>
              <w:rPr>
                <w:rFonts w:asciiTheme="minorHAnsi" w:hAnsiTheme="minorHAnsi"/>
                <w:bCs/>
                <w:color w:val="4F81BD" w:themeColor="accent1"/>
                <w:sz w:val="16"/>
                <w:szCs w:val="16"/>
              </w:rPr>
              <w:t>ROP</w:t>
            </w:r>
          </w:p>
          <w:p w:rsidR="008751EC"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PPR</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VVV</w:t>
            </w:r>
          </w:p>
        </w:tc>
        <w:tc>
          <w:tcPr>
            <w:tcW w:w="2976" w:type="dxa"/>
            <w:shd w:val="clear" w:color="auto" w:fill="FFFFFF" w:themeFill="background1"/>
            <w:vAlign w:val="center"/>
          </w:tcPr>
          <w:p w:rsidR="008751EC" w:rsidRPr="001359A8" w:rsidRDefault="00F12826" w:rsidP="008751EC">
            <w:pPr>
              <w:spacing w:line="240" w:lineRule="auto"/>
              <w:jc w:val="left"/>
              <w:rPr>
                <w:rFonts w:asciiTheme="minorHAnsi" w:hAnsiTheme="minorHAnsi"/>
                <w:sz w:val="16"/>
                <w:szCs w:val="16"/>
              </w:rPr>
            </w:pPr>
            <w:r w:rsidRPr="00F12826">
              <w:rPr>
                <w:rFonts w:asciiTheme="minorHAnsi" w:hAnsiTheme="minorHAnsi"/>
                <w:sz w:val="16"/>
                <w:szCs w:val="16"/>
              </w:rPr>
              <w:t>Aktualizace Dlouhodobého záměru vzdělávání.</w:t>
            </w:r>
          </w:p>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Přijetí a Implementace Strategie vzdělávání 2020</w:t>
            </w: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374"/>
        </w:trPr>
        <w:tc>
          <w:tcPr>
            <w:tcW w:w="851" w:type="dxa"/>
            <w:vMerge w:val="restart"/>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9.2. Vysokoškolské vzdělání</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highlight w:val="yellow"/>
              </w:rPr>
            </w:pPr>
            <w:r w:rsidRPr="006071C6">
              <w:rPr>
                <w:rFonts w:asciiTheme="minorHAnsi" w:hAnsiTheme="minorHAnsi"/>
                <w:sz w:val="16"/>
                <w:szCs w:val="16"/>
              </w:rPr>
              <w:t>Nutnost schválení relevantní novely zákona o VŠ. Není vytvořena aktualizace Dlouhodobého záměru vzdělávání a Strategie rozvoje vzdělávání do roku 2020.</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 a nemožnost vyhodnotit relevanci obsahu neexistujících příp. neschválených materiálů a legislativy.</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Vzhledem k vyjádření EK, že nemůže hodnotit plnění PP na základě neexistujících/neschválených materiálů, existuje riziko nespuštění plateb ze strany EK. Z hlediska NOK je tedy třeba tuto PP považovat za nesplněnou.</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MŠMT</w:t>
            </w:r>
          </w:p>
        </w:tc>
        <w:tc>
          <w:tcPr>
            <w:tcW w:w="851" w:type="dxa"/>
            <w:shd w:val="clear" w:color="auto" w:fill="DBE5F1" w:themeFill="accent1" w:themeFillTint="33"/>
            <w:vAlign w:val="center"/>
          </w:tcPr>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IROP</w:t>
            </w:r>
          </w:p>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OP PPR</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VVV</w:t>
            </w:r>
          </w:p>
        </w:tc>
        <w:tc>
          <w:tcPr>
            <w:tcW w:w="2976" w:type="dxa"/>
            <w:shd w:val="clear" w:color="auto" w:fill="FFFFFF" w:themeFill="background1"/>
            <w:vAlign w:val="center"/>
          </w:tcPr>
          <w:p w:rsidR="008751EC" w:rsidRPr="001359A8" w:rsidRDefault="00F12826" w:rsidP="008751EC">
            <w:pPr>
              <w:spacing w:line="240" w:lineRule="auto"/>
              <w:jc w:val="left"/>
              <w:rPr>
                <w:rFonts w:asciiTheme="minorHAnsi" w:hAnsiTheme="minorHAnsi"/>
                <w:sz w:val="16"/>
                <w:szCs w:val="16"/>
              </w:rPr>
            </w:pPr>
            <w:r w:rsidRPr="00F12826">
              <w:rPr>
                <w:rFonts w:asciiTheme="minorHAnsi" w:hAnsiTheme="minorHAnsi"/>
                <w:sz w:val="16"/>
                <w:szCs w:val="16"/>
              </w:rPr>
              <w:t>Zákon o VŠ v současné době v MPŘ.</w:t>
            </w:r>
          </w:p>
          <w:p w:rsidR="008751EC" w:rsidRPr="001359A8" w:rsidRDefault="00F12826" w:rsidP="008751EC">
            <w:pPr>
              <w:spacing w:line="240" w:lineRule="auto"/>
              <w:jc w:val="left"/>
              <w:rPr>
                <w:rFonts w:asciiTheme="minorHAnsi" w:hAnsiTheme="minorHAnsi"/>
                <w:sz w:val="16"/>
                <w:szCs w:val="16"/>
              </w:rPr>
            </w:pPr>
            <w:r w:rsidRPr="00F12826">
              <w:rPr>
                <w:rFonts w:asciiTheme="minorHAnsi" w:hAnsiTheme="minorHAnsi"/>
                <w:sz w:val="16"/>
                <w:szCs w:val="16"/>
              </w:rPr>
              <w:t>Aktualizace Dlouhodobého záměru vzdělávání.</w:t>
            </w:r>
          </w:p>
          <w:p w:rsidR="008751EC" w:rsidRPr="001359A8" w:rsidRDefault="00F12826" w:rsidP="008751EC">
            <w:pPr>
              <w:spacing w:line="240" w:lineRule="auto"/>
              <w:jc w:val="left"/>
              <w:rPr>
                <w:rFonts w:asciiTheme="minorHAnsi" w:hAnsiTheme="minorHAnsi"/>
                <w:sz w:val="16"/>
                <w:szCs w:val="16"/>
              </w:rPr>
            </w:pPr>
            <w:r w:rsidRPr="00F12826">
              <w:rPr>
                <w:rFonts w:asciiTheme="minorHAnsi" w:hAnsiTheme="minorHAnsi"/>
                <w:sz w:val="16"/>
                <w:szCs w:val="16"/>
              </w:rPr>
              <w:t>Přijetí a Implementace Strategie vzdělávání 2020.</w:t>
            </w:r>
          </w:p>
          <w:p w:rsidR="008751EC" w:rsidRPr="00441046" w:rsidRDefault="008751EC" w:rsidP="008751EC">
            <w:pPr>
              <w:spacing w:line="240" w:lineRule="auto"/>
              <w:jc w:val="left"/>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337"/>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highlight w:val="yellow"/>
              </w:rPr>
            </w:pPr>
            <w:r w:rsidRPr="006071C6">
              <w:rPr>
                <w:rFonts w:asciiTheme="minorHAnsi" w:hAnsiTheme="minorHAnsi"/>
                <w:sz w:val="16"/>
                <w:szCs w:val="16"/>
              </w:rPr>
              <w:t>Neexistence zákona o finanční pomoci studentům.</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Nesplnění požadavků PP z hlediska legislativního a časového. Nepřijetí relevantních opatření k zajištění finanční pomoci studentům.</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highlight w:val="green"/>
              </w:rPr>
            </w:pPr>
            <w:r w:rsidRPr="006071C6">
              <w:rPr>
                <w:rFonts w:asciiTheme="minorHAnsi" w:hAnsiTheme="minorHAnsi"/>
                <w:sz w:val="16"/>
                <w:szCs w:val="16"/>
              </w:rPr>
              <w:t>V současné době tento zákon není připravován, existuje reálné riziko nesplnění PP.</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MŠMT</w:t>
            </w:r>
          </w:p>
        </w:tc>
        <w:tc>
          <w:tcPr>
            <w:tcW w:w="851" w:type="dxa"/>
            <w:shd w:val="clear" w:color="auto" w:fill="DBE5F1" w:themeFill="accent1" w:themeFillTint="33"/>
            <w:vAlign w:val="center"/>
          </w:tcPr>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IROP</w:t>
            </w:r>
          </w:p>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OP PPR</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VVV</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lang w:val="en-US"/>
              </w:rPr>
            </w:pPr>
          </w:p>
        </w:tc>
      </w:tr>
      <w:tr w:rsidR="008751EC" w:rsidRPr="00280437" w:rsidTr="008751EC">
        <w:trPr>
          <w:trHeight w:val="511"/>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Novelizace zák. č. 179/2006 Sb., a vyhl. č. 208/2007 Sb.</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Časové hledisko</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highlight w:val="green"/>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MŠMT</w:t>
            </w:r>
          </w:p>
        </w:tc>
        <w:tc>
          <w:tcPr>
            <w:tcW w:w="851" w:type="dxa"/>
            <w:shd w:val="clear" w:color="auto" w:fill="DBE5F1" w:themeFill="accent1" w:themeFillTint="33"/>
            <w:vAlign w:val="center"/>
          </w:tcPr>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IROP</w:t>
            </w:r>
          </w:p>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OP PPR</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VVV</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1025"/>
        </w:trPr>
        <w:tc>
          <w:tcPr>
            <w:tcW w:w="851" w:type="dxa"/>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9.3. Celoživotní učení</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highlight w:val="green"/>
              </w:rPr>
            </w:pPr>
            <w:r w:rsidRPr="006071C6">
              <w:rPr>
                <w:rFonts w:asciiTheme="minorHAnsi" w:hAnsiTheme="minorHAnsi"/>
                <w:sz w:val="16"/>
                <w:szCs w:val="16"/>
              </w:rPr>
              <w:t>Identifikace legislativních bariér ze strany MPSV – není jasné, které má MPSV na mysli.</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b/>
                <w:bCs/>
                <w:color w:val="4F81BD" w:themeColor="accent1"/>
                <w:sz w:val="16"/>
                <w:szCs w:val="16"/>
              </w:rPr>
            </w:pPr>
          </w:p>
        </w:tc>
        <w:tc>
          <w:tcPr>
            <w:tcW w:w="3543" w:type="dxa"/>
            <w:shd w:val="clear" w:color="auto" w:fill="DBE5F1" w:themeFill="accent1" w:themeFillTint="33"/>
            <w:vAlign w:val="center"/>
          </w:tcPr>
          <w:p w:rsidR="008751EC" w:rsidRPr="006071C6" w:rsidRDefault="008751EC" w:rsidP="008751EC">
            <w:pPr>
              <w:keepNext/>
              <w:keepLines/>
              <w:spacing w:before="480" w:line="240" w:lineRule="auto"/>
              <w:jc w:val="left"/>
              <w:outlineLvl w:val="0"/>
              <w:rPr>
                <w:rFonts w:asciiTheme="minorHAnsi" w:hAnsiTheme="minorHAnsi"/>
                <w:sz w:val="16"/>
                <w:szCs w:val="16"/>
                <w:highlight w:val="green"/>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MPSV</w:t>
            </w:r>
          </w:p>
          <w:p w:rsidR="008751EC" w:rsidRPr="006071C6" w:rsidRDefault="008751EC" w:rsidP="008751EC">
            <w:pPr>
              <w:spacing w:before="80" w:line="240" w:lineRule="auto"/>
              <w:jc w:val="left"/>
              <w:rPr>
                <w:rFonts w:asciiTheme="minorHAnsi" w:hAnsiTheme="minorHAnsi"/>
                <w:sz w:val="16"/>
                <w:szCs w:val="16"/>
                <w:highlight w:val="green"/>
              </w:rPr>
            </w:pPr>
            <w:r w:rsidRPr="006071C6">
              <w:rPr>
                <w:rFonts w:asciiTheme="minorHAnsi" w:hAnsiTheme="minorHAnsi"/>
                <w:sz w:val="16"/>
                <w:szCs w:val="16"/>
              </w:rPr>
              <w:t>MŠMT</w:t>
            </w:r>
          </w:p>
        </w:tc>
        <w:tc>
          <w:tcPr>
            <w:tcW w:w="851" w:type="dxa"/>
            <w:shd w:val="clear" w:color="auto" w:fill="DBE5F1" w:themeFill="accent1" w:themeFillTint="33"/>
            <w:vAlign w:val="center"/>
          </w:tcPr>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OPZ</w:t>
            </w:r>
          </w:p>
          <w:p w:rsidR="008751EC"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p>
          <w:p w:rsidR="008751EC"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PPR</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VVV</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r>
      <w:tr w:rsidR="008751EC" w:rsidRPr="00280437" w:rsidTr="008751EC">
        <w:trPr>
          <w:trHeight w:val="374"/>
        </w:trPr>
        <w:tc>
          <w:tcPr>
            <w:tcW w:w="851" w:type="dxa"/>
            <w:vMerge w:val="restart"/>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10.1. Snižování chudoby</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Strategie sociálního začleňování 2012-2020 bude zpracována do konce r. 2013 chudoby a sociálního vyloučení v ČR“.</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 a nemožnost vyhodnotit relevanci obsahu neexistujících příp. neschválených materiálů.</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Vzhledem k vyjádření EK, že nemůže hodnotit plnění PP na základě neexistujících/neschválených materiálů, existuje riziko nespuštění plateb ze strany EK. Z hlediska NOK je tedy třeba tuto PP považovat za nesplněnou.</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MPSV</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ÚV (ASZ)</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OPZ</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PPR</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c>
          <w:tcPr>
            <w:tcW w:w="1134" w:type="dxa"/>
            <w:shd w:val="clear" w:color="auto" w:fill="FFFFFF" w:themeFill="background1"/>
            <w:vAlign w:val="center"/>
          </w:tcPr>
          <w:p w:rsidR="008751EC" w:rsidRPr="001359A8" w:rsidRDefault="00F12826" w:rsidP="008751EC">
            <w:pPr>
              <w:spacing w:line="240" w:lineRule="auto"/>
              <w:jc w:val="left"/>
              <w:rPr>
                <w:rFonts w:asciiTheme="minorHAnsi" w:hAnsiTheme="minorHAnsi"/>
                <w:bCs/>
                <w:sz w:val="16"/>
                <w:szCs w:val="16"/>
                <w:highlight w:val="cyan"/>
              </w:rPr>
            </w:pPr>
            <w:r w:rsidRPr="00F12826">
              <w:rPr>
                <w:rFonts w:asciiTheme="minorHAnsi" w:hAnsiTheme="minorHAnsi"/>
                <w:bCs/>
                <w:sz w:val="16"/>
                <w:szCs w:val="16"/>
              </w:rPr>
              <w:t>v průběhu 2014</w:t>
            </w:r>
          </w:p>
        </w:tc>
      </w:tr>
      <w:tr w:rsidR="008751EC" w:rsidRPr="00280437" w:rsidTr="008751EC">
        <w:trPr>
          <w:trHeight w:val="374"/>
        </w:trPr>
        <w:tc>
          <w:tcPr>
            <w:tcW w:w="851" w:type="dxa"/>
            <w:vMerge/>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Strategie boje proti sociálnímu vyloučení na období 2011-2015 s návrhem na opatření do roku 2020 bude předložena až na konci roku 2014.</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 a nemožnost vyhodnotit relevanci obsahu neexistujících příp. neschválených materiálů.</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Vzhledem k vyjádření EK, že nemůže hodnotit plnění PP na základě neexistujících/neschválených materiálů, existuje riziko nespuštění plateb.  Z hlediska NOK je tedy třeba tuto PP považovat za nesplněnou.</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MPSV</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ÚV (ASZ)</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OPZ</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PPR</w:t>
            </w:r>
          </w:p>
        </w:tc>
        <w:tc>
          <w:tcPr>
            <w:tcW w:w="2976" w:type="dxa"/>
            <w:shd w:val="clear" w:color="auto" w:fill="FFFFFF" w:themeFill="background1"/>
            <w:vAlign w:val="center"/>
          </w:tcPr>
          <w:p w:rsidR="008751EC" w:rsidRPr="001359A8" w:rsidRDefault="008751EC" w:rsidP="008751EC">
            <w:pPr>
              <w:spacing w:line="240" w:lineRule="auto"/>
              <w:jc w:val="left"/>
              <w:rPr>
                <w:rFonts w:asciiTheme="minorHAnsi" w:hAnsiTheme="minorHAnsi"/>
                <w:sz w:val="16"/>
                <w:szCs w:val="16"/>
              </w:rPr>
            </w:pPr>
          </w:p>
        </w:tc>
        <w:tc>
          <w:tcPr>
            <w:tcW w:w="1134" w:type="dxa"/>
            <w:shd w:val="clear" w:color="auto" w:fill="FFFFFF" w:themeFill="background1"/>
            <w:vAlign w:val="center"/>
          </w:tcPr>
          <w:p w:rsidR="008751EC" w:rsidRPr="001359A8" w:rsidRDefault="00F12826" w:rsidP="008751EC">
            <w:pPr>
              <w:spacing w:line="240" w:lineRule="auto"/>
              <w:jc w:val="left"/>
              <w:rPr>
                <w:rFonts w:asciiTheme="minorHAnsi" w:hAnsiTheme="minorHAnsi"/>
                <w:sz w:val="16"/>
                <w:szCs w:val="16"/>
              </w:rPr>
            </w:pPr>
            <w:r w:rsidRPr="00F12826">
              <w:rPr>
                <w:rFonts w:asciiTheme="minorHAnsi" w:hAnsiTheme="minorHAnsi"/>
                <w:sz w:val="16"/>
                <w:szCs w:val="16"/>
              </w:rPr>
              <w:t>v průběhu 2015</w:t>
            </w:r>
          </w:p>
        </w:tc>
      </w:tr>
      <w:tr w:rsidR="008751EC" w:rsidRPr="00280437" w:rsidTr="008751EC">
        <w:trPr>
          <w:trHeight w:val="374"/>
        </w:trPr>
        <w:tc>
          <w:tcPr>
            <w:tcW w:w="851" w:type="dxa"/>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 xml:space="preserve">10.2.  </w:t>
            </w:r>
            <w:r>
              <w:rPr>
                <w:rFonts w:asciiTheme="minorHAnsi" w:hAnsiTheme="minorHAnsi"/>
                <w:b/>
                <w:bCs/>
                <w:sz w:val="16"/>
                <w:szCs w:val="16"/>
              </w:rPr>
              <w:t>S</w:t>
            </w:r>
            <w:r w:rsidRPr="00280437">
              <w:rPr>
                <w:rFonts w:asciiTheme="minorHAnsi" w:hAnsiTheme="minorHAnsi"/>
                <w:b/>
                <w:bCs/>
                <w:sz w:val="16"/>
                <w:szCs w:val="16"/>
              </w:rPr>
              <w:t>trategický rámec politiky začleňování Romů</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Koncepce romské integrace na období 2010 – 2013 bude aktualizována až v r. 2014</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 a nemožnost vyhodnotit relevanci obsahu neexistujících příp. neschválených materiálů.</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Vzhledem k vyjádření EK, že nemůže hodnotit plnění PP na základě neexistujících/neschválených materiálů, existuje riziko nespuštění plateb. Z hlediska NOK je tedy třeba tuto PP považovat za nesplněnou.</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MPSV</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ÚV (ASZ)</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OPZ</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PPR</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 xml:space="preserve"> v průběhu r. 2014</w:t>
            </w:r>
          </w:p>
        </w:tc>
      </w:tr>
      <w:tr w:rsidR="008751EC" w:rsidRPr="00280437" w:rsidTr="008751EC">
        <w:trPr>
          <w:trHeight w:val="237"/>
        </w:trPr>
        <w:tc>
          <w:tcPr>
            <w:tcW w:w="851" w:type="dxa"/>
            <w:vMerge w:val="restart"/>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10.3. Zdraví</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Nejasný požadavek EK na pouze rámcové (strategické) vymezení oblastí pro financování nebo legislativní vymezení. MZd vnímá potřebu spíše na strategické než legislativní úrovni.</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b/>
                <w:bCs/>
                <w:color w:val="4F81BD" w:themeColor="accent1"/>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b/>
                <w:bCs/>
                <w:color w:val="4F81BD" w:themeColor="accent1"/>
                <w:sz w:val="16"/>
                <w:szCs w:val="16"/>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MZd</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r>
      <w:tr w:rsidR="008751EC" w:rsidRPr="00280437" w:rsidTr="008751EC">
        <w:trPr>
          <w:trHeight w:val="977"/>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Vazba na sociální, zdravotní a důchodovou reformu. Některé prvky důchodové reformy byly EK kritizovány.</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Problematické sladění postojů ČR a EK ve vazbě na důchodovou reformu</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MZd</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MPSV</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 xml:space="preserve"> IROP</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r>
      <w:tr w:rsidR="008751EC" w:rsidRPr="00280437" w:rsidTr="008751EC">
        <w:trPr>
          <w:trHeight w:val="352"/>
        </w:trPr>
        <w:tc>
          <w:tcPr>
            <w:tcW w:w="851" w:type="dxa"/>
            <w:vMerge w:val="restart"/>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11. Posilování institucionální kapacity a účinné veřejné správy</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highlight w:val="yellow"/>
              </w:rPr>
            </w:pPr>
            <w:r w:rsidRPr="006071C6">
              <w:rPr>
                <w:rFonts w:asciiTheme="minorHAnsi" w:hAnsiTheme="minorHAnsi"/>
                <w:sz w:val="16"/>
                <w:szCs w:val="16"/>
              </w:rPr>
              <w:t>V ČR není strategicky oblast veřejné správy komplexně uchopena. Neexistence strategických materiálů.</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b/>
                <w:bCs/>
                <w:color w:val="4F81BD" w:themeColor="accent1"/>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b/>
                <w:bCs/>
                <w:color w:val="4F81BD" w:themeColor="accent1"/>
                <w:sz w:val="16"/>
                <w:szCs w:val="16"/>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MV</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PRV (horiz</w:t>
            </w:r>
            <w:r>
              <w:rPr>
                <w:rFonts w:asciiTheme="minorHAnsi" w:hAnsiTheme="minorHAnsi"/>
                <w:bCs/>
                <w:color w:val="4F81BD" w:themeColor="accent1"/>
                <w:sz w:val="16"/>
                <w:szCs w:val="16"/>
              </w:rPr>
              <w:t>.</w:t>
            </w:r>
            <w:r w:rsidRPr="006071C6">
              <w:rPr>
                <w:rFonts w:asciiTheme="minorHAnsi" w:hAnsiTheme="minorHAnsi"/>
                <w:bCs/>
                <w:color w:val="4F81BD" w:themeColor="accent1"/>
                <w:sz w:val="16"/>
                <w:szCs w:val="16"/>
              </w:rPr>
              <w:t xml:space="preserve"> podmínka)</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OPZ</w:t>
            </w: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r>
      <w:tr w:rsidR="008751EC" w:rsidRPr="00280437" w:rsidTr="008751EC">
        <w:trPr>
          <w:trHeight w:val="183"/>
        </w:trPr>
        <w:tc>
          <w:tcPr>
            <w:tcW w:w="851" w:type="dxa"/>
            <w:vMerge/>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highlight w:val="yellow"/>
              </w:rPr>
            </w:pPr>
            <w:r w:rsidRPr="006071C6">
              <w:rPr>
                <w:rFonts w:asciiTheme="minorHAnsi" w:hAnsiTheme="minorHAnsi"/>
                <w:sz w:val="16"/>
                <w:szCs w:val="16"/>
              </w:rPr>
              <w:t>Zákon o státních úřednících se nejeví svým obsahem jako prostředek způsobilý splnit požadavky EK ve vazbě na kariérní systém, odpolitizaci, a stabilizaci státní správy za účelem dosažení cíle efektivní veřejné správy.</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-Nesouhlas EK se zákonem o státních úřednících.</w:t>
            </w: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časového zpoždění v důsledku legislativního procesu.</w:t>
            </w: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-Nedostatek politické shody nad zněním zákona.</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Návrh zákona schválený vládou dne 12.5.2013 se nejeví být dostatečným prostředkem k zajištění požadavků EK. Riziko nespuštění plateb na všechny nebo některé OP.</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MV</w:t>
            </w:r>
          </w:p>
        </w:tc>
        <w:tc>
          <w:tcPr>
            <w:tcW w:w="851" w:type="dxa"/>
            <w:shd w:val="clear" w:color="auto" w:fill="DBE5F1" w:themeFill="accent1" w:themeFillTint="33"/>
            <w:vAlign w:val="center"/>
          </w:tcPr>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IROP</w:t>
            </w:r>
          </w:p>
          <w:p w:rsidR="008751EC"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PRV (horiz</w:t>
            </w:r>
            <w:r>
              <w:rPr>
                <w:rFonts w:asciiTheme="minorHAnsi" w:hAnsiTheme="minorHAnsi"/>
                <w:bCs/>
                <w:color w:val="4F81BD" w:themeColor="accent1"/>
                <w:sz w:val="16"/>
                <w:szCs w:val="16"/>
              </w:rPr>
              <w:t>.podmínka)</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OPZ</w:t>
            </w:r>
          </w:p>
        </w:tc>
        <w:tc>
          <w:tcPr>
            <w:tcW w:w="2976"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Přijmout takový zákon s účinností od 1.1.2014, který zajistí splnění požadavků EK.</w:t>
            </w: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1245"/>
        </w:trPr>
        <w:tc>
          <w:tcPr>
            <w:tcW w:w="851" w:type="dxa"/>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Obecná 3 Zdravotní postižení</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trike/>
                <w:sz w:val="16"/>
                <w:szCs w:val="16"/>
                <w:highlight w:val="green"/>
              </w:rPr>
            </w:pPr>
            <w:r w:rsidRPr="006071C6">
              <w:rPr>
                <w:rFonts w:asciiTheme="minorHAnsi" w:hAnsiTheme="minorHAnsi"/>
                <w:strike/>
                <w:sz w:val="16"/>
                <w:szCs w:val="16"/>
              </w:rPr>
              <w:t>Institucionální opatření pro provádění a kontrolu Úmluvy OSN v souladu s čl. 33 Úmluvy nejsou splněna (z důvodu neshody při přijímání Statutu Monitorovacího výboru a zajištění nestranného monitorování Úmluvy. V této podmínce je zřejmý i nesoulad v dalších postupech, např. ve věci zajištění nových kapacit či zachování stávajících, mezi VVZPO a MPSV.</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nenalezení odpovídající shody.</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trike/>
                <w:sz w:val="16"/>
                <w:szCs w:val="16"/>
                <w:highlight w:val="green"/>
              </w:rPr>
            </w:pPr>
            <w:r w:rsidRPr="006071C6">
              <w:rPr>
                <w:rFonts w:asciiTheme="minorHAnsi" w:hAnsiTheme="minorHAnsi"/>
                <w:strike/>
                <w:sz w:val="16"/>
                <w:szCs w:val="16"/>
              </w:rPr>
              <w:t>MPSV</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b/>
                <w:bCs/>
                <w:color w:val="4F81BD" w:themeColor="accent1"/>
                <w:sz w:val="16"/>
                <w:szCs w:val="16"/>
                <w:highlight w:val="cyan"/>
              </w:rPr>
            </w:pPr>
          </w:p>
        </w:tc>
      </w:tr>
      <w:tr w:rsidR="008751EC" w:rsidRPr="00280437" w:rsidTr="008751EC">
        <w:trPr>
          <w:trHeight w:val="465"/>
        </w:trPr>
        <w:tc>
          <w:tcPr>
            <w:tcW w:w="851" w:type="dxa"/>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 xml:space="preserve">Obecná 6. Právní předpisy pro oblast životního prostředí EIA a SEA </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highlight w:val="yellow"/>
              </w:rPr>
            </w:pPr>
            <w:r w:rsidRPr="006071C6">
              <w:rPr>
                <w:rFonts w:asciiTheme="minorHAnsi" w:hAnsiTheme="minorHAnsi"/>
                <w:sz w:val="16"/>
                <w:szCs w:val="16"/>
              </w:rPr>
              <w:t>Zahájeno řízení č.2013/2048 pro chybnou transpozici směrnice č. 2011/92/EU, o posuzování vlivů některých veřejných a soukromých záměrů na životní prostředí (EIA)</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 xml:space="preserve">-Riziko implementační a časové. </w:t>
            </w: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 xml:space="preserve">-Nutnost provedení legislativních změn. </w:t>
            </w: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-Obtížné hledání politické shody.</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Řízení ve věci EIA má zásadní vliv na současné i budoucí programové období, vztahuje se v podstatě ke všem OP vyjma tzv. soft. Vzhledem k tomu, že správné provádění EIA je explicitně definovanou PP, hrozí zde reálné riziko nespuštění plateb vztahujících se k relevantním OP.</w:t>
            </w:r>
          </w:p>
        </w:tc>
        <w:tc>
          <w:tcPr>
            <w:tcW w:w="709" w:type="dxa"/>
            <w:shd w:val="clear" w:color="auto" w:fill="DBE5F1" w:themeFill="accent1" w:themeFillTint="33"/>
            <w:vAlign w:val="center"/>
          </w:tcPr>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MŽP</w:t>
            </w:r>
          </w:p>
        </w:tc>
        <w:tc>
          <w:tcPr>
            <w:tcW w:w="851" w:type="dxa"/>
            <w:shd w:val="clear" w:color="auto" w:fill="DBE5F1" w:themeFill="accent1" w:themeFillTint="33"/>
            <w:vAlign w:val="center"/>
          </w:tcPr>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OP ŽP</w:t>
            </w:r>
          </w:p>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IROP</w:t>
            </w:r>
          </w:p>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OP PPR</w:t>
            </w:r>
          </w:p>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OPD</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OP PIK</w:t>
            </w:r>
          </w:p>
        </w:tc>
        <w:tc>
          <w:tcPr>
            <w:tcW w:w="2976"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Lhůta pro odeslání odpovědi prodloužena do 26.8.2013.</w:t>
            </w:r>
          </w:p>
        </w:tc>
        <w:tc>
          <w:tcPr>
            <w:tcW w:w="1134"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w:t>
            </w:r>
          </w:p>
        </w:tc>
      </w:tr>
      <w:tr w:rsidR="008751EC" w:rsidRPr="00280437" w:rsidTr="008751EC">
        <w:trPr>
          <w:trHeight w:val="1231"/>
        </w:trPr>
        <w:tc>
          <w:tcPr>
            <w:tcW w:w="851" w:type="dxa"/>
            <w:shd w:val="clear" w:color="auto" w:fill="DBE5F1" w:themeFill="accent1" w:themeFillTint="33"/>
            <w:vAlign w:val="center"/>
            <w:hideMark/>
          </w:tcPr>
          <w:p w:rsidR="008751EC" w:rsidRPr="00280437" w:rsidRDefault="008751EC" w:rsidP="008751EC">
            <w:pPr>
              <w:keepNext/>
              <w:spacing w:line="240" w:lineRule="auto"/>
              <w:outlineLvl w:val="0"/>
              <w:rPr>
                <w:rFonts w:asciiTheme="minorHAnsi" w:hAnsiTheme="minorHAnsi"/>
                <w:b/>
                <w:bCs/>
                <w:sz w:val="16"/>
                <w:szCs w:val="16"/>
              </w:rPr>
            </w:pPr>
            <w:r w:rsidRPr="00280437">
              <w:rPr>
                <w:rFonts w:asciiTheme="minorHAnsi" w:hAnsiTheme="minorHAnsi"/>
                <w:b/>
                <w:bCs/>
                <w:sz w:val="16"/>
                <w:szCs w:val="16"/>
              </w:rPr>
              <w:t>Obecná 5. Veřejná podpora</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Dlouhé lhůty UOHS k vyřizování stížností, překračující zákonnou povinnost.</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709" w:type="dxa"/>
            <w:shd w:val="clear" w:color="auto" w:fill="DBE5F1" w:themeFill="accent1" w:themeFillTint="33"/>
            <w:vAlign w:val="center"/>
          </w:tcPr>
          <w:p w:rsidR="008751EC" w:rsidRDefault="008751EC" w:rsidP="008751EC">
            <w:pPr>
              <w:spacing w:before="80" w:line="240" w:lineRule="auto"/>
              <w:jc w:val="left"/>
              <w:rPr>
                <w:rFonts w:asciiTheme="minorHAnsi" w:hAnsiTheme="minorHAnsi"/>
                <w:sz w:val="16"/>
                <w:szCs w:val="16"/>
              </w:rPr>
            </w:pPr>
            <w:r>
              <w:rPr>
                <w:rFonts w:asciiTheme="minorHAnsi" w:hAnsiTheme="minorHAnsi"/>
                <w:sz w:val="16"/>
                <w:szCs w:val="16"/>
              </w:rPr>
              <w:t>MMR</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ŘO</w:t>
            </w: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p>
        </w:tc>
        <w:tc>
          <w:tcPr>
            <w:tcW w:w="2976"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r w:rsidR="008751EC" w:rsidRPr="00280437" w:rsidTr="008751EC">
        <w:trPr>
          <w:trHeight w:val="1445"/>
        </w:trPr>
        <w:tc>
          <w:tcPr>
            <w:tcW w:w="851" w:type="dxa"/>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Obecná 7. Statistické systémy a ukazatele výsledků</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K zajištění požadavků EK definovaných obecným nařízením a ESF nařízením, souvisejících s průkazností intervencí, není v ČR dostatečný vnitrostátní právní rámec.</w:t>
            </w:r>
            <w:r w:rsidRPr="006071C6">
              <w:rPr>
                <w:rFonts w:asciiTheme="minorHAnsi" w:hAnsiTheme="minorHAnsi"/>
                <w:sz w:val="16"/>
                <w:szCs w:val="16"/>
              </w:rPr>
              <w:br/>
              <w:t>- definované soustavy v předběžných podmínkách (vybrané položky např. u K. 1.1., 2.1., 5.1., 9.1., , 10.1., 10.2., 10.3.,11)</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Riziko časové a legislativní.</w:t>
            </w:r>
          </w:p>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Dále riziko související s přípravou novelizace směrnice 95/46/ES o ochraně osobních údajů.</w:t>
            </w: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highlight w:val="cyan"/>
              </w:rPr>
            </w:pPr>
          </w:p>
        </w:tc>
        <w:tc>
          <w:tcPr>
            <w:tcW w:w="709" w:type="dxa"/>
            <w:shd w:val="clear" w:color="auto" w:fill="DBE5F1" w:themeFill="accent1" w:themeFillTint="33"/>
            <w:vAlign w:val="center"/>
          </w:tcPr>
          <w:p w:rsidR="008751EC" w:rsidRDefault="008751EC" w:rsidP="008751EC">
            <w:pPr>
              <w:spacing w:before="80" w:line="240" w:lineRule="auto"/>
              <w:jc w:val="left"/>
              <w:rPr>
                <w:rFonts w:asciiTheme="minorHAnsi" w:hAnsiTheme="minorHAnsi"/>
                <w:sz w:val="16"/>
                <w:szCs w:val="16"/>
              </w:rPr>
            </w:pPr>
            <w:r>
              <w:rPr>
                <w:rFonts w:asciiTheme="minorHAnsi" w:hAnsiTheme="minorHAnsi"/>
                <w:sz w:val="16"/>
                <w:szCs w:val="16"/>
              </w:rPr>
              <w:t>MMR</w:t>
            </w:r>
          </w:p>
          <w:p w:rsidR="008751EC" w:rsidRDefault="008751EC" w:rsidP="008751EC">
            <w:pPr>
              <w:spacing w:before="80" w:line="240" w:lineRule="auto"/>
              <w:jc w:val="left"/>
              <w:rPr>
                <w:rFonts w:asciiTheme="minorHAnsi" w:hAnsiTheme="minorHAnsi"/>
                <w:sz w:val="16"/>
                <w:szCs w:val="16"/>
              </w:rPr>
            </w:pPr>
            <w:r>
              <w:rPr>
                <w:rFonts w:asciiTheme="minorHAnsi" w:hAnsiTheme="minorHAnsi"/>
                <w:sz w:val="16"/>
                <w:szCs w:val="16"/>
              </w:rPr>
              <w:t>ŘO</w:t>
            </w:r>
          </w:p>
          <w:p w:rsidR="008751EC" w:rsidRPr="006071C6" w:rsidRDefault="008751EC" w:rsidP="008751EC">
            <w:pPr>
              <w:spacing w:before="80" w:line="240" w:lineRule="auto"/>
              <w:jc w:val="left"/>
              <w:rPr>
                <w:rFonts w:asciiTheme="minorHAnsi" w:hAnsiTheme="minorHAnsi"/>
                <w:sz w:val="16"/>
                <w:szCs w:val="16"/>
              </w:rPr>
            </w:pPr>
          </w:p>
        </w:tc>
        <w:tc>
          <w:tcPr>
            <w:tcW w:w="851" w:type="dxa"/>
            <w:shd w:val="clear" w:color="auto" w:fill="DBE5F1" w:themeFill="accent1" w:themeFillTint="33"/>
            <w:vAlign w:val="center"/>
          </w:tcPr>
          <w:p w:rsidR="008751EC" w:rsidRPr="006071C6" w:rsidRDefault="008751EC" w:rsidP="008751EC">
            <w:pPr>
              <w:spacing w:before="60" w:line="240" w:lineRule="auto"/>
              <w:jc w:val="left"/>
              <w:rPr>
                <w:rFonts w:asciiTheme="minorHAnsi" w:hAnsiTheme="minorHAnsi"/>
                <w:bCs/>
                <w:color w:val="4F81BD" w:themeColor="accent1"/>
                <w:sz w:val="16"/>
                <w:szCs w:val="16"/>
              </w:rPr>
            </w:pPr>
          </w:p>
        </w:tc>
        <w:tc>
          <w:tcPr>
            <w:tcW w:w="2976"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Tato otázka bude řešena v rámci PS Legal a v rámci technických jednání PS ŘO a v součinnosti s ÚOOÚ. Nutnost novelizace zákona o ochraně osobních údajů v souvislosti s adaptací nařízení.</w:t>
            </w:r>
          </w:p>
        </w:tc>
        <w:tc>
          <w:tcPr>
            <w:tcW w:w="1134"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V souč. době bude projednáno na PS Legal. Novelizace možná v průběhu roku 2014.</w:t>
            </w:r>
          </w:p>
        </w:tc>
      </w:tr>
      <w:tr w:rsidR="008751EC" w:rsidRPr="00280437" w:rsidTr="008751EC">
        <w:trPr>
          <w:trHeight w:val="1225"/>
        </w:trPr>
        <w:tc>
          <w:tcPr>
            <w:tcW w:w="851" w:type="dxa"/>
            <w:shd w:val="clear" w:color="auto" w:fill="DBE5F1" w:themeFill="accent1" w:themeFillTint="33"/>
            <w:vAlign w:val="center"/>
            <w:hideMark/>
          </w:tcPr>
          <w:p w:rsidR="008751EC" w:rsidRPr="00280437" w:rsidRDefault="008751EC" w:rsidP="008751EC">
            <w:pPr>
              <w:spacing w:line="240" w:lineRule="auto"/>
              <w:rPr>
                <w:rFonts w:asciiTheme="minorHAnsi" w:hAnsiTheme="minorHAnsi"/>
                <w:b/>
                <w:bCs/>
                <w:sz w:val="16"/>
                <w:szCs w:val="16"/>
              </w:rPr>
            </w:pPr>
            <w:r w:rsidRPr="00280437">
              <w:rPr>
                <w:rFonts w:asciiTheme="minorHAnsi" w:hAnsiTheme="minorHAnsi"/>
                <w:b/>
                <w:bCs/>
                <w:sz w:val="16"/>
                <w:szCs w:val="16"/>
              </w:rPr>
              <w:t>Související podmínky, 6.</w:t>
            </w:r>
          </w:p>
        </w:tc>
        <w:tc>
          <w:tcPr>
            <w:tcW w:w="3260" w:type="dxa"/>
            <w:shd w:val="clear" w:color="auto" w:fill="DBE5F1" w:themeFill="accent1" w:themeFillTint="33"/>
            <w:vAlign w:val="center"/>
            <w:hideMark/>
          </w:tcPr>
          <w:p w:rsidR="008751EC" w:rsidRPr="006071C6" w:rsidRDefault="008751EC" w:rsidP="008751EC">
            <w:pPr>
              <w:spacing w:line="240" w:lineRule="auto"/>
              <w:jc w:val="left"/>
              <w:rPr>
                <w:rFonts w:asciiTheme="minorHAnsi" w:hAnsiTheme="minorHAnsi"/>
                <w:sz w:val="16"/>
                <w:szCs w:val="16"/>
              </w:rPr>
            </w:pPr>
            <w:r w:rsidRPr="006071C6">
              <w:rPr>
                <w:rFonts w:asciiTheme="minorHAnsi" w:hAnsiTheme="minorHAnsi"/>
                <w:sz w:val="16"/>
                <w:szCs w:val="16"/>
              </w:rPr>
              <w:t>Nenaplňování acquis - směrnice o čištění městských odpadních vod (hrozba infringmentu) - neprovedení směrnice č. 91/271/EHS o čištění městských odpadních vod. Z posledního vyjádření víme, že to co mělo být do roku 2010 splněno, splněno nebylo a že pravděpodobně čeká ČR v této věci řízení. Zároveň nás MŽP informovalo, že v této věci s EK intenzivně jedná. Bylo by asi dobré znát další průběh tohoto jednání.</w:t>
            </w:r>
          </w:p>
        </w:tc>
        <w:tc>
          <w:tcPr>
            <w:tcW w:w="1560"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3543" w:type="dxa"/>
            <w:shd w:val="clear" w:color="auto" w:fill="DBE5F1" w:themeFill="accent1" w:themeFillTint="33"/>
            <w:vAlign w:val="center"/>
          </w:tcPr>
          <w:p w:rsidR="008751EC" w:rsidRPr="006071C6" w:rsidRDefault="008751EC" w:rsidP="008751EC">
            <w:pPr>
              <w:spacing w:line="240" w:lineRule="auto"/>
              <w:jc w:val="left"/>
              <w:rPr>
                <w:rFonts w:asciiTheme="minorHAnsi" w:hAnsiTheme="minorHAnsi"/>
                <w:sz w:val="16"/>
                <w:szCs w:val="16"/>
              </w:rPr>
            </w:pPr>
          </w:p>
        </w:tc>
        <w:tc>
          <w:tcPr>
            <w:tcW w:w="709" w:type="dxa"/>
            <w:shd w:val="clear" w:color="auto" w:fill="DBE5F1" w:themeFill="accent1" w:themeFillTint="33"/>
            <w:vAlign w:val="center"/>
          </w:tcPr>
          <w:p w:rsidR="008751EC" w:rsidRDefault="008751EC" w:rsidP="008751EC">
            <w:pPr>
              <w:spacing w:before="80" w:line="240" w:lineRule="auto"/>
              <w:jc w:val="left"/>
              <w:rPr>
                <w:rFonts w:asciiTheme="minorHAnsi" w:hAnsiTheme="minorHAnsi"/>
                <w:sz w:val="16"/>
                <w:szCs w:val="16"/>
              </w:rPr>
            </w:pPr>
            <w:r>
              <w:rPr>
                <w:rFonts w:asciiTheme="minorHAnsi" w:hAnsiTheme="minorHAnsi"/>
                <w:sz w:val="16"/>
                <w:szCs w:val="16"/>
              </w:rPr>
              <w:t>MŽP</w:t>
            </w:r>
          </w:p>
          <w:p w:rsidR="008751EC" w:rsidRPr="006071C6" w:rsidRDefault="008751EC" w:rsidP="008751EC">
            <w:pPr>
              <w:spacing w:before="80" w:line="240" w:lineRule="auto"/>
              <w:jc w:val="left"/>
              <w:rPr>
                <w:rFonts w:asciiTheme="minorHAnsi" w:hAnsiTheme="minorHAnsi"/>
                <w:sz w:val="16"/>
                <w:szCs w:val="16"/>
              </w:rPr>
            </w:pPr>
            <w:r w:rsidRPr="006071C6">
              <w:rPr>
                <w:rFonts w:asciiTheme="minorHAnsi" w:hAnsiTheme="minorHAnsi"/>
                <w:sz w:val="16"/>
                <w:szCs w:val="16"/>
              </w:rPr>
              <w:t>MZe</w:t>
            </w:r>
          </w:p>
        </w:tc>
        <w:tc>
          <w:tcPr>
            <w:tcW w:w="851" w:type="dxa"/>
            <w:shd w:val="clear" w:color="auto" w:fill="DBE5F1" w:themeFill="accent1" w:themeFillTint="33"/>
            <w:vAlign w:val="center"/>
          </w:tcPr>
          <w:p w:rsidR="008751EC" w:rsidRDefault="008751EC" w:rsidP="008751EC">
            <w:pPr>
              <w:spacing w:before="60" w:line="240" w:lineRule="auto"/>
              <w:jc w:val="left"/>
              <w:rPr>
                <w:rFonts w:asciiTheme="minorHAnsi" w:hAnsiTheme="minorHAnsi"/>
                <w:bCs/>
                <w:color w:val="4F81BD" w:themeColor="accent1"/>
                <w:sz w:val="16"/>
                <w:szCs w:val="16"/>
              </w:rPr>
            </w:pPr>
            <w:r>
              <w:rPr>
                <w:rFonts w:asciiTheme="minorHAnsi" w:hAnsiTheme="minorHAnsi"/>
                <w:bCs/>
                <w:color w:val="4F81BD" w:themeColor="accent1"/>
                <w:sz w:val="16"/>
                <w:szCs w:val="16"/>
              </w:rPr>
              <w:t>OP ŽP</w:t>
            </w:r>
          </w:p>
          <w:p w:rsidR="008751EC"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PRV</w:t>
            </w:r>
          </w:p>
          <w:p w:rsidR="008751EC" w:rsidRPr="006071C6" w:rsidRDefault="008751EC" w:rsidP="008751EC">
            <w:pPr>
              <w:spacing w:before="60" w:line="240" w:lineRule="auto"/>
              <w:jc w:val="left"/>
              <w:rPr>
                <w:rFonts w:asciiTheme="minorHAnsi" w:hAnsiTheme="minorHAnsi"/>
                <w:bCs/>
                <w:color w:val="4F81BD" w:themeColor="accent1"/>
                <w:sz w:val="16"/>
                <w:szCs w:val="16"/>
              </w:rPr>
            </w:pPr>
            <w:r w:rsidRPr="006071C6">
              <w:rPr>
                <w:rFonts w:asciiTheme="minorHAnsi" w:hAnsiTheme="minorHAnsi"/>
                <w:bCs/>
                <w:color w:val="4F81BD" w:themeColor="accent1"/>
                <w:sz w:val="16"/>
                <w:szCs w:val="16"/>
              </w:rPr>
              <w:t>IROP</w:t>
            </w:r>
          </w:p>
        </w:tc>
        <w:tc>
          <w:tcPr>
            <w:tcW w:w="2976" w:type="dxa"/>
            <w:shd w:val="clear" w:color="auto" w:fill="FFFFFF" w:themeFill="background1"/>
            <w:vAlign w:val="center"/>
          </w:tcPr>
          <w:p w:rsidR="008751EC" w:rsidRPr="00441046" w:rsidRDefault="00F12826" w:rsidP="008751EC">
            <w:pPr>
              <w:spacing w:line="240" w:lineRule="auto"/>
              <w:jc w:val="left"/>
              <w:rPr>
                <w:rFonts w:asciiTheme="minorHAnsi" w:hAnsiTheme="minorHAnsi"/>
                <w:sz w:val="16"/>
                <w:szCs w:val="16"/>
                <w:highlight w:val="cyan"/>
              </w:rPr>
            </w:pPr>
            <w:r w:rsidRPr="00F12826">
              <w:rPr>
                <w:rFonts w:asciiTheme="minorHAnsi" w:hAnsiTheme="minorHAnsi"/>
                <w:sz w:val="16"/>
                <w:szCs w:val="16"/>
              </w:rPr>
              <w:t>Zástupci odboru ochrany vod MŽP pravidelně informují DG Environment o aktuálním stavu.</w:t>
            </w:r>
          </w:p>
        </w:tc>
        <w:tc>
          <w:tcPr>
            <w:tcW w:w="1134" w:type="dxa"/>
            <w:shd w:val="clear" w:color="auto" w:fill="FFFFFF" w:themeFill="background1"/>
            <w:vAlign w:val="center"/>
          </w:tcPr>
          <w:p w:rsidR="008751EC" w:rsidRPr="00441046" w:rsidRDefault="008751EC" w:rsidP="008751EC">
            <w:pPr>
              <w:spacing w:line="240" w:lineRule="auto"/>
              <w:jc w:val="left"/>
              <w:rPr>
                <w:rFonts w:asciiTheme="minorHAnsi" w:hAnsiTheme="minorHAnsi"/>
                <w:sz w:val="16"/>
                <w:szCs w:val="16"/>
                <w:highlight w:val="cyan"/>
              </w:rPr>
            </w:pPr>
          </w:p>
        </w:tc>
      </w:tr>
    </w:tbl>
    <w:p w:rsidR="00764767" w:rsidRDefault="00764767">
      <w:pPr>
        <w:spacing w:before="360" w:after="200" w:line="276" w:lineRule="auto"/>
        <w:ind w:left="425"/>
        <w:rPr>
          <w:rFonts w:asciiTheme="minorHAnsi" w:hAnsiTheme="minorHAnsi"/>
          <w:b/>
        </w:rPr>
      </w:pPr>
    </w:p>
    <w:p w:rsidR="00764767" w:rsidRDefault="00764767">
      <w:pPr>
        <w:spacing w:before="360" w:after="200" w:line="276" w:lineRule="auto"/>
        <w:ind w:left="425"/>
        <w:rPr>
          <w:rFonts w:asciiTheme="minorHAnsi" w:hAnsiTheme="minorHAnsi"/>
          <w:b/>
        </w:rPr>
      </w:pPr>
      <w:r>
        <w:rPr>
          <w:rFonts w:asciiTheme="minorHAnsi" w:hAnsiTheme="minorHAnsi"/>
          <w:b/>
        </w:rPr>
        <w:br w:type="page"/>
      </w:r>
    </w:p>
    <w:p w:rsidR="00764767" w:rsidRDefault="00764767">
      <w:pPr>
        <w:spacing w:before="360" w:after="200" w:line="276" w:lineRule="auto"/>
        <w:ind w:left="425"/>
        <w:rPr>
          <w:rFonts w:asciiTheme="minorHAnsi" w:hAnsiTheme="minorHAnsi"/>
          <w:b/>
        </w:rPr>
        <w:sectPr w:rsidR="00764767" w:rsidSect="009963D0">
          <w:pgSz w:w="16838" w:h="11906" w:orient="landscape"/>
          <w:pgMar w:top="1418" w:right="1418" w:bottom="1418" w:left="1418" w:header="709" w:footer="709" w:gutter="0"/>
          <w:cols w:space="708"/>
          <w:docGrid w:linePitch="360"/>
        </w:sectPr>
      </w:pPr>
    </w:p>
    <w:p w:rsidR="007E78AB" w:rsidRDefault="007E78AB" w:rsidP="002F116E">
      <w:pPr>
        <w:spacing w:after="60" w:line="276" w:lineRule="auto"/>
        <w:rPr>
          <w:rFonts w:asciiTheme="minorHAnsi" w:hAnsiTheme="minorHAnsi"/>
          <w:u w:val="single"/>
        </w:rPr>
      </w:pPr>
      <w:r>
        <w:rPr>
          <w:rFonts w:asciiTheme="minorHAnsi" w:hAnsiTheme="minorHAnsi"/>
          <w:u w:val="single"/>
        </w:rPr>
        <w:t>Screening řízení</w:t>
      </w:r>
    </w:p>
    <w:p w:rsidR="007E78AB" w:rsidRPr="007E78AB" w:rsidRDefault="007E78AB" w:rsidP="002F116E">
      <w:pPr>
        <w:spacing w:after="60" w:line="276" w:lineRule="auto"/>
        <w:rPr>
          <w:rFonts w:asciiTheme="minorHAnsi" w:hAnsiTheme="minorHAnsi"/>
          <w:u w:val="single"/>
        </w:rPr>
      </w:pPr>
      <w:r w:rsidRPr="007E78AB">
        <w:rPr>
          <w:rFonts w:asciiTheme="minorHAnsi" w:hAnsiTheme="minorHAnsi" w:cs="Arial"/>
          <w:color w:val="000000" w:themeColor="text1"/>
        </w:rPr>
        <w:t xml:space="preserve">V následujícím podkladu je posouzena relevance jednotlivých řízení souvisejících s problematickou transpozicí směrnic a další legislativy, spolu s posouzením těch směrnic, jejichž transpozice momentálně probíhá a ze strany EK hrozí zahájení řízení, s relevantními předběžnými podmínkami a příslušnými operačními programy. </w:t>
      </w:r>
      <w:r w:rsidRPr="007E78AB">
        <w:rPr>
          <w:rFonts w:asciiTheme="minorHAnsi" w:hAnsiTheme="minorHAnsi" w:cs="Arial"/>
          <w:b/>
          <w:color w:val="000000" w:themeColor="text1"/>
        </w:rPr>
        <w:t>Relevance</w:t>
      </w:r>
      <w:r w:rsidRPr="007E78AB">
        <w:rPr>
          <w:rFonts w:asciiTheme="minorHAnsi" w:hAnsiTheme="minorHAnsi" w:cs="Arial"/>
          <w:color w:val="000000" w:themeColor="text1"/>
        </w:rPr>
        <w:t xml:space="preserve"> těchto probíhajících řízení spolu s transpozicí směrnic vykazujících reálné riziko zahájení řízení ze strany EK, s předmětnými předběžnými podmínkami použitými v programech je v podkladu </w:t>
      </w:r>
      <w:r w:rsidRPr="007E78AB">
        <w:rPr>
          <w:rFonts w:asciiTheme="minorHAnsi" w:hAnsiTheme="minorHAnsi" w:cs="Arial"/>
          <w:b/>
          <w:color w:val="000000" w:themeColor="text1"/>
        </w:rPr>
        <w:t>hodnocena</w:t>
      </w:r>
      <w:r w:rsidRPr="007E78AB">
        <w:rPr>
          <w:rFonts w:asciiTheme="minorHAnsi" w:hAnsiTheme="minorHAnsi" w:cs="Arial"/>
          <w:color w:val="000000" w:themeColor="text1"/>
        </w:rPr>
        <w:t xml:space="preserve"> </w:t>
      </w:r>
      <w:r w:rsidRPr="007E78AB">
        <w:rPr>
          <w:rFonts w:asciiTheme="minorHAnsi" w:hAnsiTheme="minorHAnsi" w:cs="Arial"/>
          <w:b/>
          <w:color w:val="000000" w:themeColor="text1"/>
        </w:rPr>
        <w:t>na škále: 1-5,</w:t>
      </w:r>
      <w:r w:rsidRPr="007E78AB">
        <w:rPr>
          <w:rFonts w:asciiTheme="minorHAnsi" w:hAnsiTheme="minorHAnsi" w:cs="Arial"/>
          <w:color w:val="000000" w:themeColor="text1"/>
        </w:rPr>
        <w:t xml:space="preserve"> kdy 5 značí největší stupeň relevance, v tomto případě se jedná o explicitně definovanou předběžnou podmínku, která je následně vyhodnocena jako nesplněná. Stupně relevance 1-4 nicméně dle čl. 134 návrhu obecného nařízení k fondům SSR nenaznačují, že by Evropská komise měla přistoupit k pozastavení plateb pro nesplnění předběžné podmínky, nicméně s ohledem na Rozhodnutí Tribunálu ve spojených věcech T – 99/09 a T-308/09 ze dne 19. dubna 2013, je třeba věnovat pozornost i těmto řízením, případně transpozicím.</w:t>
      </w:r>
    </w:p>
    <w:p w:rsidR="00764767" w:rsidRDefault="00764767" w:rsidP="002F116E">
      <w:pPr>
        <w:spacing w:after="60" w:line="276" w:lineRule="auto"/>
        <w:rPr>
          <w:rFonts w:asciiTheme="minorHAnsi" w:hAnsiTheme="minorHAnsi"/>
          <w:u w:val="single"/>
        </w:rPr>
      </w:pPr>
      <w:r w:rsidRPr="002F116E">
        <w:rPr>
          <w:rFonts w:asciiTheme="minorHAnsi" w:hAnsiTheme="minorHAnsi"/>
          <w:u w:val="single"/>
        </w:rPr>
        <w:t>Tabulka 10. Screening řízení</w:t>
      </w:r>
    </w:p>
    <w:tbl>
      <w:tblPr>
        <w:tblStyle w:val="Mkatabulky"/>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7934"/>
      </w:tblGrid>
      <w:tr w:rsidR="001D4BAC" w:rsidTr="001D4BAC">
        <w:tc>
          <w:tcPr>
            <w:tcW w:w="1244" w:type="dxa"/>
            <w:vMerge w:val="restart"/>
            <w:shd w:val="clear" w:color="auto" w:fill="95B3D7" w:themeFill="accent1" w:themeFillTint="99"/>
          </w:tcPr>
          <w:p w:rsidR="001D4BAC" w:rsidRDefault="001D4BAC" w:rsidP="002F116E">
            <w:pPr>
              <w:spacing w:after="60" w:line="276" w:lineRule="auto"/>
              <w:rPr>
                <w:rFonts w:asciiTheme="minorHAnsi" w:hAnsiTheme="minorHAnsi"/>
                <w:u w:val="single"/>
              </w:rPr>
            </w:pPr>
            <w:r w:rsidRPr="00764767">
              <w:rPr>
                <w:rFonts w:asciiTheme="minorHAnsi" w:hAnsiTheme="minorHAnsi" w:cs="Arial"/>
                <w:b/>
                <w:color w:val="000000" w:themeColor="text1"/>
              </w:rPr>
              <w:t>Zahájená řízení mající vazbu na předběžné podmínky a operační programy</w:t>
            </w:r>
          </w:p>
        </w:tc>
        <w:tc>
          <w:tcPr>
            <w:tcW w:w="7934" w:type="dxa"/>
            <w:shd w:val="clear" w:color="auto" w:fill="FFFFFF" w:themeFill="background1"/>
          </w:tcPr>
          <w:p w:rsidR="001D4BAC" w:rsidRPr="00764767" w:rsidRDefault="001D4BAC" w:rsidP="00501FD8">
            <w:pPr>
              <w:autoSpaceDE w:val="0"/>
              <w:autoSpaceDN w:val="0"/>
              <w:adjustRightInd w:val="0"/>
              <w:spacing w:after="120" w:line="240" w:lineRule="auto"/>
              <w:rPr>
                <w:rFonts w:asciiTheme="minorHAnsi" w:hAnsiTheme="minorHAnsi" w:cs="Arial"/>
                <w:b/>
                <w:u w:val="single"/>
              </w:rPr>
            </w:pPr>
            <w:r w:rsidRPr="00764767">
              <w:rPr>
                <w:rFonts w:asciiTheme="minorHAnsi" w:hAnsiTheme="minorHAnsi" w:cs="Arial"/>
                <w:b/>
                <w:u w:val="single"/>
              </w:rPr>
              <w:t>Směrnice 1. železničního balíčku, směrnice 91/440/EHS a 2011/14/ES</w:t>
            </w:r>
          </w:p>
          <w:p w:rsidR="001D4BAC" w:rsidRPr="00764767" w:rsidRDefault="001D4BAC" w:rsidP="00501FD8">
            <w:pPr>
              <w:autoSpaceDE w:val="0"/>
              <w:autoSpaceDN w:val="0"/>
              <w:adjustRightInd w:val="0"/>
              <w:spacing w:after="120" w:line="240" w:lineRule="auto"/>
              <w:rPr>
                <w:rFonts w:asciiTheme="minorHAnsi" w:hAnsiTheme="minorHAnsi" w:cs="Arial"/>
                <w:u w:val="single"/>
              </w:rPr>
            </w:pPr>
            <w:r w:rsidRPr="00764767">
              <w:rPr>
                <w:rFonts w:asciiTheme="minorHAnsi" w:hAnsiTheme="minorHAnsi" w:cs="Arial"/>
                <w:u w:val="single"/>
              </w:rPr>
              <w:t>Gesce MD</w:t>
            </w:r>
          </w:p>
          <w:p w:rsidR="001D4BAC" w:rsidRPr="00764767" w:rsidRDefault="001D4BAC" w:rsidP="00501FD8">
            <w:pPr>
              <w:autoSpaceDE w:val="0"/>
              <w:autoSpaceDN w:val="0"/>
              <w:adjustRightInd w:val="0"/>
              <w:spacing w:after="120" w:line="240" w:lineRule="auto"/>
              <w:rPr>
                <w:rFonts w:asciiTheme="minorHAnsi" w:hAnsiTheme="minorHAnsi" w:cs="Arial"/>
                <w:u w:val="single"/>
              </w:rPr>
            </w:pPr>
            <w:r w:rsidRPr="00764767">
              <w:rPr>
                <w:rFonts w:asciiTheme="minorHAnsi" w:hAnsiTheme="minorHAnsi" w:cs="Arial"/>
                <w:u w:val="single"/>
              </w:rPr>
              <w:t>Řízení č. 2008/2086</w:t>
            </w:r>
          </w:p>
          <w:p w:rsidR="001D4BAC" w:rsidRPr="00764767" w:rsidRDefault="001D4BAC" w:rsidP="00501FD8">
            <w:pPr>
              <w:autoSpaceDE w:val="0"/>
              <w:autoSpaceDN w:val="0"/>
              <w:adjustRightInd w:val="0"/>
              <w:spacing w:after="120" w:line="240" w:lineRule="auto"/>
              <w:rPr>
                <w:rFonts w:asciiTheme="minorHAnsi" w:hAnsiTheme="minorHAnsi" w:cs="Arial"/>
                <w:u w:val="single"/>
              </w:rPr>
            </w:pPr>
            <w:r w:rsidRPr="00764767">
              <w:rPr>
                <w:rFonts w:asciiTheme="minorHAnsi" w:hAnsiTheme="minorHAnsi" w:cs="Arial"/>
                <w:u w:val="single"/>
              </w:rPr>
              <w:t>Typ porušení: chybná transpozice</w:t>
            </w:r>
          </w:p>
          <w:p w:rsidR="001D4BAC" w:rsidRPr="00764767" w:rsidRDefault="001D4BAC" w:rsidP="00501FD8">
            <w:pPr>
              <w:autoSpaceDE w:val="0"/>
              <w:autoSpaceDN w:val="0"/>
              <w:adjustRightInd w:val="0"/>
              <w:spacing w:after="120" w:line="240" w:lineRule="auto"/>
              <w:rPr>
                <w:rFonts w:asciiTheme="minorHAnsi" w:hAnsiTheme="minorHAnsi" w:cs="Arial"/>
                <w:u w:val="single"/>
              </w:rPr>
            </w:pPr>
            <w:r w:rsidRPr="00764767">
              <w:rPr>
                <w:rFonts w:asciiTheme="minorHAnsi" w:hAnsiTheme="minorHAnsi" w:cs="Arial"/>
                <w:u w:val="single"/>
              </w:rPr>
              <w:t>Stav řízení: fáze žaloba</w:t>
            </w:r>
          </w:p>
          <w:p w:rsidR="001D4BAC" w:rsidRPr="007E78AB" w:rsidRDefault="001D4BAC" w:rsidP="00501FD8">
            <w:pPr>
              <w:autoSpaceDE w:val="0"/>
              <w:autoSpaceDN w:val="0"/>
              <w:adjustRightInd w:val="0"/>
              <w:spacing w:after="120" w:line="240" w:lineRule="auto"/>
              <w:rPr>
                <w:rFonts w:asciiTheme="minorHAnsi" w:hAnsiTheme="minorHAnsi" w:cs="Arial"/>
                <w:color w:val="FF0000"/>
              </w:rPr>
            </w:pPr>
            <w:r w:rsidRPr="007E78AB">
              <w:rPr>
                <w:rFonts w:asciiTheme="minorHAnsi" w:hAnsiTheme="minorHAnsi" w:cs="Arial"/>
                <w:color w:val="FF0000"/>
              </w:rPr>
              <w:t xml:space="preserve">Stupeň relevance s předběžnou podmínkou TC 7.2: </w:t>
            </w:r>
            <w:r w:rsidRPr="00075F1B">
              <w:rPr>
                <w:rFonts w:asciiTheme="minorHAnsi" w:hAnsiTheme="minorHAnsi" w:cs="Arial"/>
                <w:b/>
                <w:color w:val="FF0000"/>
              </w:rPr>
              <w:t>4</w:t>
            </w:r>
          </w:p>
          <w:p w:rsidR="001D4BAC" w:rsidRPr="00764767" w:rsidRDefault="001D4BAC" w:rsidP="00501FD8">
            <w:pPr>
              <w:autoSpaceDE w:val="0"/>
              <w:autoSpaceDN w:val="0"/>
              <w:adjustRightInd w:val="0"/>
              <w:spacing w:after="120" w:line="240" w:lineRule="auto"/>
              <w:rPr>
                <w:rFonts w:asciiTheme="minorHAnsi" w:hAnsiTheme="minorHAnsi" w:cs="Arial"/>
                <w:u w:val="single"/>
              </w:rPr>
            </w:pPr>
            <w:r w:rsidRPr="00764767">
              <w:rPr>
                <w:rFonts w:asciiTheme="minorHAnsi" w:hAnsiTheme="minorHAnsi" w:cs="Arial"/>
                <w:u w:val="single"/>
              </w:rPr>
              <w:t>Popis:</w:t>
            </w:r>
          </w:p>
          <w:p w:rsidR="001D4BAC" w:rsidRPr="00764767" w:rsidRDefault="001D4BAC" w:rsidP="007678B0">
            <w:pPr>
              <w:autoSpaceDE w:val="0"/>
              <w:autoSpaceDN w:val="0"/>
              <w:adjustRightInd w:val="0"/>
              <w:spacing w:after="120" w:line="240" w:lineRule="auto"/>
              <w:jc w:val="both"/>
              <w:rPr>
                <w:rFonts w:asciiTheme="minorHAnsi" w:hAnsiTheme="minorHAnsi" w:cs="Arial"/>
              </w:rPr>
            </w:pPr>
            <w:r w:rsidRPr="00764767">
              <w:rPr>
                <w:rFonts w:asciiTheme="minorHAnsi" w:hAnsiTheme="minorHAnsi" w:cs="Arial"/>
              </w:rPr>
              <w:t>EK vytýká ČR nesoulad vnitrostátní právní úpravy se směrnicemi 1. železničního balíčku: směrnice Rady 91/440/EHS, o rozvoji železnic společenství, směrnice Evropského parlamentu a Rady 2011/14/ES, o přidělování kapacity železniční infrastruktury a o vydávání osvědčení bezpečnosti.  Řízení se váže k TC 7, předběžné podmínce 7.2. Železniční doprava a má vazbu na OPD a IROP.</w:t>
            </w:r>
          </w:p>
          <w:p w:rsidR="001D4BAC" w:rsidRPr="00764767" w:rsidRDefault="001D4BAC" w:rsidP="00501FD8">
            <w:pPr>
              <w:autoSpaceDE w:val="0"/>
              <w:autoSpaceDN w:val="0"/>
              <w:adjustRightInd w:val="0"/>
              <w:spacing w:after="120" w:line="240" w:lineRule="auto"/>
              <w:rPr>
                <w:rFonts w:asciiTheme="minorHAnsi" w:hAnsiTheme="minorHAnsi" w:cs="Arial"/>
                <w:u w:val="single"/>
              </w:rPr>
            </w:pPr>
            <w:r w:rsidRPr="00764767">
              <w:rPr>
                <w:rFonts w:asciiTheme="minorHAnsi" w:hAnsiTheme="minorHAnsi" w:cs="Arial"/>
                <w:u w:val="single"/>
              </w:rPr>
              <w:t>Vazba na PP a OP:</w:t>
            </w:r>
          </w:p>
          <w:p w:rsidR="001D4BAC" w:rsidRDefault="001D4BAC" w:rsidP="007678B0">
            <w:pPr>
              <w:spacing w:after="60" w:line="276" w:lineRule="auto"/>
              <w:jc w:val="both"/>
              <w:rPr>
                <w:rFonts w:asciiTheme="minorHAnsi" w:hAnsiTheme="minorHAnsi"/>
                <w:u w:val="single"/>
              </w:rPr>
            </w:pPr>
            <w:r w:rsidRPr="00764767">
              <w:rPr>
                <w:rFonts w:asciiTheme="minorHAnsi" w:hAnsiTheme="minorHAnsi" w:cs="Arial"/>
                <w:color w:val="000000" w:themeColor="text1"/>
              </w:rPr>
              <w:t>Podpora železniční dopravy je zamýšlena v rámci OPD</w:t>
            </w:r>
            <w:r w:rsidRPr="00764767">
              <w:rPr>
                <w:rFonts w:asciiTheme="minorHAnsi" w:hAnsiTheme="minorHAnsi" w:cs="Arial"/>
                <w:b/>
                <w:color w:val="000000" w:themeColor="text1"/>
              </w:rPr>
              <w:t>,</w:t>
            </w:r>
            <w:r w:rsidRPr="00764767">
              <w:rPr>
                <w:rFonts w:asciiTheme="minorHAnsi" w:hAnsiTheme="minorHAnsi" w:cs="Arial"/>
                <w:color w:val="000000" w:themeColor="text1"/>
              </w:rPr>
              <w:t xml:space="preserve"> prioritní osa 1 Infrastruktura pro železniční a další udržitelnou dopravu, specifické cíle 1.1 - Výstavba a modernizace železničních tratí, 1.2 - Interoperabilita a nové technologie (včetně TEN-T), 1.</w:t>
            </w:r>
            <w:r>
              <w:rPr>
                <w:rFonts w:asciiTheme="minorHAnsi" w:hAnsiTheme="minorHAnsi" w:cs="Arial"/>
                <w:color w:val="000000" w:themeColor="text1"/>
              </w:rPr>
              <w:t>4 - Multimodální doprava, 1.5 -</w:t>
            </w:r>
            <w:r w:rsidRPr="00764767">
              <w:rPr>
                <w:rFonts w:asciiTheme="minorHAnsi" w:hAnsiTheme="minorHAnsi" w:cs="Arial"/>
                <w:color w:val="000000" w:themeColor="text1"/>
              </w:rPr>
              <w:t xml:space="preserve"> Infrastruktura drážních systémů městské a příměstské dopravy, 1.7 -  Environmentálně čistý dopravní park. V rámci IROP je plánována podpora železniční dopravy skrze specifické cíle 1.2 Rozvoj integrovaných dopravních systémů v regionech a 1.3 Snížení zátěže center měst IAD a zároveň zvýšení ekonomické atraktivity měst a zvýšení potenciálu jejich rozvoje/růstu jako prvku pro stabilizaci širšího zázemí (aglomerace) dopravy.</w:t>
            </w:r>
          </w:p>
        </w:tc>
      </w:tr>
      <w:tr w:rsidR="001D4BAC" w:rsidTr="001D4BAC">
        <w:tc>
          <w:tcPr>
            <w:tcW w:w="1244" w:type="dxa"/>
            <w:vMerge/>
            <w:shd w:val="clear" w:color="auto" w:fill="95B3D7" w:themeFill="accent1" w:themeFillTint="99"/>
          </w:tcPr>
          <w:p w:rsidR="001D4BAC" w:rsidRDefault="001D4BAC" w:rsidP="002F116E">
            <w:pPr>
              <w:spacing w:after="60" w:line="276" w:lineRule="auto"/>
              <w:rPr>
                <w:rFonts w:asciiTheme="minorHAnsi" w:hAnsiTheme="minorHAnsi"/>
                <w:u w:val="single"/>
              </w:rPr>
            </w:pPr>
          </w:p>
        </w:tc>
        <w:tc>
          <w:tcPr>
            <w:tcW w:w="7934" w:type="dxa"/>
            <w:shd w:val="clear" w:color="auto" w:fill="FFFFFF" w:themeFill="background1"/>
          </w:tcPr>
          <w:p w:rsidR="001D4BAC" w:rsidRPr="00764767" w:rsidRDefault="001D4BAC" w:rsidP="00501FD8">
            <w:pPr>
              <w:spacing w:after="120" w:line="240" w:lineRule="auto"/>
              <w:rPr>
                <w:rFonts w:asciiTheme="minorHAnsi" w:hAnsiTheme="minorHAnsi" w:cs="Arial"/>
                <w:b/>
                <w:bCs/>
                <w:u w:val="single"/>
              </w:rPr>
            </w:pPr>
            <w:r w:rsidRPr="00764767">
              <w:rPr>
                <w:rFonts w:asciiTheme="minorHAnsi" w:hAnsiTheme="minorHAnsi" w:cs="Arial"/>
                <w:b/>
                <w:bCs/>
                <w:u w:val="single"/>
              </w:rPr>
              <w:t>Směrnice 2006/21/ES, o nakládání s odpady z těžebního průmyslu</w:t>
            </w:r>
          </w:p>
          <w:p w:rsidR="001D4BAC" w:rsidRPr="00764767" w:rsidRDefault="001D4BAC" w:rsidP="00501FD8">
            <w:pPr>
              <w:spacing w:after="120" w:line="240" w:lineRule="auto"/>
              <w:rPr>
                <w:rFonts w:asciiTheme="minorHAnsi" w:hAnsiTheme="minorHAnsi" w:cs="Arial"/>
                <w:bCs/>
                <w:u w:val="single"/>
              </w:rPr>
            </w:pPr>
            <w:r w:rsidRPr="00764767">
              <w:rPr>
                <w:rFonts w:asciiTheme="minorHAnsi" w:hAnsiTheme="minorHAnsi" w:cs="Arial"/>
                <w:bCs/>
                <w:u w:val="single"/>
              </w:rPr>
              <w:t>Gesce Český báňský úřad</w:t>
            </w:r>
          </w:p>
          <w:p w:rsidR="001D4BAC" w:rsidRPr="00764767" w:rsidRDefault="001D4BAC" w:rsidP="00501FD8">
            <w:pPr>
              <w:autoSpaceDE w:val="0"/>
              <w:autoSpaceDN w:val="0"/>
              <w:adjustRightInd w:val="0"/>
              <w:spacing w:after="120" w:line="240" w:lineRule="auto"/>
              <w:rPr>
                <w:rFonts w:asciiTheme="minorHAnsi" w:hAnsiTheme="minorHAnsi" w:cs="Arial"/>
                <w:color w:val="000000" w:themeColor="text1"/>
              </w:rPr>
            </w:pPr>
            <w:r w:rsidRPr="00764767">
              <w:rPr>
                <w:rFonts w:asciiTheme="minorHAnsi" w:hAnsiTheme="minorHAnsi" w:cs="Arial"/>
                <w:color w:val="000000" w:themeColor="text1"/>
                <w:u w:val="single"/>
              </w:rPr>
              <w:t>Řízení č. 2012/2093</w:t>
            </w:r>
          </w:p>
          <w:p w:rsidR="001D4BAC" w:rsidRPr="00764767" w:rsidRDefault="001D4BAC" w:rsidP="00501FD8">
            <w:pPr>
              <w:autoSpaceDE w:val="0"/>
              <w:autoSpaceDN w:val="0"/>
              <w:adjustRightInd w:val="0"/>
              <w:spacing w:after="120" w:line="240" w:lineRule="auto"/>
              <w:rPr>
                <w:rFonts w:asciiTheme="minorHAnsi" w:hAnsiTheme="minorHAnsi" w:cs="Arial"/>
                <w:color w:val="000000" w:themeColor="text1"/>
                <w:u w:val="single"/>
              </w:rPr>
            </w:pPr>
            <w:r w:rsidRPr="00764767">
              <w:rPr>
                <w:rFonts w:asciiTheme="minorHAnsi" w:hAnsiTheme="minorHAnsi" w:cs="Arial"/>
                <w:color w:val="000000" w:themeColor="text1"/>
                <w:u w:val="single"/>
              </w:rPr>
              <w:t>Typ porušení: chybná transpozice</w:t>
            </w:r>
          </w:p>
          <w:p w:rsidR="001D4BAC" w:rsidRPr="00764767" w:rsidRDefault="001D4BAC" w:rsidP="00501FD8">
            <w:pPr>
              <w:autoSpaceDE w:val="0"/>
              <w:autoSpaceDN w:val="0"/>
              <w:adjustRightInd w:val="0"/>
              <w:spacing w:after="120" w:line="240" w:lineRule="auto"/>
              <w:rPr>
                <w:rFonts w:asciiTheme="minorHAnsi" w:hAnsiTheme="minorHAnsi" w:cs="Arial"/>
                <w:color w:val="000000" w:themeColor="text1"/>
                <w:u w:val="single"/>
              </w:rPr>
            </w:pPr>
            <w:r w:rsidRPr="00764767">
              <w:rPr>
                <w:rFonts w:asciiTheme="minorHAnsi" w:hAnsiTheme="minorHAnsi" w:cs="Arial"/>
                <w:color w:val="000000" w:themeColor="text1"/>
                <w:u w:val="single"/>
              </w:rPr>
              <w:t>Stav řízení: odůvodněné stanovisko</w:t>
            </w:r>
          </w:p>
          <w:p w:rsidR="001D4BAC" w:rsidRPr="007E78AB" w:rsidRDefault="001D4BAC" w:rsidP="00501FD8">
            <w:pPr>
              <w:autoSpaceDE w:val="0"/>
              <w:autoSpaceDN w:val="0"/>
              <w:adjustRightInd w:val="0"/>
              <w:spacing w:after="120" w:line="240" w:lineRule="auto"/>
              <w:rPr>
                <w:rFonts w:asciiTheme="minorHAnsi" w:hAnsiTheme="minorHAnsi" w:cs="Arial"/>
                <w:color w:val="FF0000"/>
              </w:rPr>
            </w:pPr>
            <w:r w:rsidRPr="007E78AB">
              <w:rPr>
                <w:rFonts w:asciiTheme="minorHAnsi" w:hAnsiTheme="minorHAnsi" w:cs="Arial"/>
                <w:color w:val="FF0000"/>
              </w:rPr>
              <w:t xml:space="preserve">Stupeň relevance s předběžnou podmínkou TC 6.2: </w:t>
            </w:r>
            <w:r w:rsidRPr="00075F1B">
              <w:rPr>
                <w:rFonts w:asciiTheme="minorHAnsi" w:hAnsiTheme="minorHAnsi" w:cs="Arial"/>
                <w:b/>
                <w:color w:val="FF0000"/>
              </w:rPr>
              <w:t>3</w:t>
            </w:r>
          </w:p>
          <w:p w:rsidR="001D4BAC" w:rsidRPr="00764767" w:rsidRDefault="001D4BAC" w:rsidP="00501FD8">
            <w:pPr>
              <w:spacing w:after="120" w:line="240" w:lineRule="auto"/>
              <w:rPr>
                <w:rFonts w:asciiTheme="minorHAnsi" w:hAnsiTheme="minorHAnsi" w:cs="Arial"/>
                <w:bCs/>
                <w:u w:val="single"/>
              </w:rPr>
            </w:pPr>
            <w:r w:rsidRPr="00764767">
              <w:rPr>
                <w:rFonts w:asciiTheme="minorHAnsi" w:hAnsiTheme="minorHAnsi" w:cs="Arial"/>
                <w:bCs/>
                <w:u w:val="single"/>
              </w:rPr>
              <w:t>Popis:</w:t>
            </w:r>
          </w:p>
          <w:p w:rsidR="001D4BAC" w:rsidRPr="00764767" w:rsidRDefault="001D4BAC" w:rsidP="007678B0">
            <w:pPr>
              <w:spacing w:after="120" w:line="240" w:lineRule="auto"/>
              <w:jc w:val="both"/>
              <w:rPr>
                <w:rFonts w:asciiTheme="minorHAnsi" w:hAnsiTheme="minorHAnsi" w:cs="Arial"/>
                <w:bCs/>
              </w:rPr>
            </w:pPr>
            <w:r w:rsidRPr="00764767">
              <w:rPr>
                <w:rFonts w:asciiTheme="minorHAnsi" w:hAnsiTheme="minorHAnsi" w:cs="Arial"/>
                <w:bCs/>
              </w:rPr>
              <w:t xml:space="preserve">Směrnice 2006/21/ES, o nakládání s odpady z těžebního průmyslu, stanoví pokyny a postupy pro ochranu životního prostředí před nepříznivými vlivu odpadů z těžebního průmyslu. </w:t>
            </w:r>
          </w:p>
          <w:p w:rsidR="001D4BAC" w:rsidRPr="00764767" w:rsidRDefault="001D4BAC" w:rsidP="00501FD8">
            <w:pPr>
              <w:spacing w:after="120" w:line="240" w:lineRule="auto"/>
              <w:rPr>
                <w:rFonts w:asciiTheme="minorHAnsi" w:hAnsiTheme="minorHAnsi" w:cs="Arial"/>
                <w:bCs/>
                <w:u w:val="single"/>
              </w:rPr>
            </w:pPr>
            <w:r w:rsidRPr="00764767">
              <w:rPr>
                <w:rFonts w:asciiTheme="minorHAnsi" w:hAnsiTheme="minorHAnsi" w:cs="Arial"/>
                <w:bCs/>
                <w:u w:val="single"/>
              </w:rPr>
              <w:t>Vazba na PP a OP:</w:t>
            </w:r>
          </w:p>
          <w:p w:rsidR="001D4BAC" w:rsidRDefault="001D4BAC" w:rsidP="007678B0">
            <w:pPr>
              <w:spacing w:after="60" w:line="276" w:lineRule="auto"/>
              <w:jc w:val="both"/>
              <w:rPr>
                <w:rFonts w:asciiTheme="minorHAnsi" w:hAnsiTheme="minorHAnsi"/>
                <w:u w:val="single"/>
              </w:rPr>
            </w:pPr>
            <w:r w:rsidRPr="00764767">
              <w:rPr>
                <w:rFonts w:asciiTheme="minorHAnsi" w:hAnsiTheme="minorHAnsi" w:cs="Arial"/>
                <w:bCs/>
              </w:rPr>
              <w:t>Tato směrnice, ke které bylo ze strany EK vydáno odůvodněné stanovisko, souvisí s předběžnou podmínkou TC 6.2. (odpadové hospodářství). Relevance je ovšem pouze dílčího charakteru a lze proto označit stupněm 3. Za silnou lze označit vazbu směrnice na OP ŽP a jeho celou prioritní oblast 3: Odpady a materiálové toky, ekologické zátěže a rizika.</w:t>
            </w:r>
          </w:p>
        </w:tc>
      </w:tr>
      <w:tr w:rsidR="001D4BAC" w:rsidTr="001D4BAC">
        <w:tc>
          <w:tcPr>
            <w:tcW w:w="1244" w:type="dxa"/>
            <w:vMerge/>
            <w:shd w:val="clear" w:color="auto" w:fill="95B3D7" w:themeFill="accent1" w:themeFillTint="99"/>
          </w:tcPr>
          <w:p w:rsidR="001D4BAC" w:rsidRDefault="001D4BAC" w:rsidP="002F116E">
            <w:pPr>
              <w:spacing w:after="60" w:line="276" w:lineRule="auto"/>
              <w:rPr>
                <w:rFonts w:asciiTheme="minorHAnsi" w:hAnsiTheme="minorHAnsi"/>
                <w:u w:val="single"/>
              </w:rPr>
            </w:pPr>
          </w:p>
        </w:tc>
        <w:tc>
          <w:tcPr>
            <w:tcW w:w="7934" w:type="dxa"/>
            <w:shd w:val="clear" w:color="auto" w:fill="FFFFFF" w:themeFill="background1"/>
          </w:tcPr>
          <w:p w:rsidR="001D4BAC" w:rsidRPr="00764767" w:rsidRDefault="001D4BAC" w:rsidP="00501FD8">
            <w:pPr>
              <w:autoSpaceDE w:val="0"/>
              <w:autoSpaceDN w:val="0"/>
              <w:adjustRightInd w:val="0"/>
              <w:spacing w:after="120" w:line="240" w:lineRule="auto"/>
              <w:rPr>
                <w:rFonts w:asciiTheme="minorHAnsi" w:hAnsiTheme="minorHAnsi" w:cs="Arial"/>
                <w:b/>
                <w:u w:val="single"/>
              </w:rPr>
            </w:pPr>
            <w:r w:rsidRPr="00764767">
              <w:rPr>
                <w:rFonts w:asciiTheme="minorHAnsi" w:hAnsiTheme="minorHAnsi" w:cs="Arial"/>
                <w:b/>
                <w:u w:val="single"/>
              </w:rPr>
              <w:t xml:space="preserve">Směrnice Evropského parlamentu a Rady č. 2009/28/ES o podpoře využívání energie z obnovitelných zdrojů </w:t>
            </w:r>
          </w:p>
          <w:p w:rsidR="001D4BAC" w:rsidRPr="00764767" w:rsidRDefault="001D4BAC" w:rsidP="00501FD8">
            <w:pPr>
              <w:autoSpaceDE w:val="0"/>
              <w:autoSpaceDN w:val="0"/>
              <w:adjustRightInd w:val="0"/>
              <w:spacing w:after="120" w:line="240" w:lineRule="auto"/>
              <w:rPr>
                <w:rFonts w:asciiTheme="minorHAnsi" w:hAnsiTheme="minorHAnsi" w:cs="Arial"/>
                <w:u w:val="single"/>
              </w:rPr>
            </w:pPr>
            <w:r w:rsidRPr="00764767">
              <w:rPr>
                <w:rFonts w:asciiTheme="minorHAnsi" w:hAnsiTheme="minorHAnsi" w:cs="Arial"/>
                <w:u w:val="single"/>
              </w:rPr>
              <w:t>Gesce MPO</w:t>
            </w:r>
          </w:p>
          <w:p w:rsidR="001D4BAC" w:rsidRPr="00764767" w:rsidRDefault="001D4BAC" w:rsidP="00501FD8">
            <w:pPr>
              <w:autoSpaceDE w:val="0"/>
              <w:autoSpaceDN w:val="0"/>
              <w:adjustRightInd w:val="0"/>
              <w:spacing w:after="120" w:line="240" w:lineRule="auto"/>
              <w:rPr>
                <w:rFonts w:asciiTheme="minorHAnsi" w:hAnsiTheme="minorHAnsi" w:cs="Arial"/>
                <w:u w:val="single"/>
              </w:rPr>
            </w:pPr>
            <w:r w:rsidRPr="00764767">
              <w:rPr>
                <w:rFonts w:asciiTheme="minorHAnsi" w:hAnsiTheme="minorHAnsi" w:cs="Arial"/>
                <w:u w:val="single"/>
              </w:rPr>
              <w:t>Řízení č. 2011/0057</w:t>
            </w:r>
          </w:p>
          <w:p w:rsidR="001D4BAC" w:rsidRPr="00764767" w:rsidRDefault="001D4BAC" w:rsidP="00501FD8">
            <w:pPr>
              <w:autoSpaceDE w:val="0"/>
              <w:autoSpaceDN w:val="0"/>
              <w:adjustRightInd w:val="0"/>
              <w:spacing w:after="120" w:line="240" w:lineRule="auto"/>
              <w:rPr>
                <w:rFonts w:asciiTheme="minorHAnsi" w:hAnsiTheme="minorHAnsi" w:cs="Arial"/>
                <w:color w:val="000000" w:themeColor="text1"/>
                <w:u w:val="single"/>
              </w:rPr>
            </w:pPr>
            <w:r w:rsidRPr="00764767">
              <w:rPr>
                <w:rFonts w:asciiTheme="minorHAnsi" w:hAnsiTheme="minorHAnsi" w:cs="Arial"/>
                <w:color w:val="000000" w:themeColor="text1"/>
                <w:u w:val="single"/>
              </w:rPr>
              <w:t>Typ porušení: neprovedení notifikace</w:t>
            </w:r>
          </w:p>
          <w:p w:rsidR="001D4BAC" w:rsidRPr="00764767" w:rsidRDefault="001D4BAC" w:rsidP="00501FD8">
            <w:pPr>
              <w:autoSpaceDE w:val="0"/>
              <w:autoSpaceDN w:val="0"/>
              <w:adjustRightInd w:val="0"/>
              <w:spacing w:after="120" w:line="240" w:lineRule="auto"/>
              <w:rPr>
                <w:rFonts w:asciiTheme="minorHAnsi" w:hAnsiTheme="minorHAnsi" w:cs="Arial"/>
                <w:color w:val="000000" w:themeColor="text1"/>
                <w:u w:val="single"/>
              </w:rPr>
            </w:pPr>
            <w:r w:rsidRPr="00764767">
              <w:rPr>
                <w:rFonts w:asciiTheme="minorHAnsi" w:hAnsiTheme="minorHAnsi" w:cs="Arial"/>
                <w:color w:val="000000" w:themeColor="text1"/>
                <w:u w:val="single"/>
              </w:rPr>
              <w:t>Stav řízení: odůvodněné stanovisko</w:t>
            </w:r>
          </w:p>
          <w:p w:rsidR="001D4BAC" w:rsidRPr="007E78AB" w:rsidRDefault="001D4BAC" w:rsidP="00501FD8">
            <w:pPr>
              <w:autoSpaceDE w:val="0"/>
              <w:autoSpaceDN w:val="0"/>
              <w:adjustRightInd w:val="0"/>
              <w:spacing w:after="120" w:line="240" w:lineRule="auto"/>
              <w:rPr>
                <w:rFonts w:asciiTheme="minorHAnsi" w:hAnsiTheme="minorHAnsi" w:cs="Arial"/>
                <w:color w:val="FF0000"/>
              </w:rPr>
            </w:pPr>
            <w:r w:rsidRPr="007E78AB">
              <w:rPr>
                <w:rFonts w:asciiTheme="minorHAnsi" w:hAnsiTheme="minorHAnsi" w:cs="Arial"/>
                <w:color w:val="FF0000"/>
              </w:rPr>
              <w:t xml:space="preserve">Stupeň relevance s předběžnou podmínkou TC 4.3: </w:t>
            </w:r>
            <w:r w:rsidRPr="00075F1B">
              <w:rPr>
                <w:rFonts w:asciiTheme="minorHAnsi" w:hAnsiTheme="minorHAnsi" w:cs="Arial"/>
                <w:b/>
                <w:color w:val="FF0000"/>
              </w:rPr>
              <w:t>5</w:t>
            </w:r>
          </w:p>
          <w:p w:rsidR="001D4BAC" w:rsidRPr="00764767" w:rsidRDefault="001D4BAC" w:rsidP="00501FD8">
            <w:pPr>
              <w:autoSpaceDE w:val="0"/>
              <w:autoSpaceDN w:val="0"/>
              <w:adjustRightInd w:val="0"/>
              <w:spacing w:after="120" w:line="240" w:lineRule="auto"/>
              <w:rPr>
                <w:rFonts w:asciiTheme="minorHAnsi" w:hAnsiTheme="minorHAnsi" w:cs="Arial"/>
                <w:u w:val="single"/>
              </w:rPr>
            </w:pPr>
            <w:r w:rsidRPr="00764767">
              <w:rPr>
                <w:rFonts w:asciiTheme="minorHAnsi" w:hAnsiTheme="minorHAnsi" w:cs="Arial"/>
                <w:u w:val="single"/>
              </w:rPr>
              <w:t>Popis:</w:t>
            </w:r>
          </w:p>
          <w:p w:rsidR="001D4BAC" w:rsidRPr="00764767" w:rsidRDefault="001D4BAC" w:rsidP="007678B0">
            <w:pPr>
              <w:autoSpaceDE w:val="0"/>
              <w:autoSpaceDN w:val="0"/>
              <w:adjustRightInd w:val="0"/>
              <w:spacing w:after="120" w:line="240" w:lineRule="auto"/>
              <w:jc w:val="both"/>
              <w:rPr>
                <w:rFonts w:asciiTheme="minorHAnsi" w:hAnsiTheme="minorHAnsi" w:cs="Arial"/>
              </w:rPr>
            </w:pPr>
            <w:r w:rsidRPr="00764767">
              <w:rPr>
                <w:rFonts w:asciiTheme="minorHAnsi" w:hAnsiTheme="minorHAnsi" w:cs="Arial"/>
              </w:rPr>
              <w:t xml:space="preserve">EK je namítáno vůči ČR nesdělení opatření k provedení směrnice 2009/28/ES. Transpozice této směrnice je explicitně stanovenou předběžnou podmínkou TC 4.3. opatření na podporu výroby a distribuce energie z obnovitelných zdrojů. Investiční priorita – podpora výroby a distribuce energie z obnovitelných zdrojů. </w:t>
            </w:r>
          </w:p>
          <w:p w:rsidR="001D4BAC" w:rsidRPr="00764767" w:rsidRDefault="001D4BAC" w:rsidP="00501FD8">
            <w:pPr>
              <w:spacing w:after="120" w:line="240" w:lineRule="auto"/>
              <w:rPr>
                <w:rFonts w:asciiTheme="minorHAnsi" w:hAnsiTheme="minorHAnsi" w:cs="Arial"/>
                <w:bCs/>
                <w:u w:val="single"/>
              </w:rPr>
            </w:pPr>
            <w:r w:rsidRPr="00764767">
              <w:rPr>
                <w:rFonts w:asciiTheme="minorHAnsi" w:hAnsiTheme="minorHAnsi" w:cs="Arial"/>
                <w:bCs/>
                <w:u w:val="single"/>
              </w:rPr>
              <w:t>Vazba na PP a OP:</w:t>
            </w:r>
          </w:p>
          <w:p w:rsidR="001D4BAC" w:rsidRDefault="001D4BAC" w:rsidP="007678B0">
            <w:pPr>
              <w:spacing w:after="60" w:line="276" w:lineRule="auto"/>
              <w:jc w:val="both"/>
              <w:rPr>
                <w:rFonts w:asciiTheme="minorHAnsi" w:hAnsiTheme="minorHAnsi"/>
                <w:u w:val="single"/>
              </w:rPr>
            </w:pPr>
            <w:r w:rsidRPr="00764767">
              <w:rPr>
                <w:rFonts w:asciiTheme="minorHAnsi" w:hAnsiTheme="minorHAnsi" w:cs="Arial"/>
              </w:rPr>
              <w:t xml:space="preserve">Přímé spojení na OZE má v rámci OP PIK specifický cíl 3.1 Zvýšení podílu výroby energie z OZE v rámci energetického mixu ČR. Celá prioritní osa 3 Udržitelné hospodaření s energií, podpora OZE a rozvoj inovací v energetice OP PIK je pak navázána na TC 4. V rámci OP ŽP je na TC 4 vázána prioritní osa 5 Energetické úspory, není však spojena s OZE. Vazbu na TC 4 má i IROP (konkrétně SC 1.9, 1.10, 1.11), stejně jako v případě MŽP se netýká OZE. V rámci OP Praha je na TC 4 navázána celá prioritní osa 3 </w:t>
            </w:r>
            <w:r w:rsidRPr="00764767">
              <w:rPr>
                <w:rFonts w:asciiTheme="minorHAnsi" w:hAnsiTheme="minorHAnsi" w:cs="Arial"/>
                <w:bCs/>
              </w:rPr>
              <w:t>Udržitelná mobilita a energetické úspory, přímo OZE se částečně týká specifický cíl 3.1 Energetické úspory v městských objektech dosažené také s využitím vhodných obnovitelných zdrojů energie nebo jiných energeticky efektivních zařízení.</w:t>
            </w:r>
          </w:p>
        </w:tc>
      </w:tr>
      <w:tr w:rsidR="001D4BAC" w:rsidTr="001D4BAC">
        <w:tc>
          <w:tcPr>
            <w:tcW w:w="1244" w:type="dxa"/>
            <w:vMerge/>
            <w:shd w:val="clear" w:color="auto" w:fill="95B3D7" w:themeFill="accent1" w:themeFillTint="99"/>
          </w:tcPr>
          <w:p w:rsidR="001D4BAC" w:rsidRDefault="001D4BAC" w:rsidP="002F116E">
            <w:pPr>
              <w:spacing w:after="60" w:line="276" w:lineRule="auto"/>
              <w:rPr>
                <w:rFonts w:asciiTheme="minorHAnsi" w:hAnsiTheme="minorHAnsi"/>
                <w:u w:val="single"/>
              </w:rPr>
            </w:pPr>
          </w:p>
        </w:tc>
        <w:tc>
          <w:tcPr>
            <w:tcW w:w="7934" w:type="dxa"/>
            <w:shd w:val="clear" w:color="auto" w:fill="FFFFFF" w:themeFill="background1"/>
          </w:tcPr>
          <w:p w:rsidR="001D4BAC" w:rsidRPr="00F079B1" w:rsidRDefault="001D4BAC" w:rsidP="00501FD8">
            <w:pPr>
              <w:autoSpaceDE w:val="0"/>
              <w:autoSpaceDN w:val="0"/>
              <w:adjustRightInd w:val="0"/>
              <w:spacing w:after="120" w:line="240" w:lineRule="auto"/>
              <w:rPr>
                <w:rFonts w:asciiTheme="minorHAnsi" w:hAnsiTheme="minorHAnsi" w:cs="Arial"/>
                <w:b/>
                <w:u w:val="single"/>
              </w:rPr>
            </w:pPr>
            <w:r w:rsidRPr="00F079B1">
              <w:rPr>
                <w:rFonts w:asciiTheme="minorHAnsi" w:hAnsiTheme="minorHAnsi" w:cs="Arial"/>
                <w:b/>
                <w:color w:val="000000" w:themeColor="text1"/>
                <w:u w:val="single"/>
              </w:rPr>
              <w:t xml:space="preserve">Směrnice </w:t>
            </w:r>
            <w:r w:rsidRPr="00F079B1">
              <w:rPr>
                <w:rFonts w:asciiTheme="minorHAnsi" w:hAnsiTheme="minorHAnsi" w:cs="Arial"/>
                <w:b/>
                <w:u w:val="single"/>
              </w:rPr>
              <w:t xml:space="preserve">č. 2011/7/EU proti opožděným platbám v obchodních transakcích </w:t>
            </w:r>
          </w:p>
          <w:p w:rsidR="001D4BAC" w:rsidRPr="00F079B1" w:rsidRDefault="001D4BAC" w:rsidP="00501FD8">
            <w:pPr>
              <w:autoSpaceDE w:val="0"/>
              <w:autoSpaceDN w:val="0"/>
              <w:adjustRightInd w:val="0"/>
              <w:spacing w:after="120" w:line="240" w:lineRule="auto"/>
              <w:rPr>
                <w:rFonts w:asciiTheme="minorHAnsi" w:hAnsiTheme="minorHAnsi" w:cs="Arial"/>
                <w:u w:val="single"/>
              </w:rPr>
            </w:pPr>
            <w:r w:rsidRPr="00F079B1">
              <w:rPr>
                <w:rFonts w:asciiTheme="minorHAnsi" w:hAnsiTheme="minorHAnsi" w:cs="Arial"/>
                <w:u w:val="single"/>
              </w:rPr>
              <w:t>Gesce MSP</w:t>
            </w:r>
          </w:p>
          <w:p w:rsidR="001D4BAC" w:rsidRPr="00F079B1" w:rsidRDefault="001D4BAC" w:rsidP="00501FD8">
            <w:pPr>
              <w:autoSpaceDE w:val="0"/>
              <w:autoSpaceDN w:val="0"/>
              <w:adjustRightInd w:val="0"/>
              <w:spacing w:after="120" w:line="240" w:lineRule="auto"/>
              <w:rPr>
                <w:rFonts w:asciiTheme="minorHAnsi" w:hAnsiTheme="minorHAnsi" w:cs="Arial"/>
                <w:u w:val="single"/>
              </w:rPr>
            </w:pPr>
            <w:r w:rsidRPr="00F079B1">
              <w:rPr>
                <w:rFonts w:asciiTheme="minorHAnsi" w:hAnsiTheme="minorHAnsi" w:cs="Arial"/>
                <w:u w:val="single"/>
              </w:rPr>
              <w:t>Řízení č. 2013/0212</w:t>
            </w:r>
          </w:p>
          <w:p w:rsidR="001D4BAC" w:rsidRPr="00F079B1" w:rsidRDefault="001D4BAC" w:rsidP="00501FD8">
            <w:pPr>
              <w:autoSpaceDE w:val="0"/>
              <w:autoSpaceDN w:val="0"/>
              <w:adjustRightInd w:val="0"/>
              <w:spacing w:after="120" w:line="240" w:lineRule="auto"/>
              <w:rPr>
                <w:rFonts w:asciiTheme="minorHAnsi" w:hAnsiTheme="minorHAnsi" w:cs="Arial"/>
                <w:u w:val="single"/>
              </w:rPr>
            </w:pPr>
            <w:r w:rsidRPr="00F079B1">
              <w:rPr>
                <w:rFonts w:asciiTheme="minorHAnsi" w:hAnsiTheme="minorHAnsi" w:cs="Arial"/>
                <w:u w:val="single"/>
              </w:rPr>
              <w:t>Typ porušení: chybná transpozice</w:t>
            </w:r>
          </w:p>
          <w:p w:rsidR="001D4BAC" w:rsidRPr="00F079B1" w:rsidRDefault="001D4BAC" w:rsidP="00501FD8">
            <w:pPr>
              <w:autoSpaceDE w:val="0"/>
              <w:autoSpaceDN w:val="0"/>
              <w:adjustRightInd w:val="0"/>
              <w:spacing w:after="120" w:line="240" w:lineRule="auto"/>
              <w:rPr>
                <w:rFonts w:asciiTheme="minorHAnsi" w:hAnsiTheme="minorHAnsi" w:cs="Arial"/>
                <w:u w:val="single"/>
              </w:rPr>
            </w:pPr>
            <w:r w:rsidRPr="00F079B1">
              <w:rPr>
                <w:rFonts w:asciiTheme="minorHAnsi" w:hAnsiTheme="minorHAnsi" w:cs="Arial"/>
                <w:u w:val="single"/>
              </w:rPr>
              <w:t>Stav řízení: formální upozornění</w:t>
            </w:r>
          </w:p>
          <w:p w:rsidR="001D4BAC" w:rsidRPr="00F079B1" w:rsidRDefault="001D4BAC" w:rsidP="00501FD8">
            <w:pPr>
              <w:autoSpaceDE w:val="0"/>
              <w:autoSpaceDN w:val="0"/>
              <w:adjustRightInd w:val="0"/>
              <w:spacing w:after="120" w:line="240" w:lineRule="auto"/>
              <w:rPr>
                <w:rFonts w:asciiTheme="minorHAnsi" w:hAnsiTheme="minorHAnsi" w:cs="Arial"/>
                <w:color w:val="FF0000"/>
              </w:rPr>
            </w:pPr>
            <w:r w:rsidRPr="00F079B1">
              <w:rPr>
                <w:rFonts w:asciiTheme="minorHAnsi" w:hAnsiTheme="minorHAnsi" w:cs="Arial"/>
                <w:color w:val="FF0000"/>
              </w:rPr>
              <w:t>Stupeň relevance s předběžnou podmínkou TC 3.2:</w:t>
            </w:r>
            <w:r w:rsidRPr="00075F1B">
              <w:rPr>
                <w:rFonts w:asciiTheme="minorHAnsi" w:hAnsiTheme="minorHAnsi" w:cs="Arial"/>
                <w:b/>
                <w:color w:val="FF0000"/>
              </w:rPr>
              <w:t xml:space="preserve"> 5</w:t>
            </w:r>
          </w:p>
          <w:p w:rsidR="001D4BAC" w:rsidRPr="00F079B1" w:rsidRDefault="001D4BAC" w:rsidP="00501FD8">
            <w:pPr>
              <w:autoSpaceDE w:val="0"/>
              <w:autoSpaceDN w:val="0"/>
              <w:adjustRightInd w:val="0"/>
              <w:spacing w:after="120" w:line="240" w:lineRule="auto"/>
              <w:rPr>
                <w:rFonts w:asciiTheme="minorHAnsi" w:hAnsiTheme="minorHAnsi" w:cs="Arial"/>
                <w:u w:val="single"/>
              </w:rPr>
            </w:pPr>
            <w:r w:rsidRPr="00F079B1">
              <w:rPr>
                <w:rFonts w:asciiTheme="minorHAnsi" w:hAnsiTheme="minorHAnsi" w:cs="Arial"/>
                <w:u w:val="single"/>
              </w:rPr>
              <w:t>Popis:</w:t>
            </w:r>
          </w:p>
          <w:p w:rsidR="001D4BAC" w:rsidRPr="00F079B1" w:rsidRDefault="001D4BAC" w:rsidP="007678B0">
            <w:pPr>
              <w:autoSpaceDE w:val="0"/>
              <w:autoSpaceDN w:val="0"/>
              <w:adjustRightInd w:val="0"/>
              <w:spacing w:after="120" w:line="240" w:lineRule="auto"/>
              <w:jc w:val="both"/>
              <w:rPr>
                <w:rFonts w:asciiTheme="minorHAnsi" w:hAnsiTheme="minorHAnsi" w:cs="Arial"/>
              </w:rPr>
            </w:pPr>
            <w:r w:rsidRPr="00F079B1">
              <w:rPr>
                <w:rFonts w:asciiTheme="minorHAnsi" w:hAnsiTheme="minorHAnsi" w:cs="Arial"/>
              </w:rPr>
              <w:t>Transpoziční lhůta uplynula ke 30. 4. 2013. Povinnost  implementace směrnice je uvedena v TC 3.2. a má vazbu na OP PIK a OP PPR, PRV, IROP. (kompromisním zněním vypuštěna, dále se však objevuje v Pozičním dokumentu i v Guidelines on ex-ante conditionalities)</w:t>
            </w:r>
          </w:p>
          <w:p w:rsidR="001D4BAC" w:rsidRPr="00F079B1" w:rsidRDefault="001D4BAC" w:rsidP="00501FD8">
            <w:pPr>
              <w:autoSpaceDE w:val="0"/>
              <w:autoSpaceDN w:val="0"/>
              <w:adjustRightInd w:val="0"/>
              <w:spacing w:after="120" w:line="240" w:lineRule="auto"/>
              <w:rPr>
                <w:rFonts w:asciiTheme="minorHAnsi" w:hAnsiTheme="minorHAnsi" w:cs="Arial"/>
                <w:u w:val="single"/>
              </w:rPr>
            </w:pPr>
            <w:r w:rsidRPr="00F079B1">
              <w:rPr>
                <w:rFonts w:asciiTheme="minorHAnsi" w:hAnsiTheme="minorHAnsi" w:cs="Arial"/>
                <w:u w:val="single"/>
              </w:rPr>
              <w:t>Vazba na PP a OP:</w:t>
            </w:r>
          </w:p>
          <w:p w:rsidR="001D4BAC" w:rsidRPr="00F079B1" w:rsidRDefault="001D4BAC" w:rsidP="007678B0">
            <w:pPr>
              <w:autoSpaceDE w:val="0"/>
              <w:autoSpaceDN w:val="0"/>
              <w:adjustRightInd w:val="0"/>
              <w:spacing w:after="120" w:line="240" w:lineRule="auto"/>
              <w:jc w:val="both"/>
              <w:rPr>
                <w:rFonts w:asciiTheme="minorHAnsi" w:hAnsiTheme="minorHAnsi" w:cs="Arial"/>
              </w:rPr>
            </w:pPr>
            <w:r w:rsidRPr="00F079B1">
              <w:rPr>
                <w:rFonts w:asciiTheme="minorHAnsi" w:hAnsiTheme="minorHAnsi" w:cs="Arial"/>
              </w:rPr>
              <w:t xml:space="preserve">Na TC 3 je navázán návrh OP PIK, prioritní osa 2 - Rozvoj infrastruktury a služeb podporujících podnikání ve znalostní ekonomice a internacionalizace podnikání. V rámci IROP je na TC navázána část prioritní osy 1 Zvýšení konkurenceschopnosti v území, konkrétně specifické cíle 1.5 – 1.8, které jsou zaměřeny na podporu cestovního ruchu. V rámci OP Praha se na TC váže prioritní osa 2 </w:t>
            </w:r>
            <w:r w:rsidRPr="00F079B1">
              <w:rPr>
                <w:rFonts w:asciiTheme="minorHAnsi" w:hAnsiTheme="minorHAnsi" w:cs="Arial"/>
                <w:bCs/>
              </w:rPr>
              <w:t>Zvýšení konkurenceschopnosti MSP.</w:t>
            </w:r>
          </w:p>
        </w:tc>
      </w:tr>
      <w:tr w:rsidR="001D4BAC" w:rsidTr="001D4BAC">
        <w:tc>
          <w:tcPr>
            <w:tcW w:w="1244" w:type="dxa"/>
            <w:vMerge/>
            <w:shd w:val="clear" w:color="auto" w:fill="95B3D7" w:themeFill="accent1" w:themeFillTint="99"/>
          </w:tcPr>
          <w:p w:rsidR="001D4BAC" w:rsidRDefault="001D4BAC" w:rsidP="002F116E">
            <w:pPr>
              <w:spacing w:after="60" w:line="276" w:lineRule="auto"/>
              <w:rPr>
                <w:rFonts w:asciiTheme="minorHAnsi" w:hAnsiTheme="minorHAnsi"/>
                <w:u w:val="single"/>
              </w:rPr>
            </w:pPr>
          </w:p>
        </w:tc>
        <w:tc>
          <w:tcPr>
            <w:tcW w:w="7934" w:type="dxa"/>
            <w:shd w:val="clear" w:color="auto" w:fill="FFFFFF" w:themeFill="background1"/>
          </w:tcPr>
          <w:p w:rsidR="001D4BAC" w:rsidRPr="00F079B1" w:rsidRDefault="001D4BAC" w:rsidP="00F079B1">
            <w:pPr>
              <w:spacing w:after="120" w:line="240" w:lineRule="auto"/>
              <w:rPr>
                <w:rFonts w:asciiTheme="minorHAnsi" w:hAnsiTheme="minorHAnsi" w:cs="Arial"/>
                <w:b/>
                <w:bCs/>
                <w:u w:val="single"/>
              </w:rPr>
            </w:pPr>
            <w:r w:rsidRPr="00F079B1">
              <w:rPr>
                <w:rFonts w:asciiTheme="minorHAnsi" w:hAnsiTheme="minorHAnsi" w:cs="Arial"/>
                <w:b/>
                <w:bCs/>
                <w:u w:val="single"/>
              </w:rPr>
              <w:t xml:space="preserve">Směrnice 2001/20/ES ze dne 4. dubna 2001 - Zpráva o průběhu klinického hodnocení </w:t>
            </w:r>
          </w:p>
          <w:p w:rsidR="001D4BAC" w:rsidRPr="00F079B1" w:rsidRDefault="001D4BAC" w:rsidP="00F079B1">
            <w:pPr>
              <w:spacing w:after="120" w:line="240" w:lineRule="auto"/>
              <w:rPr>
                <w:rFonts w:asciiTheme="minorHAnsi" w:hAnsiTheme="minorHAnsi" w:cs="Arial"/>
                <w:bCs/>
                <w:u w:val="single"/>
              </w:rPr>
            </w:pPr>
            <w:r w:rsidRPr="00F079B1">
              <w:rPr>
                <w:rFonts w:asciiTheme="minorHAnsi" w:hAnsiTheme="minorHAnsi" w:cs="Arial"/>
                <w:bCs/>
                <w:u w:val="single"/>
              </w:rPr>
              <w:t>Gesce MZ</w:t>
            </w:r>
          </w:p>
          <w:p w:rsidR="001D4BAC" w:rsidRPr="00F079B1" w:rsidRDefault="001D4BAC" w:rsidP="00F079B1">
            <w:pPr>
              <w:autoSpaceDE w:val="0"/>
              <w:autoSpaceDN w:val="0"/>
              <w:adjustRightInd w:val="0"/>
              <w:spacing w:after="120" w:line="240" w:lineRule="auto"/>
              <w:rPr>
                <w:rFonts w:asciiTheme="minorHAnsi" w:hAnsiTheme="minorHAnsi" w:cs="Arial"/>
                <w:u w:val="single"/>
              </w:rPr>
            </w:pPr>
            <w:r w:rsidRPr="00F079B1">
              <w:rPr>
                <w:rFonts w:asciiTheme="minorHAnsi" w:hAnsiTheme="minorHAnsi" w:cs="Arial"/>
                <w:u w:val="single"/>
              </w:rPr>
              <w:t>Řízení č. 2011/2211</w:t>
            </w:r>
          </w:p>
          <w:p w:rsidR="001D4BAC" w:rsidRPr="00F079B1" w:rsidRDefault="001D4BAC" w:rsidP="00F079B1">
            <w:pPr>
              <w:autoSpaceDE w:val="0"/>
              <w:autoSpaceDN w:val="0"/>
              <w:adjustRightInd w:val="0"/>
              <w:spacing w:after="120" w:line="240" w:lineRule="auto"/>
              <w:rPr>
                <w:rFonts w:asciiTheme="minorHAnsi" w:hAnsiTheme="minorHAnsi" w:cs="Arial"/>
                <w:color w:val="000000" w:themeColor="text1"/>
                <w:u w:val="single"/>
              </w:rPr>
            </w:pPr>
            <w:r w:rsidRPr="00F079B1">
              <w:rPr>
                <w:rFonts w:asciiTheme="minorHAnsi" w:hAnsiTheme="minorHAnsi" w:cs="Arial"/>
                <w:color w:val="000000" w:themeColor="text1"/>
                <w:u w:val="single"/>
              </w:rPr>
              <w:t>Typ porušení: chybná aplikace</w:t>
            </w:r>
          </w:p>
          <w:p w:rsidR="001D4BAC" w:rsidRPr="00F079B1" w:rsidRDefault="001D4BAC" w:rsidP="00F079B1">
            <w:pPr>
              <w:autoSpaceDE w:val="0"/>
              <w:autoSpaceDN w:val="0"/>
              <w:adjustRightInd w:val="0"/>
              <w:spacing w:after="120" w:line="240" w:lineRule="auto"/>
              <w:rPr>
                <w:rFonts w:asciiTheme="minorHAnsi" w:hAnsiTheme="minorHAnsi" w:cs="Arial"/>
                <w:color w:val="000000" w:themeColor="text1"/>
                <w:u w:val="single"/>
              </w:rPr>
            </w:pPr>
            <w:r w:rsidRPr="00F079B1">
              <w:rPr>
                <w:rFonts w:asciiTheme="minorHAnsi" w:hAnsiTheme="minorHAnsi" w:cs="Arial"/>
                <w:color w:val="000000" w:themeColor="text1"/>
                <w:u w:val="single"/>
              </w:rPr>
              <w:t>Stav řízení: formální upozornění</w:t>
            </w:r>
          </w:p>
          <w:p w:rsidR="001D4BAC" w:rsidRPr="00F079B1" w:rsidRDefault="001D4BAC" w:rsidP="00F079B1">
            <w:pPr>
              <w:autoSpaceDE w:val="0"/>
              <w:autoSpaceDN w:val="0"/>
              <w:adjustRightInd w:val="0"/>
              <w:spacing w:after="120" w:line="240" w:lineRule="auto"/>
              <w:rPr>
                <w:rFonts w:asciiTheme="minorHAnsi" w:hAnsiTheme="minorHAnsi" w:cs="Arial"/>
                <w:color w:val="FF0000"/>
              </w:rPr>
            </w:pPr>
            <w:r w:rsidRPr="00F079B1">
              <w:rPr>
                <w:rFonts w:asciiTheme="minorHAnsi" w:hAnsiTheme="minorHAnsi" w:cs="Arial"/>
                <w:color w:val="FF0000"/>
              </w:rPr>
              <w:t xml:space="preserve">Stupeň relevance s předběžnou podmínkou: </w:t>
            </w:r>
            <w:r w:rsidRPr="00075F1B">
              <w:rPr>
                <w:rFonts w:asciiTheme="minorHAnsi" w:hAnsiTheme="minorHAnsi" w:cs="Arial"/>
                <w:b/>
                <w:color w:val="FF0000"/>
              </w:rPr>
              <w:t>1</w:t>
            </w:r>
          </w:p>
          <w:p w:rsidR="001D4BAC" w:rsidRPr="00F079B1" w:rsidRDefault="001D4BAC" w:rsidP="00F079B1">
            <w:pPr>
              <w:spacing w:after="120" w:line="240" w:lineRule="auto"/>
              <w:rPr>
                <w:rFonts w:asciiTheme="minorHAnsi" w:hAnsiTheme="minorHAnsi" w:cs="Arial"/>
                <w:bCs/>
                <w:u w:val="single"/>
              </w:rPr>
            </w:pPr>
            <w:r w:rsidRPr="00F079B1">
              <w:rPr>
                <w:rFonts w:asciiTheme="minorHAnsi" w:hAnsiTheme="minorHAnsi" w:cs="Arial"/>
                <w:bCs/>
                <w:u w:val="single"/>
              </w:rPr>
              <w:t>Popis:</w:t>
            </w:r>
          </w:p>
          <w:p w:rsidR="001D4BAC" w:rsidRPr="00F079B1" w:rsidRDefault="001D4BAC" w:rsidP="007678B0">
            <w:pPr>
              <w:spacing w:after="120" w:line="240" w:lineRule="auto"/>
              <w:jc w:val="both"/>
              <w:rPr>
                <w:rFonts w:asciiTheme="minorHAnsi" w:hAnsiTheme="minorHAnsi" w:cs="Arial"/>
                <w:bCs/>
              </w:rPr>
            </w:pPr>
            <w:r w:rsidRPr="00F079B1">
              <w:rPr>
                <w:rFonts w:asciiTheme="minorHAnsi" w:hAnsiTheme="minorHAnsi" w:cs="Arial"/>
                <w:bCs/>
              </w:rPr>
              <w:t>Směrnice 2001/20/ES, ke které bylo ze strany EK vydáno odůvodněné stanovisko, jež upravuje uplatňování správné klinické praxe při hodnocení humánních léčivých přípravků, nedisponuje relevancí s předběžnými podmínkami.</w:t>
            </w:r>
          </w:p>
          <w:p w:rsidR="001D4BAC" w:rsidRPr="00F079B1" w:rsidRDefault="001D4BAC" w:rsidP="00F079B1">
            <w:pPr>
              <w:spacing w:after="120" w:line="240" w:lineRule="auto"/>
              <w:rPr>
                <w:rFonts w:asciiTheme="minorHAnsi" w:hAnsiTheme="minorHAnsi" w:cs="Arial"/>
                <w:bCs/>
                <w:u w:val="single"/>
              </w:rPr>
            </w:pPr>
            <w:r w:rsidRPr="00F079B1">
              <w:rPr>
                <w:rFonts w:asciiTheme="minorHAnsi" w:hAnsiTheme="minorHAnsi" w:cs="Arial"/>
                <w:bCs/>
                <w:u w:val="single"/>
              </w:rPr>
              <w:t>Vazba na PP a OP:</w:t>
            </w:r>
          </w:p>
          <w:p w:rsidR="001D4BAC" w:rsidRPr="00F079B1" w:rsidRDefault="001D4BAC" w:rsidP="007678B0">
            <w:pPr>
              <w:spacing w:after="120" w:line="240" w:lineRule="auto"/>
              <w:jc w:val="both"/>
              <w:rPr>
                <w:rFonts w:asciiTheme="minorHAnsi" w:hAnsiTheme="minorHAnsi" w:cs="Arial"/>
                <w:bCs/>
              </w:rPr>
            </w:pPr>
            <w:r w:rsidRPr="00F079B1">
              <w:rPr>
                <w:rFonts w:asciiTheme="minorHAnsi" w:hAnsiTheme="minorHAnsi" w:cs="Arial"/>
                <w:bCs/>
              </w:rPr>
              <w:t xml:space="preserve">Velmi mírnou vazbu lze vnímat na OP Z, specifický cíl 2.2 Zvýšit kvalitu a udržitelnost systému zdravotních služeb a na IROP, specifické cíle 2.1 Dostupná, kvalitní a udržitelná síť sociálních a zdravotních služeb, služeb pro rodiny a děti a dalších navazujících služeb podporujících sociální začleňování; 2.5 Vytvoření moderní, funkční a udržitelné sítě péče o duševní zdraví respektující ve všech aspektech lidskou individualitu jako předpoklad pro dlouhodobé aktivní zapojení duševně nemocných do života komunity a na trh práce a 2.6 Modernizace vybraných sítí zdravotnických zařízení a služeb a zlepšení regionální dostupnosti zdravotní péče jakožto základního předpokladu pro růst konkurenceschopnosti jednotlivých regionů. </w:t>
            </w:r>
          </w:p>
        </w:tc>
      </w:tr>
      <w:tr w:rsidR="001D4BAC" w:rsidTr="001D4BAC">
        <w:tc>
          <w:tcPr>
            <w:tcW w:w="1244" w:type="dxa"/>
            <w:vMerge/>
            <w:shd w:val="clear" w:color="auto" w:fill="95B3D7" w:themeFill="accent1" w:themeFillTint="99"/>
          </w:tcPr>
          <w:p w:rsidR="001D4BAC" w:rsidRDefault="001D4BAC" w:rsidP="002F116E">
            <w:pPr>
              <w:spacing w:after="60" w:line="276" w:lineRule="auto"/>
              <w:rPr>
                <w:rFonts w:asciiTheme="minorHAnsi" w:hAnsiTheme="minorHAnsi"/>
                <w:u w:val="single"/>
              </w:rPr>
            </w:pPr>
          </w:p>
        </w:tc>
        <w:tc>
          <w:tcPr>
            <w:tcW w:w="7934" w:type="dxa"/>
            <w:shd w:val="clear" w:color="auto" w:fill="FFFFFF" w:themeFill="background1"/>
          </w:tcPr>
          <w:p w:rsidR="001D4BAC" w:rsidRPr="00F079B1" w:rsidRDefault="001D4BAC" w:rsidP="00F079B1">
            <w:pPr>
              <w:spacing w:after="120" w:line="240" w:lineRule="auto"/>
              <w:jc w:val="both"/>
              <w:rPr>
                <w:rFonts w:asciiTheme="minorHAnsi" w:hAnsiTheme="minorHAnsi" w:cs="Arial"/>
                <w:u w:val="single"/>
              </w:rPr>
            </w:pPr>
            <w:r w:rsidRPr="00F079B1">
              <w:rPr>
                <w:rFonts w:asciiTheme="minorHAnsi" w:hAnsiTheme="minorHAnsi" w:cs="Arial"/>
                <w:b/>
                <w:u w:val="single"/>
              </w:rPr>
              <w:t>Směrnice Rady 92/43/EHS z 21. května 1992 o ochraně přírodních stanovišť</w:t>
            </w:r>
            <w:r w:rsidRPr="00F079B1">
              <w:rPr>
                <w:rFonts w:asciiTheme="minorHAnsi" w:hAnsiTheme="minorHAnsi" w:cs="Arial"/>
                <w:u w:val="single"/>
              </w:rPr>
              <w:t xml:space="preserve"> </w:t>
            </w:r>
          </w:p>
          <w:p w:rsidR="001D4BAC" w:rsidRPr="00F079B1" w:rsidRDefault="001D4BAC" w:rsidP="00F079B1">
            <w:pPr>
              <w:spacing w:after="120" w:line="240" w:lineRule="auto"/>
              <w:jc w:val="both"/>
              <w:rPr>
                <w:rFonts w:asciiTheme="minorHAnsi" w:hAnsiTheme="minorHAnsi" w:cs="Arial"/>
                <w:u w:val="single"/>
              </w:rPr>
            </w:pPr>
            <w:r w:rsidRPr="00F079B1">
              <w:rPr>
                <w:rFonts w:asciiTheme="minorHAnsi" w:hAnsiTheme="minorHAnsi" w:cs="Arial"/>
                <w:u w:val="single"/>
              </w:rPr>
              <w:t>Gesce MŽP</w:t>
            </w:r>
          </w:p>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u w:val="single"/>
              </w:rPr>
              <w:t>Řízení č. 2007/4447</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Typ porušení: chybná aplikace</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Stav řízení: formální upozornění</w:t>
            </w:r>
          </w:p>
          <w:p w:rsidR="001D4BAC" w:rsidRPr="00F079B1" w:rsidRDefault="001D4BAC" w:rsidP="00F079B1">
            <w:pPr>
              <w:spacing w:after="120" w:line="240" w:lineRule="auto"/>
              <w:jc w:val="both"/>
              <w:rPr>
                <w:rFonts w:asciiTheme="minorHAnsi" w:hAnsiTheme="minorHAnsi" w:cs="Arial"/>
                <w:color w:val="FF0000"/>
              </w:rPr>
            </w:pPr>
            <w:r w:rsidRPr="00F079B1">
              <w:rPr>
                <w:rFonts w:asciiTheme="minorHAnsi" w:hAnsiTheme="minorHAnsi" w:cs="Arial"/>
                <w:color w:val="FF0000"/>
              </w:rPr>
              <w:t xml:space="preserve">Stupeň relevance s předběžnou podmínkou: </w:t>
            </w:r>
            <w:r w:rsidRPr="00075F1B">
              <w:rPr>
                <w:rFonts w:asciiTheme="minorHAnsi" w:hAnsiTheme="minorHAnsi" w:cs="Arial"/>
                <w:b/>
                <w:color w:val="FF0000"/>
              </w:rPr>
              <w:t>1</w:t>
            </w:r>
          </w:p>
          <w:p w:rsidR="001D4BAC" w:rsidRPr="00F079B1" w:rsidRDefault="001D4BAC" w:rsidP="00F079B1">
            <w:pPr>
              <w:spacing w:after="120" w:line="240" w:lineRule="auto"/>
              <w:jc w:val="both"/>
              <w:rPr>
                <w:rFonts w:asciiTheme="minorHAnsi" w:hAnsiTheme="minorHAnsi" w:cs="Arial"/>
                <w:color w:val="000000" w:themeColor="text1"/>
              </w:rPr>
            </w:pPr>
            <w:r w:rsidRPr="00F079B1">
              <w:rPr>
                <w:rFonts w:asciiTheme="minorHAnsi" w:hAnsiTheme="minorHAnsi" w:cs="Arial"/>
              </w:rPr>
              <w:t>Řízení 2007/4447 kvůli nesplnění povinnosti ze směrnice 92/43/EHS o ochraně přírodních stanovišť nesouvisí s žádnou předběžnou podmínkou.</w:t>
            </w:r>
          </w:p>
          <w:p w:rsidR="001D4BAC" w:rsidRPr="00F079B1" w:rsidRDefault="001D4BAC" w:rsidP="00F079B1">
            <w:pPr>
              <w:spacing w:after="120" w:line="240" w:lineRule="auto"/>
              <w:jc w:val="both"/>
              <w:rPr>
                <w:rFonts w:asciiTheme="minorHAnsi" w:hAnsiTheme="minorHAnsi" w:cs="Arial"/>
                <w:color w:val="000000" w:themeColor="text1"/>
              </w:rPr>
            </w:pPr>
            <w:r w:rsidRPr="00F079B1">
              <w:rPr>
                <w:rFonts w:asciiTheme="minorHAnsi" w:hAnsiTheme="minorHAnsi" w:cs="Arial"/>
                <w:color w:val="000000" w:themeColor="text1"/>
              </w:rPr>
              <w:t>Důvodem řízení je umožnění splouvání Teplé Vltavy v NP Šumava. Ohroženy by tak v krajním případě mohly být případné intervence v rámci NP Šumava, především skrze OP ŽP.</w:t>
            </w:r>
          </w:p>
        </w:tc>
      </w:tr>
      <w:tr w:rsidR="001D4BAC" w:rsidTr="001D4BAC">
        <w:tc>
          <w:tcPr>
            <w:tcW w:w="1244" w:type="dxa"/>
            <w:vMerge/>
            <w:shd w:val="clear" w:color="auto" w:fill="95B3D7" w:themeFill="accent1" w:themeFillTint="99"/>
          </w:tcPr>
          <w:p w:rsidR="001D4BAC" w:rsidRDefault="001D4BAC" w:rsidP="002F116E">
            <w:pPr>
              <w:spacing w:after="60" w:line="276" w:lineRule="auto"/>
              <w:rPr>
                <w:rFonts w:asciiTheme="minorHAnsi" w:hAnsiTheme="minorHAnsi"/>
                <w:u w:val="single"/>
              </w:rPr>
            </w:pPr>
          </w:p>
        </w:tc>
        <w:tc>
          <w:tcPr>
            <w:tcW w:w="7934" w:type="dxa"/>
            <w:shd w:val="clear" w:color="auto" w:fill="FFFFFF" w:themeFill="background1"/>
          </w:tcPr>
          <w:p w:rsidR="001D4BAC" w:rsidRPr="00F079B1" w:rsidRDefault="001D4BAC" w:rsidP="00F079B1">
            <w:pPr>
              <w:spacing w:after="120" w:line="240" w:lineRule="auto"/>
              <w:jc w:val="both"/>
              <w:rPr>
                <w:rFonts w:asciiTheme="minorHAnsi" w:hAnsiTheme="minorHAnsi" w:cs="Arial"/>
                <w:color w:val="000000" w:themeColor="text1"/>
                <w:u w:val="single"/>
              </w:rPr>
            </w:pPr>
            <w:r w:rsidRPr="00F079B1">
              <w:rPr>
                <w:rFonts w:asciiTheme="minorHAnsi" w:hAnsiTheme="minorHAnsi" w:cs="Arial"/>
                <w:b/>
                <w:color w:val="000000" w:themeColor="text1"/>
                <w:u w:val="single"/>
              </w:rPr>
              <w:t>Směrnice Evropského parlamentu a Rady 2008/50/ES ze dne 21. května 2008</w:t>
            </w:r>
            <w:r w:rsidRPr="00F079B1">
              <w:rPr>
                <w:rFonts w:asciiTheme="minorHAnsi" w:hAnsiTheme="minorHAnsi" w:cs="Arial"/>
                <w:color w:val="000000" w:themeColor="text1"/>
                <w:u w:val="single"/>
              </w:rPr>
              <w:t xml:space="preserve"> </w:t>
            </w:r>
          </w:p>
          <w:p w:rsidR="001D4BAC" w:rsidRPr="00F079B1" w:rsidRDefault="001D4BAC" w:rsidP="00F079B1">
            <w:pPr>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Gesce MŽP</w:t>
            </w:r>
          </w:p>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u w:val="single"/>
              </w:rPr>
              <w:t>Řízení č. 2008/2186</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Typ porušení: chybná aplikace</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Stav řízení: formální upozornění</w:t>
            </w:r>
          </w:p>
          <w:p w:rsidR="001D4BAC" w:rsidRPr="00F079B1" w:rsidRDefault="001D4BAC" w:rsidP="00F079B1">
            <w:pPr>
              <w:spacing w:after="120" w:line="240" w:lineRule="auto"/>
              <w:jc w:val="both"/>
              <w:rPr>
                <w:rFonts w:asciiTheme="minorHAnsi" w:hAnsiTheme="minorHAnsi" w:cs="Arial"/>
                <w:color w:val="FF0000"/>
              </w:rPr>
            </w:pPr>
            <w:r w:rsidRPr="00F079B1">
              <w:rPr>
                <w:rFonts w:asciiTheme="minorHAnsi" w:hAnsiTheme="minorHAnsi" w:cs="Arial"/>
                <w:color w:val="FF0000"/>
              </w:rPr>
              <w:t xml:space="preserve">Stupeň relevance s předběžnou podmínkou TC 4: </w:t>
            </w:r>
            <w:r w:rsidRPr="00075F1B">
              <w:rPr>
                <w:rFonts w:asciiTheme="minorHAnsi" w:hAnsiTheme="minorHAnsi" w:cs="Arial"/>
                <w:b/>
                <w:color w:val="FF0000"/>
              </w:rPr>
              <w:t>2</w:t>
            </w:r>
          </w:p>
          <w:p w:rsidR="001D4BAC" w:rsidRPr="00F079B1" w:rsidRDefault="001D4BAC" w:rsidP="00F079B1">
            <w:pPr>
              <w:spacing w:after="120" w:line="240" w:lineRule="auto"/>
              <w:jc w:val="both"/>
              <w:rPr>
                <w:rFonts w:asciiTheme="minorHAnsi" w:hAnsiTheme="minorHAnsi" w:cs="Arial"/>
                <w:bCs/>
                <w:u w:val="single"/>
              </w:rPr>
            </w:pPr>
            <w:r w:rsidRPr="00F079B1">
              <w:rPr>
                <w:rFonts w:asciiTheme="minorHAnsi" w:hAnsiTheme="minorHAnsi" w:cs="Arial"/>
                <w:bCs/>
                <w:u w:val="single"/>
              </w:rPr>
              <w:t>Popis:</w:t>
            </w:r>
          </w:p>
          <w:p w:rsidR="001D4BAC" w:rsidRPr="00F079B1" w:rsidRDefault="001D4BAC" w:rsidP="00F079B1">
            <w:pPr>
              <w:spacing w:after="120" w:line="240" w:lineRule="auto"/>
              <w:jc w:val="both"/>
              <w:rPr>
                <w:rFonts w:asciiTheme="minorHAnsi" w:hAnsiTheme="minorHAnsi" w:cs="Arial"/>
                <w:color w:val="000000" w:themeColor="text1"/>
              </w:rPr>
            </w:pPr>
            <w:r w:rsidRPr="00F079B1">
              <w:rPr>
                <w:rFonts w:asciiTheme="minorHAnsi" w:hAnsiTheme="minorHAnsi" w:cs="Arial"/>
                <w:color w:val="000000" w:themeColor="text1"/>
              </w:rPr>
              <w:t>Řízení 2</w:t>
            </w:r>
            <w:r w:rsidRPr="00F079B1">
              <w:rPr>
                <w:rFonts w:asciiTheme="minorHAnsi" w:hAnsiTheme="minorHAnsi" w:cs="Arial"/>
              </w:rPr>
              <w:t xml:space="preserve">008/2186 kvůli překračování mezních limitů PM10 stanovených směrnicí </w:t>
            </w:r>
            <w:r w:rsidRPr="00F079B1">
              <w:rPr>
                <w:rFonts w:asciiTheme="minorHAnsi" w:hAnsiTheme="minorHAnsi" w:cs="Arial"/>
                <w:color w:val="000000" w:themeColor="text1"/>
              </w:rPr>
              <w:t>Evropského parlamentu a Rady 2008/50/ES o kvalitě vnějšího ovzduší a čistším ovzduší pro Evropu je nepřímo spojena s tematickými předběžnými podmínkami, které se váží na TC 4 Podpora přechodu na nízkouhlíkové hospodářství ve všech odvětvích, protože úspora energie či zvýšené využívání obnovitelných zdrojů energie bude mít mj. pozitivní dopad na kvalitu ovzduší.</w:t>
            </w:r>
          </w:p>
          <w:p w:rsidR="001D4BAC" w:rsidRPr="00F079B1" w:rsidRDefault="001D4BAC" w:rsidP="00F079B1">
            <w:pPr>
              <w:spacing w:after="120" w:line="240" w:lineRule="auto"/>
              <w:jc w:val="both"/>
              <w:rPr>
                <w:rFonts w:asciiTheme="minorHAnsi" w:hAnsiTheme="minorHAnsi" w:cs="Arial"/>
                <w:bCs/>
                <w:u w:val="single"/>
              </w:rPr>
            </w:pPr>
            <w:r w:rsidRPr="00F079B1">
              <w:rPr>
                <w:rFonts w:asciiTheme="minorHAnsi" w:hAnsiTheme="minorHAnsi" w:cs="Arial"/>
                <w:bCs/>
                <w:u w:val="single"/>
              </w:rPr>
              <w:t>Vazba na PP a OP:</w:t>
            </w:r>
          </w:p>
          <w:p w:rsidR="001D4BAC" w:rsidRPr="00F079B1" w:rsidRDefault="001D4BAC" w:rsidP="00F079B1">
            <w:pPr>
              <w:spacing w:after="120" w:line="240" w:lineRule="auto"/>
              <w:jc w:val="both"/>
              <w:rPr>
                <w:rFonts w:asciiTheme="minorHAnsi" w:hAnsiTheme="minorHAnsi" w:cs="Arial"/>
                <w:color w:val="000000" w:themeColor="text1"/>
              </w:rPr>
            </w:pPr>
            <w:r w:rsidRPr="00F079B1">
              <w:rPr>
                <w:rFonts w:asciiTheme="minorHAnsi" w:hAnsiTheme="minorHAnsi" w:cs="Arial"/>
                <w:color w:val="000000" w:themeColor="text1"/>
              </w:rPr>
              <w:t>Řízení se tematicky překrývá s OP ŽP prioritní osou 2: Zlepšování kvality ovzduší v lidských sídlech. A tematickým cílem TC 4.</w:t>
            </w:r>
          </w:p>
        </w:tc>
      </w:tr>
      <w:tr w:rsidR="001D4BAC" w:rsidTr="001D4BAC">
        <w:tc>
          <w:tcPr>
            <w:tcW w:w="1244" w:type="dxa"/>
            <w:vMerge/>
            <w:shd w:val="clear" w:color="auto" w:fill="95B3D7" w:themeFill="accent1" w:themeFillTint="99"/>
          </w:tcPr>
          <w:p w:rsidR="001D4BAC" w:rsidRDefault="001D4BAC" w:rsidP="002F116E">
            <w:pPr>
              <w:spacing w:after="60" w:line="276" w:lineRule="auto"/>
              <w:rPr>
                <w:rFonts w:asciiTheme="minorHAnsi" w:hAnsiTheme="minorHAnsi"/>
                <w:u w:val="single"/>
              </w:rPr>
            </w:pPr>
          </w:p>
        </w:tc>
        <w:tc>
          <w:tcPr>
            <w:tcW w:w="7934" w:type="dxa"/>
            <w:shd w:val="clear" w:color="auto" w:fill="FFFFFF" w:themeFill="background1"/>
          </w:tcPr>
          <w:p w:rsidR="001D4BAC" w:rsidRPr="00F079B1" w:rsidRDefault="001D4BAC" w:rsidP="00F079B1">
            <w:pPr>
              <w:spacing w:after="120" w:line="240" w:lineRule="auto"/>
              <w:jc w:val="both"/>
              <w:rPr>
                <w:rFonts w:asciiTheme="minorHAnsi" w:hAnsiTheme="minorHAnsi" w:cs="Arial"/>
                <w:color w:val="000000" w:themeColor="text1"/>
                <w:u w:val="single"/>
              </w:rPr>
            </w:pPr>
            <w:r w:rsidRPr="00F079B1">
              <w:rPr>
                <w:rFonts w:asciiTheme="minorHAnsi" w:hAnsiTheme="minorHAnsi" w:cs="Arial"/>
                <w:b/>
                <w:color w:val="000000" w:themeColor="text1"/>
                <w:u w:val="single"/>
              </w:rPr>
              <w:t>Směrnice Evropského parlamentu a Rady 2006/66/ES ze dne 6. září 2006</w:t>
            </w:r>
            <w:r w:rsidRPr="00F079B1">
              <w:rPr>
                <w:rFonts w:asciiTheme="minorHAnsi" w:hAnsiTheme="minorHAnsi" w:cs="Arial"/>
                <w:color w:val="000000" w:themeColor="text1"/>
                <w:u w:val="single"/>
              </w:rPr>
              <w:t xml:space="preserve"> </w:t>
            </w:r>
          </w:p>
          <w:p w:rsidR="001D4BAC" w:rsidRPr="00F079B1" w:rsidRDefault="001D4BAC" w:rsidP="00F079B1">
            <w:pPr>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Gesce MŽP</w:t>
            </w:r>
          </w:p>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u w:val="single"/>
              </w:rPr>
              <w:t>Řízení č. 2012/2061</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Typ porušení: chybná transpozice</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Stav řízení: formální upozornění</w:t>
            </w:r>
          </w:p>
          <w:p w:rsidR="001D4BAC" w:rsidRPr="00F079B1" w:rsidRDefault="001D4BAC" w:rsidP="00F079B1">
            <w:pPr>
              <w:spacing w:after="120" w:line="240" w:lineRule="auto"/>
              <w:jc w:val="both"/>
              <w:rPr>
                <w:rFonts w:asciiTheme="minorHAnsi" w:hAnsiTheme="minorHAnsi" w:cs="Arial"/>
                <w:color w:val="FF0000"/>
              </w:rPr>
            </w:pPr>
            <w:r w:rsidRPr="00F079B1">
              <w:rPr>
                <w:rFonts w:asciiTheme="minorHAnsi" w:hAnsiTheme="minorHAnsi" w:cs="Arial"/>
                <w:color w:val="FF0000"/>
              </w:rPr>
              <w:t xml:space="preserve">Stupeň relevance s předběžnou podmínkou TC 6.2: </w:t>
            </w:r>
            <w:r w:rsidRPr="00075F1B">
              <w:rPr>
                <w:rFonts w:asciiTheme="minorHAnsi" w:hAnsiTheme="minorHAnsi" w:cs="Arial"/>
                <w:b/>
                <w:color w:val="FF0000"/>
              </w:rPr>
              <w:t>3</w:t>
            </w:r>
          </w:p>
          <w:p w:rsidR="001D4BAC" w:rsidRPr="00F079B1" w:rsidRDefault="001D4BAC" w:rsidP="00F079B1">
            <w:pPr>
              <w:spacing w:after="120" w:line="240" w:lineRule="auto"/>
              <w:jc w:val="both"/>
              <w:rPr>
                <w:rFonts w:asciiTheme="minorHAnsi" w:hAnsiTheme="minorHAnsi" w:cs="Arial"/>
                <w:bCs/>
                <w:u w:val="single"/>
              </w:rPr>
            </w:pPr>
            <w:r w:rsidRPr="00F079B1">
              <w:rPr>
                <w:rFonts w:asciiTheme="minorHAnsi" w:hAnsiTheme="minorHAnsi" w:cs="Arial"/>
                <w:bCs/>
                <w:u w:val="single"/>
              </w:rPr>
              <w:t>Popis:</w:t>
            </w:r>
          </w:p>
          <w:p w:rsidR="001D4BAC" w:rsidRPr="00F079B1" w:rsidRDefault="001D4BAC" w:rsidP="00F079B1">
            <w:pPr>
              <w:spacing w:after="120" w:line="240" w:lineRule="auto"/>
              <w:jc w:val="both"/>
              <w:rPr>
                <w:rFonts w:asciiTheme="minorHAnsi" w:hAnsiTheme="minorHAnsi" w:cs="Arial"/>
                <w:bCs/>
              </w:rPr>
            </w:pPr>
            <w:r w:rsidRPr="00F079B1">
              <w:rPr>
                <w:rFonts w:asciiTheme="minorHAnsi" w:hAnsiTheme="minorHAnsi" w:cs="Arial"/>
              </w:rPr>
              <w:t>Řízení č. 2012/2061 kvůli nesprávné transpozici směrnice o bateriích a s</w:t>
            </w:r>
            <w:r w:rsidRPr="00F079B1">
              <w:rPr>
                <w:rFonts w:asciiTheme="minorHAnsi" w:hAnsiTheme="minorHAnsi" w:cs="Arial"/>
                <w:bCs/>
              </w:rPr>
              <w:t xml:space="preserve">měrnice Evropského parlamentu a Rady </w:t>
            </w:r>
            <w:r w:rsidRPr="00F079B1">
              <w:rPr>
                <w:rFonts w:asciiTheme="minorHAnsi" w:hAnsiTheme="minorHAnsi" w:cs="Arial"/>
                <w:color w:val="000000" w:themeColor="text1"/>
              </w:rPr>
              <w:t>2006/66/ES</w:t>
            </w:r>
            <w:r w:rsidRPr="00F079B1">
              <w:rPr>
                <w:rFonts w:asciiTheme="minorHAnsi" w:hAnsiTheme="minorHAnsi" w:cs="Arial"/>
                <w:bCs/>
              </w:rPr>
              <w:t xml:space="preserve"> o bateriích a akumulátorech a odpadních bateriích a akumulátorech ve své části týkající se zpracování odpadních baterií poměrně úzce souvisí s předběžnou podmínkou TC 6.2. Přímo se však jejího znění ani obsahu jejích kritérií splnění netýká.</w:t>
            </w:r>
          </w:p>
          <w:p w:rsidR="001D4BAC" w:rsidRPr="00F079B1" w:rsidRDefault="001D4BAC" w:rsidP="00F079B1">
            <w:pPr>
              <w:spacing w:after="120" w:line="240" w:lineRule="auto"/>
              <w:jc w:val="both"/>
              <w:rPr>
                <w:rFonts w:asciiTheme="minorHAnsi" w:hAnsiTheme="minorHAnsi" w:cs="Arial"/>
                <w:bCs/>
                <w:u w:val="single"/>
              </w:rPr>
            </w:pPr>
            <w:r w:rsidRPr="00F079B1">
              <w:rPr>
                <w:rFonts w:asciiTheme="minorHAnsi" w:hAnsiTheme="minorHAnsi" w:cs="Arial"/>
                <w:bCs/>
                <w:u w:val="single"/>
              </w:rPr>
              <w:t>Vazba na PP a OP:</w:t>
            </w:r>
          </w:p>
          <w:p w:rsidR="001D4BAC" w:rsidRPr="00F079B1" w:rsidRDefault="001D4BAC" w:rsidP="00F079B1">
            <w:pPr>
              <w:spacing w:after="120" w:line="240" w:lineRule="auto"/>
              <w:jc w:val="both"/>
              <w:rPr>
                <w:rFonts w:asciiTheme="minorHAnsi" w:hAnsiTheme="minorHAnsi" w:cs="Arial"/>
                <w:bCs/>
              </w:rPr>
            </w:pPr>
            <w:r w:rsidRPr="00F079B1">
              <w:rPr>
                <w:rFonts w:asciiTheme="minorHAnsi" w:hAnsiTheme="minorHAnsi" w:cs="Arial"/>
                <w:bCs/>
              </w:rPr>
              <w:t>Za silnou lze označit vazbu směrnice na OP ŽP a jeho celou prioritní oblast 3: Odpady a materiálové toky, ekologické zátěže a rizika a souvisí s T.C. 6.2.</w:t>
            </w:r>
          </w:p>
        </w:tc>
      </w:tr>
      <w:tr w:rsidR="001D4BAC" w:rsidTr="001D4BAC">
        <w:tc>
          <w:tcPr>
            <w:tcW w:w="1244" w:type="dxa"/>
            <w:vMerge/>
            <w:shd w:val="clear" w:color="auto" w:fill="95B3D7" w:themeFill="accent1" w:themeFillTint="99"/>
          </w:tcPr>
          <w:p w:rsidR="001D4BAC" w:rsidRDefault="001D4BAC" w:rsidP="002F116E">
            <w:pPr>
              <w:spacing w:after="60" w:line="276" w:lineRule="auto"/>
              <w:rPr>
                <w:rFonts w:asciiTheme="minorHAnsi" w:hAnsiTheme="minorHAnsi"/>
                <w:u w:val="single"/>
              </w:rPr>
            </w:pPr>
          </w:p>
        </w:tc>
        <w:tc>
          <w:tcPr>
            <w:tcW w:w="7934" w:type="dxa"/>
            <w:shd w:val="clear" w:color="auto" w:fill="FFFFFF" w:themeFill="background1"/>
          </w:tcPr>
          <w:p w:rsidR="001D4BAC" w:rsidRPr="00F079B1" w:rsidRDefault="001D4BAC" w:rsidP="00F079B1">
            <w:pPr>
              <w:spacing w:after="120" w:line="240" w:lineRule="auto"/>
              <w:jc w:val="both"/>
              <w:rPr>
                <w:rFonts w:asciiTheme="minorHAnsi" w:hAnsiTheme="minorHAnsi" w:cs="Arial"/>
                <w:color w:val="000000" w:themeColor="text1"/>
                <w:u w:val="single"/>
              </w:rPr>
            </w:pPr>
            <w:r w:rsidRPr="00F079B1">
              <w:rPr>
                <w:rFonts w:asciiTheme="minorHAnsi" w:hAnsiTheme="minorHAnsi" w:cs="Arial"/>
                <w:b/>
                <w:color w:val="000000" w:themeColor="text1"/>
                <w:u w:val="single"/>
              </w:rPr>
              <w:t>Směrnice Evropského parlamentu a Rady 2010/75/EU, o průmyslových emisích</w:t>
            </w:r>
            <w:r w:rsidRPr="00F079B1">
              <w:rPr>
                <w:rFonts w:asciiTheme="minorHAnsi" w:hAnsiTheme="minorHAnsi" w:cs="Arial"/>
                <w:color w:val="000000" w:themeColor="text1"/>
                <w:u w:val="single"/>
              </w:rPr>
              <w:t xml:space="preserve"> </w:t>
            </w:r>
          </w:p>
          <w:p w:rsidR="001D4BAC" w:rsidRPr="00F079B1" w:rsidRDefault="001D4BAC" w:rsidP="00F079B1">
            <w:pPr>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Gesce MŽP</w:t>
            </w:r>
          </w:p>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u w:val="single"/>
              </w:rPr>
              <w:t>Řízení č. 2013/0100</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Typ porušení: neprovedení notifikace</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Stav řízení: formální upozornění</w:t>
            </w:r>
          </w:p>
          <w:p w:rsidR="001D4BAC" w:rsidRPr="00F079B1" w:rsidRDefault="001D4BAC" w:rsidP="00F079B1">
            <w:pPr>
              <w:spacing w:after="120" w:line="240" w:lineRule="auto"/>
              <w:jc w:val="both"/>
              <w:rPr>
                <w:rFonts w:asciiTheme="minorHAnsi" w:hAnsiTheme="minorHAnsi" w:cs="Arial"/>
                <w:color w:val="FF0000"/>
              </w:rPr>
            </w:pPr>
            <w:r w:rsidRPr="00F079B1">
              <w:rPr>
                <w:rFonts w:asciiTheme="minorHAnsi" w:hAnsiTheme="minorHAnsi" w:cs="Arial"/>
                <w:color w:val="FF0000"/>
              </w:rPr>
              <w:t xml:space="preserve">Stupeň relevance s předběžnou podmínkou TC 4: </w:t>
            </w:r>
            <w:r w:rsidRPr="00075F1B">
              <w:rPr>
                <w:rFonts w:asciiTheme="minorHAnsi" w:hAnsiTheme="minorHAnsi" w:cs="Arial"/>
                <w:b/>
                <w:color w:val="FF0000"/>
              </w:rPr>
              <w:t>2</w:t>
            </w:r>
          </w:p>
          <w:p w:rsidR="001D4BAC" w:rsidRPr="00F079B1" w:rsidRDefault="001D4BAC" w:rsidP="00F079B1">
            <w:pPr>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Popis:</w:t>
            </w:r>
          </w:p>
          <w:p w:rsidR="001D4BAC" w:rsidRPr="00F079B1" w:rsidRDefault="001D4BAC" w:rsidP="00F079B1">
            <w:pPr>
              <w:spacing w:after="120" w:line="240" w:lineRule="auto"/>
              <w:jc w:val="both"/>
              <w:rPr>
                <w:rFonts w:asciiTheme="minorHAnsi" w:hAnsiTheme="minorHAnsi" w:cs="Arial"/>
                <w:color w:val="000000" w:themeColor="text1"/>
              </w:rPr>
            </w:pPr>
            <w:r w:rsidRPr="00F079B1">
              <w:rPr>
                <w:rFonts w:asciiTheme="minorHAnsi" w:hAnsiTheme="minorHAnsi" w:cs="Arial"/>
                <w:color w:val="000000" w:themeColor="text1"/>
              </w:rPr>
              <w:t xml:space="preserve">Směrnice Evropského parlamentu a Rady 2010/75/EU o průmyslových emisích, o jejíž transpozici EK nedostala za strany ČR jasné a dostatečné informace, souvisí s TC 4 Podpora přechodu na nízkouhlíkové hospodářství. </w:t>
            </w:r>
          </w:p>
          <w:p w:rsidR="001D4BAC" w:rsidRPr="00F079B1" w:rsidRDefault="001D4BAC" w:rsidP="00F079B1">
            <w:pPr>
              <w:spacing w:after="120" w:line="240" w:lineRule="auto"/>
              <w:jc w:val="both"/>
              <w:rPr>
                <w:rFonts w:asciiTheme="minorHAnsi" w:hAnsiTheme="minorHAnsi" w:cs="Arial"/>
                <w:bCs/>
                <w:u w:val="single"/>
              </w:rPr>
            </w:pPr>
            <w:r w:rsidRPr="00F079B1">
              <w:rPr>
                <w:rFonts w:asciiTheme="minorHAnsi" w:hAnsiTheme="minorHAnsi" w:cs="Arial"/>
                <w:bCs/>
                <w:u w:val="single"/>
              </w:rPr>
              <w:t>Vazba na PP a OP:</w:t>
            </w:r>
          </w:p>
          <w:p w:rsidR="001D4BAC" w:rsidRPr="00F079B1" w:rsidRDefault="001D4BAC" w:rsidP="00F079B1">
            <w:pPr>
              <w:spacing w:after="120" w:line="240" w:lineRule="auto"/>
              <w:jc w:val="both"/>
              <w:rPr>
                <w:rFonts w:asciiTheme="minorHAnsi" w:hAnsiTheme="minorHAnsi" w:cs="Arial"/>
                <w:color w:val="000000" w:themeColor="text1"/>
              </w:rPr>
            </w:pPr>
            <w:r w:rsidRPr="00F079B1">
              <w:rPr>
                <w:rFonts w:asciiTheme="minorHAnsi" w:hAnsiTheme="minorHAnsi" w:cs="Arial"/>
                <w:color w:val="000000" w:themeColor="text1"/>
              </w:rPr>
              <w:t>Při detailnějším zkoumání ale směrnice nevykazuje přímý soulad s předběžnými podmínkami 4.1, 4,2 a 4,3 a jejich kritérii splnění. Relevance s předběžnou podmínkou lze tedy hodnotit stupněm 2. Směrnice rovněž disponuje vazbou na programy. U OPŽP lze definovat vazbu na specifický cíl 2.1. Snížit celkovou expozici obyvatelstva, ekosystemů a vegetace nadlimitními koncentracemi znečišťujících látek. Zlepšování kvality ovzduší v lidských sídlech. U OP PIK lze poznamenat vazbu na specifický cíl 3.2 - Snižování energetické náročnosti podnikatelského sektoru a rozvíjení energetických služeb.</w:t>
            </w:r>
          </w:p>
        </w:tc>
      </w:tr>
      <w:tr w:rsidR="001D4BAC" w:rsidTr="001D4BAC">
        <w:tc>
          <w:tcPr>
            <w:tcW w:w="1244" w:type="dxa"/>
            <w:vMerge/>
            <w:shd w:val="clear" w:color="auto" w:fill="95B3D7" w:themeFill="accent1" w:themeFillTint="99"/>
          </w:tcPr>
          <w:p w:rsidR="001D4BAC" w:rsidRDefault="001D4BAC" w:rsidP="002F116E">
            <w:pPr>
              <w:spacing w:after="60" w:line="276" w:lineRule="auto"/>
              <w:rPr>
                <w:rFonts w:asciiTheme="minorHAnsi" w:hAnsiTheme="minorHAnsi"/>
                <w:u w:val="single"/>
              </w:rPr>
            </w:pPr>
          </w:p>
        </w:tc>
        <w:tc>
          <w:tcPr>
            <w:tcW w:w="7934" w:type="dxa"/>
            <w:shd w:val="clear" w:color="auto" w:fill="FFFFFF" w:themeFill="background1"/>
          </w:tcPr>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b/>
                <w:color w:val="000000" w:themeColor="text1"/>
                <w:u w:val="single"/>
              </w:rPr>
              <w:t>Směrnice 2011/92/EU, o posuzování vlivů některých veřejných a soukromých záměrů na životní prostředí (EIA)</w:t>
            </w:r>
            <w:r w:rsidRPr="00F079B1">
              <w:rPr>
                <w:rFonts w:asciiTheme="minorHAnsi" w:hAnsiTheme="minorHAnsi" w:cs="Arial"/>
                <w:color w:val="000000" w:themeColor="text1"/>
                <w:u w:val="single"/>
              </w:rPr>
              <w:t xml:space="preserve"> </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Gesce MŽP</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rPr>
            </w:pPr>
            <w:r w:rsidRPr="00F079B1">
              <w:rPr>
                <w:rFonts w:asciiTheme="minorHAnsi" w:hAnsiTheme="minorHAnsi" w:cs="Arial"/>
                <w:color w:val="000000" w:themeColor="text1"/>
                <w:u w:val="single"/>
              </w:rPr>
              <w:t>Řízení č. 2013/2048</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Typ porušení: chybná transpozice</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Stav řízení: formální upozornění</w:t>
            </w:r>
          </w:p>
          <w:p w:rsidR="001D4BAC" w:rsidRPr="00F079B1" w:rsidRDefault="001D4BAC" w:rsidP="00F079B1">
            <w:pPr>
              <w:spacing w:after="120" w:line="240" w:lineRule="auto"/>
              <w:jc w:val="both"/>
              <w:rPr>
                <w:rFonts w:asciiTheme="minorHAnsi" w:hAnsiTheme="minorHAnsi" w:cs="Arial"/>
                <w:color w:val="FF0000"/>
              </w:rPr>
            </w:pPr>
            <w:r w:rsidRPr="00F079B1">
              <w:rPr>
                <w:rFonts w:asciiTheme="minorHAnsi" w:hAnsiTheme="minorHAnsi" w:cs="Arial"/>
                <w:color w:val="FF0000"/>
              </w:rPr>
              <w:t xml:space="preserve">Stupeň relevance s obecnou předběžnou podmínkou č. 6: </w:t>
            </w:r>
            <w:r w:rsidRPr="00075F1B">
              <w:rPr>
                <w:rFonts w:asciiTheme="minorHAnsi" w:hAnsiTheme="minorHAnsi" w:cs="Arial"/>
                <w:b/>
                <w:color w:val="FF0000"/>
              </w:rPr>
              <w:t>5</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Popis:</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rPr>
            </w:pPr>
            <w:r w:rsidRPr="00F079B1">
              <w:rPr>
                <w:rFonts w:asciiTheme="minorHAnsi" w:hAnsiTheme="minorHAnsi" w:cs="Arial"/>
                <w:color w:val="000000" w:themeColor="text1"/>
              </w:rPr>
              <w:t>Směrnice Evropského parlamentu a Rady 2011/92/EU, o posuzování vlivů některých veřejných a soukromých záměrů na životní prostředí (EIA). Dle názoru EK nejsou některá ustanovení směrnice do vnitrostátního právního řádu správně provedena. Dále je vytýkáno, že ČR v rozporu s článkem 13 směrnice EIA neoznámila některé z vnitrostátních právních aktů, na něž se tato směrnice vztahuje.</w:t>
            </w:r>
          </w:p>
          <w:p w:rsidR="001D4BAC" w:rsidRPr="00F079B1" w:rsidRDefault="001D4BAC" w:rsidP="00F079B1">
            <w:pPr>
              <w:spacing w:after="120" w:line="240" w:lineRule="auto"/>
              <w:jc w:val="both"/>
              <w:rPr>
                <w:rFonts w:asciiTheme="minorHAnsi" w:hAnsiTheme="minorHAnsi" w:cs="Arial"/>
                <w:bCs/>
                <w:u w:val="single"/>
              </w:rPr>
            </w:pPr>
            <w:r w:rsidRPr="00F079B1">
              <w:rPr>
                <w:rFonts w:asciiTheme="minorHAnsi" w:hAnsiTheme="minorHAnsi" w:cs="Arial"/>
                <w:bCs/>
                <w:u w:val="single"/>
              </w:rPr>
              <w:t>Vazba na PP a OP:</w:t>
            </w:r>
          </w:p>
          <w:p w:rsidR="001D4BAC" w:rsidRPr="00F079B1" w:rsidRDefault="001D4BAC" w:rsidP="00F079B1">
            <w:pPr>
              <w:autoSpaceDE w:val="0"/>
              <w:autoSpaceDN w:val="0"/>
              <w:adjustRightInd w:val="0"/>
              <w:spacing w:after="120" w:line="240" w:lineRule="auto"/>
              <w:jc w:val="both"/>
              <w:rPr>
                <w:rFonts w:asciiTheme="minorHAnsi" w:hAnsiTheme="minorHAnsi" w:cs="Arial"/>
              </w:rPr>
            </w:pPr>
            <w:r w:rsidRPr="00F079B1">
              <w:rPr>
                <w:rFonts w:asciiTheme="minorHAnsi" w:hAnsiTheme="minorHAnsi" w:cs="Arial"/>
              </w:rPr>
              <w:t>Směrnice EIA je definována v návrhu nařízení pro fondy SSR jako jedna z předběžných podmínek. Konkrétně se jedná o obecnou podmínku č. 6 - Právní předpisy pro oblast životního prostředí týkající se posuzování vlivů na životní prostředí (EIA) a strategického posuzování vlivů na životní prostředí (SEA). Řízení má jednoznačný vliv na plnění předběžné podmínky, až do doby jeho ukončení. OP 6 má vliv na operační programy s vazbou na infrastrukturní projekty: OPŽP, OPPIK, OPPPR, OPD, IROP.</w:t>
            </w:r>
          </w:p>
        </w:tc>
      </w:tr>
      <w:tr w:rsidR="001D4BAC" w:rsidTr="001D4BAC">
        <w:tc>
          <w:tcPr>
            <w:tcW w:w="1244" w:type="dxa"/>
            <w:vMerge/>
            <w:shd w:val="clear" w:color="auto" w:fill="95B3D7" w:themeFill="accent1" w:themeFillTint="99"/>
          </w:tcPr>
          <w:p w:rsidR="001D4BAC" w:rsidRDefault="001D4BAC" w:rsidP="002F116E">
            <w:pPr>
              <w:spacing w:after="60" w:line="276" w:lineRule="auto"/>
              <w:rPr>
                <w:rFonts w:asciiTheme="minorHAnsi" w:hAnsiTheme="minorHAnsi"/>
                <w:u w:val="single"/>
              </w:rPr>
            </w:pPr>
          </w:p>
        </w:tc>
        <w:tc>
          <w:tcPr>
            <w:tcW w:w="7934" w:type="dxa"/>
            <w:shd w:val="clear" w:color="auto" w:fill="FFFFFF" w:themeFill="background1"/>
          </w:tcPr>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b/>
                <w:u w:val="single"/>
              </w:rPr>
              <w:t>Směrnice č. 2006/32/ES o energetické účinnosti u konečného uživatele</w:t>
            </w:r>
            <w:r w:rsidRPr="00F079B1">
              <w:rPr>
                <w:rFonts w:asciiTheme="minorHAnsi" w:hAnsiTheme="minorHAnsi" w:cs="Arial"/>
                <w:u w:val="single"/>
              </w:rPr>
              <w:t xml:space="preserve"> </w:t>
            </w:r>
          </w:p>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u w:val="single"/>
              </w:rPr>
              <w:t>Gesce MPO</w:t>
            </w:r>
          </w:p>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u w:val="single"/>
              </w:rPr>
              <w:t>Řízení č. 2013/4007</w:t>
            </w:r>
          </w:p>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u w:val="single"/>
              </w:rPr>
              <w:t>Typ porušení: chybná transpozice</w:t>
            </w:r>
          </w:p>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u w:val="single"/>
              </w:rPr>
              <w:t>Stav řízení: formální upozornění</w:t>
            </w:r>
          </w:p>
          <w:p w:rsidR="001D4BAC" w:rsidRPr="00075F1B" w:rsidRDefault="001D4BAC" w:rsidP="00F079B1">
            <w:pPr>
              <w:spacing w:after="120" w:line="240" w:lineRule="auto"/>
              <w:jc w:val="both"/>
              <w:rPr>
                <w:rFonts w:asciiTheme="minorHAnsi" w:hAnsiTheme="minorHAnsi" w:cs="Arial"/>
                <w:b/>
                <w:color w:val="FF0000"/>
              </w:rPr>
            </w:pPr>
            <w:r w:rsidRPr="00F079B1">
              <w:rPr>
                <w:rFonts w:asciiTheme="minorHAnsi" w:hAnsiTheme="minorHAnsi" w:cs="Arial"/>
                <w:color w:val="FF0000"/>
              </w:rPr>
              <w:t xml:space="preserve">Stupeň relevance s předběžnou podmínkou T.C. 4.1: </w:t>
            </w:r>
            <w:r w:rsidRPr="00075F1B">
              <w:rPr>
                <w:rFonts w:asciiTheme="minorHAnsi" w:hAnsiTheme="minorHAnsi" w:cs="Arial"/>
                <w:b/>
                <w:color w:val="FF0000"/>
              </w:rPr>
              <w:t>5</w:t>
            </w:r>
          </w:p>
          <w:p w:rsidR="001D4BAC" w:rsidRPr="00F079B1" w:rsidRDefault="001D4BAC" w:rsidP="00F079B1">
            <w:pPr>
              <w:autoSpaceDE w:val="0"/>
              <w:autoSpaceDN w:val="0"/>
              <w:adjustRightInd w:val="0"/>
              <w:spacing w:after="120" w:line="240" w:lineRule="auto"/>
              <w:jc w:val="both"/>
              <w:rPr>
                <w:rFonts w:asciiTheme="minorHAnsi" w:hAnsiTheme="minorHAnsi" w:cs="Arial"/>
              </w:rPr>
            </w:pPr>
            <w:r w:rsidRPr="00F079B1">
              <w:rPr>
                <w:rFonts w:asciiTheme="minorHAnsi" w:hAnsiTheme="minorHAnsi" w:cs="Arial"/>
              </w:rPr>
              <w:t xml:space="preserve">EK vytýká ČR, že vnitrostátní právní předpisy netransponují řádně článek 13 směrnice, měření spotřeby energie a informativní vyúčtování. </w:t>
            </w:r>
          </w:p>
          <w:p w:rsidR="001D4BAC" w:rsidRPr="00F079B1" w:rsidRDefault="001D4BAC" w:rsidP="00F079B1">
            <w:pPr>
              <w:spacing w:after="120" w:line="240" w:lineRule="auto"/>
              <w:jc w:val="both"/>
              <w:rPr>
                <w:rFonts w:asciiTheme="minorHAnsi" w:hAnsiTheme="minorHAnsi" w:cs="Arial"/>
                <w:bCs/>
                <w:u w:val="single"/>
              </w:rPr>
            </w:pPr>
            <w:r w:rsidRPr="00F079B1">
              <w:rPr>
                <w:rFonts w:asciiTheme="minorHAnsi" w:hAnsiTheme="minorHAnsi" w:cs="Arial"/>
                <w:bCs/>
                <w:u w:val="single"/>
              </w:rPr>
              <w:t>Vazba na PP a OP:</w:t>
            </w:r>
          </w:p>
          <w:p w:rsidR="001D4BAC" w:rsidRPr="00F079B1" w:rsidRDefault="001D4BAC" w:rsidP="00F079B1">
            <w:pPr>
              <w:autoSpaceDE w:val="0"/>
              <w:autoSpaceDN w:val="0"/>
              <w:adjustRightInd w:val="0"/>
              <w:spacing w:after="120" w:line="240" w:lineRule="auto"/>
              <w:jc w:val="both"/>
              <w:rPr>
                <w:rFonts w:asciiTheme="minorHAnsi" w:hAnsiTheme="minorHAnsi" w:cs="Arial"/>
              </w:rPr>
            </w:pPr>
            <w:r w:rsidRPr="00F079B1">
              <w:rPr>
                <w:rFonts w:asciiTheme="minorHAnsi" w:hAnsiTheme="minorHAnsi" w:cs="Arial"/>
              </w:rPr>
              <w:t xml:space="preserve">Toto řízení má přímou vazbu na TC4, PP 4.1. Energetická účinnost, v němž je explicitně požadováno provedení směrnice do vnitrostátního právního řádu. Řízení má přímou vazbu na OP PIK: na TC 4 je navázána prioritní osu 3 Udržitelné hospodaření s energií, podpora OZE a rozvoj inovací v energetice, přímo energetických úspor se týká SC 3.2 - Snižování energetické náročnosti podnikatelského sektoru a rozvíjení energetických služeb. OP ŽP: energetických úspor se týká prioritní osa 5 Energetické úspory, specifický cíl 5.1 Snížit energetickou náročnost u budov a u veřejného osvětlení, OP PPR: na TC 4 navázána celá prioritní osa 3 </w:t>
            </w:r>
            <w:r w:rsidRPr="00F079B1">
              <w:rPr>
                <w:rFonts w:asciiTheme="minorHAnsi" w:hAnsiTheme="minorHAnsi" w:cs="Arial"/>
                <w:bCs/>
              </w:rPr>
              <w:t>Udržitelná mobilita a energetické úspory, přímo energetické úspory se týkají specifického cíl 3.1 Energetické úspory v městských objektech dosažené také s využitím vhodných obnovitelných zdrojů energie nebo jiných energeticky efektivních zařízení.</w:t>
            </w:r>
            <w:r w:rsidRPr="00F079B1">
              <w:rPr>
                <w:rFonts w:asciiTheme="minorHAnsi" w:hAnsiTheme="minorHAnsi" w:cs="Arial"/>
              </w:rPr>
              <w:t xml:space="preserve"> IROP: část prioritní osy 1 Zvýšení konkurenceschopnosti v území, konkrétně specifické cíle: 1.9 Snížení energetické náročnosti v sektoru bydlení, 1.10 Snížení energetické náročnosti ve veřejných budovách, 1.11 Nastavené kvalitní strategické plánování sloužící k efektivnímu řízení investic v oblasti nakládání s energií.</w:t>
            </w:r>
          </w:p>
        </w:tc>
      </w:tr>
      <w:tr w:rsidR="001D4BAC" w:rsidTr="001D4BAC">
        <w:tc>
          <w:tcPr>
            <w:tcW w:w="1244" w:type="dxa"/>
            <w:vMerge/>
            <w:shd w:val="clear" w:color="auto" w:fill="95B3D7" w:themeFill="accent1" w:themeFillTint="99"/>
          </w:tcPr>
          <w:p w:rsidR="001D4BAC" w:rsidRDefault="001D4BAC" w:rsidP="002F116E">
            <w:pPr>
              <w:spacing w:after="60" w:line="276" w:lineRule="auto"/>
              <w:rPr>
                <w:rFonts w:asciiTheme="minorHAnsi" w:hAnsiTheme="minorHAnsi"/>
                <w:u w:val="single"/>
              </w:rPr>
            </w:pPr>
          </w:p>
        </w:tc>
        <w:tc>
          <w:tcPr>
            <w:tcW w:w="7934" w:type="dxa"/>
            <w:shd w:val="clear" w:color="auto" w:fill="FFFFFF" w:themeFill="background1"/>
          </w:tcPr>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b/>
                <w:u w:val="single"/>
              </w:rPr>
              <w:t>Směrnice č. 2009/28/ES, o podpoře využívání energie z obnovitelných zdrojů</w:t>
            </w:r>
            <w:r w:rsidRPr="00F079B1">
              <w:rPr>
                <w:rFonts w:asciiTheme="minorHAnsi" w:hAnsiTheme="minorHAnsi" w:cs="Arial"/>
                <w:u w:val="single"/>
              </w:rPr>
              <w:t xml:space="preserve"> </w:t>
            </w:r>
          </w:p>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u w:val="single"/>
              </w:rPr>
              <w:t>Gesce MPO</w:t>
            </w:r>
          </w:p>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u w:val="single"/>
              </w:rPr>
              <w:t>Řízení č. 2012/2154</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Typ porušení: chybná aplikace</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Stav řízení: formální upozornění</w:t>
            </w:r>
          </w:p>
          <w:p w:rsidR="001D4BAC" w:rsidRPr="00F079B1" w:rsidRDefault="001D4BAC" w:rsidP="00F079B1">
            <w:pPr>
              <w:spacing w:after="120" w:line="240" w:lineRule="auto"/>
              <w:jc w:val="both"/>
              <w:rPr>
                <w:rFonts w:asciiTheme="minorHAnsi" w:hAnsiTheme="minorHAnsi" w:cs="Arial"/>
                <w:color w:val="FF0000"/>
              </w:rPr>
            </w:pPr>
            <w:r w:rsidRPr="00F079B1">
              <w:rPr>
                <w:rFonts w:asciiTheme="minorHAnsi" w:hAnsiTheme="minorHAnsi" w:cs="Arial"/>
                <w:color w:val="FF0000"/>
              </w:rPr>
              <w:t xml:space="preserve">Stupeň relevance s předběžnou podmínkou T.C. 4.3: </w:t>
            </w:r>
            <w:r w:rsidRPr="00075F1B">
              <w:rPr>
                <w:rFonts w:asciiTheme="minorHAnsi" w:hAnsiTheme="minorHAnsi" w:cs="Arial"/>
                <w:b/>
                <w:color w:val="FF0000"/>
              </w:rPr>
              <w:t>5</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Popis:</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rPr>
            </w:pPr>
            <w:r w:rsidRPr="00F079B1">
              <w:rPr>
                <w:rFonts w:asciiTheme="minorHAnsi" w:hAnsiTheme="minorHAnsi" w:cs="Arial"/>
                <w:color w:val="000000" w:themeColor="text1"/>
              </w:rPr>
              <w:t xml:space="preserve">EK namítá nesplnění povinností, které ČR vyplývají z čl. 4 odst 1 směrnice, a to tím, že nepřijala a neoznámila Národní akční plán pro energii z obnovitelných zdrojů. </w:t>
            </w:r>
          </w:p>
          <w:p w:rsidR="001D4BAC" w:rsidRPr="00F079B1" w:rsidRDefault="001D4BAC" w:rsidP="00F079B1">
            <w:pPr>
              <w:spacing w:after="120" w:line="240" w:lineRule="auto"/>
              <w:jc w:val="both"/>
              <w:rPr>
                <w:rFonts w:asciiTheme="minorHAnsi" w:hAnsiTheme="minorHAnsi" w:cs="Arial"/>
                <w:bCs/>
                <w:u w:val="single"/>
              </w:rPr>
            </w:pPr>
            <w:r w:rsidRPr="00F079B1">
              <w:rPr>
                <w:rFonts w:asciiTheme="minorHAnsi" w:hAnsiTheme="minorHAnsi" w:cs="Arial"/>
                <w:bCs/>
                <w:u w:val="single"/>
              </w:rPr>
              <w:t>Vazba na PP a OP:</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rPr>
            </w:pPr>
            <w:r w:rsidRPr="00F079B1">
              <w:rPr>
                <w:rFonts w:asciiTheme="minorHAnsi" w:hAnsiTheme="minorHAnsi" w:cs="Arial"/>
                <w:color w:val="000000" w:themeColor="text1"/>
              </w:rPr>
              <w:t>Tato směrnice a povinnost realizovat předložit NAP OZ je přimo definovaným kriteriem tematické PP 4.3. a má tedy přímou vazbu na OP PIK, OP ŽP, OP PPR.</w:t>
            </w:r>
          </w:p>
          <w:p w:rsidR="001D4BAC" w:rsidRPr="00F079B1" w:rsidRDefault="001D4BAC" w:rsidP="00F079B1">
            <w:pPr>
              <w:autoSpaceDE w:val="0"/>
              <w:autoSpaceDN w:val="0"/>
              <w:adjustRightInd w:val="0"/>
              <w:spacing w:after="120" w:line="240" w:lineRule="auto"/>
              <w:jc w:val="both"/>
              <w:rPr>
                <w:rFonts w:asciiTheme="minorHAnsi" w:hAnsiTheme="minorHAnsi" w:cs="Arial"/>
              </w:rPr>
            </w:pPr>
            <w:r w:rsidRPr="00F079B1">
              <w:rPr>
                <w:rFonts w:asciiTheme="minorHAnsi" w:hAnsiTheme="minorHAnsi" w:cs="Arial"/>
              </w:rPr>
              <w:t xml:space="preserve">Přímé spojení na OZE má v rámci OP PIK specifický cíl 3.1 Zvýšení podílu výroby energie z OZE v rámci energetického mixu ČR. Celá prioritní osa 3 Udržitelné hospodaření s energií, podpora OZE a rozvoj inovací v energetice OP PIK je pak navázána na TC 4. V rámci OP ŽP je na TC 4 vázána prioritní osa 5 Energetické úspory, není však spojena s OZE. Vazbu na TC 4 má i IROP (konkrétně SC 1.9, 1.10, 1.11), stejně jako v případě MŽP se netýká OZE. V rámci OP Praha je na TC 4 navázána celá prioritní osa 3 </w:t>
            </w:r>
            <w:r w:rsidRPr="00F079B1">
              <w:rPr>
                <w:rFonts w:asciiTheme="minorHAnsi" w:hAnsiTheme="minorHAnsi" w:cs="Arial"/>
                <w:bCs/>
              </w:rPr>
              <w:t>Udržitelná mobilita a energetické úspory, přímo OZE se částečně týká specifický cíl 3.1 Energetické úspory v městských objektech dosažené také s využitím vhodných obnovitelných zdrojů energie nebo jiných energeticky efektivních zařízení.</w:t>
            </w:r>
          </w:p>
        </w:tc>
      </w:tr>
      <w:tr w:rsidR="001D4BAC" w:rsidTr="001D4BAC">
        <w:tc>
          <w:tcPr>
            <w:tcW w:w="1244" w:type="dxa"/>
            <w:vMerge/>
            <w:tcBorders>
              <w:bottom w:val="single" w:sz="4" w:space="0" w:color="auto"/>
            </w:tcBorders>
            <w:shd w:val="clear" w:color="auto" w:fill="95B3D7" w:themeFill="accent1" w:themeFillTint="99"/>
          </w:tcPr>
          <w:p w:rsidR="001D4BAC" w:rsidRDefault="001D4BAC" w:rsidP="002F116E">
            <w:pPr>
              <w:spacing w:after="60" w:line="276" w:lineRule="auto"/>
              <w:rPr>
                <w:rFonts w:asciiTheme="minorHAnsi" w:hAnsiTheme="minorHAnsi"/>
                <w:u w:val="single"/>
              </w:rPr>
            </w:pPr>
          </w:p>
        </w:tc>
        <w:tc>
          <w:tcPr>
            <w:tcW w:w="7934" w:type="dxa"/>
            <w:tcBorders>
              <w:bottom w:val="single" w:sz="4" w:space="0" w:color="auto"/>
            </w:tcBorders>
            <w:shd w:val="clear" w:color="auto" w:fill="FFFFFF" w:themeFill="background1"/>
          </w:tcPr>
          <w:p w:rsidR="001D4BAC" w:rsidRPr="00F079B1" w:rsidRDefault="001D4BAC" w:rsidP="00F079B1">
            <w:pPr>
              <w:autoSpaceDE w:val="0"/>
              <w:autoSpaceDN w:val="0"/>
              <w:adjustRightInd w:val="0"/>
              <w:spacing w:after="120" w:line="240" w:lineRule="auto"/>
              <w:jc w:val="both"/>
              <w:rPr>
                <w:rFonts w:asciiTheme="minorHAnsi" w:hAnsiTheme="minorHAnsi" w:cs="Arial"/>
                <w:b/>
                <w:u w:val="single"/>
              </w:rPr>
            </w:pPr>
            <w:r w:rsidRPr="00F079B1">
              <w:rPr>
                <w:rFonts w:asciiTheme="minorHAnsi" w:hAnsiTheme="minorHAnsi" w:cs="Arial"/>
                <w:b/>
                <w:u w:val="single"/>
              </w:rPr>
              <w:t xml:space="preserve">Směrnice Evropského parlamentu a Rady č. 2010/31/EU o energetické náročnosti budov </w:t>
            </w:r>
          </w:p>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u w:val="single"/>
              </w:rPr>
              <w:t>Gesce MPO</w:t>
            </w:r>
          </w:p>
          <w:p w:rsidR="001D4BAC" w:rsidRPr="00F079B1" w:rsidRDefault="001D4BAC" w:rsidP="00F079B1">
            <w:pPr>
              <w:autoSpaceDE w:val="0"/>
              <w:autoSpaceDN w:val="0"/>
              <w:adjustRightInd w:val="0"/>
              <w:spacing w:after="120" w:line="240" w:lineRule="auto"/>
              <w:jc w:val="both"/>
              <w:rPr>
                <w:rFonts w:asciiTheme="minorHAnsi" w:hAnsiTheme="minorHAnsi" w:cs="Arial"/>
                <w:u w:val="single"/>
              </w:rPr>
            </w:pPr>
            <w:r w:rsidRPr="00F079B1">
              <w:rPr>
                <w:rFonts w:asciiTheme="minorHAnsi" w:hAnsiTheme="minorHAnsi" w:cs="Arial"/>
                <w:u w:val="single"/>
              </w:rPr>
              <w:t>Řízení č. 2012/0335</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Typ porušení: neprovedení notifikace</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Stav řízení: formální upozornění</w:t>
            </w:r>
          </w:p>
          <w:p w:rsidR="001D4BAC" w:rsidRPr="00F079B1" w:rsidRDefault="001D4BAC" w:rsidP="00F079B1">
            <w:pPr>
              <w:spacing w:after="120" w:line="240" w:lineRule="auto"/>
              <w:jc w:val="both"/>
              <w:rPr>
                <w:rFonts w:asciiTheme="minorHAnsi" w:hAnsiTheme="minorHAnsi" w:cs="Arial"/>
                <w:color w:val="FF0000"/>
              </w:rPr>
            </w:pPr>
            <w:r w:rsidRPr="00F079B1">
              <w:rPr>
                <w:rFonts w:asciiTheme="minorHAnsi" w:hAnsiTheme="minorHAnsi" w:cs="Arial"/>
                <w:color w:val="FF0000"/>
              </w:rPr>
              <w:t xml:space="preserve">Stupeň relevance s předběžnou podmínkou T.C. 4.1: </w:t>
            </w:r>
            <w:r w:rsidRPr="008102CB">
              <w:rPr>
                <w:rFonts w:asciiTheme="minorHAnsi" w:hAnsiTheme="minorHAnsi" w:cs="Arial"/>
                <w:b/>
                <w:bCs/>
                <w:color w:val="FF0000"/>
              </w:rPr>
              <w:t>5</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u w:val="single"/>
              </w:rPr>
            </w:pPr>
            <w:r w:rsidRPr="00F079B1">
              <w:rPr>
                <w:rFonts w:asciiTheme="minorHAnsi" w:hAnsiTheme="minorHAnsi" w:cs="Arial"/>
                <w:color w:val="000000" w:themeColor="text1"/>
                <w:u w:val="single"/>
              </w:rPr>
              <w:t>Popis:</w:t>
            </w:r>
          </w:p>
          <w:p w:rsidR="001D4BAC" w:rsidRPr="00F079B1" w:rsidRDefault="001D4BAC" w:rsidP="00F079B1">
            <w:pPr>
              <w:autoSpaceDE w:val="0"/>
              <w:autoSpaceDN w:val="0"/>
              <w:adjustRightInd w:val="0"/>
              <w:spacing w:after="120" w:line="240" w:lineRule="auto"/>
              <w:jc w:val="both"/>
              <w:rPr>
                <w:rFonts w:asciiTheme="minorHAnsi" w:hAnsiTheme="minorHAnsi" w:cs="Arial"/>
                <w:color w:val="000000" w:themeColor="text1"/>
              </w:rPr>
            </w:pPr>
            <w:r w:rsidRPr="00F079B1">
              <w:rPr>
                <w:rFonts w:asciiTheme="minorHAnsi" w:hAnsiTheme="minorHAnsi" w:cs="Arial"/>
                <w:color w:val="000000" w:themeColor="text1"/>
              </w:rPr>
              <w:t xml:space="preserve">EK vytýká ČR, že nebyla v řádném termínu dokončena transpozice směrnice o energetické náročnosti budov. Dokončení transpozice závisí na přijetí 4 prováděcích předpisů. </w:t>
            </w:r>
          </w:p>
          <w:p w:rsidR="001D4BAC" w:rsidRPr="00F079B1" w:rsidRDefault="001D4BAC" w:rsidP="00F079B1">
            <w:pPr>
              <w:spacing w:after="120" w:line="240" w:lineRule="auto"/>
              <w:jc w:val="both"/>
              <w:rPr>
                <w:rFonts w:asciiTheme="minorHAnsi" w:hAnsiTheme="minorHAnsi" w:cs="Arial"/>
                <w:bCs/>
                <w:u w:val="single"/>
              </w:rPr>
            </w:pPr>
            <w:r w:rsidRPr="00F079B1">
              <w:rPr>
                <w:rFonts w:asciiTheme="minorHAnsi" w:hAnsiTheme="minorHAnsi" w:cs="Arial"/>
                <w:bCs/>
                <w:u w:val="single"/>
              </w:rPr>
              <w:t>Vazba na PP a OP:</w:t>
            </w:r>
          </w:p>
          <w:p w:rsidR="001D4BAC" w:rsidRPr="001D4BAC" w:rsidRDefault="001D4BAC" w:rsidP="00F079B1">
            <w:pPr>
              <w:autoSpaceDE w:val="0"/>
              <w:autoSpaceDN w:val="0"/>
              <w:adjustRightInd w:val="0"/>
              <w:spacing w:after="120" w:line="240" w:lineRule="auto"/>
              <w:jc w:val="both"/>
              <w:rPr>
                <w:rFonts w:asciiTheme="minorHAnsi" w:hAnsiTheme="minorHAnsi" w:cs="Arial"/>
              </w:rPr>
            </w:pPr>
            <w:r w:rsidRPr="001D4BAC">
              <w:rPr>
                <w:rFonts w:asciiTheme="minorHAnsi" w:hAnsiTheme="minorHAnsi" w:cs="Arial"/>
              </w:rPr>
              <w:t>Provedení směrnice je explicitně požadováno v rámci TC 4.1. a má tedy přímou vazbu na OP PIK, OP ŽP, IROP, OP PRR.</w:t>
            </w:r>
          </w:p>
          <w:p w:rsidR="001D4BAC" w:rsidRPr="00F079B1" w:rsidRDefault="001D4BAC" w:rsidP="001D4BAC">
            <w:pPr>
              <w:autoSpaceDE w:val="0"/>
              <w:autoSpaceDN w:val="0"/>
              <w:adjustRightInd w:val="0"/>
              <w:spacing w:after="120" w:line="240" w:lineRule="auto"/>
              <w:jc w:val="both"/>
              <w:rPr>
                <w:rFonts w:asciiTheme="minorHAnsi" w:hAnsiTheme="minorHAnsi"/>
                <w:u w:val="single"/>
              </w:rPr>
            </w:pPr>
            <w:r w:rsidRPr="001D4BAC">
              <w:rPr>
                <w:rFonts w:asciiTheme="minorHAnsi" w:hAnsiTheme="minorHAnsi" w:cs="Arial"/>
              </w:rPr>
              <w:t>V rámci OP PIK se energetické náročnosti budov týká specifický cíl 3.2 - Snižování energetické náročnosti podnikatelského sektoru a rozvíjení energetických služeb. Celá prioritní osa 3 je pak navázána na TC 4. V rámci OP ŽP je na TC 4 vázána prioritní osa 5 Energetické úspory a její jediný specifický cíl 5.1 Snížit energetickou náročnost u budov a u veřejného osvětlení. V rámci IROP se energetické náročnosti budov týkají specifické cíle 1.9 Snížení energetické náročnosti v sektoru bydlení a 1.10 Snížení energetické náročnosti ve veřejných budovách. V rámci OP Praha se energetické náročnosti budov týká SC 3.1. Energetické úspory v městských objektech dosažené také s využitím vhodných obnovitelných zdrojů energie nebo jiných energeticky efektivních zařízení.</w:t>
            </w:r>
          </w:p>
        </w:tc>
      </w:tr>
      <w:tr w:rsidR="00F079B1" w:rsidRPr="001D4BAC" w:rsidTr="001D4BAC">
        <w:tc>
          <w:tcPr>
            <w:tcW w:w="1244" w:type="dxa"/>
            <w:tcBorders>
              <w:left w:val="nil"/>
              <w:right w:val="nil"/>
            </w:tcBorders>
            <w:shd w:val="clear" w:color="auto" w:fill="FFFFFF" w:themeFill="background1"/>
          </w:tcPr>
          <w:p w:rsidR="00F079B1" w:rsidRPr="001D4BAC" w:rsidRDefault="00F079B1" w:rsidP="002F116E">
            <w:pPr>
              <w:spacing w:after="60" w:line="276" w:lineRule="auto"/>
              <w:rPr>
                <w:rFonts w:asciiTheme="minorHAnsi" w:hAnsiTheme="minorHAnsi"/>
                <w:sz w:val="4"/>
                <w:szCs w:val="4"/>
                <w:u w:val="single"/>
              </w:rPr>
            </w:pPr>
          </w:p>
        </w:tc>
        <w:tc>
          <w:tcPr>
            <w:tcW w:w="7934" w:type="dxa"/>
            <w:tcBorders>
              <w:left w:val="nil"/>
              <w:right w:val="nil"/>
            </w:tcBorders>
            <w:shd w:val="clear" w:color="auto" w:fill="FFFFFF" w:themeFill="background1"/>
          </w:tcPr>
          <w:p w:rsidR="00F079B1" w:rsidRPr="001D4BAC" w:rsidRDefault="00F079B1" w:rsidP="002F116E">
            <w:pPr>
              <w:spacing w:after="60" w:line="276" w:lineRule="auto"/>
              <w:rPr>
                <w:rFonts w:asciiTheme="minorHAnsi" w:hAnsiTheme="minorHAnsi"/>
                <w:sz w:val="4"/>
                <w:szCs w:val="4"/>
                <w:u w:val="single"/>
              </w:rPr>
            </w:pPr>
          </w:p>
        </w:tc>
      </w:tr>
      <w:tr w:rsidR="007678B0" w:rsidTr="001D4BAC">
        <w:tc>
          <w:tcPr>
            <w:tcW w:w="1244" w:type="dxa"/>
            <w:vMerge w:val="restart"/>
            <w:shd w:val="clear" w:color="auto" w:fill="95B3D7" w:themeFill="accent1" w:themeFillTint="99"/>
          </w:tcPr>
          <w:p w:rsidR="007678B0" w:rsidRPr="001D4BAC" w:rsidRDefault="007678B0" w:rsidP="002F116E">
            <w:pPr>
              <w:spacing w:after="60" w:line="276" w:lineRule="auto"/>
              <w:rPr>
                <w:rFonts w:asciiTheme="minorHAnsi" w:hAnsiTheme="minorHAnsi"/>
                <w:u w:val="single"/>
              </w:rPr>
            </w:pPr>
            <w:r w:rsidRPr="001D4BAC">
              <w:rPr>
                <w:rFonts w:asciiTheme="minorHAnsi" w:hAnsiTheme="minorHAnsi" w:cs="Arial"/>
                <w:b/>
                <w:color w:val="000000" w:themeColor="text1"/>
              </w:rPr>
              <w:t>Prodlení s transpozicí směrnic s možným vlivem na předběžné podmínky a OP</w:t>
            </w:r>
          </w:p>
        </w:tc>
        <w:tc>
          <w:tcPr>
            <w:tcW w:w="7934" w:type="dxa"/>
            <w:shd w:val="clear" w:color="auto" w:fill="FFFFFF" w:themeFill="background1"/>
          </w:tcPr>
          <w:p w:rsidR="007678B0" w:rsidRPr="001D4BAC" w:rsidRDefault="007678B0" w:rsidP="001D4BAC">
            <w:pPr>
              <w:autoSpaceDE w:val="0"/>
              <w:autoSpaceDN w:val="0"/>
              <w:adjustRightInd w:val="0"/>
              <w:spacing w:after="120" w:line="240" w:lineRule="auto"/>
              <w:jc w:val="both"/>
              <w:rPr>
                <w:rFonts w:asciiTheme="minorHAnsi" w:hAnsiTheme="minorHAnsi" w:cs="Arial"/>
                <w:color w:val="000000" w:themeColor="text1"/>
              </w:rPr>
            </w:pPr>
            <w:r w:rsidRPr="001D4BAC">
              <w:rPr>
                <w:rFonts w:asciiTheme="minorHAnsi" w:hAnsiTheme="minorHAnsi" w:cs="Arial"/>
                <w:b/>
                <w:color w:val="000000" w:themeColor="text1"/>
                <w:u w:val="single"/>
              </w:rPr>
              <w:t>Prodlení s transpozicí směrnic</w:t>
            </w:r>
          </w:p>
          <w:p w:rsidR="007678B0" w:rsidRPr="001D4BAC" w:rsidRDefault="007678B0" w:rsidP="001D4BAC">
            <w:pPr>
              <w:spacing w:after="120" w:line="240" w:lineRule="auto"/>
              <w:jc w:val="both"/>
              <w:rPr>
                <w:rFonts w:asciiTheme="minorHAnsi" w:hAnsiTheme="minorHAnsi" w:cs="Arial"/>
                <w:bCs/>
                <w:u w:val="single"/>
              </w:rPr>
            </w:pPr>
            <w:r w:rsidRPr="001D4BAC">
              <w:rPr>
                <w:rFonts w:asciiTheme="minorHAnsi" w:hAnsiTheme="minorHAnsi" w:cs="Arial"/>
                <w:bCs/>
                <w:u w:val="single"/>
              </w:rPr>
              <w:t xml:space="preserve">Směrnice </w:t>
            </w:r>
            <w:r w:rsidRPr="001D4BAC">
              <w:rPr>
                <w:rFonts w:asciiTheme="minorHAnsi" w:hAnsiTheme="minorHAnsi" w:cs="Arial"/>
                <w:b/>
                <w:bCs/>
                <w:u w:val="single"/>
              </w:rPr>
              <w:t>2004/113/ES</w:t>
            </w:r>
            <w:r w:rsidRPr="001D4BAC">
              <w:rPr>
                <w:rFonts w:asciiTheme="minorHAnsi" w:hAnsiTheme="minorHAnsi" w:cs="Arial"/>
                <w:bCs/>
                <w:u w:val="single"/>
              </w:rPr>
              <w:t xml:space="preserve"> ze dne 13. prosince 2004</w:t>
            </w:r>
          </w:p>
          <w:p w:rsidR="007678B0" w:rsidRPr="001D4BAC" w:rsidRDefault="007678B0" w:rsidP="001D4BAC">
            <w:pPr>
              <w:spacing w:after="120" w:line="240" w:lineRule="auto"/>
              <w:jc w:val="both"/>
              <w:rPr>
                <w:rFonts w:asciiTheme="minorHAnsi" w:hAnsiTheme="minorHAnsi" w:cs="Arial"/>
                <w:bCs/>
                <w:u w:val="single"/>
              </w:rPr>
            </w:pPr>
            <w:r w:rsidRPr="001D4BAC">
              <w:rPr>
                <w:rFonts w:asciiTheme="minorHAnsi" w:hAnsiTheme="minorHAnsi" w:cs="Arial"/>
                <w:bCs/>
                <w:u w:val="single"/>
              </w:rPr>
              <w:t>Gesce MPSV</w:t>
            </w:r>
          </w:p>
          <w:p w:rsidR="007678B0" w:rsidRPr="001D4BAC" w:rsidRDefault="007678B0" w:rsidP="001D4BAC">
            <w:pPr>
              <w:spacing w:after="120" w:line="240" w:lineRule="auto"/>
              <w:jc w:val="both"/>
              <w:rPr>
                <w:rFonts w:asciiTheme="minorHAnsi" w:hAnsiTheme="minorHAnsi" w:cs="Arial"/>
                <w:bCs/>
                <w:color w:val="FF0000"/>
              </w:rPr>
            </w:pPr>
            <w:r w:rsidRPr="001D4BAC">
              <w:rPr>
                <w:rFonts w:asciiTheme="minorHAnsi" w:hAnsiTheme="minorHAnsi" w:cs="Arial"/>
                <w:bCs/>
                <w:color w:val="FF0000"/>
              </w:rPr>
              <w:t xml:space="preserve">Stupeň relevance s obecnou předběžnou podmínkou č. 2: </w:t>
            </w:r>
            <w:r w:rsidRPr="008102CB">
              <w:rPr>
                <w:rFonts w:asciiTheme="minorHAnsi" w:hAnsiTheme="minorHAnsi" w:cs="Arial"/>
                <w:b/>
                <w:bCs/>
                <w:color w:val="FF0000"/>
              </w:rPr>
              <w:t>4</w:t>
            </w:r>
          </w:p>
          <w:p w:rsidR="007678B0" w:rsidRPr="001D4BAC" w:rsidRDefault="007678B0" w:rsidP="001D4BAC">
            <w:pPr>
              <w:autoSpaceDE w:val="0"/>
              <w:autoSpaceDN w:val="0"/>
              <w:adjustRightInd w:val="0"/>
              <w:spacing w:after="120" w:line="240" w:lineRule="auto"/>
              <w:jc w:val="both"/>
              <w:rPr>
                <w:rFonts w:asciiTheme="minorHAnsi" w:hAnsiTheme="minorHAnsi" w:cs="Arial"/>
                <w:u w:val="single"/>
              </w:rPr>
            </w:pPr>
            <w:r w:rsidRPr="001D4BAC">
              <w:rPr>
                <w:rFonts w:asciiTheme="minorHAnsi" w:hAnsiTheme="minorHAnsi" w:cs="Arial"/>
                <w:u w:val="single"/>
              </w:rPr>
              <w:t>Popis:</w:t>
            </w:r>
          </w:p>
          <w:p w:rsidR="007678B0" w:rsidRPr="001D4BAC" w:rsidRDefault="007678B0" w:rsidP="001D4BAC">
            <w:pPr>
              <w:spacing w:after="120" w:line="240" w:lineRule="auto"/>
              <w:jc w:val="both"/>
              <w:rPr>
                <w:rFonts w:asciiTheme="minorHAnsi" w:hAnsiTheme="minorHAnsi" w:cs="Arial"/>
                <w:bCs/>
              </w:rPr>
            </w:pPr>
            <w:r w:rsidRPr="001D4BAC">
              <w:rPr>
                <w:rFonts w:asciiTheme="minorHAnsi" w:hAnsiTheme="minorHAnsi" w:cs="Arial"/>
                <w:bCs/>
              </w:rPr>
              <w:t xml:space="preserve">Relevantní obecná předběžná podmínka 2 (existence strategie na podporu rovnosti žen a mužů a mechanismu, který zajistí její účinné provádění) se týká především existence a účinnosti strategie rovnosti žen a mužů. Rozsudek Soudního dvora EU (ESD) rozhodl, že nesprávně implementovaná směrnice 2004/113/ES nesmí obsahovat výjimku podle čl. 5 odst. 2. umožňující povolení přiměřených rozdílů ve výši pojistného a pojistného v závislosti na pohlaví. Nově přijatý zákon, který bude reagovat na rozhodnutí ESD o netranspozici, musí garantovat, že pohlaví nesmí být použito jako faktor při výpočtu výše pojistného. </w:t>
            </w:r>
          </w:p>
          <w:p w:rsidR="007678B0" w:rsidRPr="001D4BAC" w:rsidRDefault="007678B0" w:rsidP="001D4BAC">
            <w:pPr>
              <w:autoSpaceDE w:val="0"/>
              <w:autoSpaceDN w:val="0"/>
              <w:adjustRightInd w:val="0"/>
              <w:spacing w:after="120" w:line="240" w:lineRule="auto"/>
              <w:jc w:val="both"/>
              <w:rPr>
                <w:rFonts w:asciiTheme="minorHAnsi" w:hAnsiTheme="minorHAnsi" w:cs="Arial"/>
                <w:u w:val="single"/>
              </w:rPr>
            </w:pPr>
            <w:r w:rsidRPr="001D4BAC">
              <w:rPr>
                <w:rFonts w:asciiTheme="minorHAnsi" w:hAnsiTheme="minorHAnsi" w:cs="Arial"/>
                <w:u w:val="single"/>
              </w:rPr>
              <w:t>Vazba na PP a OP:</w:t>
            </w:r>
          </w:p>
          <w:p w:rsidR="007678B0" w:rsidRPr="001D4BAC" w:rsidRDefault="007678B0" w:rsidP="001D4BAC">
            <w:pPr>
              <w:spacing w:after="120" w:line="240" w:lineRule="auto"/>
              <w:jc w:val="both"/>
              <w:rPr>
                <w:rFonts w:asciiTheme="minorHAnsi" w:hAnsiTheme="minorHAnsi" w:cs="Arial"/>
                <w:bCs/>
              </w:rPr>
            </w:pPr>
            <w:r w:rsidRPr="001D4BAC">
              <w:rPr>
                <w:rFonts w:asciiTheme="minorHAnsi" w:hAnsiTheme="minorHAnsi" w:cs="Arial"/>
                <w:bCs/>
              </w:rPr>
              <w:t xml:space="preserve">Lze tedy stanovit, že směrnice souvisí na stupni 4 s plněním relevantní předběžné podmínky ve věci účinného provádění strategie na podporu rovnosti žen a mužů. </w:t>
            </w:r>
          </w:p>
        </w:tc>
      </w:tr>
      <w:tr w:rsidR="007678B0" w:rsidTr="001D4BAC">
        <w:tc>
          <w:tcPr>
            <w:tcW w:w="1244" w:type="dxa"/>
            <w:vMerge/>
            <w:shd w:val="clear" w:color="auto" w:fill="95B3D7" w:themeFill="accent1" w:themeFillTint="99"/>
          </w:tcPr>
          <w:p w:rsidR="007678B0" w:rsidRPr="001D4BAC" w:rsidRDefault="007678B0" w:rsidP="002F116E">
            <w:pPr>
              <w:spacing w:after="60" w:line="276" w:lineRule="auto"/>
              <w:rPr>
                <w:rFonts w:asciiTheme="minorHAnsi" w:hAnsiTheme="minorHAnsi"/>
                <w:u w:val="single"/>
              </w:rPr>
            </w:pPr>
          </w:p>
        </w:tc>
        <w:tc>
          <w:tcPr>
            <w:tcW w:w="7934" w:type="dxa"/>
            <w:shd w:val="clear" w:color="auto" w:fill="FFFFFF" w:themeFill="background1"/>
          </w:tcPr>
          <w:p w:rsidR="007678B0" w:rsidRPr="00326725" w:rsidRDefault="007678B0" w:rsidP="007678B0">
            <w:pPr>
              <w:keepNext/>
              <w:tabs>
                <w:tab w:val="left" w:pos="993"/>
              </w:tabs>
              <w:autoSpaceDE w:val="0"/>
              <w:autoSpaceDN w:val="0"/>
              <w:adjustRightInd w:val="0"/>
              <w:spacing w:after="120" w:line="240" w:lineRule="auto"/>
              <w:jc w:val="both"/>
              <w:rPr>
                <w:rFonts w:asciiTheme="minorHAnsi" w:hAnsiTheme="minorHAnsi" w:cs="Arial"/>
                <w:b/>
                <w:bCs/>
              </w:rPr>
            </w:pPr>
            <w:r w:rsidRPr="00326725">
              <w:rPr>
                <w:rFonts w:asciiTheme="minorHAnsi" w:hAnsiTheme="minorHAnsi" w:cs="Arial"/>
                <w:b/>
                <w:bCs/>
              </w:rPr>
              <w:t>Transpozice směrnic, k nimž nebyl dokončen notifikační proces</w:t>
            </w:r>
          </w:p>
          <w:p w:rsidR="007678B0" w:rsidRPr="00326725" w:rsidRDefault="007678B0" w:rsidP="007678B0">
            <w:pPr>
              <w:spacing w:after="120" w:line="240" w:lineRule="auto"/>
              <w:jc w:val="both"/>
              <w:rPr>
                <w:rFonts w:asciiTheme="minorHAnsi" w:hAnsiTheme="minorHAnsi" w:cs="Arial"/>
                <w:bCs/>
                <w:u w:val="single"/>
              </w:rPr>
            </w:pPr>
            <w:r w:rsidRPr="00326725">
              <w:rPr>
                <w:rFonts w:asciiTheme="minorHAnsi" w:hAnsiTheme="minorHAnsi" w:cs="Arial"/>
                <w:b/>
                <w:bCs/>
                <w:u w:val="single"/>
              </w:rPr>
              <w:t>Směrnice 2012/18/EU ze dne 4. července 2012</w:t>
            </w:r>
            <w:r w:rsidRPr="00326725">
              <w:rPr>
                <w:rFonts w:asciiTheme="minorHAnsi" w:hAnsiTheme="minorHAnsi" w:cs="Arial"/>
                <w:bCs/>
                <w:u w:val="single"/>
              </w:rPr>
              <w:t xml:space="preserve"> </w:t>
            </w:r>
          </w:p>
          <w:p w:rsidR="007678B0" w:rsidRPr="00326725" w:rsidRDefault="007678B0" w:rsidP="007678B0">
            <w:pPr>
              <w:spacing w:after="120" w:line="240" w:lineRule="auto"/>
              <w:jc w:val="both"/>
              <w:rPr>
                <w:rFonts w:asciiTheme="minorHAnsi" w:hAnsiTheme="minorHAnsi" w:cs="Arial"/>
                <w:bCs/>
                <w:u w:val="single"/>
              </w:rPr>
            </w:pPr>
            <w:r w:rsidRPr="00326725">
              <w:rPr>
                <w:rFonts w:asciiTheme="minorHAnsi" w:hAnsiTheme="minorHAnsi" w:cs="Arial"/>
                <w:bCs/>
                <w:u w:val="single"/>
              </w:rPr>
              <w:t>Gesce MŽP</w:t>
            </w:r>
          </w:p>
          <w:p w:rsidR="007678B0" w:rsidRPr="00326725" w:rsidRDefault="007678B0" w:rsidP="007678B0">
            <w:pPr>
              <w:spacing w:after="120" w:line="240" w:lineRule="auto"/>
              <w:jc w:val="both"/>
              <w:rPr>
                <w:rFonts w:asciiTheme="minorHAnsi" w:hAnsiTheme="minorHAnsi" w:cs="Arial"/>
                <w:bCs/>
                <w:color w:val="FF0000"/>
              </w:rPr>
            </w:pPr>
            <w:r w:rsidRPr="00326725">
              <w:rPr>
                <w:rFonts w:asciiTheme="minorHAnsi" w:hAnsiTheme="minorHAnsi" w:cs="Arial"/>
                <w:bCs/>
                <w:color w:val="FF0000"/>
              </w:rPr>
              <w:t xml:space="preserve">Stupeň relevance s předběžnou podmínkou T.C. 5.1.: </w:t>
            </w:r>
            <w:r w:rsidRPr="00326725">
              <w:rPr>
                <w:rFonts w:asciiTheme="minorHAnsi" w:hAnsiTheme="minorHAnsi" w:cs="Arial"/>
                <w:b/>
                <w:bCs/>
                <w:color w:val="FF0000"/>
              </w:rPr>
              <w:t>2</w:t>
            </w:r>
          </w:p>
          <w:p w:rsidR="007678B0" w:rsidRPr="00326725" w:rsidRDefault="007678B0" w:rsidP="007678B0">
            <w:pPr>
              <w:spacing w:after="120" w:line="240" w:lineRule="auto"/>
              <w:jc w:val="both"/>
              <w:rPr>
                <w:rFonts w:asciiTheme="minorHAnsi" w:hAnsiTheme="minorHAnsi" w:cs="Arial"/>
                <w:bCs/>
                <w:u w:val="single"/>
              </w:rPr>
            </w:pPr>
            <w:r w:rsidRPr="00326725">
              <w:rPr>
                <w:rFonts w:asciiTheme="minorHAnsi" w:hAnsiTheme="minorHAnsi" w:cs="Arial"/>
                <w:bCs/>
                <w:u w:val="single"/>
              </w:rPr>
              <w:t>Popis a vazba na PP a OP:</w:t>
            </w:r>
          </w:p>
          <w:p w:rsidR="007678B0" w:rsidRPr="00326725" w:rsidRDefault="007678B0" w:rsidP="007678B0">
            <w:pPr>
              <w:spacing w:after="120" w:line="240" w:lineRule="auto"/>
              <w:jc w:val="both"/>
              <w:rPr>
                <w:rFonts w:asciiTheme="minorHAnsi" w:hAnsiTheme="minorHAnsi" w:cs="Arial"/>
                <w:bCs/>
              </w:rPr>
            </w:pPr>
            <w:r w:rsidRPr="00326725">
              <w:rPr>
                <w:rFonts w:asciiTheme="minorHAnsi" w:hAnsiTheme="minorHAnsi" w:cs="Arial"/>
                <w:bCs/>
              </w:rPr>
              <w:t>Směrnice 2012/18/EU upravující kontrolu nebezpečí závažných havárií s přítomností nebezpečných látek okrajově souvisí s předběžnými podmínkami TC 5.1. (předcházení riziku a jeho řízení) a TC 6.2. (odpadové hospodářství). Směrnice rovněž souvisí s navrhovaným specifickým cílem OPŽP 3.4. Zvýšit úroveň nakládání s nebezpečnými odpady. Soulad však lze označit stupněm 2.</w:t>
            </w:r>
          </w:p>
          <w:p w:rsidR="007678B0" w:rsidRPr="00326725" w:rsidRDefault="007678B0" w:rsidP="007678B0">
            <w:pPr>
              <w:spacing w:after="120" w:line="240" w:lineRule="auto"/>
              <w:jc w:val="both"/>
              <w:rPr>
                <w:rFonts w:asciiTheme="minorHAnsi" w:hAnsiTheme="minorHAnsi" w:cs="Arial"/>
                <w:b/>
                <w:bCs/>
                <w:u w:val="single"/>
              </w:rPr>
            </w:pPr>
            <w:r w:rsidRPr="00326725">
              <w:rPr>
                <w:rFonts w:asciiTheme="minorHAnsi" w:hAnsiTheme="minorHAnsi" w:cs="Arial"/>
                <w:b/>
                <w:bCs/>
                <w:u w:val="single"/>
              </w:rPr>
              <w:t xml:space="preserve">Směrnice 2012/19/EU ze dne 4. července 2012 </w:t>
            </w:r>
          </w:p>
          <w:p w:rsidR="007678B0" w:rsidRPr="00326725" w:rsidRDefault="007678B0" w:rsidP="007678B0">
            <w:pPr>
              <w:spacing w:after="120" w:line="240" w:lineRule="auto"/>
              <w:jc w:val="both"/>
              <w:rPr>
                <w:rFonts w:asciiTheme="minorHAnsi" w:hAnsiTheme="minorHAnsi" w:cs="Arial"/>
                <w:bCs/>
                <w:u w:val="single"/>
              </w:rPr>
            </w:pPr>
            <w:r w:rsidRPr="00326725">
              <w:rPr>
                <w:rFonts w:asciiTheme="minorHAnsi" w:hAnsiTheme="minorHAnsi" w:cs="Arial"/>
                <w:bCs/>
                <w:u w:val="single"/>
              </w:rPr>
              <w:t>Gesce MŽP</w:t>
            </w:r>
          </w:p>
          <w:p w:rsidR="007678B0" w:rsidRPr="00326725" w:rsidRDefault="007678B0" w:rsidP="007678B0">
            <w:pPr>
              <w:spacing w:after="120" w:line="240" w:lineRule="auto"/>
              <w:jc w:val="both"/>
              <w:rPr>
                <w:rFonts w:asciiTheme="minorHAnsi" w:hAnsiTheme="minorHAnsi" w:cs="Arial"/>
                <w:bCs/>
                <w:color w:val="FF0000"/>
              </w:rPr>
            </w:pPr>
            <w:r w:rsidRPr="00326725">
              <w:rPr>
                <w:rFonts w:asciiTheme="minorHAnsi" w:hAnsiTheme="minorHAnsi" w:cs="Arial"/>
                <w:bCs/>
                <w:color w:val="FF0000"/>
              </w:rPr>
              <w:t xml:space="preserve">Stupeň relevance s předběžnou podmínkou T.C. 6.2.: </w:t>
            </w:r>
            <w:r w:rsidRPr="00326725">
              <w:rPr>
                <w:rFonts w:asciiTheme="minorHAnsi" w:hAnsiTheme="minorHAnsi" w:cs="Arial"/>
                <w:b/>
                <w:bCs/>
                <w:color w:val="FF0000"/>
              </w:rPr>
              <w:t>3</w:t>
            </w:r>
          </w:p>
          <w:p w:rsidR="007678B0" w:rsidRPr="00326725" w:rsidRDefault="007678B0" w:rsidP="007678B0">
            <w:pPr>
              <w:spacing w:after="120" w:line="240" w:lineRule="auto"/>
              <w:jc w:val="both"/>
              <w:rPr>
                <w:rFonts w:asciiTheme="minorHAnsi" w:hAnsiTheme="minorHAnsi" w:cs="Arial"/>
                <w:bCs/>
                <w:u w:val="single"/>
              </w:rPr>
            </w:pPr>
            <w:r w:rsidRPr="00326725">
              <w:rPr>
                <w:rFonts w:asciiTheme="minorHAnsi" w:hAnsiTheme="minorHAnsi" w:cs="Arial"/>
                <w:bCs/>
                <w:u w:val="single"/>
              </w:rPr>
              <w:t>Popis a vazba na PP a OP:</w:t>
            </w:r>
          </w:p>
          <w:p w:rsidR="007678B0" w:rsidRPr="00326725" w:rsidRDefault="007678B0" w:rsidP="007678B0">
            <w:pPr>
              <w:spacing w:after="120" w:line="240" w:lineRule="auto"/>
              <w:jc w:val="both"/>
              <w:rPr>
                <w:rFonts w:asciiTheme="minorHAnsi" w:hAnsiTheme="minorHAnsi" w:cs="Arial"/>
                <w:bCs/>
              </w:rPr>
            </w:pPr>
            <w:r w:rsidRPr="00326725">
              <w:rPr>
                <w:rFonts w:asciiTheme="minorHAnsi" w:hAnsiTheme="minorHAnsi" w:cs="Arial"/>
                <w:bCs/>
              </w:rPr>
              <w:t xml:space="preserve">Směrnice 2012/19/EU o odpadních elektrických a elektronických zařízeních (OEEZ), k jejíž transpozici by mělo dojít přijetím návrhu novely zákona č. 185/2001 Sb. o odpadech, souvisí s ex-ante kondicionalitou 6.2 (odpadové hospodářství), která je jí tematicky nadřazena a řeší primárně rámcovou směrnici 2008/98/EU o odpadech. Novela zákona č. 185/2001 Sb. dosud nebyla předložen do meziresortního připomínkového řízení, ačkoliv tak mělo být učiněno podle čl. 6b odst. 3 Metodických pokynů nejpozději dne 14. března 2013. Tato směrnice souvisí s ex-ante kondicionalitou 6.2. (odpadové hospodářství) a soulad lze označit stupněm 3. </w:t>
            </w:r>
          </w:p>
          <w:p w:rsidR="00326725" w:rsidRPr="00326725" w:rsidRDefault="00326725" w:rsidP="00326725">
            <w:pPr>
              <w:spacing w:after="120" w:line="240" w:lineRule="auto"/>
              <w:jc w:val="both"/>
              <w:rPr>
                <w:rFonts w:asciiTheme="minorHAnsi" w:hAnsiTheme="minorHAnsi" w:cs="Arial"/>
                <w:b/>
                <w:bCs/>
                <w:u w:val="single"/>
              </w:rPr>
            </w:pPr>
            <w:r w:rsidRPr="00326725">
              <w:rPr>
                <w:rFonts w:asciiTheme="minorHAnsi" w:hAnsiTheme="minorHAnsi" w:cs="Arial"/>
                <w:b/>
                <w:bCs/>
                <w:u w:val="single"/>
              </w:rPr>
              <w:t xml:space="preserve">Směrnice 2013/2/EU ze dne 7. února 2013 </w:t>
            </w:r>
          </w:p>
          <w:p w:rsidR="00326725" w:rsidRPr="00326725" w:rsidRDefault="00326725" w:rsidP="00326725">
            <w:pPr>
              <w:spacing w:after="120" w:line="240" w:lineRule="auto"/>
              <w:jc w:val="both"/>
              <w:rPr>
                <w:rFonts w:asciiTheme="minorHAnsi" w:hAnsiTheme="minorHAnsi" w:cs="Arial"/>
                <w:bCs/>
                <w:u w:val="single"/>
              </w:rPr>
            </w:pPr>
            <w:r w:rsidRPr="00326725">
              <w:rPr>
                <w:rFonts w:asciiTheme="minorHAnsi" w:hAnsiTheme="minorHAnsi" w:cs="Arial"/>
                <w:bCs/>
                <w:u w:val="single"/>
              </w:rPr>
              <w:t>Gesce MŽP</w:t>
            </w:r>
          </w:p>
          <w:p w:rsidR="00326725" w:rsidRPr="00075F1B" w:rsidRDefault="00326725" w:rsidP="00326725">
            <w:pPr>
              <w:spacing w:after="120" w:line="240" w:lineRule="auto"/>
              <w:jc w:val="both"/>
              <w:rPr>
                <w:rFonts w:asciiTheme="minorHAnsi" w:hAnsiTheme="minorHAnsi" w:cs="Arial"/>
                <w:bCs/>
                <w:color w:val="FF0000"/>
              </w:rPr>
            </w:pPr>
            <w:r w:rsidRPr="00075F1B">
              <w:rPr>
                <w:rFonts w:asciiTheme="minorHAnsi" w:hAnsiTheme="minorHAnsi" w:cs="Arial"/>
                <w:bCs/>
                <w:color w:val="FF0000"/>
              </w:rPr>
              <w:t xml:space="preserve">Stupeň relevance s předběžnou podmínkou T.C. 6.2: </w:t>
            </w:r>
            <w:r w:rsidRPr="00075F1B">
              <w:rPr>
                <w:rFonts w:asciiTheme="minorHAnsi" w:hAnsiTheme="minorHAnsi" w:cs="Arial"/>
                <w:b/>
                <w:bCs/>
                <w:color w:val="FF0000"/>
              </w:rPr>
              <w:t>4</w:t>
            </w:r>
          </w:p>
          <w:p w:rsidR="00326725" w:rsidRPr="00326725" w:rsidRDefault="00326725" w:rsidP="00326725">
            <w:pPr>
              <w:spacing w:after="120" w:line="240" w:lineRule="auto"/>
              <w:jc w:val="both"/>
              <w:rPr>
                <w:rFonts w:asciiTheme="minorHAnsi" w:hAnsiTheme="minorHAnsi" w:cs="Arial"/>
                <w:bCs/>
              </w:rPr>
            </w:pPr>
            <w:r w:rsidRPr="00326725">
              <w:rPr>
                <w:rFonts w:asciiTheme="minorHAnsi" w:hAnsiTheme="minorHAnsi" w:cs="Arial"/>
                <w:bCs/>
              </w:rPr>
              <w:t>Směrnice 2013/2/EU</w:t>
            </w:r>
            <w:r w:rsidRPr="00326725">
              <w:rPr>
                <w:rFonts w:asciiTheme="minorHAnsi" w:hAnsiTheme="minorHAnsi" w:cs="Arial"/>
                <w:b/>
                <w:bCs/>
              </w:rPr>
              <w:t xml:space="preserve"> </w:t>
            </w:r>
            <w:r w:rsidRPr="00326725">
              <w:rPr>
                <w:rFonts w:asciiTheme="minorHAnsi" w:hAnsiTheme="minorHAnsi" w:cs="Arial"/>
                <w:bCs/>
              </w:rPr>
              <w:t>o obalech a obalových odpadech, k jejíž transpozici by mělo dojít přijetím návrhu novely zákona č. 477/2001 Sb., o obalech, který se nachází v přípravné fázi legislativního procesu, je relevantní k předběžné podmínce TC 6.2. (odpadové hospodářství) a relevanci lze označit stupněm 4.</w:t>
            </w:r>
          </w:p>
          <w:p w:rsidR="00326725" w:rsidRPr="00326725" w:rsidRDefault="00326725" w:rsidP="00326725">
            <w:pPr>
              <w:spacing w:after="120" w:line="240" w:lineRule="auto"/>
              <w:jc w:val="both"/>
              <w:rPr>
                <w:rFonts w:asciiTheme="minorHAnsi" w:hAnsiTheme="minorHAnsi" w:cs="Arial"/>
                <w:bCs/>
              </w:rPr>
            </w:pPr>
            <w:r w:rsidRPr="00326725">
              <w:rPr>
                <w:rFonts w:asciiTheme="minorHAnsi" w:hAnsiTheme="minorHAnsi" w:cs="Arial"/>
                <w:bCs/>
              </w:rPr>
              <w:t>Za silnou lze označit vazbu směrnice na OP ŽP a jeho celou prioritní oblast 3: Odpady a materiálové toky, ekologické zátěže a rizika.</w:t>
            </w:r>
          </w:p>
        </w:tc>
      </w:tr>
    </w:tbl>
    <w:p w:rsidR="00764767" w:rsidRDefault="00764767">
      <w:pPr>
        <w:spacing w:before="360" w:after="200" w:line="276" w:lineRule="auto"/>
        <w:ind w:left="425"/>
        <w:rPr>
          <w:rFonts w:asciiTheme="minorHAnsi" w:hAnsiTheme="minorHAnsi"/>
          <w:b/>
        </w:rPr>
      </w:pPr>
    </w:p>
    <w:p w:rsidR="009963D0" w:rsidRDefault="009963D0">
      <w:pPr>
        <w:spacing w:before="360" w:after="200" w:line="276" w:lineRule="auto"/>
        <w:ind w:left="425"/>
        <w:rPr>
          <w:rFonts w:asciiTheme="minorHAnsi" w:hAnsiTheme="minorHAnsi"/>
          <w:b/>
        </w:rPr>
        <w:sectPr w:rsidR="009963D0" w:rsidSect="007E78AB">
          <w:pgSz w:w="11906" w:h="16838"/>
          <w:pgMar w:top="1418" w:right="1418" w:bottom="1418" w:left="1418" w:header="709" w:footer="709" w:gutter="0"/>
          <w:cols w:space="708"/>
          <w:docGrid w:linePitch="360"/>
        </w:sectPr>
      </w:pPr>
    </w:p>
    <w:p w:rsidR="008A6A53" w:rsidRDefault="00EA302B" w:rsidP="00621DC2">
      <w:pPr>
        <w:pStyle w:val="Nadpis1"/>
        <w:spacing w:before="0"/>
        <w:rPr>
          <w:rFonts w:asciiTheme="minorHAnsi" w:hAnsiTheme="minorHAnsi"/>
          <w:color w:val="003366"/>
          <w:sz w:val="28"/>
          <w:szCs w:val="28"/>
        </w:rPr>
      </w:pPr>
      <w:bookmarkStart w:id="16" w:name="_Toc359587670"/>
      <w:r w:rsidRPr="008A6A53">
        <w:rPr>
          <w:rFonts w:asciiTheme="minorHAnsi" w:hAnsiTheme="minorHAnsi"/>
          <w:color w:val="003366"/>
          <w:sz w:val="28"/>
          <w:szCs w:val="28"/>
        </w:rPr>
        <w:t>Příloh</w:t>
      </w:r>
      <w:r w:rsidR="008A6A53">
        <w:rPr>
          <w:rFonts w:asciiTheme="minorHAnsi" w:hAnsiTheme="minorHAnsi"/>
          <w:color w:val="003366"/>
          <w:sz w:val="28"/>
          <w:szCs w:val="28"/>
        </w:rPr>
        <w:t>y</w:t>
      </w:r>
      <w:bookmarkEnd w:id="16"/>
      <w:r w:rsidRPr="008A6A53">
        <w:rPr>
          <w:rFonts w:asciiTheme="minorHAnsi" w:hAnsiTheme="minorHAnsi"/>
          <w:color w:val="003366"/>
          <w:sz w:val="28"/>
          <w:szCs w:val="28"/>
        </w:rPr>
        <w:t xml:space="preserve"> </w:t>
      </w:r>
    </w:p>
    <w:p w:rsidR="009E6471" w:rsidRPr="009A03FE" w:rsidRDefault="008A6A53" w:rsidP="00F01DCD">
      <w:pPr>
        <w:pStyle w:val="Nadpis11"/>
        <w:numPr>
          <w:ilvl w:val="0"/>
          <w:numId w:val="0"/>
        </w:numPr>
        <w:spacing w:before="120" w:after="120"/>
        <w:ind w:left="567"/>
        <w:jc w:val="right"/>
        <w:rPr>
          <w:rFonts w:asciiTheme="minorHAnsi" w:eastAsiaTheme="majorEastAsia" w:hAnsiTheme="minorHAnsi"/>
        </w:rPr>
      </w:pPr>
      <w:bookmarkStart w:id="17" w:name="_Toc359587671"/>
      <w:r w:rsidRPr="009A03FE">
        <w:rPr>
          <w:rFonts w:asciiTheme="minorHAnsi" w:eastAsiaTheme="majorEastAsia" w:hAnsiTheme="minorHAnsi"/>
        </w:rPr>
        <w:t>Příloha</w:t>
      </w:r>
      <w:r w:rsidR="00EA302B" w:rsidRPr="009A03FE">
        <w:rPr>
          <w:rFonts w:asciiTheme="minorHAnsi" w:eastAsiaTheme="majorEastAsia" w:hAnsiTheme="minorHAnsi"/>
        </w:rPr>
        <w:t>1a: Obecné předběžné podmínky</w:t>
      </w:r>
      <w:r w:rsidR="00656588" w:rsidRPr="009A03FE">
        <w:rPr>
          <w:rFonts w:asciiTheme="minorHAnsi" w:eastAsiaTheme="majorEastAsia" w:hAnsiTheme="minorHAnsi"/>
        </w:rPr>
        <w:t xml:space="preserve"> pro EFRR, ESF a FS</w:t>
      </w:r>
      <w:bookmarkEnd w:id="17"/>
    </w:p>
    <w:p w:rsidR="003C55E3" w:rsidRPr="00532997" w:rsidRDefault="003C55E3" w:rsidP="00E04448">
      <w:pPr>
        <w:spacing w:before="180" w:after="60"/>
        <w:jc w:val="left"/>
        <w:rPr>
          <w:rFonts w:asciiTheme="minorHAnsi" w:hAnsiTheme="minorHAnsi" w:cs="Arial"/>
          <w:strike/>
          <w:color w:val="000000"/>
          <w:u w:val="single"/>
        </w:rPr>
      </w:pPr>
      <w:r w:rsidRPr="00532997">
        <w:rPr>
          <w:rFonts w:asciiTheme="minorHAnsi" w:hAnsiTheme="minorHAnsi" w:cs="Arial"/>
          <w:strike/>
          <w:color w:val="000000"/>
          <w:u w:val="single"/>
        </w:rPr>
        <w:t>Oblast 1: Nediskriminace</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3C55E3" w:rsidRPr="00523D12" w:rsidTr="00BF3037">
        <w:trPr>
          <w:trHeight w:val="396"/>
        </w:trPr>
        <w:tc>
          <w:tcPr>
            <w:tcW w:w="2562" w:type="dxa"/>
            <w:shd w:val="clear" w:color="auto" w:fill="B8CCE4" w:themeFill="accent1" w:themeFillTint="66"/>
            <w:vAlign w:val="center"/>
            <w:hideMark/>
          </w:tcPr>
          <w:p w:rsidR="003C55E3" w:rsidRPr="00523D12" w:rsidRDefault="003C55E3" w:rsidP="00BF3037">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3C55E3" w:rsidRPr="00523D12" w:rsidRDefault="003C55E3" w:rsidP="00BF3037">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3C55E3" w:rsidRPr="00523D12" w:rsidTr="00BF3037">
        <w:trPr>
          <w:trHeight w:val="1613"/>
        </w:trPr>
        <w:tc>
          <w:tcPr>
            <w:tcW w:w="2562" w:type="dxa"/>
            <w:shd w:val="clear" w:color="auto" w:fill="auto"/>
            <w:vAlign w:val="center"/>
            <w:hideMark/>
          </w:tcPr>
          <w:p w:rsidR="003C55E3" w:rsidRPr="00BF5B77" w:rsidRDefault="003C55E3" w:rsidP="00BF3037">
            <w:pPr>
              <w:spacing w:line="240" w:lineRule="auto"/>
              <w:jc w:val="left"/>
              <w:rPr>
                <w:rFonts w:asciiTheme="minorHAnsi" w:hAnsiTheme="minorHAnsi"/>
                <w:strike/>
                <w:color w:val="000000"/>
                <w:sz w:val="18"/>
                <w:szCs w:val="18"/>
              </w:rPr>
            </w:pPr>
            <w:r w:rsidRPr="00BF5B77">
              <w:rPr>
                <w:rFonts w:asciiTheme="minorHAnsi" w:hAnsiTheme="minorHAnsi"/>
                <w:strike/>
                <w:color w:val="000000"/>
                <w:sz w:val="18"/>
                <w:szCs w:val="18"/>
              </w:rPr>
              <w:t>Existence mechanismu, který zajišťuje účinné provádění a uplatňování směrnice 2000/78/ES ze dne 27. listopadu 2000, kterou se stanoví obecný rámec pro rovné zacházení v zaměstnání a povolání, a směrnice 2000/43/ES ze dne 29. června 2000, kterou se zavádí zásada rovného zacházení s osobami bez ohledu na jejich rasu nebo etnický původ</w:t>
            </w:r>
          </w:p>
        </w:tc>
        <w:tc>
          <w:tcPr>
            <w:tcW w:w="6520" w:type="dxa"/>
            <w:shd w:val="clear" w:color="auto" w:fill="FFFFFF" w:themeFill="background1"/>
            <w:vAlign w:val="center"/>
            <w:hideMark/>
          </w:tcPr>
          <w:p w:rsidR="003C55E3" w:rsidRPr="00BF5B77" w:rsidRDefault="003C55E3" w:rsidP="00BF3037">
            <w:pPr>
              <w:spacing w:line="240" w:lineRule="auto"/>
              <w:jc w:val="left"/>
              <w:rPr>
                <w:rFonts w:asciiTheme="minorHAnsi" w:hAnsiTheme="minorHAnsi"/>
                <w:iCs/>
                <w:strike/>
                <w:color w:val="000000"/>
                <w:sz w:val="18"/>
                <w:szCs w:val="18"/>
              </w:rPr>
            </w:pPr>
            <w:r w:rsidRPr="00BF5B77">
              <w:rPr>
                <w:rFonts w:asciiTheme="minorHAnsi" w:hAnsiTheme="minorHAnsi"/>
                <w:iCs/>
                <w:strike/>
                <w:color w:val="000000"/>
                <w:sz w:val="18"/>
                <w:szCs w:val="18"/>
              </w:rPr>
              <w:t>Účinné provádění a uplatňování směrnic EU 2000/78/ES a 2000/43/ES o zákazu diskriminace je zajištěno prostřednictvím:</w:t>
            </w:r>
          </w:p>
          <w:p w:rsidR="003C55E3" w:rsidRPr="00BF5B77" w:rsidRDefault="003C55E3" w:rsidP="00BF3037">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institucionálních opatření pro provádění, uplatňování a kontrolu dodržování směrnic EU o zákazu diskriminace,</w:t>
            </w:r>
          </w:p>
          <w:p w:rsidR="003C55E3" w:rsidRPr="00BF5B77" w:rsidRDefault="003C55E3" w:rsidP="00BF3037">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strategie odborné přípravy a šíření informací pro zaměstnance podílející se na prov</w:t>
            </w:r>
            <w:r w:rsidR="00452610">
              <w:rPr>
                <w:rFonts w:asciiTheme="minorHAnsi" w:hAnsiTheme="minorHAnsi"/>
                <w:strike/>
                <w:color w:val="000000"/>
                <w:sz w:val="18"/>
                <w:szCs w:val="18"/>
              </w:rPr>
              <w:t xml:space="preserve"> </w:t>
            </w:r>
            <w:r w:rsidRPr="00BF5B77">
              <w:rPr>
                <w:rFonts w:asciiTheme="minorHAnsi" w:hAnsiTheme="minorHAnsi"/>
                <w:strike/>
                <w:color w:val="000000"/>
                <w:sz w:val="18"/>
                <w:szCs w:val="18"/>
              </w:rPr>
              <w:t>ádění fondů,</w:t>
            </w:r>
          </w:p>
          <w:p w:rsidR="003C55E3" w:rsidRPr="00BF5B77" w:rsidRDefault="003C55E3" w:rsidP="00BF3037">
            <w:pPr>
              <w:spacing w:line="240" w:lineRule="auto"/>
              <w:jc w:val="left"/>
              <w:rPr>
                <w:rFonts w:asciiTheme="minorHAnsi" w:hAnsiTheme="minorHAnsi"/>
                <w:i/>
                <w:iCs/>
                <w:strike/>
                <w:color w:val="000000"/>
                <w:sz w:val="18"/>
                <w:szCs w:val="18"/>
              </w:rPr>
            </w:pPr>
            <w:r w:rsidRPr="00BF5B77">
              <w:rPr>
                <w:rFonts w:asciiTheme="minorHAnsi" w:hAnsiTheme="minorHAnsi"/>
                <w:strike/>
                <w:color w:val="000000"/>
                <w:sz w:val="18"/>
                <w:szCs w:val="18"/>
              </w:rPr>
              <w:t>opatření k posílení správní kapacity pro provádění a uplatňování směrnic EU o zákazu diskriminace.</w:t>
            </w:r>
          </w:p>
        </w:tc>
      </w:tr>
    </w:tbl>
    <w:p w:rsidR="00D40861" w:rsidRPr="00532997" w:rsidRDefault="00D40861" w:rsidP="00E04448">
      <w:pPr>
        <w:spacing w:before="180" w:after="60"/>
        <w:jc w:val="left"/>
        <w:rPr>
          <w:rFonts w:asciiTheme="minorHAnsi" w:hAnsiTheme="minorHAnsi" w:cs="Arial"/>
          <w:strike/>
          <w:color w:val="000000"/>
          <w:u w:val="single"/>
        </w:rPr>
      </w:pPr>
      <w:r w:rsidRPr="00532997">
        <w:rPr>
          <w:rFonts w:asciiTheme="minorHAnsi" w:hAnsiTheme="minorHAnsi" w:cs="Arial"/>
          <w:strike/>
          <w:color w:val="000000"/>
          <w:u w:val="single"/>
        </w:rPr>
        <w:t xml:space="preserve">Oblast 2: </w:t>
      </w:r>
      <w:r w:rsidR="001C1366" w:rsidRPr="00532997">
        <w:rPr>
          <w:rFonts w:asciiTheme="minorHAnsi" w:hAnsiTheme="minorHAnsi" w:cs="Arial"/>
          <w:strike/>
          <w:color w:val="000000"/>
          <w:u w:val="single"/>
        </w:rPr>
        <w:t>Rovnost mužů a žen</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D40861" w:rsidRPr="00523D12" w:rsidTr="00BF3037">
        <w:trPr>
          <w:trHeight w:val="396"/>
        </w:trPr>
        <w:tc>
          <w:tcPr>
            <w:tcW w:w="2562" w:type="dxa"/>
            <w:shd w:val="clear" w:color="auto" w:fill="B8CCE4" w:themeFill="accent1" w:themeFillTint="66"/>
            <w:vAlign w:val="center"/>
            <w:hideMark/>
          </w:tcPr>
          <w:p w:rsidR="00D40861" w:rsidRPr="00523D12" w:rsidRDefault="00D40861" w:rsidP="00BF3037">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D40861" w:rsidRPr="00523D12" w:rsidRDefault="00D40861" w:rsidP="00BF3037">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3C55E3" w:rsidRPr="00523D12" w:rsidTr="001C1366">
        <w:trPr>
          <w:trHeight w:val="2037"/>
        </w:trPr>
        <w:tc>
          <w:tcPr>
            <w:tcW w:w="2562" w:type="dxa"/>
            <w:shd w:val="clear" w:color="auto" w:fill="auto"/>
            <w:vAlign w:val="center"/>
            <w:hideMark/>
          </w:tcPr>
          <w:p w:rsidR="003C55E3" w:rsidRPr="00BF5B77" w:rsidRDefault="001C1366" w:rsidP="00BF3037">
            <w:pPr>
              <w:spacing w:line="240" w:lineRule="auto"/>
              <w:jc w:val="left"/>
              <w:rPr>
                <w:rFonts w:asciiTheme="minorHAnsi" w:hAnsiTheme="minorHAnsi"/>
                <w:strike/>
                <w:color w:val="000000"/>
                <w:sz w:val="18"/>
                <w:szCs w:val="18"/>
              </w:rPr>
            </w:pPr>
            <w:r w:rsidRPr="00BF5B77">
              <w:rPr>
                <w:rFonts w:asciiTheme="minorHAnsi" w:hAnsiTheme="minorHAnsi"/>
                <w:strike/>
                <w:color w:val="000000"/>
                <w:sz w:val="18"/>
                <w:szCs w:val="18"/>
              </w:rPr>
              <w:t>Existence strategie na podporu rovnosti žen a mužů a mechanismu, který zajistí její účinné provádění</w:t>
            </w:r>
          </w:p>
        </w:tc>
        <w:tc>
          <w:tcPr>
            <w:tcW w:w="6520" w:type="dxa"/>
            <w:shd w:val="clear" w:color="auto" w:fill="FFFFFF" w:themeFill="background1"/>
            <w:vAlign w:val="center"/>
            <w:hideMark/>
          </w:tcPr>
          <w:p w:rsidR="003C55E3" w:rsidRPr="00BF5B77" w:rsidRDefault="001C1366" w:rsidP="00BF3037">
            <w:pPr>
              <w:spacing w:line="240" w:lineRule="auto"/>
              <w:jc w:val="left"/>
              <w:rPr>
                <w:rFonts w:asciiTheme="minorHAnsi" w:hAnsiTheme="minorHAnsi"/>
                <w:iCs/>
                <w:strike/>
                <w:color w:val="000000"/>
                <w:sz w:val="18"/>
                <w:szCs w:val="18"/>
              </w:rPr>
            </w:pPr>
            <w:r w:rsidRPr="00BF5B77">
              <w:rPr>
                <w:rFonts w:asciiTheme="minorHAnsi" w:hAnsiTheme="minorHAnsi"/>
                <w:iCs/>
                <w:strike/>
                <w:color w:val="000000"/>
                <w:sz w:val="18"/>
                <w:szCs w:val="18"/>
              </w:rPr>
              <w:t>Účinné provádění a uplatňování explicitní strategie na podporu rovnosti žen a mužů je zajištěno prostřednictvím:</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systému pro sběr a analýzu údajů a ukazatelů v členění podle pohlaví a vypracování politiky rovnosti žen a mužů na základě objektivních podkladů,</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plánu a předběžných kritérií pro začlenění cílů týkajících se rovnosti žen a mužů prostřednictvím norem a pokynů zaměřených na rovnost žen a mužů,</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i/>
                <w:iCs/>
                <w:strike/>
                <w:color w:val="000000"/>
                <w:sz w:val="18"/>
                <w:szCs w:val="18"/>
              </w:rPr>
            </w:pPr>
            <w:r w:rsidRPr="00BF5B77">
              <w:rPr>
                <w:rFonts w:asciiTheme="minorHAnsi" w:hAnsiTheme="minorHAnsi"/>
                <w:strike/>
                <w:color w:val="000000"/>
                <w:sz w:val="18"/>
                <w:szCs w:val="18"/>
              </w:rPr>
              <w:t>mechanismů provádění, včetně zapojení zvláštního subjektu pro rovnost žen a mužů a příslušných odborníků do navrhování, monitorování a hodnocení zásahů.</w:t>
            </w:r>
          </w:p>
        </w:tc>
      </w:tr>
    </w:tbl>
    <w:p w:rsidR="00D40861" w:rsidRPr="00532997" w:rsidRDefault="00D40861" w:rsidP="00E04448">
      <w:pPr>
        <w:spacing w:before="180" w:after="60"/>
        <w:jc w:val="left"/>
        <w:rPr>
          <w:rFonts w:asciiTheme="minorHAnsi" w:hAnsiTheme="minorHAnsi" w:cs="Arial"/>
          <w:strike/>
          <w:color w:val="000000"/>
          <w:u w:val="single"/>
        </w:rPr>
      </w:pPr>
      <w:r w:rsidRPr="00532997">
        <w:rPr>
          <w:rFonts w:asciiTheme="minorHAnsi" w:hAnsiTheme="minorHAnsi" w:cs="Arial"/>
          <w:strike/>
          <w:color w:val="000000"/>
          <w:u w:val="single"/>
        </w:rPr>
        <w:t xml:space="preserve">Oblast 3: </w:t>
      </w:r>
      <w:r w:rsidR="001C1366" w:rsidRPr="00532997">
        <w:rPr>
          <w:rFonts w:asciiTheme="minorHAnsi" w:hAnsiTheme="minorHAnsi" w:cs="Arial"/>
          <w:strike/>
          <w:color w:val="000000"/>
          <w:u w:val="single"/>
        </w:rPr>
        <w:t>Zdravotní postižení</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D40861" w:rsidRPr="00523D12" w:rsidTr="00BF3037">
        <w:trPr>
          <w:trHeight w:val="396"/>
        </w:trPr>
        <w:tc>
          <w:tcPr>
            <w:tcW w:w="2562" w:type="dxa"/>
            <w:shd w:val="clear" w:color="auto" w:fill="B8CCE4" w:themeFill="accent1" w:themeFillTint="66"/>
            <w:vAlign w:val="center"/>
            <w:hideMark/>
          </w:tcPr>
          <w:p w:rsidR="00D40861" w:rsidRPr="00523D12" w:rsidRDefault="00D40861" w:rsidP="00BF3037">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D40861" w:rsidRPr="00523D12" w:rsidRDefault="00D40861" w:rsidP="00BF3037">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3C55E3" w:rsidRPr="00BF5B77" w:rsidTr="001C1366">
        <w:trPr>
          <w:trHeight w:val="2720"/>
        </w:trPr>
        <w:tc>
          <w:tcPr>
            <w:tcW w:w="2562" w:type="dxa"/>
            <w:shd w:val="clear" w:color="auto" w:fill="auto"/>
            <w:vAlign w:val="center"/>
            <w:hideMark/>
          </w:tcPr>
          <w:p w:rsidR="003C55E3" w:rsidRPr="00BF5B77" w:rsidRDefault="001C1366" w:rsidP="00BF3037">
            <w:pPr>
              <w:spacing w:line="240" w:lineRule="auto"/>
              <w:jc w:val="left"/>
              <w:rPr>
                <w:rFonts w:asciiTheme="minorHAnsi" w:hAnsiTheme="minorHAnsi"/>
                <w:strike/>
                <w:color w:val="000000"/>
                <w:sz w:val="18"/>
                <w:szCs w:val="18"/>
              </w:rPr>
            </w:pPr>
            <w:r w:rsidRPr="00BF5B77">
              <w:rPr>
                <w:rFonts w:asciiTheme="minorHAnsi" w:hAnsiTheme="minorHAnsi"/>
                <w:strike/>
                <w:color w:val="000000"/>
                <w:sz w:val="18"/>
                <w:szCs w:val="18"/>
              </w:rPr>
              <w:t>Existence mechanismu, který zajišťuje účinné provádění a uplatňování Úmluvy OSN o právech osob se zdravotním postižením</w:t>
            </w:r>
          </w:p>
        </w:tc>
        <w:tc>
          <w:tcPr>
            <w:tcW w:w="6520" w:type="dxa"/>
            <w:shd w:val="clear" w:color="auto" w:fill="FFFFFF" w:themeFill="background1"/>
            <w:vAlign w:val="center"/>
            <w:hideMark/>
          </w:tcPr>
          <w:p w:rsidR="003C55E3" w:rsidRPr="00BF5B77" w:rsidRDefault="001C1366" w:rsidP="00BF3037">
            <w:pPr>
              <w:spacing w:line="240" w:lineRule="auto"/>
              <w:jc w:val="left"/>
              <w:rPr>
                <w:rFonts w:asciiTheme="minorHAnsi" w:hAnsiTheme="minorHAnsi"/>
                <w:iCs/>
                <w:strike/>
                <w:color w:val="000000"/>
                <w:sz w:val="18"/>
                <w:szCs w:val="18"/>
              </w:rPr>
            </w:pPr>
            <w:r w:rsidRPr="00BF5B77">
              <w:rPr>
                <w:rFonts w:asciiTheme="minorHAnsi" w:hAnsiTheme="minorHAnsi"/>
                <w:iCs/>
                <w:strike/>
                <w:color w:val="000000"/>
                <w:sz w:val="18"/>
                <w:szCs w:val="18"/>
              </w:rPr>
              <w:t>Účinné provádění a uplatňování Úmluvy OSN o právech osob se zdravotním postižením je zajištěna prostřednictvím:</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realizace opatření v souladu s článkem 9 Úmluvy OSN při prevenci, zjišťování a odstraňování překážek a bariér bránících osobám se zdravotním postižením v přístupu,</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institucionálních opatření pro provádění a kontrolu provádění Úmluvy OSN v souladu s článkem 33 Úmluvy,</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plánu odborné přípravy a šíření informací pro zaměstnance podílející se na provádění fondů,</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i/>
                <w:iCs/>
                <w:strike/>
                <w:color w:val="000000"/>
                <w:sz w:val="18"/>
                <w:szCs w:val="18"/>
              </w:rPr>
            </w:pPr>
            <w:r w:rsidRPr="00BF5B77">
              <w:rPr>
                <w:rFonts w:asciiTheme="minorHAnsi" w:hAnsiTheme="minorHAnsi"/>
                <w:strike/>
                <w:color w:val="000000"/>
                <w:sz w:val="18"/>
                <w:szCs w:val="18"/>
              </w:rPr>
              <w:t>opatření k posílení správní kapacity pro provádění a uplatňování Úmluvy OSN včetně vhodných opatření k monitorování souladu s požadavky na přístup.</w:t>
            </w:r>
          </w:p>
        </w:tc>
      </w:tr>
    </w:tbl>
    <w:p w:rsidR="004C7161" w:rsidRPr="00532997" w:rsidRDefault="004C7161" w:rsidP="00E04448">
      <w:pPr>
        <w:spacing w:before="180" w:after="60"/>
        <w:jc w:val="left"/>
        <w:rPr>
          <w:rFonts w:asciiTheme="minorHAnsi" w:hAnsiTheme="minorHAnsi" w:cs="Arial"/>
          <w:color w:val="000000"/>
          <w:u w:val="single"/>
        </w:rPr>
      </w:pPr>
      <w:r w:rsidRPr="00532997">
        <w:rPr>
          <w:rFonts w:asciiTheme="minorHAnsi" w:hAnsiTheme="minorHAnsi" w:cs="Arial"/>
          <w:color w:val="000000"/>
          <w:u w:val="single"/>
        </w:rPr>
        <w:t xml:space="preserve">Oblast </w:t>
      </w:r>
      <w:r w:rsidR="00FB3184" w:rsidRPr="00532997">
        <w:rPr>
          <w:rFonts w:asciiTheme="minorHAnsi" w:hAnsiTheme="minorHAnsi" w:cs="Arial"/>
          <w:color w:val="000000"/>
          <w:u w:val="single"/>
        </w:rPr>
        <w:t>4</w:t>
      </w:r>
      <w:r w:rsidRPr="00532997">
        <w:rPr>
          <w:rFonts w:asciiTheme="minorHAnsi" w:hAnsiTheme="minorHAnsi" w:cs="Arial"/>
          <w:color w:val="000000"/>
          <w:u w:val="single"/>
        </w:rPr>
        <w:t>: Veřejné zakázky</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4C7161" w:rsidRPr="00523D12" w:rsidTr="00DD490C">
        <w:trPr>
          <w:trHeight w:val="396"/>
        </w:trPr>
        <w:tc>
          <w:tcPr>
            <w:tcW w:w="2562"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BF5B77">
        <w:trPr>
          <w:trHeight w:val="286"/>
        </w:trPr>
        <w:tc>
          <w:tcPr>
            <w:tcW w:w="2562" w:type="dxa"/>
            <w:vMerge w:val="restart"/>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opatření pro účinné uplatňování právních předpisů EU týkajících se zadávání veřejných zakázek v oblasti společného strategického rámce pro fondy.</w:t>
            </w:r>
          </w:p>
        </w:tc>
        <w:tc>
          <w:tcPr>
            <w:tcW w:w="6520" w:type="dxa"/>
            <w:tcBorders>
              <w:bottom w:val="dotted" w:sz="4" w:space="0" w:color="auto"/>
            </w:tcBorders>
            <w:shd w:val="clear" w:color="auto" w:fill="FFFFFF" w:themeFill="background1"/>
            <w:vAlign w:val="center"/>
            <w:hideMark/>
          </w:tcPr>
          <w:p w:rsidR="004C7161" w:rsidRPr="00BF5B77" w:rsidRDefault="00BF5B77" w:rsidP="00DD490C">
            <w:pPr>
              <w:spacing w:line="240" w:lineRule="auto"/>
              <w:jc w:val="left"/>
              <w:rPr>
                <w:rFonts w:asciiTheme="minorHAnsi" w:hAnsiTheme="minorHAnsi"/>
                <w:strike/>
                <w:color w:val="000000"/>
                <w:sz w:val="18"/>
                <w:szCs w:val="18"/>
              </w:rPr>
            </w:pPr>
            <w:r w:rsidRPr="00BF5B77">
              <w:rPr>
                <w:rFonts w:asciiTheme="minorHAnsi" w:hAnsiTheme="minorHAnsi"/>
                <w:strike/>
                <w:color w:val="000000"/>
                <w:sz w:val="18"/>
                <w:szCs w:val="18"/>
              </w:rPr>
              <w:t>Úplné provedení směrnic 2004/18/ES a 2004/17/ES,</w:t>
            </w:r>
          </w:p>
        </w:tc>
      </w:tr>
      <w:tr w:rsidR="00BF5B77" w:rsidRPr="00523D12" w:rsidTr="00BF5B77">
        <w:trPr>
          <w:trHeight w:val="540"/>
        </w:trPr>
        <w:tc>
          <w:tcPr>
            <w:tcW w:w="2562" w:type="dxa"/>
            <w:vMerge/>
            <w:shd w:val="clear" w:color="auto" w:fill="auto"/>
            <w:vAlign w:val="center"/>
            <w:hideMark/>
          </w:tcPr>
          <w:p w:rsidR="00BF5B77" w:rsidRPr="00523D12" w:rsidRDefault="00BF5B77" w:rsidP="00DD490C">
            <w:pPr>
              <w:spacing w:line="240" w:lineRule="auto"/>
              <w:jc w:val="left"/>
              <w:rPr>
                <w:rFonts w:asciiTheme="minorHAnsi" w:hAnsiTheme="minorHAnsi"/>
                <w:color w:val="000000"/>
                <w:sz w:val="18"/>
                <w:szCs w:val="18"/>
              </w:rPr>
            </w:pPr>
          </w:p>
        </w:tc>
        <w:tc>
          <w:tcPr>
            <w:tcW w:w="6520" w:type="dxa"/>
            <w:tcBorders>
              <w:top w:val="dotted" w:sz="4" w:space="0" w:color="auto"/>
            </w:tcBorders>
            <w:shd w:val="clear" w:color="auto" w:fill="FFFFFF" w:themeFill="background1"/>
            <w:vAlign w:val="center"/>
            <w:hideMark/>
          </w:tcPr>
          <w:p w:rsidR="00BF5B77" w:rsidRPr="00BF5B77" w:rsidRDefault="00BF5B77"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pro účinné uplatňování předpisů EU týkajících se zadávání veřejných zakázek prostřednictvím odpovídajících mechanismů.</w:t>
            </w:r>
          </w:p>
        </w:tc>
      </w:tr>
      <w:tr w:rsidR="004C7161" w:rsidRPr="00523D12" w:rsidTr="00DD490C">
        <w:trPr>
          <w:trHeight w:val="277"/>
        </w:trPr>
        <w:tc>
          <w:tcPr>
            <w:tcW w:w="2562" w:type="dxa"/>
            <w:vMerge/>
            <w:vAlign w:val="center"/>
            <w:hideMark/>
          </w:tcPr>
          <w:p w:rsidR="004C7161" w:rsidRPr="00523D12" w:rsidRDefault="004C7161" w:rsidP="00DD490C">
            <w:pPr>
              <w:spacing w:line="240" w:lineRule="auto"/>
              <w:jc w:val="left"/>
              <w:rPr>
                <w:rFonts w:asciiTheme="minorHAnsi" w:hAnsiTheme="minorHAnsi"/>
                <w:color w:val="000000"/>
                <w:sz w:val="18"/>
                <w:szCs w:val="18"/>
              </w:rPr>
            </w:pPr>
          </w:p>
        </w:tc>
        <w:tc>
          <w:tcPr>
            <w:tcW w:w="6520" w:type="dxa"/>
            <w:shd w:val="clear" w:color="auto" w:fill="auto"/>
            <w:vAlign w:val="center"/>
            <w:hideMark/>
          </w:tcPr>
          <w:p w:rsidR="004C7161" w:rsidRPr="00523D12" w:rsidRDefault="004C7161" w:rsidP="00D320DA">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 xml:space="preserve">Opatření, jež zajišťují transparentní postupy </w:t>
            </w:r>
            <w:r w:rsidR="00D320DA">
              <w:rPr>
                <w:rFonts w:asciiTheme="minorHAnsi" w:hAnsiTheme="minorHAnsi"/>
                <w:color w:val="000000"/>
                <w:sz w:val="18"/>
                <w:szCs w:val="18"/>
              </w:rPr>
              <w:t>zadávání</w:t>
            </w:r>
            <w:r w:rsidR="00D320DA" w:rsidRPr="00523D12">
              <w:rPr>
                <w:rFonts w:asciiTheme="minorHAnsi" w:hAnsiTheme="minorHAnsi"/>
                <w:color w:val="000000"/>
                <w:sz w:val="18"/>
                <w:szCs w:val="18"/>
              </w:rPr>
              <w:t xml:space="preserve"> </w:t>
            </w:r>
            <w:r w:rsidRPr="00523D12">
              <w:rPr>
                <w:rFonts w:asciiTheme="minorHAnsi" w:hAnsiTheme="minorHAnsi"/>
                <w:color w:val="000000"/>
                <w:sz w:val="18"/>
                <w:szCs w:val="18"/>
              </w:rPr>
              <w:t>veřejných zakázek.</w:t>
            </w:r>
          </w:p>
        </w:tc>
      </w:tr>
      <w:tr w:rsidR="004C7161" w:rsidRPr="00523D12" w:rsidTr="00DD490C">
        <w:trPr>
          <w:trHeight w:val="394"/>
        </w:trPr>
        <w:tc>
          <w:tcPr>
            <w:tcW w:w="2562" w:type="dxa"/>
            <w:vMerge/>
            <w:vAlign w:val="center"/>
            <w:hideMark/>
          </w:tcPr>
          <w:p w:rsidR="004C7161" w:rsidRPr="00523D12" w:rsidRDefault="004C7161" w:rsidP="00DD490C">
            <w:pPr>
              <w:spacing w:line="240" w:lineRule="auto"/>
              <w:jc w:val="left"/>
              <w:rPr>
                <w:rFonts w:asciiTheme="minorHAnsi" w:hAnsiTheme="minorHAnsi"/>
                <w:color w:val="000000"/>
                <w:sz w:val="18"/>
                <w:szCs w:val="18"/>
              </w:rPr>
            </w:pPr>
          </w:p>
        </w:tc>
        <w:tc>
          <w:tcPr>
            <w:tcW w:w="6520"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pro odbornou přípravu a šíření informací pro zaměstnance podílející se na provádění fondů.</w:t>
            </w:r>
          </w:p>
        </w:tc>
      </w:tr>
      <w:tr w:rsidR="004C7161" w:rsidRPr="00523D12" w:rsidTr="00DD490C">
        <w:trPr>
          <w:trHeight w:val="500"/>
        </w:trPr>
        <w:tc>
          <w:tcPr>
            <w:tcW w:w="2562" w:type="dxa"/>
            <w:vMerge/>
            <w:vAlign w:val="center"/>
            <w:hideMark/>
          </w:tcPr>
          <w:p w:rsidR="004C7161" w:rsidRPr="00523D12" w:rsidRDefault="004C7161" w:rsidP="00DD490C">
            <w:pPr>
              <w:spacing w:line="240" w:lineRule="auto"/>
              <w:jc w:val="left"/>
              <w:rPr>
                <w:rFonts w:asciiTheme="minorHAnsi" w:hAnsiTheme="minorHAnsi"/>
                <w:color w:val="000000"/>
                <w:sz w:val="18"/>
                <w:szCs w:val="18"/>
              </w:rPr>
            </w:pPr>
          </w:p>
        </w:tc>
        <w:tc>
          <w:tcPr>
            <w:tcW w:w="6520"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k zajištění správní kapacity pro provádění a uplatňování předpisů EU týkajících se zadávání veřejných zakázek.</w:t>
            </w:r>
          </w:p>
        </w:tc>
      </w:tr>
    </w:tbl>
    <w:p w:rsidR="004C7161" w:rsidRPr="00532997" w:rsidRDefault="004C7161" w:rsidP="004C7161">
      <w:pPr>
        <w:spacing w:before="240" w:after="60"/>
        <w:jc w:val="left"/>
        <w:rPr>
          <w:rFonts w:asciiTheme="minorHAnsi" w:hAnsiTheme="minorHAnsi" w:cs="Arial"/>
          <w:color w:val="000000"/>
          <w:u w:val="single"/>
        </w:rPr>
      </w:pPr>
      <w:r w:rsidRPr="00532997">
        <w:rPr>
          <w:rFonts w:asciiTheme="minorHAnsi" w:hAnsiTheme="minorHAnsi" w:cs="Arial"/>
          <w:color w:val="000000"/>
          <w:u w:val="single"/>
        </w:rPr>
        <w:t xml:space="preserve">Oblast </w:t>
      </w:r>
      <w:r w:rsidR="00FB3184" w:rsidRPr="00532997">
        <w:rPr>
          <w:rFonts w:asciiTheme="minorHAnsi" w:hAnsiTheme="minorHAnsi" w:cs="Arial"/>
          <w:color w:val="000000"/>
          <w:u w:val="single"/>
        </w:rPr>
        <w:t>5</w:t>
      </w:r>
      <w:r w:rsidRPr="00532997">
        <w:rPr>
          <w:rFonts w:asciiTheme="minorHAnsi" w:hAnsiTheme="minorHAnsi" w:cs="Arial"/>
          <w:color w:val="000000"/>
          <w:u w:val="single"/>
        </w:rPr>
        <w:t xml:space="preserve">: </w:t>
      </w:r>
      <w:r w:rsidR="00D320DA">
        <w:rPr>
          <w:rFonts w:asciiTheme="minorHAnsi" w:hAnsiTheme="minorHAnsi" w:cs="Arial"/>
          <w:color w:val="000000"/>
          <w:u w:val="single"/>
        </w:rPr>
        <w:t>Veřejná</w:t>
      </w:r>
      <w:r w:rsidR="00D320DA" w:rsidRPr="00532997">
        <w:rPr>
          <w:rFonts w:asciiTheme="minorHAnsi" w:hAnsiTheme="minorHAnsi" w:cs="Arial"/>
          <w:color w:val="000000"/>
          <w:u w:val="single"/>
        </w:rPr>
        <w:t xml:space="preserve"> </w:t>
      </w:r>
      <w:r w:rsidRPr="00532997">
        <w:rPr>
          <w:rFonts w:asciiTheme="minorHAnsi" w:hAnsiTheme="minorHAnsi" w:cs="Arial"/>
          <w:color w:val="000000"/>
          <w:u w:val="single"/>
        </w:rPr>
        <w:t>podpora</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4C7161" w:rsidRPr="00523D12" w:rsidTr="00DD490C">
        <w:trPr>
          <w:trHeight w:val="396"/>
        </w:trPr>
        <w:tc>
          <w:tcPr>
            <w:tcW w:w="2562"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584"/>
        </w:trPr>
        <w:tc>
          <w:tcPr>
            <w:tcW w:w="2562" w:type="dxa"/>
            <w:vMerge w:val="restart"/>
            <w:shd w:val="clear" w:color="auto" w:fill="auto"/>
            <w:vAlign w:val="center"/>
            <w:hideMark/>
          </w:tcPr>
          <w:p w:rsidR="004C7161" w:rsidRPr="00523D12" w:rsidRDefault="004C7161" w:rsidP="00D320DA">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 xml:space="preserve">Existence opatření pro účinné uplatňování právních předpisů EU týkajících se </w:t>
            </w:r>
            <w:r w:rsidR="00D320DA">
              <w:rPr>
                <w:rFonts w:asciiTheme="minorHAnsi" w:hAnsiTheme="minorHAnsi"/>
                <w:color w:val="000000"/>
                <w:sz w:val="18"/>
                <w:szCs w:val="18"/>
              </w:rPr>
              <w:t>veřejné</w:t>
            </w:r>
            <w:r w:rsidR="00D320DA" w:rsidRPr="00523D12">
              <w:rPr>
                <w:rFonts w:asciiTheme="minorHAnsi" w:hAnsiTheme="minorHAnsi"/>
                <w:color w:val="000000"/>
                <w:sz w:val="18"/>
                <w:szCs w:val="18"/>
              </w:rPr>
              <w:t xml:space="preserve"> </w:t>
            </w:r>
            <w:r w:rsidRPr="00523D12">
              <w:rPr>
                <w:rFonts w:asciiTheme="minorHAnsi" w:hAnsiTheme="minorHAnsi"/>
                <w:color w:val="000000"/>
                <w:sz w:val="18"/>
                <w:szCs w:val="18"/>
              </w:rPr>
              <w:t>podpory v oblasti společného strategického rámce pro fondy.</w:t>
            </w:r>
          </w:p>
        </w:tc>
        <w:tc>
          <w:tcPr>
            <w:tcW w:w="6520" w:type="dxa"/>
            <w:shd w:val="clear" w:color="auto" w:fill="FFFFFF" w:themeFill="background1"/>
            <w:vAlign w:val="center"/>
            <w:hideMark/>
          </w:tcPr>
          <w:p w:rsidR="004C7161" w:rsidRPr="00523D12" w:rsidRDefault="004C7161" w:rsidP="00DD490C">
            <w:pPr>
              <w:spacing w:line="240" w:lineRule="auto"/>
              <w:jc w:val="left"/>
              <w:rPr>
                <w:rFonts w:asciiTheme="minorHAnsi" w:hAnsiTheme="minorHAnsi"/>
                <w:i/>
                <w:iCs/>
                <w:color w:val="000000"/>
                <w:sz w:val="18"/>
                <w:szCs w:val="18"/>
              </w:rPr>
            </w:pPr>
            <w:r w:rsidRPr="00523D12">
              <w:rPr>
                <w:rFonts w:asciiTheme="minorHAnsi" w:hAnsiTheme="minorHAnsi"/>
                <w:color w:val="000000"/>
                <w:sz w:val="18"/>
                <w:szCs w:val="18"/>
              </w:rPr>
              <w:t>Opatření pro odbornou přípravu a šíření informací pro zaměstnance podílející se na provádění fondů.</w:t>
            </w:r>
          </w:p>
        </w:tc>
      </w:tr>
      <w:tr w:rsidR="004C7161" w:rsidRPr="00523D12" w:rsidTr="00DD490C">
        <w:trPr>
          <w:trHeight w:val="495"/>
        </w:trPr>
        <w:tc>
          <w:tcPr>
            <w:tcW w:w="2562" w:type="dxa"/>
            <w:vMerge/>
            <w:vAlign w:val="center"/>
            <w:hideMark/>
          </w:tcPr>
          <w:p w:rsidR="004C7161" w:rsidRPr="00523D12" w:rsidRDefault="004C7161" w:rsidP="00DD490C">
            <w:pPr>
              <w:spacing w:line="240" w:lineRule="auto"/>
              <w:jc w:val="left"/>
              <w:rPr>
                <w:rFonts w:asciiTheme="minorHAnsi" w:hAnsiTheme="minorHAnsi"/>
                <w:color w:val="000000"/>
                <w:sz w:val="18"/>
                <w:szCs w:val="18"/>
              </w:rPr>
            </w:pPr>
          </w:p>
        </w:tc>
        <w:tc>
          <w:tcPr>
            <w:tcW w:w="6520" w:type="dxa"/>
            <w:shd w:val="clear" w:color="auto" w:fill="auto"/>
            <w:vAlign w:val="center"/>
            <w:hideMark/>
          </w:tcPr>
          <w:p w:rsidR="004C7161" w:rsidRPr="00523D12" w:rsidRDefault="004C7161" w:rsidP="00D320DA">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 xml:space="preserve">Opatření k zajištění správní kapacity pro provádění a uplatňování pravidel EU týkajících se </w:t>
            </w:r>
            <w:r w:rsidR="00D320DA">
              <w:rPr>
                <w:rFonts w:asciiTheme="minorHAnsi" w:hAnsiTheme="minorHAnsi"/>
                <w:color w:val="000000"/>
                <w:sz w:val="18"/>
                <w:szCs w:val="18"/>
              </w:rPr>
              <w:t>veřejné</w:t>
            </w:r>
            <w:r w:rsidR="00D320DA" w:rsidRPr="00523D12">
              <w:rPr>
                <w:rFonts w:asciiTheme="minorHAnsi" w:hAnsiTheme="minorHAnsi"/>
                <w:color w:val="000000"/>
                <w:sz w:val="18"/>
                <w:szCs w:val="18"/>
              </w:rPr>
              <w:t xml:space="preserve"> </w:t>
            </w:r>
            <w:r w:rsidRPr="00523D12">
              <w:rPr>
                <w:rFonts w:asciiTheme="minorHAnsi" w:hAnsiTheme="minorHAnsi"/>
                <w:color w:val="000000"/>
                <w:sz w:val="18"/>
                <w:szCs w:val="18"/>
              </w:rPr>
              <w:t>podpory.</w:t>
            </w:r>
          </w:p>
        </w:tc>
      </w:tr>
    </w:tbl>
    <w:p w:rsidR="004C7161" w:rsidRPr="00532997" w:rsidRDefault="004C7161" w:rsidP="004C7161">
      <w:pPr>
        <w:spacing w:before="240" w:after="60"/>
        <w:jc w:val="left"/>
        <w:rPr>
          <w:rFonts w:asciiTheme="minorHAnsi" w:hAnsiTheme="minorHAnsi" w:cs="Arial"/>
          <w:color w:val="000000"/>
          <w:u w:val="single"/>
        </w:rPr>
      </w:pPr>
      <w:r w:rsidRPr="00532997">
        <w:rPr>
          <w:rFonts w:asciiTheme="minorHAnsi" w:hAnsiTheme="minorHAnsi" w:cs="Arial"/>
          <w:color w:val="000000"/>
          <w:u w:val="single"/>
        </w:rPr>
        <w:t xml:space="preserve">Oblast </w:t>
      </w:r>
      <w:r w:rsidR="00FB3184" w:rsidRPr="00532997">
        <w:rPr>
          <w:rFonts w:asciiTheme="minorHAnsi" w:hAnsiTheme="minorHAnsi" w:cs="Arial"/>
          <w:color w:val="000000"/>
          <w:u w:val="single"/>
        </w:rPr>
        <w:t>6</w:t>
      </w:r>
      <w:r w:rsidRPr="00532997">
        <w:rPr>
          <w:rFonts w:asciiTheme="minorHAnsi" w:hAnsiTheme="minorHAnsi" w:cs="Arial"/>
          <w:color w:val="000000"/>
          <w:u w:val="single"/>
        </w:rPr>
        <w:t>: Právní předpisy pro oblast životního prostředí týkající se posuzování vlivů na životní prostředí (EIA) a strategického posuzování vlivů na životní prostředí (SEA)</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4C7161" w:rsidRPr="00523D12" w:rsidTr="00DD490C">
        <w:trPr>
          <w:trHeight w:val="396"/>
        </w:trPr>
        <w:tc>
          <w:tcPr>
            <w:tcW w:w="2562"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BB032C">
        <w:trPr>
          <w:trHeight w:val="308"/>
        </w:trPr>
        <w:tc>
          <w:tcPr>
            <w:tcW w:w="2562" w:type="dxa"/>
            <w:vMerge w:val="restart"/>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funkčního uspořádání, které zajišťuje účinné uplatňování právních předpisů EU souvisejících s EIA a SEA.</w:t>
            </w:r>
          </w:p>
        </w:tc>
        <w:tc>
          <w:tcPr>
            <w:tcW w:w="6520" w:type="dxa"/>
            <w:tcBorders>
              <w:bottom w:val="dotted" w:sz="4" w:space="0" w:color="auto"/>
            </w:tcBorders>
            <w:shd w:val="clear" w:color="auto" w:fill="FFFFFF" w:themeFill="background1"/>
            <w:vAlign w:val="center"/>
            <w:hideMark/>
          </w:tcPr>
          <w:p w:rsidR="004C7161" w:rsidRPr="00BB032C" w:rsidRDefault="00BB032C" w:rsidP="00DD490C">
            <w:pPr>
              <w:spacing w:line="240" w:lineRule="auto"/>
              <w:jc w:val="left"/>
              <w:rPr>
                <w:rFonts w:asciiTheme="minorHAnsi" w:hAnsiTheme="minorHAnsi"/>
                <w:i/>
                <w:iCs/>
                <w:strike/>
                <w:color w:val="000000"/>
                <w:sz w:val="18"/>
                <w:szCs w:val="18"/>
              </w:rPr>
            </w:pPr>
            <w:r w:rsidRPr="00BB032C">
              <w:rPr>
                <w:rFonts w:asciiTheme="minorHAnsi" w:hAnsiTheme="minorHAnsi"/>
                <w:strike/>
                <w:color w:val="000000"/>
                <w:sz w:val="18"/>
                <w:szCs w:val="18"/>
              </w:rPr>
              <w:t>Úplné a správné provedení směrnic o EIA a SEA</w:t>
            </w:r>
          </w:p>
        </w:tc>
      </w:tr>
      <w:tr w:rsidR="00BB032C" w:rsidRPr="00523D12" w:rsidTr="00BB032C">
        <w:trPr>
          <w:trHeight w:val="370"/>
        </w:trPr>
        <w:tc>
          <w:tcPr>
            <w:tcW w:w="2562" w:type="dxa"/>
            <w:vMerge/>
            <w:shd w:val="clear" w:color="auto" w:fill="auto"/>
            <w:vAlign w:val="center"/>
            <w:hideMark/>
          </w:tcPr>
          <w:p w:rsidR="00BB032C" w:rsidRPr="00523D12" w:rsidRDefault="00BB032C" w:rsidP="00DD490C">
            <w:pPr>
              <w:spacing w:line="240" w:lineRule="auto"/>
              <w:jc w:val="left"/>
              <w:rPr>
                <w:rFonts w:asciiTheme="minorHAnsi" w:hAnsiTheme="minorHAnsi"/>
                <w:color w:val="000000"/>
                <w:sz w:val="18"/>
                <w:szCs w:val="18"/>
              </w:rPr>
            </w:pPr>
          </w:p>
        </w:tc>
        <w:tc>
          <w:tcPr>
            <w:tcW w:w="6520" w:type="dxa"/>
            <w:tcBorders>
              <w:top w:val="dotted" w:sz="4" w:space="0" w:color="auto"/>
            </w:tcBorders>
            <w:shd w:val="clear" w:color="auto" w:fill="FFFFFF" w:themeFill="background1"/>
            <w:vAlign w:val="center"/>
            <w:hideMark/>
          </w:tcPr>
          <w:p w:rsidR="00BB032C" w:rsidRPr="00523D12" w:rsidRDefault="00BB032C"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pro účinné uplatňování směrnic týkajících se EIA a SEA.</w:t>
            </w:r>
          </w:p>
        </w:tc>
      </w:tr>
      <w:tr w:rsidR="004C7161" w:rsidRPr="00523D12" w:rsidTr="00DD490C">
        <w:trPr>
          <w:trHeight w:val="420"/>
        </w:trPr>
        <w:tc>
          <w:tcPr>
            <w:tcW w:w="2562" w:type="dxa"/>
            <w:vMerge/>
            <w:vAlign w:val="center"/>
            <w:hideMark/>
          </w:tcPr>
          <w:p w:rsidR="004C7161" w:rsidRPr="00523D12" w:rsidRDefault="004C7161" w:rsidP="00DD490C">
            <w:pPr>
              <w:spacing w:line="240" w:lineRule="auto"/>
              <w:jc w:val="left"/>
              <w:rPr>
                <w:rFonts w:asciiTheme="minorHAnsi" w:hAnsiTheme="minorHAnsi"/>
                <w:color w:val="000000"/>
                <w:sz w:val="18"/>
                <w:szCs w:val="18"/>
              </w:rPr>
            </w:pPr>
          </w:p>
        </w:tc>
        <w:tc>
          <w:tcPr>
            <w:tcW w:w="6520"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pro odbornou přípravu a šíření informací pro zaměstnance podílející se na provádění směrnic týkajících se EIA a SEA.</w:t>
            </w:r>
          </w:p>
        </w:tc>
      </w:tr>
      <w:tr w:rsidR="004C7161" w:rsidRPr="00523D12" w:rsidTr="00DD490C">
        <w:trPr>
          <w:trHeight w:val="256"/>
        </w:trPr>
        <w:tc>
          <w:tcPr>
            <w:tcW w:w="2562" w:type="dxa"/>
            <w:vMerge/>
            <w:vAlign w:val="center"/>
            <w:hideMark/>
          </w:tcPr>
          <w:p w:rsidR="004C7161" w:rsidRPr="00523D12" w:rsidRDefault="004C7161" w:rsidP="00DD490C">
            <w:pPr>
              <w:spacing w:line="240" w:lineRule="auto"/>
              <w:jc w:val="left"/>
              <w:rPr>
                <w:rFonts w:asciiTheme="minorHAnsi" w:hAnsiTheme="minorHAnsi"/>
                <w:color w:val="000000"/>
                <w:sz w:val="18"/>
                <w:szCs w:val="18"/>
              </w:rPr>
            </w:pPr>
          </w:p>
        </w:tc>
        <w:tc>
          <w:tcPr>
            <w:tcW w:w="6520"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k zajištění dostatečné správní kapacity.</w:t>
            </w:r>
          </w:p>
        </w:tc>
      </w:tr>
    </w:tbl>
    <w:p w:rsidR="004C7161" w:rsidRPr="00532997" w:rsidRDefault="004C7161" w:rsidP="004C7161">
      <w:pPr>
        <w:spacing w:before="240" w:after="60"/>
        <w:jc w:val="left"/>
        <w:rPr>
          <w:rFonts w:asciiTheme="minorHAnsi" w:hAnsiTheme="minorHAnsi" w:cs="Arial"/>
          <w:color w:val="000000"/>
          <w:u w:val="single"/>
        </w:rPr>
      </w:pPr>
      <w:r w:rsidRPr="00532997">
        <w:rPr>
          <w:rFonts w:asciiTheme="minorHAnsi" w:hAnsiTheme="minorHAnsi" w:cs="Arial"/>
          <w:color w:val="000000"/>
          <w:u w:val="single"/>
        </w:rPr>
        <w:t xml:space="preserve">Oblast </w:t>
      </w:r>
      <w:r w:rsidR="00FB3184" w:rsidRPr="00532997">
        <w:rPr>
          <w:rFonts w:asciiTheme="minorHAnsi" w:hAnsiTheme="minorHAnsi" w:cs="Arial"/>
          <w:color w:val="000000"/>
          <w:u w:val="single"/>
        </w:rPr>
        <w:t>7</w:t>
      </w:r>
      <w:r w:rsidRPr="00532997">
        <w:rPr>
          <w:rFonts w:asciiTheme="minorHAnsi" w:hAnsiTheme="minorHAnsi" w:cs="Arial"/>
          <w:color w:val="000000"/>
          <w:u w:val="single"/>
        </w:rPr>
        <w:t>: Statistické systémy a ukazatele výsledků</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4C7161" w:rsidRPr="00523D12" w:rsidTr="00DD490C">
        <w:trPr>
          <w:trHeight w:val="396"/>
        </w:trPr>
        <w:tc>
          <w:tcPr>
            <w:tcW w:w="2562"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1132"/>
        </w:trPr>
        <w:tc>
          <w:tcPr>
            <w:tcW w:w="2562"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statistického systému nezbytného k provádění hodnocení za účelem posouzení účinnosti a dopadu programů.</w:t>
            </w:r>
          </w:p>
        </w:tc>
        <w:tc>
          <w:tcPr>
            <w:tcW w:w="6520"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pro včasný sběr a agregaci údajů, který obsahuje tyto prvky:</w:t>
            </w:r>
          </w:p>
          <w:p w:rsidR="004C7161" w:rsidRPr="00523D12"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8"/>
                <w:szCs w:val="18"/>
              </w:rPr>
            </w:pPr>
            <w:r w:rsidRPr="00523D12">
              <w:rPr>
                <w:rFonts w:asciiTheme="minorHAnsi" w:hAnsiTheme="minorHAnsi"/>
                <w:color w:val="000000"/>
                <w:sz w:val="18"/>
                <w:szCs w:val="18"/>
              </w:rPr>
              <w:t>určení zdrojů a mechanismů pro zajištění statistické validace,</w:t>
            </w:r>
          </w:p>
          <w:p w:rsidR="004C7161" w:rsidRPr="00523D12"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8"/>
                <w:szCs w:val="18"/>
              </w:rPr>
            </w:pPr>
            <w:r w:rsidRPr="00523D12">
              <w:rPr>
                <w:rFonts w:asciiTheme="minorHAnsi" w:hAnsiTheme="minorHAnsi"/>
                <w:color w:val="000000"/>
                <w:sz w:val="18"/>
                <w:szCs w:val="18"/>
              </w:rPr>
              <w:t>opatření pro zveřejňování a zpřístupňování informací veřejnosti.</w:t>
            </w:r>
          </w:p>
        </w:tc>
      </w:tr>
      <w:tr w:rsidR="004C7161" w:rsidRPr="00523D12" w:rsidTr="00DD490C">
        <w:trPr>
          <w:trHeight w:val="2112"/>
        </w:trPr>
        <w:tc>
          <w:tcPr>
            <w:tcW w:w="2562"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systému ukazatelů výsledků nezbytného k výběru opatření, jež budou nejúčinněji přispívat k dosahování požadovaných výsledků, k monitorování pokroku při dosahování výsledků a k provedení posouzení dopadů</w:t>
            </w:r>
          </w:p>
        </w:tc>
        <w:tc>
          <w:tcPr>
            <w:tcW w:w="6520" w:type="dxa"/>
            <w:shd w:val="clear" w:color="auto" w:fill="auto"/>
            <w:vAlign w:val="center"/>
            <w:hideMark/>
          </w:tcPr>
          <w:p w:rsidR="004C7161" w:rsidRPr="00523D12" w:rsidRDefault="004C7161" w:rsidP="00DD490C">
            <w:pPr>
              <w:spacing w:after="40" w:line="240" w:lineRule="auto"/>
              <w:jc w:val="left"/>
              <w:rPr>
                <w:rFonts w:asciiTheme="minorHAnsi" w:hAnsiTheme="minorHAnsi"/>
                <w:color w:val="000000"/>
                <w:sz w:val="18"/>
                <w:szCs w:val="18"/>
              </w:rPr>
            </w:pPr>
            <w:r w:rsidRPr="00523D12">
              <w:rPr>
                <w:rFonts w:asciiTheme="minorHAnsi" w:hAnsiTheme="minorHAnsi"/>
                <w:color w:val="000000"/>
                <w:sz w:val="18"/>
                <w:szCs w:val="18"/>
              </w:rPr>
              <w:t>Účinný systém ukazatelů výsledků, včetně:</w:t>
            </w:r>
          </w:p>
          <w:p w:rsidR="004C7161" w:rsidRPr="00523D12"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8"/>
                <w:szCs w:val="18"/>
              </w:rPr>
            </w:pPr>
            <w:r w:rsidRPr="00523D12">
              <w:rPr>
                <w:rFonts w:asciiTheme="minorHAnsi" w:hAnsiTheme="minorHAnsi"/>
                <w:color w:val="000000"/>
                <w:sz w:val="18"/>
                <w:szCs w:val="18"/>
              </w:rPr>
              <w:t>výběru ukazatelů výsledku pro každý program, poskytujících informace o tom, co motivuje k výběru opatření financovaných daným programem,</w:t>
            </w:r>
          </w:p>
          <w:p w:rsidR="004C7161" w:rsidRPr="00523D12"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8"/>
                <w:szCs w:val="18"/>
              </w:rPr>
            </w:pPr>
            <w:r w:rsidRPr="00523D12">
              <w:rPr>
                <w:rFonts w:asciiTheme="minorHAnsi" w:hAnsiTheme="minorHAnsi"/>
                <w:color w:val="000000"/>
                <w:sz w:val="18"/>
                <w:szCs w:val="18"/>
              </w:rPr>
              <w:t>vytyčení cílů pro tyto ukazatele,</w:t>
            </w:r>
          </w:p>
          <w:p w:rsidR="004C7161" w:rsidRPr="00523D12"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8"/>
                <w:szCs w:val="18"/>
              </w:rPr>
            </w:pPr>
            <w:r w:rsidRPr="00523D12">
              <w:rPr>
                <w:rFonts w:asciiTheme="minorHAnsi" w:hAnsiTheme="minorHAnsi"/>
                <w:color w:val="000000"/>
                <w:sz w:val="18"/>
                <w:szCs w:val="18"/>
              </w:rPr>
              <w:t>každý ukazatel musí splňovat tyto podmínky: robustnost a statistickou validaci, jasný normativní výklad, soulad s politikami, včasný sběr údajů,</w:t>
            </w:r>
          </w:p>
          <w:p w:rsidR="004C7161" w:rsidRPr="00523D12"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8"/>
                <w:szCs w:val="18"/>
              </w:rPr>
            </w:pPr>
            <w:r w:rsidRPr="00523D12">
              <w:rPr>
                <w:rFonts w:asciiTheme="minorHAnsi" w:hAnsiTheme="minorHAnsi"/>
                <w:color w:val="000000"/>
                <w:sz w:val="18"/>
                <w:szCs w:val="18"/>
              </w:rPr>
              <w:t>postupy zajišťující, aby všechny operace financované z programu používaly účinný systém ukazatelů.</w:t>
            </w:r>
          </w:p>
        </w:tc>
      </w:tr>
    </w:tbl>
    <w:p w:rsidR="000740FE" w:rsidRDefault="000740FE" w:rsidP="004C7161">
      <w:pPr>
        <w:rPr>
          <w:rFonts w:asciiTheme="minorHAnsi" w:hAnsiTheme="minorHAnsi" w:cs="Arial"/>
          <w:color w:val="000000"/>
          <w:sz w:val="24"/>
          <w:szCs w:val="24"/>
          <w:u w:color="000000"/>
        </w:rPr>
      </w:pPr>
    </w:p>
    <w:p w:rsidR="00FD792C" w:rsidRDefault="00FD792C">
      <w:pPr>
        <w:spacing w:before="360" w:after="200" w:line="276" w:lineRule="auto"/>
        <w:ind w:left="425"/>
        <w:rPr>
          <w:rFonts w:asciiTheme="minorHAnsi" w:hAnsiTheme="minorHAnsi"/>
          <w:b/>
          <w:sz w:val="24"/>
          <w:szCs w:val="24"/>
        </w:rPr>
      </w:pPr>
      <w:r>
        <w:rPr>
          <w:rFonts w:asciiTheme="minorHAnsi" w:hAnsiTheme="minorHAnsi"/>
          <w:b/>
        </w:rPr>
        <w:br w:type="page"/>
      </w:r>
    </w:p>
    <w:p w:rsidR="009E6471" w:rsidRPr="009A03FE" w:rsidRDefault="00EA302B" w:rsidP="009A03FE">
      <w:pPr>
        <w:pStyle w:val="Nadpis11"/>
        <w:numPr>
          <w:ilvl w:val="0"/>
          <w:numId w:val="0"/>
        </w:numPr>
        <w:spacing w:after="120"/>
        <w:ind w:left="567"/>
        <w:jc w:val="right"/>
        <w:rPr>
          <w:rFonts w:asciiTheme="minorHAnsi" w:eastAsiaTheme="majorEastAsia" w:hAnsiTheme="minorHAnsi"/>
        </w:rPr>
      </w:pPr>
      <w:bookmarkStart w:id="18" w:name="_Toc359587672"/>
      <w:r w:rsidRPr="009A03FE">
        <w:rPr>
          <w:rFonts w:asciiTheme="minorHAnsi" w:eastAsiaTheme="majorEastAsia" w:hAnsiTheme="minorHAnsi"/>
        </w:rPr>
        <w:t>Příloha 1b: Tematické předběžné podmínky</w:t>
      </w:r>
      <w:r w:rsidR="00656588" w:rsidRPr="009A03FE">
        <w:rPr>
          <w:rFonts w:asciiTheme="minorHAnsi" w:eastAsiaTheme="majorEastAsia" w:hAnsiTheme="minorHAnsi"/>
        </w:rPr>
        <w:t xml:space="preserve"> pro EFRR, ESF a FS</w:t>
      </w:r>
      <w:bookmarkEnd w:id="18"/>
    </w:p>
    <w:p w:rsidR="009E6471" w:rsidRDefault="004C7161">
      <w:pPr>
        <w:spacing w:before="240" w:after="20"/>
        <w:jc w:val="left"/>
        <w:rPr>
          <w:rFonts w:asciiTheme="minorHAnsi" w:hAnsiTheme="minorHAnsi" w:cs="Arial"/>
          <w:color w:val="000000"/>
          <w:u w:val="single"/>
        </w:rPr>
      </w:pPr>
      <w:r w:rsidRPr="00F05188">
        <w:rPr>
          <w:rFonts w:asciiTheme="minorHAnsi" w:hAnsiTheme="minorHAnsi" w:cs="Arial"/>
          <w:color w:val="000000"/>
          <w:u w:val="single"/>
        </w:rPr>
        <w:t xml:space="preserve">Tematický cíl 1: Posílení výzkumu, technologického rozvoje a inovací </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05"/>
        <w:gridCol w:w="1701"/>
        <w:gridCol w:w="2976"/>
      </w:tblGrid>
      <w:tr w:rsidR="004C7161" w:rsidRPr="00523D12" w:rsidTr="00DD490C">
        <w:trPr>
          <w:trHeight w:val="635"/>
        </w:trPr>
        <w:tc>
          <w:tcPr>
            <w:tcW w:w="4405"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1701"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2976"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2662"/>
        </w:trPr>
        <w:tc>
          <w:tcPr>
            <w:tcW w:w="4405" w:type="dxa"/>
            <w:vMerge w:val="restart"/>
            <w:shd w:val="clear" w:color="auto" w:fill="auto"/>
            <w:vAlign w:val="center"/>
            <w:hideMark/>
          </w:tcPr>
          <w:p w:rsidR="004C7161" w:rsidRPr="003746A0" w:rsidRDefault="004C7161" w:rsidP="00C07EED">
            <w:pPr>
              <w:spacing w:line="240" w:lineRule="auto"/>
              <w:jc w:val="left"/>
              <w:rPr>
                <w:rFonts w:asciiTheme="minorHAnsi" w:hAnsiTheme="minorHAnsi"/>
                <w:bCs/>
                <w:sz w:val="17"/>
                <w:szCs w:val="17"/>
                <w:u w:val="single"/>
              </w:rPr>
            </w:pPr>
            <w:r w:rsidRPr="003746A0">
              <w:rPr>
                <w:rFonts w:asciiTheme="minorHAnsi" w:hAnsiTheme="minorHAnsi"/>
                <w:bCs/>
                <w:sz w:val="17"/>
                <w:szCs w:val="17"/>
                <w:u w:val="single"/>
              </w:rPr>
              <w:t>E</w:t>
            </w:r>
            <w:r w:rsidR="00C07EED">
              <w:rPr>
                <w:rFonts w:asciiTheme="minorHAnsi" w:hAnsiTheme="minorHAnsi"/>
                <w:bCs/>
                <w:sz w:val="17"/>
                <w:szCs w:val="17"/>
                <w:u w:val="single"/>
              </w:rPr>
              <w:t>F</w:t>
            </w:r>
            <w:r w:rsidRPr="003746A0">
              <w:rPr>
                <w:rFonts w:asciiTheme="minorHAnsi" w:hAnsiTheme="minorHAnsi"/>
                <w:bCs/>
                <w:sz w:val="17"/>
                <w:szCs w:val="17"/>
                <w:u w:val="single"/>
              </w:rPr>
              <w:t>R</w:t>
            </w:r>
            <w:r w:rsidR="00C07EED">
              <w:rPr>
                <w:rFonts w:asciiTheme="minorHAnsi" w:hAnsiTheme="minorHAnsi"/>
                <w:bCs/>
                <w:sz w:val="17"/>
                <w:szCs w:val="17"/>
                <w:u w:val="single"/>
              </w:rPr>
              <w:t>R</w:t>
            </w:r>
            <w:r w:rsidRPr="003746A0">
              <w:rPr>
                <w:rFonts w:asciiTheme="minorHAnsi" w:hAnsiTheme="minorHAnsi"/>
                <w:bCs/>
                <w:sz w:val="17"/>
                <w:szCs w:val="17"/>
                <w:u w:val="single"/>
              </w:rPr>
              <w:t>:</w:t>
            </w:r>
            <w:r w:rsidRPr="003746A0">
              <w:rPr>
                <w:rFonts w:asciiTheme="minorHAnsi" w:hAnsiTheme="minorHAnsi"/>
                <w:bCs/>
                <w:sz w:val="17"/>
                <w:szCs w:val="17"/>
              </w:rPr>
              <w:t xml:space="preserve"> veškeré investiční priority v rámci tematického cíle 1. (tj. (a) posilování výzkumné a inovační infrastruktury a kapacit pro rozvoj vynikající úrovně výzkumu a inovací a podpora odborných středisek, zejména těch, jež jsou předmětem celoevropského zájmu; (b) podpora podnikatelských investic do inovací a výzkumu a rozvoj propojení a synergií mezi podniky a inovačními a výzkumnými centry a vysokým školstvím, zejména na vývoji výrobků a služeb, přenosu technologií, sociálních inovací a aplikací veřejných služeb, stimulace poptávky, vytváření sítí, klastrů a otevřených inovací prostřednictvím inteligentní specializace za účelem podpory technického a aplikovaného výzkumu, pilotních linek, opatření k včasnému ověřování produktů, moderních výrobních kapacit a prvovýroby v oblasti klíčových technologií a šíření technologií pro všeobecné použití; </w:t>
            </w:r>
          </w:p>
        </w:tc>
        <w:bookmarkStart w:id="19" w:name="RANGE!D5"/>
        <w:tc>
          <w:tcPr>
            <w:tcW w:w="1701" w:type="dxa"/>
            <w:vMerge w:val="restart"/>
            <w:shd w:val="clear" w:color="auto" w:fill="auto"/>
            <w:vAlign w:val="center"/>
            <w:hideMark/>
          </w:tcPr>
          <w:p w:rsidR="004C7161" w:rsidRPr="003746A0" w:rsidRDefault="0037582F" w:rsidP="00DD490C">
            <w:pPr>
              <w:spacing w:line="240" w:lineRule="auto"/>
              <w:jc w:val="left"/>
              <w:rPr>
                <w:rFonts w:asciiTheme="minorHAnsi" w:hAnsiTheme="minorHAnsi"/>
                <w:bCs/>
                <w:sz w:val="17"/>
                <w:szCs w:val="17"/>
              </w:rPr>
            </w:pPr>
            <w:r w:rsidRPr="003746A0">
              <w:rPr>
                <w:rFonts w:asciiTheme="minorHAnsi" w:hAnsiTheme="minorHAnsi"/>
                <w:bCs/>
                <w:sz w:val="17"/>
                <w:szCs w:val="17"/>
              </w:rPr>
              <w:fldChar w:fldCharType="begin"/>
            </w:r>
            <w:r w:rsidR="004C7161" w:rsidRPr="003746A0">
              <w:rPr>
                <w:rFonts w:asciiTheme="minorHAnsi" w:hAnsiTheme="minorHAnsi"/>
                <w:bCs/>
                <w:sz w:val="17"/>
                <w:szCs w:val="17"/>
              </w:rPr>
              <w:instrText xml:space="preserve"> HYPERLINK "file:///D:\\!!%20KP%202014-2020.%20Priprava\\1.DUBEN%202012.VLADA.material%20k%20usneseni%20vlady\\Kondicionality.Analyza.Podklad\\MV.Tabulka%20kondicionality.xlsx" \l "RANGE!#REF!" </w:instrText>
            </w:r>
            <w:r w:rsidRPr="003746A0">
              <w:rPr>
                <w:rFonts w:asciiTheme="minorHAnsi" w:hAnsiTheme="minorHAnsi"/>
                <w:bCs/>
                <w:sz w:val="17"/>
                <w:szCs w:val="17"/>
              </w:rPr>
              <w:fldChar w:fldCharType="separate"/>
            </w:r>
            <w:r w:rsidR="004C7161" w:rsidRPr="003746A0">
              <w:rPr>
                <w:rFonts w:asciiTheme="minorHAnsi" w:hAnsiTheme="minorHAnsi"/>
                <w:bCs/>
                <w:sz w:val="17"/>
                <w:szCs w:val="17"/>
              </w:rPr>
              <w:t xml:space="preserve">1.1. Výzkum a inovace: Existence národního nebo regionálního výzkumného a inovačního strategického rámce politik pro inteligentní specializaci v souladu s národním programem reforem na podporu soukromých výdajů na výzkum a inovace. </w:t>
            </w:r>
            <w:r w:rsidR="004C7161" w:rsidRPr="003746A0">
              <w:rPr>
                <w:rFonts w:asciiTheme="minorHAnsi" w:hAnsiTheme="minorHAnsi"/>
                <w:bCs/>
                <w:color w:val="FF0000"/>
                <w:sz w:val="17"/>
                <w:szCs w:val="17"/>
              </w:rPr>
              <w:t xml:space="preserve"> </w:t>
            </w:r>
            <w:r w:rsidRPr="003746A0">
              <w:rPr>
                <w:rFonts w:asciiTheme="minorHAnsi" w:hAnsiTheme="minorHAnsi"/>
                <w:bCs/>
                <w:sz w:val="17"/>
                <w:szCs w:val="17"/>
              </w:rPr>
              <w:fldChar w:fldCharType="end"/>
            </w:r>
            <w:bookmarkEnd w:id="19"/>
          </w:p>
        </w:tc>
        <w:tc>
          <w:tcPr>
            <w:tcW w:w="2976" w:type="dxa"/>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rPr>
            </w:pPr>
            <w:r w:rsidRPr="003746A0">
              <w:rPr>
                <w:rFonts w:asciiTheme="minorHAnsi" w:hAnsiTheme="minorHAnsi"/>
                <w:bCs/>
                <w:sz w:val="17"/>
                <w:szCs w:val="17"/>
              </w:rPr>
              <w:t>Je k dispozici vnitrostátní nebo regionální strategický rámec výzkumné a inovační politiky pro inteligentní specializaci, která:</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je založena na SWOT nebo podobné analýze s cílem soustředit zdroje na omezený soubor priorit v oblasti výzkumu a inovací,</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nastiňuje opatření na podporu soukromých investic v oblasti výzkumu a technického rozvoje,</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obsahuje systém monitorování.</w:t>
            </w:r>
          </w:p>
        </w:tc>
      </w:tr>
      <w:tr w:rsidR="004C7161" w:rsidRPr="00523D12" w:rsidTr="00DD490C">
        <w:trPr>
          <w:trHeight w:val="701"/>
        </w:trPr>
        <w:tc>
          <w:tcPr>
            <w:tcW w:w="4405" w:type="dxa"/>
            <w:vMerge/>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u w:val="single"/>
              </w:rPr>
            </w:pPr>
          </w:p>
        </w:tc>
        <w:tc>
          <w:tcPr>
            <w:tcW w:w="1701" w:type="dxa"/>
            <w:vMerge/>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rPr>
            </w:pPr>
          </w:p>
        </w:tc>
        <w:tc>
          <w:tcPr>
            <w:tcW w:w="2976" w:type="dxa"/>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rPr>
            </w:pPr>
            <w:r w:rsidRPr="003746A0">
              <w:rPr>
                <w:rFonts w:asciiTheme="minorHAnsi" w:hAnsiTheme="minorHAnsi"/>
                <w:bCs/>
                <w:sz w:val="17"/>
                <w:szCs w:val="17"/>
              </w:rPr>
              <w:t>Byl přijat rámec, který vymezuje dostupné rozpočtové zdroje pro výzkum a inovace.</w:t>
            </w:r>
          </w:p>
        </w:tc>
      </w:tr>
      <w:tr w:rsidR="004C7161" w:rsidRPr="00523D12" w:rsidTr="00DD490C">
        <w:trPr>
          <w:trHeight w:val="1263"/>
        </w:trPr>
        <w:tc>
          <w:tcPr>
            <w:tcW w:w="4405" w:type="dxa"/>
            <w:shd w:val="clear" w:color="auto" w:fill="auto"/>
            <w:vAlign w:val="center"/>
            <w:hideMark/>
          </w:tcPr>
          <w:p w:rsidR="004C7161" w:rsidRPr="003746A0" w:rsidRDefault="004C7161" w:rsidP="00C07EED">
            <w:pPr>
              <w:spacing w:line="240" w:lineRule="auto"/>
              <w:jc w:val="left"/>
              <w:rPr>
                <w:rFonts w:asciiTheme="minorHAnsi" w:hAnsiTheme="minorHAnsi"/>
                <w:bCs/>
                <w:sz w:val="17"/>
                <w:szCs w:val="17"/>
                <w:u w:val="single"/>
              </w:rPr>
            </w:pPr>
            <w:r w:rsidRPr="003746A0">
              <w:rPr>
                <w:rFonts w:asciiTheme="minorHAnsi" w:hAnsiTheme="minorHAnsi"/>
                <w:bCs/>
                <w:sz w:val="17"/>
                <w:szCs w:val="17"/>
                <w:u w:val="single"/>
              </w:rPr>
              <w:t>E</w:t>
            </w:r>
            <w:r w:rsidR="00C07EED">
              <w:rPr>
                <w:rFonts w:asciiTheme="minorHAnsi" w:hAnsiTheme="minorHAnsi"/>
                <w:bCs/>
                <w:sz w:val="17"/>
                <w:szCs w:val="17"/>
                <w:u w:val="single"/>
              </w:rPr>
              <w:t>FR</w:t>
            </w:r>
            <w:r w:rsidRPr="003746A0">
              <w:rPr>
                <w:rFonts w:asciiTheme="minorHAnsi" w:hAnsiTheme="minorHAnsi"/>
                <w:bCs/>
                <w:sz w:val="17"/>
                <w:szCs w:val="17"/>
                <w:u w:val="single"/>
              </w:rPr>
              <w:t>R:</w:t>
            </w:r>
            <w:r w:rsidRPr="003746A0">
              <w:rPr>
                <w:rFonts w:asciiTheme="minorHAnsi" w:hAnsiTheme="minorHAnsi"/>
                <w:bCs/>
                <w:sz w:val="17"/>
                <w:szCs w:val="17"/>
              </w:rPr>
              <w:t xml:space="preserve"> posilování výzkumné a inovační infrastruktury a kapacit pro rozvoj vynikající úrovně výzkumu a inovací a podpora odborných středisek, zejména těch, jež jsou předmětem celoevropského zájmu.</w:t>
            </w:r>
          </w:p>
        </w:tc>
        <w:tc>
          <w:tcPr>
            <w:tcW w:w="1701" w:type="dxa"/>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rPr>
            </w:pPr>
            <w:r w:rsidRPr="003746A0">
              <w:rPr>
                <w:rFonts w:asciiTheme="minorHAnsi" w:hAnsiTheme="minorHAnsi"/>
                <w:bCs/>
                <w:sz w:val="17"/>
                <w:szCs w:val="17"/>
              </w:rPr>
              <w:t xml:space="preserve">1.2. Existence víceletého plánu finančního plánování a prioritizace investic. </w:t>
            </w:r>
          </w:p>
        </w:tc>
        <w:tc>
          <w:tcPr>
            <w:tcW w:w="2976" w:type="dxa"/>
            <w:shd w:val="clear" w:color="auto" w:fill="auto"/>
            <w:vAlign w:val="center"/>
            <w:hideMark/>
          </w:tcPr>
          <w:p w:rsidR="004C7161" w:rsidRPr="003746A0" w:rsidRDefault="004C7161" w:rsidP="00DD490C">
            <w:pPr>
              <w:spacing w:line="240" w:lineRule="auto"/>
              <w:jc w:val="left"/>
              <w:rPr>
                <w:rFonts w:asciiTheme="minorHAnsi" w:hAnsiTheme="minorHAnsi"/>
                <w:sz w:val="17"/>
                <w:szCs w:val="17"/>
              </w:rPr>
            </w:pPr>
            <w:r w:rsidRPr="003746A0">
              <w:rPr>
                <w:rFonts w:asciiTheme="minorHAnsi" w:hAnsiTheme="minorHAnsi"/>
                <w:sz w:val="17"/>
                <w:szCs w:val="17"/>
              </w:rPr>
              <w:t>Byl přijat orientační víceletý plán pro sestavování rozpočtu a stanovování pořadí důležitosti investic souvisejících s prioritami EU a případně Evropského strategického fóra pro výzkumné infrastruktury – ESFRI.</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 xml:space="preserve">Tematický cíl 2: Zlepšení dostupnosti, využití a kvality informačních a komunikačních technologií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858"/>
        <w:gridCol w:w="2126"/>
        <w:gridCol w:w="5103"/>
      </w:tblGrid>
      <w:tr w:rsidR="004C7161" w:rsidRPr="00523D12" w:rsidTr="00C07EED">
        <w:trPr>
          <w:trHeight w:val="490"/>
        </w:trPr>
        <w:tc>
          <w:tcPr>
            <w:tcW w:w="1858"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2126"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103"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C07EED">
        <w:trPr>
          <w:trHeight w:val="3122"/>
        </w:trPr>
        <w:tc>
          <w:tcPr>
            <w:tcW w:w="1858" w:type="dxa"/>
            <w:shd w:val="clear" w:color="auto" w:fill="auto"/>
            <w:vAlign w:val="center"/>
            <w:hideMark/>
          </w:tcPr>
          <w:p w:rsidR="004C7161" w:rsidRDefault="004C7161" w:rsidP="00C07EED">
            <w:pPr>
              <w:spacing w:line="240" w:lineRule="auto"/>
              <w:jc w:val="left"/>
              <w:rPr>
                <w:rFonts w:asciiTheme="minorHAnsi" w:hAnsiTheme="minorHAnsi"/>
                <w:bCs/>
                <w:sz w:val="17"/>
                <w:szCs w:val="17"/>
              </w:rPr>
            </w:pPr>
            <w:r w:rsidRPr="003746A0">
              <w:rPr>
                <w:rFonts w:asciiTheme="minorHAnsi" w:hAnsiTheme="minorHAnsi"/>
                <w:bCs/>
                <w:sz w:val="17"/>
                <w:szCs w:val="17"/>
                <w:u w:val="single"/>
              </w:rPr>
              <w:t>E</w:t>
            </w:r>
            <w:r w:rsidR="00C07EED">
              <w:rPr>
                <w:rFonts w:asciiTheme="minorHAnsi" w:hAnsiTheme="minorHAnsi"/>
                <w:bCs/>
                <w:sz w:val="17"/>
                <w:szCs w:val="17"/>
                <w:u w:val="single"/>
              </w:rPr>
              <w:t>F</w:t>
            </w:r>
            <w:r w:rsidRPr="003746A0">
              <w:rPr>
                <w:rFonts w:asciiTheme="minorHAnsi" w:hAnsiTheme="minorHAnsi"/>
                <w:bCs/>
                <w:sz w:val="17"/>
                <w:szCs w:val="17"/>
                <w:u w:val="single"/>
              </w:rPr>
              <w:t>R</w:t>
            </w:r>
            <w:r w:rsidR="00C07EED">
              <w:rPr>
                <w:rFonts w:asciiTheme="minorHAnsi" w:hAnsiTheme="minorHAnsi"/>
                <w:bCs/>
                <w:sz w:val="17"/>
                <w:szCs w:val="17"/>
                <w:u w:val="single"/>
              </w:rPr>
              <w:t>R</w:t>
            </w:r>
            <w:r w:rsidRPr="003746A0">
              <w:rPr>
                <w:rFonts w:asciiTheme="minorHAnsi" w:hAnsiTheme="minorHAnsi"/>
                <w:bCs/>
                <w:sz w:val="17"/>
                <w:szCs w:val="17"/>
                <w:u w:val="single"/>
              </w:rPr>
              <w:t>:</w:t>
            </w:r>
            <w:r w:rsidRPr="003746A0">
              <w:rPr>
                <w:rFonts w:asciiTheme="minorHAnsi" w:hAnsiTheme="minorHAnsi"/>
                <w:bCs/>
                <w:sz w:val="17"/>
                <w:szCs w:val="17"/>
              </w:rPr>
              <w:t xml:space="preserve"> rozvoj produktů a služeb v oblasti IKT, elektronického obchodu a zvýšení poptávky po IKT</w:t>
            </w:r>
            <w:r w:rsidR="00C07EED">
              <w:rPr>
                <w:rFonts w:asciiTheme="minorHAnsi" w:hAnsiTheme="minorHAnsi"/>
                <w:bCs/>
                <w:sz w:val="17"/>
                <w:szCs w:val="17"/>
              </w:rPr>
              <w:t>.</w:t>
            </w:r>
          </w:p>
          <w:p w:rsidR="00C07EED" w:rsidRDefault="00C07EED" w:rsidP="00C07EED">
            <w:pPr>
              <w:spacing w:line="240" w:lineRule="auto"/>
              <w:jc w:val="left"/>
              <w:rPr>
                <w:rFonts w:asciiTheme="minorHAnsi" w:hAnsiTheme="minorHAnsi"/>
                <w:bCs/>
                <w:sz w:val="17"/>
                <w:szCs w:val="17"/>
              </w:rPr>
            </w:pPr>
          </w:p>
          <w:p w:rsidR="00C07EED" w:rsidRPr="005247A4" w:rsidRDefault="00C07EED" w:rsidP="00C07EED">
            <w:pPr>
              <w:spacing w:line="240" w:lineRule="auto"/>
              <w:jc w:val="left"/>
              <w:rPr>
                <w:rFonts w:ascii="Calibri" w:hAnsi="Calibri"/>
                <w:bCs/>
                <w:sz w:val="17"/>
                <w:szCs w:val="17"/>
                <w:u w:val="single"/>
              </w:rPr>
            </w:pPr>
            <w:r>
              <w:rPr>
                <w:rFonts w:ascii="Calibri" w:hAnsi="Calibri"/>
                <w:bCs/>
                <w:sz w:val="17"/>
                <w:szCs w:val="17"/>
                <w:u w:val="single"/>
              </w:rPr>
              <w:t>P</w:t>
            </w:r>
            <w:r w:rsidRPr="005247A4">
              <w:rPr>
                <w:rFonts w:ascii="Calibri" w:hAnsi="Calibri"/>
                <w:bCs/>
                <w:sz w:val="17"/>
                <w:szCs w:val="17"/>
                <w:u w:val="single"/>
              </w:rPr>
              <w:t>osílení IKT aplikací pro</w:t>
            </w:r>
          </w:p>
          <w:p w:rsidR="00C07EED" w:rsidRPr="005247A4" w:rsidRDefault="00C07EED" w:rsidP="00C07EED">
            <w:pPr>
              <w:spacing w:line="240" w:lineRule="auto"/>
              <w:jc w:val="left"/>
              <w:rPr>
                <w:rFonts w:ascii="Calibri" w:hAnsi="Calibri"/>
                <w:bCs/>
                <w:sz w:val="17"/>
                <w:szCs w:val="17"/>
                <w:u w:val="single"/>
              </w:rPr>
            </w:pPr>
            <w:r w:rsidRPr="005247A4">
              <w:rPr>
                <w:rFonts w:ascii="Calibri" w:hAnsi="Calibri"/>
                <w:bCs/>
                <w:sz w:val="17"/>
                <w:szCs w:val="17"/>
                <w:u w:val="single"/>
              </w:rPr>
              <w:t>elektronickou veřejnou</w:t>
            </w:r>
          </w:p>
          <w:p w:rsidR="00C07EED" w:rsidRPr="005247A4" w:rsidRDefault="00C07EED" w:rsidP="00C07EED">
            <w:pPr>
              <w:spacing w:line="240" w:lineRule="auto"/>
              <w:jc w:val="left"/>
              <w:rPr>
                <w:rFonts w:ascii="Calibri" w:hAnsi="Calibri"/>
                <w:bCs/>
                <w:sz w:val="17"/>
                <w:szCs w:val="17"/>
                <w:u w:val="single"/>
              </w:rPr>
            </w:pPr>
            <w:r w:rsidRPr="005247A4">
              <w:rPr>
                <w:rFonts w:ascii="Calibri" w:hAnsi="Calibri"/>
                <w:bCs/>
                <w:sz w:val="17"/>
                <w:szCs w:val="17"/>
                <w:u w:val="single"/>
              </w:rPr>
              <w:t>správu, elektronické učení,</w:t>
            </w:r>
          </w:p>
          <w:p w:rsidR="00C07EED" w:rsidRPr="005247A4" w:rsidRDefault="00C07EED" w:rsidP="00C07EED">
            <w:pPr>
              <w:spacing w:line="240" w:lineRule="auto"/>
              <w:jc w:val="left"/>
              <w:rPr>
                <w:rFonts w:ascii="Calibri" w:hAnsi="Calibri"/>
                <w:bCs/>
                <w:sz w:val="17"/>
                <w:szCs w:val="17"/>
                <w:u w:val="single"/>
              </w:rPr>
            </w:pPr>
            <w:r w:rsidRPr="005247A4">
              <w:rPr>
                <w:rFonts w:ascii="Calibri" w:hAnsi="Calibri"/>
                <w:bCs/>
                <w:sz w:val="17"/>
                <w:szCs w:val="17"/>
                <w:u w:val="single"/>
              </w:rPr>
              <w:t>začlenění do informační</w:t>
            </w:r>
          </w:p>
          <w:p w:rsidR="00C07EED" w:rsidRPr="005247A4" w:rsidRDefault="00C07EED" w:rsidP="00C07EED">
            <w:pPr>
              <w:spacing w:line="240" w:lineRule="auto"/>
              <w:jc w:val="left"/>
              <w:rPr>
                <w:rFonts w:ascii="Calibri" w:hAnsi="Calibri"/>
                <w:bCs/>
                <w:sz w:val="17"/>
                <w:szCs w:val="17"/>
                <w:u w:val="single"/>
              </w:rPr>
            </w:pPr>
            <w:r w:rsidRPr="005247A4">
              <w:rPr>
                <w:rFonts w:ascii="Calibri" w:hAnsi="Calibri"/>
                <w:bCs/>
                <w:sz w:val="17"/>
                <w:szCs w:val="17"/>
                <w:u w:val="single"/>
              </w:rPr>
              <w:t>společnosti, elektronickou</w:t>
            </w:r>
          </w:p>
          <w:p w:rsidR="00C07EED" w:rsidRPr="005247A4" w:rsidRDefault="00C07EED" w:rsidP="00C07EED">
            <w:pPr>
              <w:spacing w:line="240" w:lineRule="auto"/>
              <w:jc w:val="left"/>
              <w:rPr>
                <w:rFonts w:ascii="Calibri" w:hAnsi="Calibri"/>
                <w:bCs/>
                <w:sz w:val="17"/>
                <w:szCs w:val="17"/>
                <w:u w:val="single"/>
              </w:rPr>
            </w:pPr>
            <w:r w:rsidRPr="005247A4">
              <w:rPr>
                <w:rFonts w:ascii="Calibri" w:hAnsi="Calibri"/>
                <w:bCs/>
                <w:sz w:val="17"/>
                <w:szCs w:val="17"/>
                <w:u w:val="single"/>
              </w:rPr>
              <w:t>kulturu a elektronické</w:t>
            </w:r>
          </w:p>
          <w:p w:rsidR="00C07EED" w:rsidRPr="003746A0" w:rsidRDefault="00C07EED" w:rsidP="00C07EED">
            <w:pPr>
              <w:spacing w:line="240" w:lineRule="auto"/>
              <w:jc w:val="left"/>
              <w:rPr>
                <w:rFonts w:asciiTheme="minorHAnsi" w:hAnsiTheme="minorHAnsi"/>
                <w:bCs/>
                <w:sz w:val="17"/>
                <w:szCs w:val="17"/>
                <w:u w:val="single"/>
              </w:rPr>
            </w:pPr>
            <w:r w:rsidRPr="005247A4">
              <w:rPr>
                <w:rFonts w:ascii="Calibri" w:hAnsi="Calibri"/>
                <w:bCs/>
                <w:sz w:val="17"/>
                <w:szCs w:val="17"/>
                <w:u w:val="single"/>
              </w:rPr>
              <w:t>zdravotnictví</w:t>
            </w:r>
          </w:p>
        </w:tc>
        <w:tc>
          <w:tcPr>
            <w:tcW w:w="2126" w:type="dxa"/>
            <w:shd w:val="clear" w:color="auto" w:fill="auto"/>
            <w:vAlign w:val="center"/>
            <w:hideMark/>
          </w:tcPr>
          <w:p w:rsidR="004C7161" w:rsidRPr="003746A0" w:rsidRDefault="004C7161" w:rsidP="00DD490C">
            <w:pPr>
              <w:spacing w:line="240" w:lineRule="auto"/>
              <w:jc w:val="left"/>
              <w:rPr>
                <w:rFonts w:asciiTheme="minorHAnsi" w:hAnsiTheme="minorHAnsi"/>
                <w:bCs/>
                <w:i/>
                <w:iCs/>
                <w:sz w:val="17"/>
                <w:szCs w:val="17"/>
              </w:rPr>
            </w:pPr>
            <w:r w:rsidRPr="003746A0">
              <w:rPr>
                <w:rFonts w:asciiTheme="minorHAnsi" w:hAnsiTheme="minorHAnsi"/>
                <w:bCs/>
                <w:i/>
                <w:iCs/>
                <w:sz w:val="17"/>
                <w:szCs w:val="17"/>
              </w:rPr>
              <w:t xml:space="preserve">2.1: Digitální růst: </w:t>
            </w:r>
            <w:r w:rsidRPr="003746A0">
              <w:rPr>
                <w:rFonts w:asciiTheme="minorHAnsi" w:hAnsiTheme="minorHAnsi"/>
                <w:bCs/>
                <w:sz w:val="17"/>
                <w:szCs w:val="17"/>
              </w:rPr>
              <w:t>Strategický rámec politiky pro digitální růst, jež má stimulovat poptávku po cenově dostupných, kvalitních a interoperabilních soukromých a veřejných službách v oblasti IKT a zvýšit míru jejich využívání občany, včetně zranitelných skupin, podniky a orgány veřejné správy včetně přeshraničních iniciativ</w:t>
            </w:r>
          </w:p>
        </w:tc>
        <w:tc>
          <w:tcPr>
            <w:tcW w:w="5103" w:type="dxa"/>
            <w:shd w:val="clear" w:color="auto" w:fill="auto"/>
            <w:vAlign w:val="center"/>
            <w:hideMark/>
          </w:tcPr>
          <w:p w:rsidR="004C7161" w:rsidRPr="00C607FE" w:rsidRDefault="00EA302B" w:rsidP="00DD490C">
            <w:pPr>
              <w:spacing w:line="240" w:lineRule="auto"/>
              <w:jc w:val="left"/>
              <w:rPr>
                <w:rFonts w:asciiTheme="minorHAnsi" w:hAnsiTheme="minorHAnsi"/>
                <w:sz w:val="16"/>
                <w:szCs w:val="16"/>
              </w:rPr>
            </w:pPr>
            <w:r w:rsidRPr="00EA302B">
              <w:rPr>
                <w:rFonts w:asciiTheme="minorHAnsi" w:hAnsiTheme="minorHAnsi"/>
                <w:sz w:val="16"/>
                <w:szCs w:val="16"/>
              </w:rPr>
              <w:t>Je k dispozici strategický rámec politiky pro digitální růst, například v rámci vnitrostátního nebo regionálního strategického rámce inovační politiky pro inteligentní specializaci, který obsahuje:</w:t>
            </w:r>
          </w:p>
          <w:bookmarkStart w:id="20" w:name="RANGE!E16"/>
          <w:p w:rsidR="004C7161" w:rsidRPr="00C607FE" w:rsidRDefault="0037582F"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EA302B">
              <w:rPr>
                <w:rFonts w:asciiTheme="minorHAnsi" w:hAnsiTheme="minorHAnsi"/>
                <w:color w:val="000000"/>
                <w:sz w:val="16"/>
                <w:szCs w:val="16"/>
              </w:rPr>
              <w:fldChar w:fldCharType="begin"/>
            </w:r>
            <w:r w:rsidR="00EA302B" w:rsidRPr="00EA302B">
              <w:rPr>
                <w:rFonts w:asciiTheme="minorHAnsi" w:hAnsiTheme="minorHAnsi"/>
                <w:color w:val="000000"/>
                <w:sz w:val="16"/>
                <w:szCs w:val="16"/>
              </w:rPr>
              <w:instrText xml:space="preserve"> HYPERLINK "file:///D:\\!!%20KP%202014-2020.%20Priprava\\1.DUBEN%202012.VLADA.material%20k%20usneseni%20vlady\\Kondicionality.Analyza.Podklad\\MV.Tabulka%20kondicionality.xlsx" \l "RANGE!#REF!" </w:instrText>
            </w:r>
            <w:r w:rsidRPr="00EA302B">
              <w:rPr>
                <w:rFonts w:asciiTheme="minorHAnsi" w:hAnsiTheme="minorHAnsi"/>
                <w:color w:val="000000"/>
                <w:sz w:val="16"/>
                <w:szCs w:val="16"/>
              </w:rPr>
              <w:fldChar w:fldCharType="separate"/>
            </w:r>
            <w:r w:rsidR="00EA302B" w:rsidRPr="00EA302B">
              <w:rPr>
                <w:rFonts w:asciiTheme="minorHAnsi" w:hAnsiTheme="minorHAnsi"/>
                <w:color w:val="000000"/>
                <w:sz w:val="16"/>
                <w:szCs w:val="16"/>
              </w:rPr>
              <w:t>sestavování rozpočtu a stanovování pořadí důležitosti opatření prostřednictvím SWOT nebo podobné analýzy provedené v souladu se srovnávacím přehledem Digitální agendy pro Evropu,</w:t>
            </w:r>
            <w:r w:rsidRPr="00EA302B">
              <w:rPr>
                <w:rFonts w:asciiTheme="minorHAnsi" w:hAnsiTheme="minorHAnsi"/>
                <w:color w:val="000000"/>
                <w:sz w:val="16"/>
                <w:szCs w:val="16"/>
              </w:rPr>
              <w:fldChar w:fldCharType="end"/>
            </w:r>
          </w:p>
          <w:bookmarkEnd w:id="20"/>
          <w:p w:rsidR="004C7161" w:rsidRPr="00C607FE" w:rsidRDefault="00EA302B"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EA302B">
              <w:rPr>
                <w:rFonts w:asciiTheme="minorHAnsi" w:hAnsiTheme="minorHAnsi"/>
                <w:color w:val="000000"/>
                <w:sz w:val="16"/>
                <w:szCs w:val="16"/>
              </w:rPr>
              <w:t>měla být provedena analýza vyváženosti podpory poptávky a nabídky informačních a komunikačních technologií (IKT),</w:t>
            </w:r>
          </w:p>
          <w:p w:rsidR="004C7161" w:rsidRPr="00C607FE" w:rsidRDefault="00EA302B"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EA302B">
              <w:rPr>
                <w:rFonts w:asciiTheme="minorHAnsi" w:hAnsiTheme="minorHAnsi"/>
                <w:color w:val="000000"/>
                <w:sz w:val="16"/>
                <w:szCs w:val="16"/>
              </w:rPr>
              <w:t>ukazatele umožňující měření pokroku opatření v oblastech, jako jsou počítačová gramotnost, začleňování občanů do informační společnosti, přístupnost elektronických technologií a elektronického zdravotnictví v mezích článku 168 SFEU, jež jsou v souladu s příslušnými stávajícími vnitrostátními nebo regionálními strategiemi pro jednotlivá odvětví,</w:t>
            </w:r>
          </w:p>
          <w:p w:rsidR="004C7161" w:rsidRPr="003746A0" w:rsidRDefault="00EA302B" w:rsidP="00DD490C">
            <w:pPr>
              <w:pStyle w:val="Odstavecseseznamem"/>
              <w:numPr>
                <w:ilvl w:val="0"/>
                <w:numId w:val="10"/>
              </w:numPr>
              <w:spacing w:after="40"/>
              <w:ind w:left="355" w:hanging="283"/>
              <w:contextualSpacing w:val="0"/>
              <w:jc w:val="left"/>
              <w:rPr>
                <w:rFonts w:asciiTheme="minorHAnsi" w:hAnsiTheme="minorHAnsi"/>
                <w:sz w:val="17"/>
                <w:szCs w:val="17"/>
              </w:rPr>
            </w:pPr>
            <w:r w:rsidRPr="00EA302B">
              <w:rPr>
                <w:rFonts w:asciiTheme="minorHAnsi" w:hAnsiTheme="minorHAnsi"/>
                <w:color w:val="000000"/>
                <w:sz w:val="16"/>
                <w:szCs w:val="16"/>
              </w:rPr>
              <w:t>posouzení potřeb zvýšit budování kapacit v oblasti IKT.</w:t>
            </w:r>
          </w:p>
        </w:tc>
      </w:tr>
      <w:tr w:rsidR="004C7161" w:rsidRPr="00523D12" w:rsidTr="00747BDC">
        <w:trPr>
          <w:trHeight w:val="1133"/>
        </w:trPr>
        <w:tc>
          <w:tcPr>
            <w:tcW w:w="1858" w:type="dxa"/>
            <w:shd w:val="clear" w:color="auto" w:fill="auto"/>
            <w:vAlign w:val="center"/>
            <w:hideMark/>
          </w:tcPr>
          <w:p w:rsidR="004C7161" w:rsidRPr="003746A0" w:rsidRDefault="004C7161" w:rsidP="00C07EED">
            <w:pPr>
              <w:spacing w:line="240" w:lineRule="auto"/>
              <w:jc w:val="left"/>
              <w:rPr>
                <w:rFonts w:asciiTheme="minorHAnsi" w:hAnsiTheme="minorHAnsi"/>
                <w:bCs/>
                <w:sz w:val="17"/>
                <w:szCs w:val="17"/>
                <w:u w:val="single"/>
              </w:rPr>
            </w:pPr>
            <w:r w:rsidRPr="003746A0">
              <w:rPr>
                <w:rFonts w:asciiTheme="minorHAnsi" w:hAnsiTheme="minorHAnsi"/>
                <w:bCs/>
                <w:sz w:val="17"/>
                <w:szCs w:val="17"/>
                <w:u w:val="single"/>
              </w:rPr>
              <w:t>E</w:t>
            </w:r>
            <w:r w:rsidR="00C07EED">
              <w:rPr>
                <w:rFonts w:asciiTheme="minorHAnsi" w:hAnsiTheme="minorHAnsi"/>
                <w:bCs/>
                <w:sz w:val="17"/>
                <w:szCs w:val="17"/>
                <w:u w:val="single"/>
              </w:rPr>
              <w:t>F</w:t>
            </w:r>
            <w:r w:rsidRPr="003746A0">
              <w:rPr>
                <w:rFonts w:asciiTheme="minorHAnsi" w:hAnsiTheme="minorHAnsi"/>
                <w:bCs/>
                <w:sz w:val="17"/>
                <w:szCs w:val="17"/>
                <w:u w:val="single"/>
              </w:rPr>
              <w:t>R</w:t>
            </w:r>
            <w:r w:rsidR="00C07EED">
              <w:rPr>
                <w:rFonts w:asciiTheme="minorHAnsi" w:hAnsiTheme="minorHAnsi"/>
                <w:bCs/>
                <w:sz w:val="17"/>
                <w:szCs w:val="17"/>
                <w:u w:val="single"/>
              </w:rPr>
              <w:t>R</w:t>
            </w:r>
            <w:r w:rsidRPr="003746A0">
              <w:rPr>
                <w:rFonts w:asciiTheme="minorHAnsi" w:hAnsiTheme="minorHAnsi"/>
                <w:bCs/>
                <w:sz w:val="17"/>
                <w:szCs w:val="17"/>
                <w:u w:val="single"/>
              </w:rPr>
              <w:t xml:space="preserve">: </w:t>
            </w:r>
            <w:r w:rsidRPr="003746A0">
              <w:rPr>
                <w:rFonts w:asciiTheme="minorHAnsi" w:hAnsiTheme="minorHAnsi"/>
                <w:bCs/>
                <w:sz w:val="17"/>
                <w:szCs w:val="17"/>
              </w:rPr>
              <w:t>rozšíření využívání širokopásmových sítí a zavedení vysokorychlostních sítí a podpora zavádění budoucích a vznikajících technologií a sítí pro digitální hospodářství</w:t>
            </w:r>
          </w:p>
        </w:tc>
        <w:bookmarkStart w:id="21" w:name="RANGE!D20"/>
        <w:tc>
          <w:tcPr>
            <w:tcW w:w="2126" w:type="dxa"/>
            <w:shd w:val="clear" w:color="auto" w:fill="auto"/>
            <w:vAlign w:val="center"/>
            <w:hideMark/>
          </w:tcPr>
          <w:p w:rsidR="004C7161" w:rsidRPr="003746A0" w:rsidRDefault="0037582F" w:rsidP="00DD490C">
            <w:pPr>
              <w:spacing w:line="240" w:lineRule="auto"/>
              <w:jc w:val="left"/>
              <w:rPr>
                <w:rFonts w:asciiTheme="minorHAnsi" w:hAnsiTheme="minorHAnsi"/>
                <w:bCs/>
                <w:sz w:val="17"/>
                <w:szCs w:val="17"/>
              </w:rPr>
            </w:pPr>
            <w:r w:rsidRPr="003746A0">
              <w:rPr>
                <w:rFonts w:asciiTheme="minorHAnsi" w:hAnsiTheme="minorHAnsi"/>
                <w:bCs/>
                <w:sz w:val="17"/>
                <w:szCs w:val="17"/>
              </w:rPr>
              <w:fldChar w:fldCharType="begin"/>
            </w:r>
            <w:r w:rsidR="004C7161" w:rsidRPr="003746A0">
              <w:rPr>
                <w:rFonts w:asciiTheme="minorHAnsi" w:hAnsiTheme="minorHAnsi"/>
                <w:bCs/>
                <w:sz w:val="17"/>
                <w:szCs w:val="17"/>
              </w:rPr>
              <w:instrText xml:space="preserve"> HYPERLINK "file:///D:\\!!%20KP%202014-2020.%20Priprava\\1.DUBEN%202012.VLADA.material%20k%20usneseni%20vlady\\Kondicionality.Analyza.Podklad\\MV.Tabulka%20kondicionality.xlsx" \l "RANGE!#REF!" </w:instrText>
            </w:r>
            <w:r w:rsidRPr="003746A0">
              <w:rPr>
                <w:rFonts w:asciiTheme="minorHAnsi" w:hAnsiTheme="minorHAnsi"/>
                <w:bCs/>
                <w:sz w:val="17"/>
                <w:szCs w:val="17"/>
              </w:rPr>
              <w:fldChar w:fldCharType="separate"/>
            </w:r>
            <w:r w:rsidR="004C7161" w:rsidRPr="003746A0">
              <w:rPr>
                <w:rFonts w:asciiTheme="minorHAnsi" w:hAnsiTheme="minorHAnsi"/>
                <w:bCs/>
                <w:sz w:val="17"/>
                <w:szCs w:val="17"/>
              </w:rPr>
              <w:t>2.2. Infrastruktura přístupových sítí nové generace: Existence vnitrostátních nebo regionálních plánů přístupových sítí nové generace, které zohledňují regionální opatření k dosažení cílů EU v oblasti vysokorychlostního přístupu k internetu se zaměřením na oblasti, kde trh není schopen poskytovat otevřenou infrastrukturu za dostupnou cenu a v kvalitě v souladu s pravidly EU pro hospodářskou soutěž a státní podpory, a poskytují dostupné služby zranitelným skupinám.</w:t>
            </w:r>
            <w:r w:rsidRPr="003746A0">
              <w:rPr>
                <w:rFonts w:asciiTheme="minorHAnsi" w:hAnsiTheme="minorHAnsi"/>
                <w:bCs/>
                <w:sz w:val="17"/>
                <w:szCs w:val="17"/>
              </w:rPr>
              <w:fldChar w:fldCharType="end"/>
            </w:r>
            <w:bookmarkEnd w:id="21"/>
          </w:p>
        </w:tc>
        <w:tc>
          <w:tcPr>
            <w:tcW w:w="5103" w:type="dxa"/>
            <w:shd w:val="clear" w:color="auto" w:fill="auto"/>
            <w:vAlign w:val="center"/>
            <w:hideMark/>
          </w:tcPr>
          <w:p w:rsidR="004C7161" w:rsidRPr="003746A0" w:rsidRDefault="004C7161" w:rsidP="00DD490C">
            <w:pPr>
              <w:spacing w:line="240" w:lineRule="auto"/>
              <w:jc w:val="left"/>
              <w:rPr>
                <w:rFonts w:asciiTheme="minorHAnsi" w:hAnsiTheme="minorHAnsi"/>
                <w:sz w:val="17"/>
                <w:szCs w:val="17"/>
              </w:rPr>
            </w:pPr>
            <w:r w:rsidRPr="003746A0">
              <w:rPr>
                <w:rFonts w:asciiTheme="minorHAnsi" w:hAnsiTheme="minorHAnsi"/>
                <w:sz w:val="17"/>
                <w:szCs w:val="17"/>
              </w:rPr>
              <w:t>Je vypracován vnitrostátní nebo regionální plán přístupových sítí nové generace, který obsahuje:</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plán investic do infrastruktury vycházející z ekonomické analýzy a zohledňující stávající infrastrukturu a zveřejněné soukromé investiční plány,</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modely udržitelných investic, které posilují hospodářskou soutěž a zajišťují přístup k otevřeným, cenově dostupným, kvalitním a progr</w:t>
            </w:r>
            <w:r w:rsidR="00C80B66">
              <w:rPr>
                <w:rFonts w:asciiTheme="minorHAnsi" w:hAnsiTheme="minorHAnsi"/>
                <w:color w:val="000000"/>
                <w:sz w:val="17"/>
                <w:szCs w:val="17"/>
              </w:rPr>
              <w:t>SSR</w:t>
            </w:r>
            <w:r w:rsidRPr="003746A0">
              <w:rPr>
                <w:rFonts w:asciiTheme="minorHAnsi" w:hAnsiTheme="minorHAnsi"/>
                <w:color w:val="000000"/>
                <w:sz w:val="17"/>
                <w:szCs w:val="17"/>
              </w:rPr>
              <w:t>vním infrastrukturám a službám,</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sz w:val="17"/>
                <w:szCs w:val="17"/>
              </w:rPr>
            </w:pPr>
            <w:r w:rsidRPr="003746A0">
              <w:rPr>
                <w:rFonts w:asciiTheme="minorHAnsi" w:hAnsiTheme="minorHAnsi"/>
                <w:color w:val="000000"/>
                <w:sz w:val="17"/>
                <w:szCs w:val="17"/>
              </w:rPr>
              <w:t>opatření k podnícení soukromých investic. </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3: Zvýšení konkurenceschopnosti malých a středních podniků (MSP)</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68"/>
        <w:gridCol w:w="1985"/>
        <w:gridCol w:w="4834"/>
      </w:tblGrid>
      <w:tr w:rsidR="004C7161" w:rsidRPr="00523D12" w:rsidTr="00DD490C">
        <w:trPr>
          <w:trHeight w:val="546"/>
        </w:trPr>
        <w:tc>
          <w:tcPr>
            <w:tcW w:w="2268"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1985"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4834"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A97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161" w:rsidRPr="003746A0" w:rsidRDefault="004C7161" w:rsidP="00C07EED">
            <w:pPr>
              <w:spacing w:line="240" w:lineRule="auto"/>
              <w:jc w:val="left"/>
              <w:rPr>
                <w:rFonts w:asciiTheme="minorHAnsi" w:hAnsiTheme="minorHAnsi"/>
                <w:bCs/>
                <w:sz w:val="17"/>
                <w:szCs w:val="17"/>
                <w:u w:val="single"/>
              </w:rPr>
            </w:pPr>
            <w:r w:rsidRPr="003746A0">
              <w:rPr>
                <w:rFonts w:asciiTheme="minorHAnsi" w:hAnsiTheme="minorHAnsi"/>
                <w:bCs/>
                <w:sz w:val="17"/>
                <w:szCs w:val="17"/>
                <w:u w:val="single"/>
              </w:rPr>
              <w:t>E</w:t>
            </w:r>
            <w:r w:rsidR="00C07EED">
              <w:rPr>
                <w:rFonts w:asciiTheme="minorHAnsi" w:hAnsiTheme="minorHAnsi"/>
                <w:bCs/>
                <w:sz w:val="17"/>
                <w:szCs w:val="17"/>
                <w:u w:val="single"/>
              </w:rPr>
              <w:t>F</w:t>
            </w:r>
            <w:r w:rsidRPr="003746A0">
              <w:rPr>
                <w:rFonts w:asciiTheme="minorHAnsi" w:hAnsiTheme="minorHAnsi"/>
                <w:bCs/>
                <w:sz w:val="17"/>
                <w:szCs w:val="17"/>
                <w:u w:val="single"/>
              </w:rPr>
              <w:t>R</w:t>
            </w:r>
            <w:r w:rsidR="00C07EED">
              <w:rPr>
                <w:rFonts w:asciiTheme="minorHAnsi" w:hAnsiTheme="minorHAnsi"/>
                <w:bCs/>
                <w:sz w:val="17"/>
                <w:szCs w:val="17"/>
                <w:u w:val="single"/>
              </w:rPr>
              <w:t>R</w:t>
            </w:r>
            <w:r w:rsidRPr="003746A0">
              <w:rPr>
                <w:rFonts w:asciiTheme="minorHAnsi" w:hAnsiTheme="minorHAnsi"/>
                <w:bCs/>
                <w:sz w:val="17"/>
                <w:szCs w:val="17"/>
                <w:u w:val="single"/>
              </w:rPr>
              <w:t>:</w:t>
            </w:r>
            <w:r w:rsidRPr="003746A0">
              <w:rPr>
                <w:rFonts w:asciiTheme="minorHAnsi" w:hAnsiTheme="minorHAnsi"/>
                <w:bCs/>
                <w:sz w:val="17"/>
                <w:szCs w:val="17"/>
              </w:rPr>
              <w:t xml:space="preserve"> podpora podnikání, zejména usnadněním hospodářského využívání nových myšlenek a napomáháním vytváření nových podniků, mimo jiné prostřednictvím podnikatelských inkubátorů</w:t>
            </w:r>
          </w:p>
        </w:tc>
        <w:bookmarkStart w:id="22" w:name="RANGE!D29"/>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161" w:rsidRPr="003746A0" w:rsidRDefault="0037582F" w:rsidP="00DD490C">
            <w:pPr>
              <w:spacing w:line="240" w:lineRule="auto"/>
              <w:jc w:val="left"/>
              <w:rPr>
                <w:rFonts w:asciiTheme="minorHAnsi" w:hAnsiTheme="minorHAnsi"/>
                <w:bCs/>
                <w:sz w:val="17"/>
                <w:szCs w:val="17"/>
              </w:rPr>
            </w:pPr>
            <w:r w:rsidRPr="003746A0">
              <w:rPr>
                <w:rFonts w:asciiTheme="minorHAnsi" w:hAnsiTheme="minorHAnsi"/>
                <w:bCs/>
                <w:sz w:val="17"/>
                <w:szCs w:val="17"/>
              </w:rPr>
              <w:fldChar w:fldCharType="begin"/>
            </w:r>
            <w:r w:rsidR="004C7161" w:rsidRPr="003746A0">
              <w:rPr>
                <w:rFonts w:asciiTheme="minorHAnsi" w:hAnsiTheme="minorHAnsi"/>
                <w:bCs/>
                <w:sz w:val="17"/>
                <w:szCs w:val="17"/>
              </w:rPr>
              <w:instrText xml:space="preserve"> HYPERLINK "file:///D:\\!!%20KP%202014-2020.%20Priprava\\1.DUBEN%202012.VLADA.material%20k%20usneseni%20vlady\\Kondicionality.Analyza.Podklad\\MV.Tabulka%20kondicionality.xlsx" \l "RANGE!#REF!" </w:instrText>
            </w:r>
            <w:r w:rsidRPr="003746A0">
              <w:rPr>
                <w:rFonts w:asciiTheme="minorHAnsi" w:hAnsiTheme="minorHAnsi"/>
                <w:bCs/>
                <w:sz w:val="17"/>
                <w:szCs w:val="17"/>
              </w:rPr>
              <w:fldChar w:fldCharType="separate"/>
            </w:r>
            <w:r w:rsidR="004C7161" w:rsidRPr="003746A0">
              <w:rPr>
                <w:rFonts w:asciiTheme="minorHAnsi" w:hAnsiTheme="minorHAnsi"/>
                <w:bCs/>
                <w:sz w:val="17"/>
                <w:szCs w:val="17"/>
              </w:rPr>
              <w:t>3.1. Byla realizována zvláštní opatření k zesílení podporování podnikatelské činnosti v souladu se Small Business Act (SBA).</w:t>
            </w:r>
            <w:r w:rsidRPr="003746A0">
              <w:rPr>
                <w:rFonts w:asciiTheme="minorHAnsi" w:hAnsiTheme="minorHAnsi"/>
                <w:bCs/>
                <w:sz w:val="17"/>
                <w:szCs w:val="17"/>
              </w:rPr>
              <w:fldChar w:fldCharType="end"/>
            </w:r>
            <w:bookmarkEnd w:id="22"/>
          </w:p>
        </w:tc>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rPr>
            </w:pPr>
            <w:r w:rsidRPr="003746A0">
              <w:rPr>
                <w:rFonts w:asciiTheme="minorHAnsi" w:hAnsiTheme="minorHAnsi"/>
                <w:bCs/>
                <w:sz w:val="17"/>
                <w:szCs w:val="17"/>
              </w:rPr>
              <w:t>Zvláštní opatření jsou:</w:t>
            </w:r>
          </w:p>
          <w:p w:rsidR="00BF3037" w:rsidRPr="00BF3037" w:rsidRDefault="00BF3037" w:rsidP="00DD490C">
            <w:pPr>
              <w:pStyle w:val="Odstavecseseznamem"/>
              <w:numPr>
                <w:ilvl w:val="0"/>
                <w:numId w:val="10"/>
              </w:numPr>
              <w:spacing w:after="40"/>
              <w:ind w:left="355" w:hanging="283"/>
              <w:contextualSpacing w:val="0"/>
              <w:jc w:val="left"/>
              <w:rPr>
                <w:rFonts w:asciiTheme="minorHAnsi" w:hAnsiTheme="minorHAnsi"/>
                <w:strike/>
                <w:color w:val="000000"/>
                <w:sz w:val="17"/>
                <w:szCs w:val="17"/>
              </w:rPr>
            </w:pPr>
            <w:r w:rsidRPr="00BF3037">
              <w:rPr>
                <w:rFonts w:asciiTheme="minorHAnsi" w:hAnsiTheme="minorHAnsi"/>
                <w:strike/>
                <w:color w:val="000000"/>
                <w:sz w:val="17"/>
                <w:szCs w:val="17"/>
              </w:rPr>
              <w:t>kontrolní mechanismus, který má zajistit provádění SBA, včetně orgánu zodpovědného za koordinaci záležitostí malých a středních podniků na různých úrovních veřejné správy („zmocněnec pro MSP“),</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 xml:space="preserve">opatření zaměřená na snížení nákladů </w:t>
            </w:r>
            <w:r w:rsidR="005B7102">
              <w:rPr>
                <w:rFonts w:asciiTheme="minorHAnsi" w:hAnsiTheme="minorHAnsi"/>
                <w:strike/>
                <w:color w:val="000000"/>
                <w:sz w:val="17"/>
                <w:szCs w:val="17"/>
              </w:rPr>
              <w:t>na 100 EUR</w:t>
            </w:r>
            <w:r w:rsidR="00DE294A">
              <w:rPr>
                <w:rFonts w:asciiTheme="minorHAnsi" w:hAnsiTheme="minorHAnsi"/>
                <w:strike/>
                <w:color w:val="000000"/>
                <w:sz w:val="17"/>
                <w:szCs w:val="17"/>
              </w:rPr>
              <w:t xml:space="preserve"> </w:t>
            </w:r>
            <w:r w:rsidRPr="003746A0">
              <w:rPr>
                <w:rFonts w:asciiTheme="minorHAnsi" w:hAnsiTheme="minorHAnsi"/>
                <w:color w:val="000000"/>
                <w:sz w:val="17"/>
                <w:szCs w:val="17"/>
              </w:rPr>
              <w:t>a zkrácení doby potřebných pro založení podniku</w:t>
            </w:r>
            <w:r w:rsidR="005B7102">
              <w:rPr>
                <w:rFonts w:asciiTheme="minorHAnsi" w:hAnsiTheme="minorHAnsi"/>
                <w:color w:val="000000"/>
                <w:sz w:val="17"/>
                <w:szCs w:val="17"/>
              </w:rPr>
              <w:t xml:space="preserve"> </w:t>
            </w:r>
            <w:r w:rsidR="005B7102" w:rsidRPr="00747BDC">
              <w:rPr>
                <w:rFonts w:asciiTheme="minorHAnsi" w:hAnsiTheme="minorHAnsi"/>
                <w:strike/>
                <w:color w:val="000000"/>
                <w:sz w:val="17"/>
                <w:szCs w:val="17"/>
              </w:rPr>
              <w:t xml:space="preserve">na 3 </w:t>
            </w:r>
            <w:r w:rsidR="00C51E42" w:rsidRPr="00747BDC">
              <w:rPr>
                <w:rFonts w:asciiTheme="minorHAnsi" w:hAnsiTheme="minorHAnsi"/>
                <w:strike/>
                <w:color w:val="000000"/>
                <w:sz w:val="17"/>
                <w:szCs w:val="17"/>
              </w:rPr>
              <w:t>dny</w:t>
            </w:r>
            <w:r w:rsidRPr="00747BDC">
              <w:rPr>
                <w:rFonts w:asciiTheme="minorHAnsi" w:hAnsiTheme="minorHAnsi"/>
                <w:strike/>
                <w:color w:val="000000"/>
                <w:sz w:val="17"/>
                <w:szCs w:val="17"/>
              </w:rPr>
              <w:t>,</w:t>
            </w:r>
          </w:p>
          <w:p w:rsidR="004C7161" w:rsidRPr="00BF3037" w:rsidRDefault="004C7161" w:rsidP="00DD490C">
            <w:pPr>
              <w:pStyle w:val="Odstavecseseznamem"/>
              <w:numPr>
                <w:ilvl w:val="0"/>
                <w:numId w:val="10"/>
              </w:numPr>
              <w:spacing w:after="40"/>
              <w:ind w:left="355" w:hanging="283"/>
              <w:contextualSpacing w:val="0"/>
              <w:jc w:val="left"/>
              <w:rPr>
                <w:rFonts w:asciiTheme="minorHAnsi" w:hAnsiTheme="minorHAnsi"/>
                <w:b/>
                <w:bCs/>
                <w:sz w:val="17"/>
                <w:szCs w:val="17"/>
              </w:rPr>
            </w:pPr>
            <w:r w:rsidRPr="003746A0">
              <w:rPr>
                <w:rFonts w:asciiTheme="minorHAnsi" w:hAnsiTheme="minorHAnsi"/>
                <w:color w:val="000000"/>
                <w:sz w:val="17"/>
                <w:szCs w:val="17"/>
              </w:rPr>
              <w:t>opatření ke zkrácení doby potřebné k získání licencí a povolení k zahájení a provádění konkrétní činnosti podniku</w:t>
            </w:r>
            <w:r w:rsidR="00DE294A">
              <w:rPr>
                <w:rFonts w:asciiTheme="minorHAnsi" w:hAnsiTheme="minorHAnsi"/>
                <w:color w:val="000000"/>
                <w:sz w:val="17"/>
                <w:szCs w:val="17"/>
              </w:rPr>
              <w:t xml:space="preserve"> </w:t>
            </w:r>
            <w:r w:rsidR="00DE294A" w:rsidRPr="00105C33">
              <w:rPr>
                <w:rFonts w:asciiTheme="minorHAnsi" w:hAnsiTheme="minorHAnsi"/>
                <w:strike/>
                <w:color w:val="000000"/>
                <w:sz w:val="17"/>
                <w:szCs w:val="17"/>
              </w:rPr>
              <w:t>na 3 měsíce</w:t>
            </w:r>
            <w:r w:rsidRPr="003746A0">
              <w:rPr>
                <w:rFonts w:asciiTheme="minorHAnsi" w:hAnsiTheme="minorHAnsi"/>
                <w:color w:val="000000"/>
                <w:sz w:val="17"/>
                <w:szCs w:val="17"/>
              </w:rPr>
              <w:t>.</w:t>
            </w:r>
            <w:r w:rsidR="00DE294A">
              <w:rPr>
                <w:rFonts w:asciiTheme="minorHAnsi" w:hAnsiTheme="minorHAnsi"/>
                <w:color w:val="000000"/>
                <w:sz w:val="17"/>
                <w:szCs w:val="17"/>
              </w:rPr>
              <w:t xml:space="preserve"> </w:t>
            </w:r>
          </w:p>
          <w:p w:rsidR="00BF3037" w:rsidRPr="00BF3037" w:rsidRDefault="00BF3037" w:rsidP="00DD490C">
            <w:pPr>
              <w:pStyle w:val="Odstavecseseznamem"/>
              <w:numPr>
                <w:ilvl w:val="0"/>
                <w:numId w:val="10"/>
              </w:numPr>
              <w:spacing w:after="40"/>
              <w:ind w:left="355" w:hanging="283"/>
              <w:contextualSpacing w:val="0"/>
              <w:jc w:val="left"/>
              <w:rPr>
                <w:rFonts w:asciiTheme="minorHAnsi" w:hAnsiTheme="minorHAnsi"/>
                <w:b/>
                <w:bCs/>
                <w:strike/>
                <w:sz w:val="17"/>
                <w:szCs w:val="17"/>
              </w:rPr>
            </w:pPr>
            <w:r w:rsidRPr="00BF3037">
              <w:rPr>
                <w:rFonts w:asciiTheme="minorHAnsi" w:hAnsiTheme="minorHAnsi"/>
                <w:strike/>
                <w:color w:val="000000"/>
                <w:sz w:val="17"/>
                <w:szCs w:val="17"/>
              </w:rPr>
              <w:t>mechanismus pro systematické posuzování dopadů právních předpisů na malé a střední podniky prostřednictvím „testu MSP“, případně s přihlédnutím k rozdílům ve velikosti podniků.</w:t>
            </w:r>
          </w:p>
        </w:tc>
      </w:tr>
      <w:tr w:rsidR="00BF3037" w:rsidRPr="00523D12" w:rsidTr="00A97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F3037" w:rsidRPr="003746A0" w:rsidRDefault="00BF3037" w:rsidP="00DD490C">
            <w:pPr>
              <w:spacing w:line="240" w:lineRule="auto"/>
              <w:jc w:val="left"/>
              <w:rPr>
                <w:rFonts w:asciiTheme="minorHAnsi" w:hAnsiTheme="minorHAnsi"/>
                <w:bCs/>
                <w:sz w:val="17"/>
                <w:szCs w:val="17"/>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F3037" w:rsidRPr="00BF3037" w:rsidRDefault="00FC0BDC" w:rsidP="00DD490C">
            <w:pPr>
              <w:spacing w:line="240" w:lineRule="auto"/>
              <w:jc w:val="left"/>
              <w:rPr>
                <w:rFonts w:asciiTheme="minorHAnsi" w:hAnsiTheme="minorHAnsi"/>
                <w:bCs/>
                <w:strike/>
                <w:sz w:val="17"/>
                <w:szCs w:val="17"/>
              </w:rPr>
            </w:pPr>
            <w:r w:rsidRPr="00FC0BDC">
              <w:rPr>
                <w:rFonts w:asciiTheme="minorHAnsi" w:hAnsiTheme="minorHAnsi"/>
                <w:bCs/>
                <w:strike/>
                <w:sz w:val="17"/>
                <w:szCs w:val="17"/>
              </w:rPr>
              <w:t>3.2. Provedení směrnice Evropského parlamentu a Rady 2011/7/EU ze dne 16. února 2011 o postupu proti opožděným platbám v obchodních transakcích do vnitrostátního práva</w:t>
            </w:r>
          </w:p>
        </w:tc>
        <w:tc>
          <w:tcPr>
            <w:tcW w:w="4834" w:type="dxa"/>
            <w:tcBorders>
              <w:top w:val="single" w:sz="4" w:space="0" w:color="auto"/>
              <w:left w:val="single" w:sz="4" w:space="0" w:color="auto"/>
              <w:bottom w:val="single" w:sz="4" w:space="0" w:color="auto"/>
              <w:right w:val="single" w:sz="4" w:space="0" w:color="auto"/>
            </w:tcBorders>
            <w:shd w:val="clear" w:color="auto" w:fill="auto"/>
            <w:vAlign w:val="center"/>
          </w:tcPr>
          <w:p w:rsidR="00BF3037" w:rsidRPr="00BF3037" w:rsidRDefault="00FC0BDC" w:rsidP="00DD490C">
            <w:pPr>
              <w:spacing w:line="240" w:lineRule="auto"/>
              <w:jc w:val="left"/>
              <w:rPr>
                <w:rFonts w:asciiTheme="minorHAnsi" w:hAnsiTheme="minorHAnsi"/>
                <w:bCs/>
                <w:strike/>
                <w:sz w:val="17"/>
                <w:szCs w:val="17"/>
              </w:rPr>
            </w:pPr>
            <w:r w:rsidRPr="00FC0BDC">
              <w:rPr>
                <w:rFonts w:asciiTheme="minorHAnsi" w:hAnsiTheme="minorHAnsi"/>
                <w:bCs/>
                <w:strike/>
                <w:sz w:val="17"/>
                <w:szCs w:val="17"/>
              </w:rPr>
              <w:t>Provedení směrnice do vnitrostátního práva v souladu s článkem 12 směrnice (do 16. března 2013).</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4: Podpora přechodu na nízkouhlíkové hospodářství ve všech odvětvích</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16"/>
        <w:gridCol w:w="2268"/>
        <w:gridCol w:w="5103"/>
      </w:tblGrid>
      <w:tr w:rsidR="004C7161" w:rsidRPr="00523D12" w:rsidTr="00DD490C">
        <w:trPr>
          <w:trHeight w:val="495"/>
        </w:trPr>
        <w:tc>
          <w:tcPr>
            <w:tcW w:w="1716"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2268"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103"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2418"/>
        </w:trPr>
        <w:tc>
          <w:tcPr>
            <w:tcW w:w="1716" w:type="dxa"/>
            <w:shd w:val="clear" w:color="000000" w:fill="FFFFFF"/>
            <w:vAlign w:val="center"/>
            <w:hideMark/>
          </w:tcPr>
          <w:p w:rsidR="004C7161" w:rsidRPr="003746A0" w:rsidRDefault="004C7161" w:rsidP="00C07EED">
            <w:pPr>
              <w:spacing w:line="240" w:lineRule="auto"/>
              <w:jc w:val="left"/>
              <w:rPr>
                <w:rFonts w:asciiTheme="minorHAnsi" w:hAnsiTheme="minorHAnsi"/>
                <w:bCs/>
                <w:sz w:val="17"/>
                <w:szCs w:val="17"/>
                <w:u w:val="single"/>
              </w:rPr>
            </w:pPr>
            <w:r w:rsidRPr="003746A0">
              <w:rPr>
                <w:rFonts w:asciiTheme="minorHAnsi" w:hAnsiTheme="minorHAnsi"/>
                <w:bCs/>
                <w:sz w:val="17"/>
                <w:szCs w:val="17"/>
                <w:u w:val="single"/>
              </w:rPr>
              <w:t>E</w:t>
            </w:r>
            <w:r w:rsidR="00C07EED">
              <w:rPr>
                <w:rFonts w:asciiTheme="minorHAnsi" w:hAnsiTheme="minorHAnsi"/>
                <w:bCs/>
                <w:sz w:val="17"/>
                <w:szCs w:val="17"/>
                <w:u w:val="single"/>
              </w:rPr>
              <w:t>F</w:t>
            </w:r>
            <w:r w:rsidRPr="003746A0">
              <w:rPr>
                <w:rFonts w:asciiTheme="minorHAnsi" w:hAnsiTheme="minorHAnsi"/>
                <w:bCs/>
                <w:sz w:val="17"/>
                <w:szCs w:val="17"/>
                <w:u w:val="single"/>
              </w:rPr>
              <w:t>R</w:t>
            </w:r>
            <w:r w:rsidR="00C07EED">
              <w:rPr>
                <w:rFonts w:asciiTheme="minorHAnsi" w:hAnsiTheme="minorHAnsi"/>
                <w:bCs/>
                <w:sz w:val="17"/>
                <w:szCs w:val="17"/>
                <w:u w:val="single"/>
              </w:rPr>
              <w:t>R</w:t>
            </w:r>
            <w:r w:rsidRPr="003746A0">
              <w:rPr>
                <w:rFonts w:asciiTheme="minorHAnsi" w:hAnsiTheme="minorHAnsi"/>
                <w:bCs/>
                <w:sz w:val="17"/>
                <w:szCs w:val="17"/>
                <w:u w:val="single"/>
              </w:rPr>
              <w:t xml:space="preserve"> + </w:t>
            </w:r>
            <w:r w:rsidR="00C07EED">
              <w:rPr>
                <w:rFonts w:asciiTheme="minorHAnsi" w:hAnsiTheme="minorHAnsi"/>
                <w:bCs/>
                <w:sz w:val="17"/>
                <w:szCs w:val="17"/>
                <w:u w:val="single"/>
              </w:rPr>
              <w:t>FS</w:t>
            </w:r>
            <w:r w:rsidRPr="003746A0">
              <w:rPr>
                <w:rFonts w:asciiTheme="minorHAnsi" w:hAnsiTheme="minorHAnsi"/>
                <w:bCs/>
                <w:sz w:val="17"/>
                <w:szCs w:val="17"/>
                <w:u w:val="single"/>
              </w:rPr>
              <w:t>:</w:t>
            </w:r>
            <w:r w:rsidRPr="003746A0">
              <w:rPr>
                <w:rFonts w:asciiTheme="minorHAnsi" w:hAnsiTheme="minorHAnsi"/>
                <w:bCs/>
                <w:sz w:val="17"/>
                <w:szCs w:val="17"/>
              </w:rPr>
              <w:t xml:space="preserve"> podpora energetické účinnosti a využívání energie z obnovitelných zdrojů ve veřejných infrastrukturách, mimo jiné ve veřejných budovách a v odvětví bydlení; </w:t>
            </w:r>
          </w:p>
        </w:tc>
        <w:bookmarkStart w:id="23" w:name="RANGE!D36"/>
        <w:tc>
          <w:tcPr>
            <w:tcW w:w="2268" w:type="dxa"/>
            <w:shd w:val="clear" w:color="auto" w:fill="FFFFFF" w:themeFill="background1"/>
            <w:vAlign w:val="center"/>
            <w:hideMark/>
          </w:tcPr>
          <w:p w:rsidR="004C7161" w:rsidRPr="003746A0" w:rsidRDefault="0037582F" w:rsidP="00DD490C">
            <w:pPr>
              <w:spacing w:line="240" w:lineRule="auto"/>
              <w:jc w:val="left"/>
              <w:rPr>
                <w:rFonts w:asciiTheme="minorHAnsi" w:hAnsiTheme="minorHAnsi"/>
                <w:bCs/>
                <w:sz w:val="17"/>
                <w:szCs w:val="17"/>
              </w:rPr>
            </w:pPr>
            <w:r w:rsidRPr="003746A0">
              <w:rPr>
                <w:rFonts w:asciiTheme="minorHAnsi" w:hAnsiTheme="minorHAnsi"/>
                <w:bCs/>
                <w:sz w:val="17"/>
                <w:szCs w:val="17"/>
              </w:rPr>
              <w:fldChar w:fldCharType="begin"/>
            </w:r>
            <w:r w:rsidR="004C7161" w:rsidRPr="003746A0">
              <w:rPr>
                <w:rFonts w:asciiTheme="minorHAnsi" w:hAnsiTheme="minorHAnsi"/>
                <w:bCs/>
                <w:sz w:val="17"/>
                <w:szCs w:val="17"/>
              </w:rPr>
              <w:instrText xml:space="preserve"> HYPERLINK "file:///D:\\!!%20KP%202014-2020.%20Priprava\\1.DUBEN%202012.VLADA.material%20k%20usneseni%20vlady\\Kondicionality.Analyza.Podklad\\MV.Tabulka%20kondicionality.xlsx" \l "RANGE!#REF!" </w:instrText>
            </w:r>
            <w:r w:rsidRPr="003746A0">
              <w:rPr>
                <w:rFonts w:asciiTheme="minorHAnsi" w:hAnsiTheme="minorHAnsi"/>
                <w:bCs/>
                <w:sz w:val="17"/>
                <w:szCs w:val="17"/>
              </w:rPr>
              <w:fldChar w:fldCharType="separate"/>
            </w:r>
            <w:r w:rsidR="004C7161" w:rsidRPr="003746A0">
              <w:rPr>
                <w:rFonts w:asciiTheme="minorHAnsi" w:hAnsiTheme="minorHAnsi"/>
                <w:bCs/>
                <w:sz w:val="17"/>
                <w:szCs w:val="17"/>
              </w:rPr>
              <w:t>4.1. Byla provedena opatření na podporu nákladově efektivního zvyšování energetické účinnosti u koncového uživatele a nákladově efektivních investic do energetické účinnosti při výstavbě a renovaci budov.</w:t>
            </w:r>
            <w:r w:rsidRPr="003746A0">
              <w:rPr>
                <w:rFonts w:asciiTheme="minorHAnsi" w:hAnsiTheme="minorHAnsi"/>
                <w:bCs/>
                <w:sz w:val="17"/>
                <w:szCs w:val="17"/>
              </w:rPr>
              <w:fldChar w:fldCharType="end"/>
            </w:r>
            <w:bookmarkEnd w:id="23"/>
          </w:p>
        </w:tc>
        <w:tc>
          <w:tcPr>
            <w:tcW w:w="5103" w:type="dxa"/>
            <w:shd w:val="clear" w:color="auto" w:fill="FFFFFF" w:themeFill="background1"/>
            <w:vAlign w:val="center"/>
            <w:hideMark/>
          </w:tcPr>
          <w:p w:rsidR="004C7161" w:rsidRPr="003746A0" w:rsidRDefault="004C7161" w:rsidP="00DD490C">
            <w:pPr>
              <w:spacing w:line="240" w:lineRule="auto"/>
              <w:jc w:val="left"/>
              <w:rPr>
                <w:rFonts w:asciiTheme="minorHAnsi" w:hAnsiTheme="minorHAnsi"/>
                <w:sz w:val="17"/>
                <w:szCs w:val="17"/>
              </w:rPr>
            </w:pPr>
            <w:r w:rsidRPr="003746A0">
              <w:rPr>
                <w:rFonts w:asciiTheme="minorHAnsi" w:hAnsiTheme="minorHAnsi"/>
                <w:sz w:val="17"/>
                <w:szCs w:val="17"/>
              </w:rPr>
              <w:t>Těmito opatřeními jsou:</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 xml:space="preserve">zavedená opatření k zajištění minimálních požadavků týkajících se energetické náročnosti budov v souladu s články 3, 4 a 5 směrnice 2010/31/EU, </w:t>
            </w:r>
          </w:p>
          <w:p w:rsidR="004C7161"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opatření nezbytná pro zavedení systému certifikace energetické náročnosti budov v souladu s článkem 11 směrnice 2010/31/EU,</w:t>
            </w:r>
          </w:p>
          <w:p w:rsidR="00A972B3" w:rsidRPr="00A972B3" w:rsidRDefault="00A972B3" w:rsidP="00A972B3">
            <w:pPr>
              <w:pStyle w:val="Odstavecseseznamem"/>
              <w:numPr>
                <w:ilvl w:val="0"/>
                <w:numId w:val="10"/>
              </w:numPr>
              <w:spacing w:after="40"/>
              <w:ind w:left="355" w:hanging="283"/>
              <w:contextualSpacing w:val="0"/>
              <w:jc w:val="left"/>
              <w:rPr>
                <w:rFonts w:asciiTheme="minorHAnsi" w:hAnsiTheme="minorHAnsi"/>
                <w:strike/>
                <w:color w:val="000000"/>
                <w:sz w:val="17"/>
                <w:szCs w:val="17"/>
              </w:rPr>
            </w:pPr>
            <w:bookmarkStart w:id="24" w:name="content"/>
            <w:r w:rsidRPr="00A972B3">
              <w:rPr>
                <w:rFonts w:asciiTheme="minorHAnsi" w:hAnsiTheme="minorHAnsi"/>
                <w:strike/>
                <w:color w:val="000000"/>
                <w:sz w:val="17"/>
                <w:szCs w:val="17"/>
              </w:rPr>
              <w:t>Realizace požadované míry renovací veřejných budov.</w:t>
            </w:r>
          </w:p>
          <w:bookmarkEnd w:id="24"/>
          <w:p w:rsidR="004C7161" w:rsidRPr="00A972B3" w:rsidRDefault="004C7161" w:rsidP="00DD490C">
            <w:pPr>
              <w:pStyle w:val="Odstavecseseznamem"/>
              <w:numPr>
                <w:ilvl w:val="0"/>
                <w:numId w:val="10"/>
              </w:numPr>
              <w:spacing w:after="40"/>
              <w:ind w:left="355" w:hanging="283"/>
              <w:contextualSpacing w:val="0"/>
              <w:jc w:val="left"/>
              <w:rPr>
                <w:rFonts w:asciiTheme="minorHAnsi" w:hAnsiTheme="minorHAnsi"/>
                <w:sz w:val="17"/>
                <w:szCs w:val="17"/>
              </w:rPr>
            </w:pPr>
            <w:r w:rsidRPr="003746A0">
              <w:rPr>
                <w:rFonts w:asciiTheme="minorHAnsi" w:hAnsiTheme="minorHAnsi"/>
                <w:color w:val="000000"/>
                <w:sz w:val="17"/>
                <w:szCs w:val="17"/>
              </w:rPr>
              <w:t>opatření v souladu s článkem 13 směrnice 2006/32/ES o energetické účinnosti u konečného uživatele a o energetických službách, zajišťující, aby pokud je to technicky možné, finančně únosné a úměrné potenciálním úsporám energie, byli koneční zákazníci vybaveni individuálními měřiči.</w:t>
            </w:r>
          </w:p>
          <w:p w:rsidR="00A972B3" w:rsidRPr="00A972B3" w:rsidRDefault="00A972B3" w:rsidP="00DD490C">
            <w:pPr>
              <w:pStyle w:val="Odstavecseseznamem"/>
              <w:numPr>
                <w:ilvl w:val="0"/>
                <w:numId w:val="10"/>
              </w:numPr>
              <w:spacing w:after="40"/>
              <w:ind w:left="355" w:hanging="283"/>
              <w:contextualSpacing w:val="0"/>
              <w:jc w:val="left"/>
              <w:rPr>
                <w:rFonts w:asciiTheme="minorHAnsi" w:hAnsiTheme="minorHAnsi"/>
                <w:strike/>
                <w:sz w:val="17"/>
                <w:szCs w:val="17"/>
              </w:rPr>
            </w:pPr>
            <w:r w:rsidRPr="00A972B3">
              <w:rPr>
                <w:rFonts w:asciiTheme="minorHAnsi" w:hAnsiTheme="minorHAnsi"/>
                <w:strike/>
                <w:sz w:val="17"/>
                <w:szCs w:val="17"/>
              </w:rPr>
              <w:t>Podporuje se účinnost vytápění a chlazení v souladu se směrnicí 2004/8/ES.</w:t>
            </w:r>
          </w:p>
        </w:tc>
      </w:tr>
      <w:tr w:rsidR="004C7161" w:rsidRPr="00523D12" w:rsidTr="00747BDC">
        <w:trPr>
          <w:trHeight w:val="991"/>
        </w:trPr>
        <w:tc>
          <w:tcPr>
            <w:tcW w:w="1716" w:type="dxa"/>
            <w:shd w:val="clear" w:color="auto" w:fill="auto"/>
            <w:vAlign w:val="center"/>
            <w:hideMark/>
          </w:tcPr>
          <w:p w:rsidR="004C7161" w:rsidRPr="003746A0" w:rsidRDefault="004C7161" w:rsidP="00C07EED">
            <w:pPr>
              <w:spacing w:line="240" w:lineRule="auto"/>
              <w:jc w:val="left"/>
              <w:rPr>
                <w:rFonts w:asciiTheme="minorHAnsi" w:hAnsiTheme="minorHAnsi"/>
                <w:color w:val="000000"/>
                <w:sz w:val="17"/>
                <w:szCs w:val="17"/>
              </w:rPr>
            </w:pPr>
            <w:r w:rsidRPr="003746A0">
              <w:rPr>
                <w:rFonts w:asciiTheme="minorHAnsi" w:hAnsiTheme="minorHAnsi"/>
                <w:color w:val="000000"/>
                <w:sz w:val="17"/>
                <w:szCs w:val="17"/>
                <w:u w:val="single"/>
              </w:rPr>
              <w:t>E</w:t>
            </w:r>
            <w:r w:rsidR="00C07EED">
              <w:rPr>
                <w:rFonts w:asciiTheme="minorHAnsi" w:hAnsiTheme="minorHAnsi"/>
                <w:color w:val="000000"/>
                <w:sz w:val="17"/>
                <w:szCs w:val="17"/>
                <w:u w:val="single"/>
              </w:rPr>
              <w:t>F</w:t>
            </w:r>
            <w:r w:rsidRPr="003746A0">
              <w:rPr>
                <w:rFonts w:asciiTheme="minorHAnsi" w:hAnsiTheme="minorHAnsi"/>
                <w:color w:val="000000"/>
                <w:sz w:val="17"/>
                <w:szCs w:val="17"/>
                <w:u w:val="single"/>
              </w:rPr>
              <w:t>R</w:t>
            </w:r>
            <w:r w:rsidR="00C07EED">
              <w:rPr>
                <w:rFonts w:asciiTheme="minorHAnsi" w:hAnsiTheme="minorHAnsi"/>
                <w:color w:val="000000"/>
                <w:sz w:val="17"/>
                <w:szCs w:val="17"/>
                <w:u w:val="single"/>
              </w:rPr>
              <w:t>R</w:t>
            </w:r>
            <w:r w:rsidRPr="003746A0">
              <w:rPr>
                <w:rFonts w:asciiTheme="minorHAnsi" w:hAnsiTheme="minorHAnsi"/>
                <w:color w:val="000000"/>
                <w:sz w:val="17"/>
                <w:szCs w:val="17"/>
                <w:u w:val="single"/>
              </w:rPr>
              <w:t>:</w:t>
            </w:r>
            <w:r w:rsidRPr="003746A0">
              <w:rPr>
                <w:rFonts w:asciiTheme="minorHAnsi" w:hAnsiTheme="minorHAnsi"/>
                <w:color w:val="000000"/>
                <w:sz w:val="17"/>
                <w:szCs w:val="17"/>
              </w:rPr>
              <w:t xml:space="preserve"> podpora vysoce účinné kombinované výroby tepla a elektřiny</w:t>
            </w:r>
          </w:p>
        </w:tc>
        <w:tc>
          <w:tcPr>
            <w:tcW w:w="2268" w:type="dxa"/>
            <w:shd w:val="clear" w:color="auto" w:fill="FFFFFF" w:themeFill="background1"/>
            <w:vAlign w:val="center"/>
            <w:hideMark/>
          </w:tcPr>
          <w:p w:rsidR="004C7161" w:rsidRPr="003746A0" w:rsidRDefault="004C7161" w:rsidP="00DD490C">
            <w:pPr>
              <w:spacing w:line="240" w:lineRule="auto"/>
              <w:jc w:val="left"/>
              <w:rPr>
                <w:rFonts w:asciiTheme="minorHAnsi" w:hAnsiTheme="minorHAnsi"/>
                <w:bCs/>
                <w:color w:val="000000"/>
                <w:sz w:val="17"/>
                <w:szCs w:val="17"/>
              </w:rPr>
            </w:pPr>
            <w:r w:rsidRPr="003746A0">
              <w:rPr>
                <w:rFonts w:asciiTheme="minorHAnsi" w:hAnsiTheme="minorHAnsi"/>
                <w:bCs/>
                <w:color w:val="000000"/>
                <w:sz w:val="17"/>
                <w:szCs w:val="17"/>
              </w:rPr>
              <w:t>4.2. Byla provedena opatření na podporu vysoce účinné kombinované výroby tepla a elektřiny.</w:t>
            </w:r>
          </w:p>
        </w:tc>
        <w:tc>
          <w:tcPr>
            <w:tcW w:w="5103" w:type="dxa"/>
            <w:shd w:val="clear" w:color="auto" w:fill="FFFFFF" w:themeFill="background1"/>
            <w:vAlign w:val="center"/>
            <w:hideMark/>
          </w:tcPr>
          <w:p w:rsidR="004C7161" w:rsidRPr="003746A0" w:rsidRDefault="004C7161" w:rsidP="00DD490C">
            <w:pPr>
              <w:spacing w:line="240" w:lineRule="auto"/>
              <w:jc w:val="left"/>
              <w:rPr>
                <w:rFonts w:asciiTheme="minorHAnsi" w:hAnsiTheme="minorHAnsi"/>
                <w:sz w:val="17"/>
                <w:szCs w:val="17"/>
              </w:rPr>
            </w:pPr>
            <w:r w:rsidRPr="003746A0">
              <w:rPr>
                <w:rFonts w:asciiTheme="minorHAnsi" w:hAnsiTheme="minorHAnsi"/>
                <w:sz w:val="17"/>
                <w:szCs w:val="17"/>
              </w:rPr>
              <w:t>Těmito opatřeními jsou:</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podpora kombinované výroby tepla a elektřiny je založena na poptávce po užitečném teple a úsporách primární energie v souladu s čl. 7 odst. 1 a čl. 9 odst. 1 písm. a) a b) směrnice 2004/8/ES, členské státy nebo jejich příslušné subjekty posoudily stávající právní a regulační rámec pro postupy schvalování nebo jiné postupy s cílem:</w:t>
            </w:r>
          </w:p>
          <w:p w:rsidR="004C7161" w:rsidRPr="003746A0" w:rsidRDefault="004C7161" w:rsidP="00DD490C">
            <w:pPr>
              <w:pStyle w:val="Odstavecseseznamem"/>
              <w:spacing w:after="40"/>
              <w:ind w:left="355"/>
              <w:contextualSpacing w:val="0"/>
              <w:jc w:val="left"/>
              <w:rPr>
                <w:rFonts w:asciiTheme="minorHAnsi" w:hAnsiTheme="minorHAnsi"/>
                <w:color w:val="000000"/>
                <w:sz w:val="17"/>
                <w:szCs w:val="17"/>
              </w:rPr>
            </w:pPr>
            <w:r w:rsidRPr="003746A0">
              <w:rPr>
                <w:rFonts w:asciiTheme="minorHAnsi" w:hAnsiTheme="minorHAnsi"/>
                <w:color w:val="000000"/>
                <w:sz w:val="17"/>
                <w:szCs w:val="17"/>
              </w:rPr>
              <w:t>a) podpořit navrhování kogeneračních jednotek odpovídajících ekonomicky odůvodněné poptávce po výrobě užitečného tepla a zamezit výrobě většího množství tepla než užitečného tepla;</w:t>
            </w:r>
          </w:p>
          <w:p w:rsidR="004C7161" w:rsidRDefault="004C7161" w:rsidP="00DD490C">
            <w:pPr>
              <w:pStyle w:val="Odstavecseseznamem"/>
              <w:spacing w:after="40"/>
              <w:ind w:left="355"/>
              <w:contextualSpacing w:val="0"/>
              <w:jc w:val="left"/>
              <w:rPr>
                <w:rFonts w:asciiTheme="minorHAnsi" w:hAnsiTheme="minorHAnsi"/>
                <w:color w:val="000000"/>
                <w:sz w:val="17"/>
                <w:szCs w:val="17"/>
              </w:rPr>
            </w:pPr>
            <w:r w:rsidRPr="003746A0">
              <w:rPr>
                <w:rFonts w:asciiTheme="minorHAnsi" w:hAnsiTheme="minorHAnsi"/>
                <w:color w:val="000000"/>
                <w:sz w:val="17"/>
                <w:szCs w:val="17"/>
              </w:rPr>
              <w:t>b) omezit právní a jiné překážky pro zvýšení kombinované výroby tepla a elektřiny.</w:t>
            </w:r>
          </w:p>
          <w:p w:rsidR="0058759A" w:rsidRPr="0058759A" w:rsidRDefault="0058759A" w:rsidP="0058759A">
            <w:pPr>
              <w:pStyle w:val="Odstavecseseznamem"/>
              <w:numPr>
                <w:ilvl w:val="0"/>
                <w:numId w:val="10"/>
              </w:numPr>
              <w:spacing w:after="40"/>
              <w:ind w:left="355" w:hanging="283"/>
              <w:contextualSpacing w:val="0"/>
              <w:jc w:val="left"/>
              <w:rPr>
                <w:rFonts w:asciiTheme="minorHAnsi" w:hAnsiTheme="minorHAnsi"/>
                <w:strike/>
                <w:color w:val="000000"/>
                <w:sz w:val="17"/>
                <w:szCs w:val="17"/>
              </w:rPr>
            </w:pPr>
            <w:r w:rsidRPr="0058759A">
              <w:rPr>
                <w:rFonts w:asciiTheme="minorHAnsi" w:hAnsiTheme="minorHAnsi"/>
                <w:strike/>
                <w:color w:val="000000"/>
                <w:sz w:val="17"/>
                <w:szCs w:val="17"/>
              </w:rPr>
              <w:t>Členský stát zavedl transparentní režimy podpory, přednostní přístup k rozvodné síti, přednost v dispečinku a jednotná pravidla pro hrazení a sdílení nákladů na technické úpravy a zveřejnil je.</w:t>
            </w:r>
          </w:p>
          <w:p w:rsidR="0058759A" w:rsidRPr="003746A0" w:rsidRDefault="0058759A" w:rsidP="0058759A">
            <w:pPr>
              <w:pStyle w:val="Odstavecseseznamem"/>
              <w:numPr>
                <w:ilvl w:val="0"/>
                <w:numId w:val="10"/>
              </w:numPr>
              <w:spacing w:after="40"/>
              <w:ind w:left="355" w:hanging="283"/>
              <w:contextualSpacing w:val="0"/>
              <w:jc w:val="left"/>
              <w:rPr>
                <w:rFonts w:asciiTheme="minorHAnsi" w:hAnsiTheme="minorHAnsi"/>
                <w:sz w:val="17"/>
                <w:szCs w:val="17"/>
              </w:rPr>
            </w:pPr>
            <w:r w:rsidRPr="0058759A">
              <w:rPr>
                <w:rFonts w:asciiTheme="minorHAnsi" w:hAnsiTheme="minorHAnsi"/>
                <w:strike/>
                <w:color w:val="000000"/>
                <w:sz w:val="17"/>
                <w:szCs w:val="17"/>
              </w:rPr>
              <w:t>Členský stát přijal národní akční plán pro energii z obnovitelných zdrojů v souladu s článkem 4 směrnice 2009/28/ES.</w:t>
            </w:r>
          </w:p>
        </w:tc>
      </w:tr>
      <w:tr w:rsidR="004C7161" w:rsidRPr="00523D12" w:rsidTr="00DD490C">
        <w:trPr>
          <w:trHeight w:val="1130"/>
        </w:trPr>
        <w:tc>
          <w:tcPr>
            <w:tcW w:w="1716" w:type="dxa"/>
            <w:vMerge w:val="restart"/>
            <w:shd w:val="clear" w:color="auto" w:fill="auto"/>
            <w:vAlign w:val="center"/>
            <w:hideMark/>
          </w:tcPr>
          <w:p w:rsidR="004C7161" w:rsidRPr="003746A0" w:rsidRDefault="004C7161" w:rsidP="00C07EED">
            <w:pPr>
              <w:spacing w:line="240" w:lineRule="auto"/>
              <w:jc w:val="left"/>
              <w:rPr>
                <w:rFonts w:asciiTheme="minorHAnsi" w:hAnsiTheme="minorHAnsi"/>
                <w:bCs/>
                <w:sz w:val="17"/>
                <w:szCs w:val="17"/>
                <w:u w:val="single"/>
              </w:rPr>
            </w:pPr>
            <w:r w:rsidRPr="003746A0">
              <w:rPr>
                <w:rFonts w:asciiTheme="minorHAnsi" w:hAnsiTheme="minorHAnsi"/>
                <w:bCs/>
                <w:sz w:val="17"/>
                <w:szCs w:val="17"/>
                <w:u w:val="single"/>
              </w:rPr>
              <w:t>E</w:t>
            </w:r>
            <w:r w:rsidR="00C07EED">
              <w:rPr>
                <w:rFonts w:asciiTheme="minorHAnsi" w:hAnsiTheme="minorHAnsi"/>
                <w:bCs/>
                <w:sz w:val="17"/>
                <w:szCs w:val="17"/>
                <w:u w:val="single"/>
              </w:rPr>
              <w:t>F</w:t>
            </w:r>
            <w:r w:rsidRPr="003746A0">
              <w:rPr>
                <w:rFonts w:asciiTheme="minorHAnsi" w:hAnsiTheme="minorHAnsi"/>
                <w:bCs/>
                <w:sz w:val="17"/>
                <w:szCs w:val="17"/>
                <w:u w:val="single"/>
              </w:rPr>
              <w:t>R</w:t>
            </w:r>
            <w:r w:rsidR="00C07EED">
              <w:rPr>
                <w:rFonts w:asciiTheme="minorHAnsi" w:hAnsiTheme="minorHAnsi"/>
                <w:bCs/>
                <w:sz w:val="17"/>
                <w:szCs w:val="17"/>
                <w:u w:val="single"/>
              </w:rPr>
              <w:t>R</w:t>
            </w:r>
            <w:r w:rsidRPr="003746A0">
              <w:rPr>
                <w:rFonts w:asciiTheme="minorHAnsi" w:hAnsiTheme="minorHAnsi"/>
                <w:bCs/>
                <w:sz w:val="17"/>
                <w:szCs w:val="17"/>
                <w:u w:val="single"/>
              </w:rPr>
              <w:t xml:space="preserve"> + </w:t>
            </w:r>
            <w:r w:rsidR="00C07EED">
              <w:rPr>
                <w:rFonts w:asciiTheme="minorHAnsi" w:hAnsiTheme="minorHAnsi"/>
                <w:bCs/>
                <w:sz w:val="17"/>
                <w:szCs w:val="17"/>
                <w:u w:val="single"/>
              </w:rPr>
              <w:t>FS</w:t>
            </w:r>
            <w:r w:rsidRPr="003746A0">
              <w:rPr>
                <w:rFonts w:asciiTheme="minorHAnsi" w:hAnsiTheme="minorHAnsi"/>
                <w:bCs/>
                <w:sz w:val="17"/>
                <w:szCs w:val="17"/>
                <w:u w:val="single"/>
              </w:rPr>
              <w:t>:</w:t>
            </w:r>
            <w:r w:rsidRPr="003746A0">
              <w:rPr>
                <w:rFonts w:asciiTheme="minorHAnsi" w:hAnsiTheme="minorHAnsi"/>
                <w:bCs/>
                <w:sz w:val="17"/>
                <w:szCs w:val="17"/>
              </w:rPr>
              <w:t xml:space="preserve"> </w:t>
            </w:r>
            <w:r w:rsidRPr="003746A0">
              <w:rPr>
                <w:rFonts w:asciiTheme="minorHAnsi" w:hAnsiTheme="minorHAnsi"/>
                <w:sz w:val="17"/>
                <w:szCs w:val="17"/>
              </w:rPr>
              <w:t>podpora výroby a distribuce energie z obnovitelných zdrojů</w:t>
            </w:r>
          </w:p>
        </w:tc>
        <w:bookmarkStart w:id="25" w:name="RANGE!D41"/>
        <w:bookmarkStart w:id="26" w:name="RANGE!E40"/>
        <w:bookmarkStart w:id="27" w:name="RANGE!D40"/>
        <w:bookmarkStart w:id="28" w:name="RANGE!D38"/>
        <w:bookmarkStart w:id="29" w:name="RANGE!D47"/>
        <w:bookmarkEnd w:id="25"/>
        <w:bookmarkEnd w:id="26"/>
        <w:bookmarkEnd w:id="27"/>
        <w:bookmarkEnd w:id="28"/>
        <w:tc>
          <w:tcPr>
            <w:tcW w:w="2268" w:type="dxa"/>
            <w:vMerge w:val="restart"/>
            <w:shd w:val="clear" w:color="auto" w:fill="auto"/>
            <w:vAlign w:val="center"/>
            <w:hideMark/>
          </w:tcPr>
          <w:p w:rsidR="004C7161" w:rsidRPr="003746A0" w:rsidRDefault="0037582F" w:rsidP="00DD490C">
            <w:pPr>
              <w:spacing w:line="240" w:lineRule="auto"/>
              <w:jc w:val="left"/>
              <w:rPr>
                <w:rFonts w:asciiTheme="minorHAnsi" w:hAnsiTheme="minorHAnsi"/>
                <w:bCs/>
                <w:sz w:val="17"/>
                <w:szCs w:val="17"/>
              </w:rPr>
            </w:pPr>
            <w:r w:rsidRPr="003746A0">
              <w:rPr>
                <w:rFonts w:asciiTheme="minorHAnsi" w:hAnsiTheme="minorHAnsi"/>
                <w:bCs/>
                <w:sz w:val="17"/>
                <w:szCs w:val="17"/>
              </w:rPr>
              <w:fldChar w:fldCharType="begin"/>
            </w:r>
            <w:r w:rsidR="004C7161" w:rsidRPr="003746A0">
              <w:rPr>
                <w:rFonts w:asciiTheme="minorHAnsi" w:hAnsiTheme="minorHAnsi"/>
                <w:bCs/>
                <w:sz w:val="17"/>
                <w:szCs w:val="17"/>
              </w:rPr>
              <w:instrText xml:space="preserve"> HYPERLINK "file:///D:\\!!%20KP%202014-2020.%20Priprava\\1.DUBEN%202012.VLADA.material%20k%20usneseni%20vlady\\Kondicionality.Analyza.Podklad\\MV.Tabulka%20kondicionality.xlsx" \l "RANGE!#REF!" </w:instrText>
            </w:r>
            <w:r w:rsidRPr="003746A0">
              <w:rPr>
                <w:rFonts w:asciiTheme="minorHAnsi" w:hAnsiTheme="minorHAnsi"/>
                <w:bCs/>
                <w:sz w:val="17"/>
                <w:szCs w:val="17"/>
              </w:rPr>
              <w:fldChar w:fldCharType="separate"/>
            </w:r>
            <w:r w:rsidR="004C7161" w:rsidRPr="003746A0">
              <w:rPr>
                <w:rFonts w:asciiTheme="minorHAnsi" w:hAnsiTheme="minorHAnsi"/>
                <w:bCs/>
                <w:sz w:val="17"/>
                <w:szCs w:val="17"/>
              </w:rPr>
              <w:t>4.3. Byla provedena opatření na podporu výroby a distribuce energie z obnovitelných zdrojů.</w:t>
            </w:r>
            <w:r w:rsidRPr="003746A0">
              <w:rPr>
                <w:rFonts w:asciiTheme="minorHAnsi" w:hAnsiTheme="minorHAnsi"/>
                <w:bCs/>
                <w:sz w:val="17"/>
                <w:szCs w:val="17"/>
              </w:rPr>
              <w:fldChar w:fldCharType="end"/>
            </w:r>
            <w:bookmarkEnd w:id="29"/>
          </w:p>
        </w:tc>
        <w:tc>
          <w:tcPr>
            <w:tcW w:w="5103" w:type="dxa"/>
            <w:shd w:val="clear" w:color="auto" w:fill="auto"/>
            <w:vAlign w:val="center"/>
            <w:hideMark/>
          </w:tcPr>
          <w:p w:rsidR="004C7161" w:rsidRPr="003746A0" w:rsidRDefault="004C7161" w:rsidP="00DD490C">
            <w:pPr>
              <w:spacing w:line="240" w:lineRule="auto"/>
              <w:jc w:val="left"/>
              <w:rPr>
                <w:rFonts w:asciiTheme="minorHAnsi" w:hAnsiTheme="minorHAnsi"/>
                <w:sz w:val="17"/>
                <w:szCs w:val="17"/>
              </w:rPr>
            </w:pPr>
            <w:r w:rsidRPr="003746A0">
              <w:rPr>
                <w:rFonts w:asciiTheme="minorHAnsi" w:hAnsiTheme="minorHAnsi"/>
                <w:sz w:val="17"/>
                <w:szCs w:val="17"/>
              </w:rPr>
              <w:t>V souladu s čl. 14 odst. 1, čl. 16 odst. 2 a 3 směrnice 2009/28/ES existují transparentní režimy podpory, přednostní přístup k distribuční soustavě či zaručený přístup a přednost při spouštění zařízení, jakož i jednotná pravidla pro hrazení a sdílení nákladů na technické úpravy, jež byla zveřejněna.</w:t>
            </w:r>
          </w:p>
        </w:tc>
      </w:tr>
      <w:tr w:rsidR="004C7161" w:rsidRPr="00523D12" w:rsidTr="00DD490C">
        <w:trPr>
          <w:trHeight w:val="413"/>
        </w:trPr>
        <w:tc>
          <w:tcPr>
            <w:tcW w:w="1716" w:type="dxa"/>
            <w:vMerge/>
            <w:vAlign w:val="center"/>
            <w:hideMark/>
          </w:tcPr>
          <w:p w:rsidR="004C7161" w:rsidRPr="003746A0" w:rsidRDefault="004C7161" w:rsidP="00DD490C">
            <w:pPr>
              <w:spacing w:line="240" w:lineRule="auto"/>
              <w:jc w:val="left"/>
              <w:rPr>
                <w:rFonts w:asciiTheme="minorHAnsi" w:hAnsiTheme="minorHAnsi"/>
                <w:b/>
                <w:bCs/>
                <w:sz w:val="17"/>
                <w:szCs w:val="17"/>
                <w:u w:val="single"/>
              </w:rPr>
            </w:pPr>
          </w:p>
        </w:tc>
        <w:tc>
          <w:tcPr>
            <w:tcW w:w="2268" w:type="dxa"/>
            <w:vMerge/>
            <w:vAlign w:val="center"/>
            <w:hideMark/>
          </w:tcPr>
          <w:p w:rsidR="004C7161" w:rsidRPr="003746A0" w:rsidRDefault="004C7161" w:rsidP="00DD490C">
            <w:pPr>
              <w:spacing w:line="240" w:lineRule="auto"/>
              <w:jc w:val="left"/>
              <w:rPr>
                <w:rFonts w:asciiTheme="minorHAnsi" w:hAnsiTheme="minorHAnsi"/>
                <w:b/>
                <w:bCs/>
                <w:sz w:val="17"/>
                <w:szCs w:val="17"/>
              </w:rPr>
            </w:pPr>
          </w:p>
        </w:tc>
        <w:tc>
          <w:tcPr>
            <w:tcW w:w="5103" w:type="dxa"/>
            <w:shd w:val="clear" w:color="auto" w:fill="auto"/>
            <w:vAlign w:val="center"/>
            <w:hideMark/>
          </w:tcPr>
          <w:p w:rsidR="004C7161" w:rsidRPr="003746A0" w:rsidRDefault="004C7161" w:rsidP="00DD490C">
            <w:pPr>
              <w:spacing w:line="240" w:lineRule="auto"/>
              <w:jc w:val="left"/>
              <w:rPr>
                <w:rFonts w:asciiTheme="minorHAnsi" w:hAnsiTheme="minorHAnsi"/>
                <w:sz w:val="17"/>
                <w:szCs w:val="17"/>
              </w:rPr>
            </w:pPr>
            <w:r w:rsidRPr="003746A0">
              <w:rPr>
                <w:rFonts w:asciiTheme="minorHAnsi" w:hAnsiTheme="minorHAnsi"/>
                <w:sz w:val="17"/>
                <w:szCs w:val="17"/>
              </w:rPr>
              <w:t>Členský stát přijal národní akční plán pro energii z obnovitelných zdrojů shodně s článkem 4 směrnice 2009/28/ES.</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5: Podpora přizpůsobení se změně klimatu a předcházení rizikům</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75"/>
        <w:gridCol w:w="2126"/>
        <w:gridCol w:w="5386"/>
      </w:tblGrid>
      <w:tr w:rsidR="004C7161" w:rsidRPr="00523D12" w:rsidTr="00DD490C">
        <w:trPr>
          <w:trHeight w:val="635"/>
        </w:trPr>
        <w:tc>
          <w:tcPr>
            <w:tcW w:w="1575"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2126"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386"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1773"/>
        </w:trPr>
        <w:tc>
          <w:tcPr>
            <w:tcW w:w="1575" w:type="dxa"/>
            <w:shd w:val="clear" w:color="auto" w:fill="auto"/>
            <w:vAlign w:val="center"/>
            <w:hideMark/>
          </w:tcPr>
          <w:p w:rsidR="004C7161" w:rsidRPr="002466B4" w:rsidRDefault="004C7161" w:rsidP="00C07EED">
            <w:pPr>
              <w:spacing w:line="240" w:lineRule="auto"/>
              <w:jc w:val="left"/>
              <w:rPr>
                <w:rFonts w:asciiTheme="minorHAnsi" w:hAnsiTheme="minorHAnsi"/>
                <w:b/>
                <w:bCs/>
                <w:sz w:val="17"/>
                <w:szCs w:val="17"/>
              </w:rPr>
            </w:pPr>
            <w:r w:rsidRPr="002466B4">
              <w:rPr>
                <w:rFonts w:asciiTheme="minorHAnsi" w:hAnsiTheme="minorHAnsi"/>
                <w:sz w:val="17"/>
                <w:szCs w:val="17"/>
                <w:u w:val="single"/>
              </w:rPr>
              <w:t>E</w:t>
            </w:r>
            <w:r w:rsidR="00C07EED">
              <w:rPr>
                <w:rFonts w:asciiTheme="minorHAnsi" w:hAnsiTheme="minorHAnsi"/>
                <w:sz w:val="17"/>
                <w:szCs w:val="17"/>
                <w:u w:val="single"/>
              </w:rPr>
              <w:t>F</w:t>
            </w:r>
            <w:r w:rsidRPr="002466B4">
              <w:rPr>
                <w:rFonts w:asciiTheme="minorHAnsi" w:hAnsiTheme="minorHAnsi"/>
                <w:sz w:val="17"/>
                <w:szCs w:val="17"/>
                <w:u w:val="single"/>
              </w:rPr>
              <w:t>R</w:t>
            </w:r>
            <w:r w:rsidR="00C07EED">
              <w:rPr>
                <w:rFonts w:asciiTheme="minorHAnsi" w:hAnsiTheme="minorHAnsi"/>
                <w:sz w:val="17"/>
                <w:szCs w:val="17"/>
                <w:u w:val="single"/>
              </w:rPr>
              <w:t>R</w:t>
            </w:r>
            <w:r w:rsidRPr="002466B4">
              <w:rPr>
                <w:rFonts w:asciiTheme="minorHAnsi" w:hAnsiTheme="minorHAnsi"/>
                <w:sz w:val="17"/>
                <w:szCs w:val="17"/>
                <w:u w:val="single"/>
              </w:rPr>
              <w:t xml:space="preserve"> + </w:t>
            </w:r>
            <w:r w:rsidR="00C07EED">
              <w:rPr>
                <w:rFonts w:asciiTheme="minorHAnsi" w:hAnsiTheme="minorHAnsi"/>
                <w:sz w:val="17"/>
                <w:szCs w:val="17"/>
                <w:u w:val="single"/>
              </w:rPr>
              <w:t>FS</w:t>
            </w:r>
            <w:r w:rsidRPr="002466B4">
              <w:rPr>
                <w:rFonts w:asciiTheme="minorHAnsi" w:hAnsiTheme="minorHAnsi"/>
                <w:sz w:val="17"/>
                <w:szCs w:val="17"/>
                <w:u w:val="single"/>
              </w:rPr>
              <w:t>:</w:t>
            </w:r>
            <w:r w:rsidRPr="002466B4">
              <w:rPr>
                <w:rFonts w:asciiTheme="minorHAnsi" w:hAnsiTheme="minorHAnsi"/>
                <w:bCs/>
                <w:sz w:val="17"/>
                <w:szCs w:val="17"/>
              </w:rPr>
              <w:t xml:space="preserve"> </w:t>
            </w:r>
            <w:r w:rsidRPr="002466B4">
              <w:rPr>
                <w:rFonts w:asciiTheme="minorHAnsi" w:hAnsiTheme="minorHAnsi"/>
                <w:sz w:val="17"/>
                <w:szCs w:val="17"/>
              </w:rPr>
              <w:t>podpora investic na řešení konkrétních rizik, zajištění odolnosti vůči katastrofám a vytváření systémů pro zvládání katastrof</w:t>
            </w:r>
          </w:p>
        </w:tc>
        <w:bookmarkStart w:id="30" w:name="RANGE!D50"/>
        <w:tc>
          <w:tcPr>
            <w:tcW w:w="2126" w:type="dxa"/>
            <w:shd w:val="clear" w:color="auto" w:fill="auto"/>
            <w:vAlign w:val="center"/>
            <w:hideMark/>
          </w:tcPr>
          <w:p w:rsidR="004C7161" w:rsidRPr="002466B4" w:rsidRDefault="0037582F" w:rsidP="00DD490C">
            <w:pPr>
              <w:spacing w:line="240" w:lineRule="auto"/>
              <w:jc w:val="left"/>
              <w:rPr>
                <w:rFonts w:asciiTheme="minorHAnsi" w:hAnsiTheme="minorHAnsi"/>
                <w:sz w:val="17"/>
                <w:szCs w:val="17"/>
                <w:u w:val="single"/>
              </w:rPr>
            </w:pPr>
            <w:r w:rsidRPr="002466B4">
              <w:rPr>
                <w:rFonts w:asciiTheme="minorHAnsi" w:hAnsiTheme="minorHAnsi"/>
                <w:bCs/>
                <w:sz w:val="17"/>
                <w:szCs w:val="17"/>
              </w:rPr>
              <w:fldChar w:fldCharType="begin"/>
            </w:r>
            <w:r w:rsidR="004C7161" w:rsidRPr="002466B4">
              <w:rPr>
                <w:rFonts w:asciiTheme="minorHAnsi" w:hAnsiTheme="minorHAnsi"/>
                <w:bCs/>
                <w:sz w:val="17"/>
                <w:szCs w:val="17"/>
              </w:rPr>
              <w:instrText xml:space="preserve"> HYPERLINK "file:///D:\\!!%20KP%202014-2020.%20Priprava\\1.DUBEN%202012.VLADA.material%20k%20usneseni%20vlady\\Kondicionality.Analyza.Podklad\\MV.Tabulka%20kondicionality.xlsx" \l "RANGE!#REF!" </w:instrText>
            </w:r>
            <w:r w:rsidRPr="002466B4">
              <w:rPr>
                <w:rFonts w:asciiTheme="minorHAnsi" w:hAnsiTheme="minorHAnsi"/>
                <w:bCs/>
                <w:sz w:val="17"/>
                <w:szCs w:val="17"/>
              </w:rPr>
              <w:fldChar w:fldCharType="separate"/>
            </w:r>
            <w:r w:rsidR="004C7161" w:rsidRPr="002466B4">
              <w:rPr>
                <w:rFonts w:asciiTheme="minorHAnsi" w:hAnsiTheme="minorHAnsi"/>
                <w:bCs/>
                <w:sz w:val="17"/>
                <w:szCs w:val="17"/>
              </w:rPr>
              <w:t>5.1. Předcházení riziku a jeho řízení: Existence vnitrostátního nebo regionálního posuzování rizik pro zvládání katastrof s ohledem na přizpůsobení se změně klimatu</w:t>
            </w:r>
            <w:r w:rsidRPr="002466B4">
              <w:rPr>
                <w:rFonts w:asciiTheme="minorHAnsi" w:hAnsiTheme="minorHAnsi"/>
                <w:bCs/>
                <w:sz w:val="17"/>
                <w:szCs w:val="17"/>
              </w:rPr>
              <w:fldChar w:fldCharType="end"/>
            </w:r>
            <w:bookmarkEnd w:id="30"/>
            <w:r w:rsidR="00083302">
              <w:rPr>
                <w:rFonts w:asciiTheme="minorHAnsi" w:hAnsiTheme="minorHAnsi"/>
                <w:bCs/>
                <w:sz w:val="17"/>
                <w:szCs w:val="17"/>
              </w:rPr>
              <w:t>.</w:t>
            </w:r>
          </w:p>
        </w:tc>
        <w:tc>
          <w:tcPr>
            <w:tcW w:w="5386" w:type="dxa"/>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rPr>
              <w:t>Existuje vnitrostátní nebo regionální posouzení rizik obsahující tyto prvky:</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popis postupu, metodiky, metod a jiných než citlivých údajů používaných pro účely posuzování rizik, jakož i kritéria pro stanovování investičních priorit v závislosti na riziku,</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popis scénářů s jedním rizikem a s více riziky;</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bCs/>
                <w:sz w:val="17"/>
                <w:szCs w:val="17"/>
              </w:rPr>
            </w:pPr>
            <w:r w:rsidRPr="002466B4">
              <w:rPr>
                <w:rFonts w:asciiTheme="minorHAnsi" w:hAnsiTheme="minorHAnsi"/>
                <w:color w:val="000000"/>
                <w:sz w:val="17"/>
                <w:szCs w:val="17"/>
              </w:rPr>
              <w:t>případné zohlednění vnitrostátních strategií pro přizpůsobení se změně klimatu.</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6: Ochrana životního prostředí a podpora udržitelného využívání zdrojů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75"/>
        <w:gridCol w:w="2693"/>
        <w:gridCol w:w="4819"/>
      </w:tblGrid>
      <w:tr w:rsidR="004C7161" w:rsidRPr="00523D12" w:rsidTr="00DD490C">
        <w:trPr>
          <w:trHeight w:val="635"/>
        </w:trPr>
        <w:tc>
          <w:tcPr>
            <w:tcW w:w="1575"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2693"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4819"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1120"/>
        </w:trPr>
        <w:tc>
          <w:tcPr>
            <w:tcW w:w="1575" w:type="dxa"/>
            <w:vMerge w:val="restart"/>
            <w:shd w:val="clear" w:color="auto" w:fill="auto"/>
            <w:vAlign w:val="center"/>
            <w:hideMark/>
          </w:tcPr>
          <w:p w:rsidR="004C7161" w:rsidRPr="002466B4" w:rsidRDefault="004C7161" w:rsidP="00C07EED">
            <w:pPr>
              <w:spacing w:line="240" w:lineRule="auto"/>
              <w:jc w:val="left"/>
              <w:rPr>
                <w:rFonts w:asciiTheme="minorHAnsi" w:hAnsiTheme="minorHAnsi"/>
                <w:bCs/>
                <w:sz w:val="17"/>
                <w:szCs w:val="17"/>
                <w:u w:val="single"/>
              </w:rPr>
            </w:pPr>
            <w:r w:rsidRPr="002466B4">
              <w:rPr>
                <w:rFonts w:asciiTheme="minorHAnsi" w:hAnsiTheme="minorHAnsi"/>
                <w:bCs/>
                <w:sz w:val="17"/>
                <w:szCs w:val="17"/>
                <w:u w:val="single"/>
              </w:rPr>
              <w:t>E</w:t>
            </w:r>
            <w:r w:rsidR="00C07EED">
              <w:rPr>
                <w:rFonts w:asciiTheme="minorHAnsi" w:hAnsiTheme="minorHAnsi"/>
                <w:bCs/>
                <w:sz w:val="17"/>
                <w:szCs w:val="17"/>
                <w:u w:val="single"/>
              </w:rPr>
              <w:t>F</w:t>
            </w:r>
            <w:r w:rsidRPr="002466B4">
              <w:rPr>
                <w:rFonts w:asciiTheme="minorHAnsi" w:hAnsiTheme="minorHAnsi"/>
                <w:bCs/>
                <w:sz w:val="17"/>
                <w:szCs w:val="17"/>
                <w:u w:val="single"/>
              </w:rPr>
              <w:t>R</w:t>
            </w:r>
            <w:r w:rsidR="00C07EED">
              <w:rPr>
                <w:rFonts w:asciiTheme="minorHAnsi" w:hAnsiTheme="minorHAnsi"/>
                <w:bCs/>
                <w:sz w:val="17"/>
                <w:szCs w:val="17"/>
                <w:u w:val="single"/>
              </w:rPr>
              <w:t>R</w:t>
            </w:r>
            <w:r w:rsidRPr="002466B4">
              <w:rPr>
                <w:rFonts w:asciiTheme="minorHAnsi" w:hAnsiTheme="minorHAnsi"/>
                <w:bCs/>
                <w:sz w:val="17"/>
                <w:szCs w:val="17"/>
                <w:u w:val="single"/>
              </w:rPr>
              <w:t xml:space="preserve"> + </w:t>
            </w:r>
            <w:r w:rsidR="00C07EED">
              <w:rPr>
                <w:rFonts w:asciiTheme="minorHAnsi" w:hAnsiTheme="minorHAnsi"/>
                <w:bCs/>
                <w:sz w:val="17"/>
                <w:szCs w:val="17"/>
                <w:u w:val="single"/>
              </w:rPr>
              <w:t>FS</w:t>
            </w:r>
            <w:r w:rsidRPr="002466B4">
              <w:rPr>
                <w:rFonts w:asciiTheme="minorHAnsi" w:hAnsiTheme="minorHAnsi"/>
                <w:bCs/>
                <w:sz w:val="17"/>
                <w:szCs w:val="17"/>
                <w:u w:val="single"/>
              </w:rPr>
              <w:t>:</w:t>
            </w:r>
            <w:r w:rsidRPr="002466B4">
              <w:rPr>
                <w:rFonts w:asciiTheme="minorHAnsi" w:hAnsiTheme="minorHAnsi"/>
                <w:bCs/>
                <w:sz w:val="17"/>
                <w:szCs w:val="17"/>
              </w:rPr>
              <w:t xml:space="preserve"> </w:t>
            </w:r>
            <w:r w:rsidRPr="002466B4">
              <w:rPr>
                <w:rFonts w:asciiTheme="minorHAnsi" w:hAnsiTheme="minorHAnsi"/>
                <w:sz w:val="17"/>
                <w:szCs w:val="17"/>
              </w:rPr>
              <w:t>řešení důležitých potřeb investic do vodního hospodářství za účelem plnění</w:t>
            </w:r>
            <w:r w:rsidRPr="002466B4">
              <w:rPr>
                <w:rFonts w:asciiTheme="minorHAnsi" w:hAnsiTheme="minorHAnsi"/>
                <w:sz w:val="17"/>
                <w:szCs w:val="17"/>
              </w:rPr>
              <w:br/>
              <w:t>požadavků acquis týkajících se oblasti životního prostředí</w:t>
            </w:r>
          </w:p>
        </w:tc>
        <w:bookmarkStart w:id="31" w:name="RANGE!D55"/>
        <w:tc>
          <w:tcPr>
            <w:tcW w:w="2693" w:type="dxa"/>
            <w:vMerge w:val="restart"/>
            <w:shd w:val="clear" w:color="auto" w:fill="auto"/>
            <w:vAlign w:val="center"/>
            <w:hideMark/>
          </w:tcPr>
          <w:p w:rsidR="004C7161" w:rsidRPr="002466B4" w:rsidRDefault="0037582F" w:rsidP="00DD490C">
            <w:pPr>
              <w:spacing w:line="240" w:lineRule="auto"/>
              <w:jc w:val="left"/>
              <w:rPr>
                <w:rFonts w:asciiTheme="minorHAnsi" w:hAnsiTheme="minorHAnsi"/>
                <w:sz w:val="17"/>
                <w:szCs w:val="17"/>
              </w:rPr>
            </w:pPr>
            <w:r w:rsidRPr="002466B4">
              <w:rPr>
                <w:rFonts w:asciiTheme="minorHAnsi" w:hAnsiTheme="minorHAnsi"/>
                <w:sz w:val="17"/>
                <w:szCs w:val="17"/>
              </w:rPr>
              <w:fldChar w:fldCharType="begin"/>
            </w:r>
            <w:r w:rsidR="004C7161" w:rsidRPr="002466B4">
              <w:rPr>
                <w:rFonts w:asciiTheme="minorHAnsi" w:hAnsiTheme="minorHAnsi"/>
                <w:sz w:val="17"/>
                <w:szCs w:val="17"/>
              </w:rPr>
              <w:instrText xml:space="preserve"> HYPERLINK "file:///D:\\!!%20KP%202014-2020.%20Priprava\\1.DUBEN%202012.VLADA.material%20k%20usneseni%20vlady\\Kondicionality.Analyza.Podklad\\MV.Tabulka%20kondicionality.xlsx" \l "RANGE!#REF!" </w:instrText>
            </w:r>
            <w:r w:rsidRPr="002466B4">
              <w:rPr>
                <w:rFonts w:asciiTheme="minorHAnsi" w:hAnsiTheme="minorHAnsi"/>
                <w:sz w:val="17"/>
                <w:szCs w:val="17"/>
              </w:rPr>
              <w:fldChar w:fldCharType="separate"/>
            </w:r>
            <w:r w:rsidR="004C7161" w:rsidRPr="002466B4">
              <w:rPr>
                <w:rFonts w:asciiTheme="minorHAnsi" w:hAnsiTheme="minorHAnsi"/>
                <w:sz w:val="17"/>
                <w:szCs w:val="17"/>
              </w:rPr>
              <w:t xml:space="preserve">6.1. </w:t>
            </w:r>
            <w:r w:rsidR="004C7161" w:rsidRPr="002466B4">
              <w:rPr>
                <w:rFonts w:asciiTheme="minorHAnsi" w:hAnsiTheme="minorHAnsi"/>
                <w:i/>
                <w:iCs/>
                <w:sz w:val="17"/>
                <w:szCs w:val="17"/>
              </w:rPr>
              <w:t>Vodní hospodářství:</w:t>
            </w:r>
            <w:r w:rsidR="004C7161" w:rsidRPr="002466B4">
              <w:rPr>
                <w:rFonts w:asciiTheme="minorHAnsi" w:hAnsiTheme="minorHAnsi"/>
                <w:sz w:val="17"/>
                <w:szCs w:val="17"/>
              </w:rPr>
              <w:t xml:space="preserve"> existence a) politiky stanovování poplatků za vodu, která vhodným způsobem podněcuje uživatele k účinnému využívání vodních zdrojů, a b) odpovídajícího podílu různých způsobů využívání vody na úhradě nákladů na vodohospodářské služby v sazbě stanovené ve schváleném plánu povodí pro investice podporované příslušnými programy.</w:t>
            </w:r>
            <w:r w:rsidRPr="002466B4">
              <w:rPr>
                <w:rFonts w:asciiTheme="minorHAnsi" w:hAnsiTheme="minorHAnsi"/>
                <w:sz w:val="17"/>
                <w:szCs w:val="17"/>
              </w:rPr>
              <w:fldChar w:fldCharType="end"/>
            </w:r>
            <w:bookmarkEnd w:id="31"/>
          </w:p>
        </w:tc>
        <w:tc>
          <w:tcPr>
            <w:tcW w:w="4819"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Členský stát zajistil, aby se na úhradě nákladů na vodohospodářské služby podílely různé způsoby využívání vody v členění podle odvětví, v souladu s čl. 9 odst. 1 první odrážkou směrnice 2000/60/ES, případně s ohledem na sociální dopad, dopad na životní prostředí a hospodářský dopad takové úhrady, jakož i zeměpisné a klimatické podmínky dotčeného regionu či regionů.</w:t>
            </w:r>
          </w:p>
        </w:tc>
      </w:tr>
      <w:tr w:rsidR="004C7161" w:rsidRPr="00523D12" w:rsidTr="00DD490C">
        <w:trPr>
          <w:trHeight w:val="1055"/>
        </w:trPr>
        <w:tc>
          <w:tcPr>
            <w:tcW w:w="1575" w:type="dxa"/>
            <w:vMerge/>
            <w:vAlign w:val="center"/>
            <w:hideMark/>
          </w:tcPr>
          <w:p w:rsidR="004C7161" w:rsidRPr="002466B4" w:rsidRDefault="004C7161" w:rsidP="00DD490C">
            <w:pPr>
              <w:spacing w:line="240" w:lineRule="auto"/>
              <w:jc w:val="left"/>
              <w:rPr>
                <w:rFonts w:asciiTheme="minorHAnsi" w:hAnsiTheme="minorHAnsi"/>
                <w:bCs/>
                <w:sz w:val="17"/>
                <w:szCs w:val="17"/>
                <w:u w:val="single"/>
              </w:rPr>
            </w:pPr>
          </w:p>
        </w:tc>
        <w:tc>
          <w:tcPr>
            <w:tcW w:w="2693" w:type="dxa"/>
            <w:vMerge/>
            <w:vAlign w:val="center"/>
            <w:hideMark/>
          </w:tcPr>
          <w:p w:rsidR="004C7161" w:rsidRPr="002466B4" w:rsidRDefault="004C7161" w:rsidP="00DD490C">
            <w:pPr>
              <w:spacing w:line="240" w:lineRule="auto"/>
              <w:jc w:val="left"/>
              <w:rPr>
                <w:rFonts w:asciiTheme="minorHAnsi" w:hAnsiTheme="minorHAnsi"/>
                <w:sz w:val="17"/>
                <w:szCs w:val="17"/>
              </w:rPr>
            </w:pPr>
          </w:p>
        </w:tc>
        <w:tc>
          <w:tcPr>
            <w:tcW w:w="4819"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bookmarkStart w:id="32" w:name="RANGE!E56"/>
            <w:r w:rsidRPr="002466B4">
              <w:rPr>
                <w:rFonts w:asciiTheme="minorHAnsi" w:hAnsiTheme="minorHAnsi"/>
                <w:sz w:val="17"/>
                <w:szCs w:val="17"/>
              </w:rPr>
              <w:t>Přijetí plánu povodí pro oblasti povodí s odůvodněným soustředěním investic v souladu s článkem 13 směrnice Evropského parlamentu a Rady 2006/60/ES ze dne 23. října 2000, kterou se stanoví rámec pro činnost Společenství v oblasti vodní politiky.</w:t>
            </w:r>
            <w:bookmarkEnd w:id="32"/>
          </w:p>
        </w:tc>
      </w:tr>
      <w:tr w:rsidR="004C7161" w:rsidRPr="00523D12" w:rsidTr="00DD490C">
        <w:trPr>
          <w:trHeight w:val="269"/>
        </w:trPr>
        <w:tc>
          <w:tcPr>
            <w:tcW w:w="1575" w:type="dxa"/>
            <w:vMerge w:val="restart"/>
            <w:shd w:val="clear" w:color="auto" w:fill="auto"/>
            <w:vAlign w:val="center"/>
            <w:hideMark/>
          </w:tcPr>
          <w:p w:rsidR="004C7161" w:rsidRPr="002466B4" w:rsidRDefault="004C7161" w:rsidP="00C07EED">
            <w:pPr>
              <w:spacing w:line="240" w:lineRule="auto"/>
              <w:jc w:val="left"/>
              <w:rPr>
                <w:rFonts w:asciiTheme="minorHAnsi" w:hAnsiTheme="minorHAnsi"/>
                <w:bCs/>
                <w:sz w:val="17"/>
                <w:szCs w:val="17"/>
                <w:u w:val="single"/>
              </w:rPr>
            </w:pPr>
            <w:r w:rsidRPr="002466B4">
              <w:rPr>
                <w:rFonts w:asciiTheme="minorHAnsi" w:hAnsiTheme="minorHAnsi"/>
                <w:bCs/>
                <w:sz w:val="17"/>
                <w:szCs w:val="17"/>
                <w:u w:val="single"/>
              </w:rPr>
              <w:t>E</w:t>
            </w:r>
            <w:r w:rsidR="00C07EED">
              <w:rPr>
                <w:rFonts w:asciiTheme="minorHAnsi" w:hAnsiTheme="minorHAnsi"/>
                <w:bCs/>
                <w:sz w:val="17"/>
                <w:szCs w:val="17"/>
                <w:u w:val="single"/>
              </w:rPr>
              <w:t>F</w:t>
            </w:r>
            <w:r w:rsidRPr="002466B4">
              <w:rPr>
                <w:rFonts w:asciiTheme="minorHAnsi" w:hAnsiTheme="minorHAnsi"/>
                <w:bCs/>
                <w:sz w:val="17"/>
                <w:szCs w:val="17"/>
                <w:u w:val="single"/>
              </w:rPr>
              <w:t>R</w:t>
            </w:r>
            <w:r w:rsidR="00C07EED">
              <w:rPr>
                <w:rFonts w:asciiTheme="minorHAnsi" w:hAnsiTheme="minorHAnsi"/>
                <w:bCs/>
                <w:sz w:val="17"/>
                <w:szCs w:val="17"/>
                <w:u w:val="single"/>
              </w:rPr>
              <w:t>R</w:t>
            </w:r>
            <w:r w:rsidRPr="002466B4">
              <w:rPr>
                <w:rFonts w:asciiTheme="minorHAnsi" w:hAnsiTheme="minorHAnsi"/>
                <w:bCs/>
                <w:sz w:val="17"/>
                <w:szCs w:val="17"/>
                <w:u w:val="single"/>
              </w:rPr>
              <w:t xml:space="preserve"> + </w:t>
            </w:r>
            <w:r w:rsidR="00C07EED">
              <w:rPr>
                <w:rFonts w:asciiTheme="minorHAnsi" w:hAnsiTheme="minorHAnsi"/>
                <w:bCs/>
                <w:sz w:val="17"/>
                <w:szCs w:val="17"/>
                <w:u w:val="single"/>
              </w:rPr>
              <w:t>FS</w:t>
            </w:r>
            <w:r w:rsidRPr="002466B4">
              <w:rPr>
                <w:rFonts w:asciiTheme="minorHAnsi" w:hAnsiTheme="minorHAnsi"/>
                <w:bCs/>
                <w:sz w:val="17"/>
                <w:szCs w:val="17"/>
                <w:u w:val="single"/>
              </w:rPr>
              <w:t>:</w:t>
            </w:r>
            <w:r w:rsidRPr="002466B4">
              <w:rPr>
                <w:rFonts w:asciiTheme="minorHAnsi" w:hAnsiTheme="minorHAnsi"/>
                <w:sz w:val="17"/>
                <w:szCs w:val="17"/>
              </w:rPr>
              <w:t xml:space="preserve"> řešení důležitých potřeb investic do odpadového hospodářství za účelem plnění požadavků acquis týkajících se oblasti životního prostředí</w:t>
            </w:r>
          </w:p>
        </w:tc>
        <w:bookmarkStart w:id="33" w:name="RANGE!D57"/>
        <w:tc>
          <w:tcPr>
            <w:tcW w:w="2693" w:type="dxa"/>
            <w:vMerge w:val="restart"/>
            <w:shd w:val="clear" w:color="auto" w:fill="auto"/>
            <w:vAlign w:val="center"/>
            <w:hideMark/>
          </w:tcPr>
          <w:p w:rsidR="004C7161" w:rsidRPr="002466B4" w:rsidRDefault="0037582F" w:rsidP="00DD490C">
            <w:pPr>
              <w:spacing w:line="240" w:lineRule="auto"/>
              <w:jc w:val="left"/>
              <w:rPr>
                <w:rFonts w:asciiTheme="minorHAnsi" w:hAnsiTheme="minorHAnsi"/>
                <w:sz w:val="17"/>
                <w:szCs w:val="17"/>
              </w:rPr>
            </w:pPr>
            <w:r w:rsidRPr="002466B4">
              <w:rPr>
                <w:rFonts w:asciiTheme="minorHAnsi" w:hAnsiTheme="minorHAnsi"/>
                <w:sz w:val="17"/>
                <w:szCs w:val="17"/>
              </w:rPr>
              <w:fldChar w:fldCharType="begin"/>
            </w:r>
            <w:r w:rsidR="004C7161" w:rsidRPr="002466B4">
              <w:rPr>
                <w:rFonts w:asciiTheme="minorHAnsi" w:hAnsiTheme="minorHAnsi"/>
                <w:sz w:val="17"/>
                <w:szCs w:val="17"/>
              </w:rPr>
              <w:instrText xml:space="preserve"> HYPERLINK "file:///D:\\!!%20KP%202014-2020.%20Priprava\\1.DUBEN%202012.VLADA.material%20k%20usneseni%20vlady\\Kondicionality.Analyza.Podklad\\MV.Tabulka%20kondicionality.xlsx" \l "RANGE!#REF!" </w:instrText>
            </w:r>
            <w:r w:rsidRPr="002466B4">
              <w:rPr>
                <w:rFonts w:asciiTheme="minorHAnsi" w:hAnsiTheme="minorHAnsi"/>
                <w:sz w:val="17"/>
                <w:szCs w:val="17"/>
              </w:rPr>
              <w:fldChar w:fldCharType="separate"/>
            </w:r>
            <w:r w:rsidR="004C7161" w:rsidRPr="002466B4">
              <w:rPr>
                <w:rFonts w:asciiTheme="minorHAnsi" w:hAnsiTheme="minorHAnsi"/>
                <w:sz w:val="17"/>
                <w:szCs w:val="17"/>
              </w:rPr>
              <w:t>6.2. Odpadové hospodářství: podpora investic do odpadového hospodářství udržitelných z hospodářského a environmentálního hlediska, zejména vypracování plánů pro nakládání s odpady v souladu se směrnicí 2008/98/ES o odpadech a s hierarchií způsobů nakládání s odpady.</w:t>
            </w:r>
            <w:r w:rsidRPr="002466B4">
              <w:rPr>
                <w:rFonts w:asciiTheme="minorHAnsi" w:hAnsiTheme="minorHAnsi"/>
                <w:sz w:val="17"/>
                <w:szCs w:val="17"/>
              </w:rPr>
              <w:fldChar w:fldCharType="end"/>
            </w:r>
            <w:bookmarkEnd w:id="33"/>
          </w:p>
        </w:tc>
        <w:tc>
          <w:tcPr>
            <w:tcW w:w="4819"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Členský stát předložil Komisi zprávu o pokroku při plnění cílů uvedených v článku 11 směrnice 2008/98/ES, důvodech selhání a zamýšlených opatřeních ke splnění těchto cílů.</w:t>
            </w:r>
          </w:p>
        </w:tc>
      </w:tr>
      <w:tr w:rsidR="004C7161" w:rsidRPr="00523D12" w:rsidTr="00DD490C">
        <w:trPr>
          <w:trHeight w:val="356"/>
        </w:trPr>
        <w:tc>
          <w:tcPr>
            <w:tcW w:w="1575" w:type="dxa"/>
            <w:vMerge/>
            <w:vAlign w:val="center"/>
            <w:hideMark/>
          </w:tcPr>
          <w:p w:rsidR="004C7161" w:rsidRPr="002466B4" w:rsidRDefault="004C7161" w:rsidP="00DD490C">
            <w:pPr>
              <w:spacing w:line="240" w:lineRule="auto"/>
              <w:jc w:val="left"/>
              <w:rPr>
                <w:rFonts w:asciiTheme="minorHAnsi" w:hAnsiTheme="minorHAnsi"/>
                <w:b/>
                <w:bCs/>
                <w:sz w:val="17"/>
                <w:szCs w:val="17"/>
                <w:u w:val="single"/>
              </w:rPr>
            </w:pPr>
          </w:p>
        </w:tc>
        <w:tc>
          <w:tcPr>
            <w:tcW w:w="2693" w:type="dxa"/>
            <w:vMerge/>
            <w:vAlign w:val="center"/>
            <w:hideMark/>
          </w:tcPr>
          <w:p w:rsidR="004C7161" w:rsidRPr="002466B4" w:rsidRDefault="004C7161" w:rsidP="00DD490C">
            <w:pPr>
              <w:spacing w:line="240" w:lineRule="auto"/>
              <w:jc w:val="left"/>
              <w:rPr>
                <w:rFonts w:asciiTheme="minorHAnsi" w:hAnsiTheme="minorHAnsi"/>
                <w:sz w:val="17"/>
                <w:szCs w:val="17"/>
              </w:rPr>
            </w:pPr>
          </w:p>
        </w:tc>
        <w:tc>
          <w:tcPr>
            <w:tcW w:w="4819"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Existence jednoho nebo více plánů pro nakládání s odpady požadovanými v článku 28 směrnice 2008/98/ES,</w:t>
            </w:r>
          </w:p>
        </w:tc>
      </w:tr>
      <w:tr w:rsidR="004C7161" w:rsidRPr="00523D12" w:rsidTr="00DD490C">
        <w:trPr>
          <w:trHeight w:val="693"/>
        </w:trPr>
        <w:tc>
          <w:tcPr>
            <w:tcW w:w="1575" w:type="dxa"/>
            <w:vMerge/>
            <w:vAlign w:val="center"/>
            <w:hideMark/>
          </w:tcPr>
          <w:p w:rsidR="004C7161" w:rsidRPr="002466B4" w:rsidRDefault="004C7161" w:rsidP="00DD490C">
            <w:pPr>
              <w:spacing w:line="240" w:lineRule="auto"/>
              <w:jc w:val="left"/>
              <w:rPr>
                <w:rFonts w:asciiTheme="minorHAnsi" w:hAnsiTheme="minorHAnsi"/>
                <w:b/>
                <w:bCs/>
                <w:sz w:val="17"/>
                <w:szCs w:val="17"/>
                <w:u w:val="single"/>
              </w:rPr>
            </w:pPr>
          </w:p>
        </w:tc>
        <w:tc>
          <w:tcPr>
            <w:tcW w:w="2693" w:type="dxa"/>
            <w:vMerge/>
            <w:vAlign w:val="center"/>
            <w:hideMark/>
          </w:tcPr>
          <w:p w:rsidR="004C7161" w:rsidRPr="002466B4" w:rsidRDefault="004C7161" w:rsidP="00DD490C">
            <w:pPr>
              <w:spacing w:line="240" w:lineRule="auto"/>
              <w:jc w:val="left"/>
              <w:rPr>
                <w:rFonts w:asciiTheme="minorHAnsi" w:hAnsiTheme="minorHAnsi"/>
                <w:sz w:val="17"/>
                <w:szCs w:val="17"/>
              </w:rPr>
            </w:pPr>
          </w:p>
        </w:tc>
        <w:tc>
          <w:tcPr>
            <w:tcW w:w="4819"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Členský stát stanoví v souladu s články 1 a 4 směrnice 2008/98/ES programy předcházení vzniku odpadů, jak to vyžaduje článek 29 směrnice.</w:t>
            </w:r>
          </w:p>
        </w:tc>
      </w:tr>
      <w:tr w:rsidR="004C7161" w:rsidRPr="00523D12" w:rsidTr="00DD490C">
        <w:trPr>
          <w:trHeight w:val="695"/>
        </w:trPr>
        <w:tc>
          <w:tcPr>
            <w:tcW w:w="1575" w:type="dxa"/>
            <w:vMerge/>
            <w:vAlign w:val="center"/>
            <w:hideMark/>
          </w:tcPr>
          <w:p w:rsidR="004C7161" w:rsidRPr="002466B4" w:rsidRDefault="004C7161" w:rsidP="00DD490C">
            <w:pPr>
              <w:spacing w:line="240" w:lineRule="auto"/>
              <w:jc w:val="left"/>
              <w:rPr>
                <w:rFonts w:asciiTheme="minorHAnsi" w:hAnsiTheme="minorHAnsi"/>
                <w:b/>
                <w:bCs/>
                <w:sz w:val="17"/>
                <w:szCs w:val="17"/>
                <w:u w:val="single"/>
              </w:rPr>
            </w:pPr>
          </w:p>
        </w:tc>
        <w:tc>
          <w:tcPr>
            <w:tcW w:w="2693" w:type="dxa"/>
            <w:vMerge/>
            <w:vAlign w:val="center"/>
            <w:hideMark/>
          </w:tcPr>
          <w:p w:rsidR="004C7161" w:rsidRPr="002466B4" w:rsidRDefault="004C7161" w:rsidP="00DD490C">
            <w:pPr>
              <w:spacing w:line="240" w:lineRule="auto"/>
              <w:jc w:val="left"/>
              <w:rPr>
                <w:rFonts w:asciiTheme="minorHAnsi" w:hAnsiTheme="minorHAnsi"/>
                <w:sz w:val="17"/>
                <w:szCs w:val="17"/>
              </w:rPr>
            </w:pPr>
          </w:p>
        </w:tc>
        <w:tc>
          <w:tcPr>
            <w:tcW w:w="4819"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Byla přijata opatření nezbytná k dosažení cíle týkajícího se opětovného použití a recyklace odpadů do roku 2020 v souladu s čl. 11 odst. 2 směrnice 2008/98/ES.</w:t>
            </w:r>
          </w:p>
        </w:tc>
      </w:tr>
    </w:tbl>
    <w:p w:rsidR="00661611" w:rsidRDefault="00661611" w:rsidP="004C7161">
      <w:pPr>
        <w:spacing w:before="300" w:after="60"/>
        <w:rPr>
          <w:rFonts w:asciiTheme="minorHAnsi" w:hAnsiTheme="minorHAnsi" w:cs="Arial"/>
          <w:color w:val="000000"/>
          <w:sz w:val="21"/>
          <w:szCs w:val="21"/>
          <w:u w:val="single"/>
        </w:rPr>
      </w:pPr>
    </w:p>
    <w:p w:rsidR="00661611" w:rsidRDefault="00661611" w:rsidP="004C7161">
      <w:pPr>
        <w:spacing w:before="300" w:after="60"/>
        <w:rPr>
          <w:rFonts w:asciiTheme="minorHAnsi" w:hAnsiTheme="minorHAnsi" w:cs="Arial"/>
          <w:color w:val="000000"/>
          <w:sz w:val="21"/>
          <w:szCs w:val="21"/>
          <w:u w:val="single"/>
        </w:rPr>
      </w:pPr>
    </w:p>
    <w:p w:rsidR="00661611" w:rsidRDefault="00661611" w:rsidP="004C7161">
      <w:pPr>
        <w:spacing w:before="300" w:after="60"/>
        <w:rPr>
          <w:rFonts w:asciiTheme="minorHAnsi" w:hAnsiTheme="minorHAnsi" w:cs="Arial"/>
          <w:color w:val="000000"/>
          <w:sz w:val="21"/>
          <w:szCs w:val="21"/>
          <w:u w:val="single"/>
        </w:rPr>
      </w:pPr>
    </w:p>
    <w:p w:rsidR="004C7161" w:rsidRPr="002E4C3B" w:rsidRDefault="004C7161" w:rsidP="004C7161">
      <w:pPr>
        <w:spacing w:before="300" w:after="60"/>
        <w:rPr>
          <w:rFonts w:asciiTheme="minorHAnsi" w:hAnsiTheme="minorHAnsi" w:cs="Arial"/>
          <w:color w:val="000000"/>
          <w:sz w:val="21"/>
          <w:szCs w:val="21"/>
          <w:u w:val="single"/>
        </w:rPr>
      </w:pPr>
      <w:r w:rsidRPr="002E4C3B">
        <w:rPr>
          <w:rFonts w:asciiTheme="minorHAnsi" w:hAnsiTheme="minorHAnsi" w:cs="Arial"/>
          <w:color w:val="000000"/>
          <w:sz w:val="21"/>
          <w:szCs w:val="21"/>
          <w:u w:val="single"/>
        </w:rPr>
        <w:t>Tematický cíl 7: Podpora udržitelné dopravy a odstraňování překážek v klíčových síťových infrastrukturách</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42"/>
        <w:gridCol w:w="2835"/>
        <w:gridCol w:w="4110"/>
      </w:tblGrid>
      <w:tr w:rsidR="004C7161" w:rsidRPr="00523D12" w:rsidTr="00F95534">
        <w:trPr>
          <w:trHeight w:val="635"/>
        </w:trPr>
        <w:tc>
          <w:tcPr>
            <w:tcW w:w="2142"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2835"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4110"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F95534">
        <w:trPr>
          <w:trHeight w:val="2901"/>
        </w:trPr>
        <w:tc>
          <w:tcPr>
            <w:tcW w:w="2142" w:type="dxa"/>
            <w:vMerge w:val="restart"/>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bCs/>
                <w:sz w:val="17"/>
                <w:szCs w:val="17"/>
                <w:u w:val="single"/>
              </w:rPr>
              <w:t>E</w:t>
            </w:r>
            <w:r w:rsidR="00C07EED">
              <w:rPr>
                <w:rFonts w:asciiTheme="minorHAnsi" w:hAnsiTheme="minorHAnsi"/>
                <w:bCs/>
                <w:sz w:val="17"/>
                <w:szCs w:val="17"/>
                <w:u w:val="single"/>
              </w:rPr>
              <w:t>F</w:t>
            </w:r>
            <w:r w:rsidRPr="002466B4">
              <w:rPr>
                <w:rFonts w:asciiTheme="minorHAnsi" w:hAnsiTheme="minorHAnsi"/>
                <w:bCs/>
                <w:sz w:val="17"/>
                <w:szCs w:val="17"/>
                <w:u w:val="single"/>
              </w:rPr>
              <w:t>R</w:t>
            </w:r>
            <w:r w:rsidR="00C07EED">
              <w:rPr>
                <w:rFonts w:asciiTheme="minorHAnsi" w:hAnsiTheme="minorHAnsi"/>
                <w:bCs/>
                <w:sz w:val="17"/>
                <w:szCs w:val="17"/>
                <w:u w:val="single"/>
              </w:rPr>
              <w:t>R</w:t>
            </w:r>
            <w:r w:rsidRPr="002466B4">
              <w:rPr>
                <w:rFonts w:asciiTheme="minorHAnsi" w:hAnsiTheme="minorHAnsi"/>
                <w:bCs/>
                <w:sz w:val="17"/>
                <w:szCs w:val="17"/>
                <w:u w:val="single"/>
              </w:rPr>
              <w:t xml:space="preserve"> + </w:t>
            </w:r>
            <w:r w:rsidR="00C07EED">
              <w:rPr>
                <w:rFonts w:asciiTheme="minorHAnsi" w:hAnsiTheme="minorHAnsi"/>
                <w:bCs/>
                <w:sz w:val="17"/>
                <w:szCs w:val="17"/>
                <w:u w:val="single"/>
              </w:rPr>
              <w:t>FS</w:t>
            </w:r>
            <w:r w:rsidRPr="002466B4">
              <w:rPr>
                <w:rFonts w:asciiTheme="minorHAnsi" w:hAnsiTheme="minorHAnsi"/>
                <w:bCs/>
                <w:sz w:val="17"/>
                <w:szCs w:val="17"/>
                <w:u w:val="single"/>
              </w:rPr>
              <w:t>:</w:t>
            </w:r>
            <w:r w:rsidRPr="002466B4">
              <w:rPr>
                <w:rFonts w:asciiTheme="minorHAnsi" w:hAnsiTheme="minorHAnsi"/>
                <w:sz w:val="17"/>
                <w:szCs w:val="17"/>
              </w:rPr>
              <w:t xml:space="preserve"> podpora multimodálního jednotného evropského dopravního prostoru prostřednictvím investic do transevropské dopravní sítě (TEN-T); </w:t>
            </w:r>
          </w:p>
          <w:p w:rsidR="004C7161" w:rsidRPr="002466B4" w:rsidRDefault="004C7161" w:rsidP="00DD490C">
            <w:pPr>
              <w:spacing w:line="240" w:lineRule="auto"/>
              <w:jc w:val="left"/>
              <w:rPr>
                <w:rFonts w:asciiTheme="minorHAnsi" w:hAnsiTheme="minorHAnsi"/>
                <w:sz w:val="17"/>
                <w:szCs w:val="17"/>
              </w:rPr>
            </w:pPr>
          </w:p>
          <w:p w:rsidR="004C7161" w:rsidRPr="002466B4" w:rsidRDefault="004C7161" w:rsidP="00C07EED">
            <w:pPr>
              <w:spacing w:line="240" w:lineRule="auto"/>
              <w:jc w:val="left"/>
              <w:rPr>
                <w:rFonts w:asciiTheme="minorHAnsi" w:hAnsiTheme="minorHAnsi"/>
                <w:bCs/>
                <w:sz w:val="17"/>
                <w:szCs w:val="17"/>
                <w:u w:val="single"/>
              </w:rPr>
            </w:pPr>
            <w:r w:rsidRPr="002466B4">
              <w:rPr>
                <w:rFonts w:asciiTheme="minorHAnsi" w:hAnsiTheme="minorHAnsi"/>
                <w:bCs/>
                <w:sz w:val="17"/>
                <w:szCs w:val="17"/>
                <w:u w:val="single"/>
              </w:rPr>
              <w:t>E</w:t>
            </w:r>
            <w:r w:rsidR="00C07EED">
              <w:rPr>
                <w:rFonts w:asciiTheme="minorHAnsi" w:hAnsiTheme="minorHAnsi"/>
                <w:bCs/>
                <w:sz w:val="17"/>
                <w:szCs w:val="17"/>
                <w:u w:val="single"/>
              </w:rPr>
              <w:t>F</w:t>
            </w:r>
            <w:r w:rsidRPr="002466B4">
              <w:rPr>
                <w:rFonts w:asciiTheme="minorHAnsi" w:hAnsiTheme="minorHAnsi"/>
                <w:bCs/>
                <w:sz w:val="17"/>
                <w:szCs w:val="17"/>
                <w:u w:val="single"/>
              </w:rPr>
              <w:t>R</w:t>
            </w:r>
            <w:r w:rsidR="00C07EED">
              <w:rPr>
                <w:rFonts w:asciiTheme="minorHAnsi" w:hAnsiTheme="minorHAnsi"/>
                <w:bCs/>
                <w:sz w:val="17"/>
                <w:szCs w:val="17"/>
                <w:u w:val="single"/>
              </w:rPr>
              <w:t>R</w:t>
            </w:r>
            <w:r w:rsidRPr="002466B4">
              <w:rPr>
                <w:rFonts w:asciiTheme="minorHAnsi" w:hAnsiTheme="minorHAnsi"/>
                <w:bCs/>
                <w:sz w:val="17"/>
                <w:szCs w:val="17"/>
                <w:u w:val="single"/>
              </w:rPr>
              <w:t>:</w:t>
            </w:r>
            <w:r w:rsidRPr="002466B4">
              <w:rPr>
                <w:rFonts w:asciiTheme="minorHAnsi" w:hAnsiTheme="minorHAnsi"/>
                <w:sz w:val="17"/>
                <w:szCs w:val="17"/>
              </w:rPr>
              <w:t xml:space="preserve"> zvyšování regionální mobility prostřednictvím připojení sekundárních a terciárních uzlů k infrastruktuře sítě TEN-T</w:t>
            </w:r>
          </w:p>
        </w:tc>
        <w:tc>
          <w:tcPr>
            <w:tcW w:w="2835" w:type="dxa"/>
            <w:vMerge w:val="restart"/>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u w:val="single"/>
              </w:rPr>
              <w:t>7.1</w:t>
            </w:r>
            <w:r w:rsidRPr="002466B4">
              <w:rPr>
                <w:rFonts w:asciiTheme="minorHAnsi" w:hAnsiTheme="minorHAnsi"/>
                <w:bCs/>
                <w:i/>
                <w:iCs/>
                <w:sz w:val="17"/>
                <w:szCs w:val="17"/>
                <w:u w:val="single"/>
              </w:rPr>
              <w:t>. Silniční doprava:</w:t>
            </w:r>
            <w:r w:rsidRPr="002466B4">
              <w:rPr>
                <w:rFonts w:asciiTheme="minorHAnsi" w:hAnsiTheme="minorHAnsi"/>
                <w:bCs/>
                <w:sz w:val="17"/>
                <w:szCs w:val="17"/>
              </w:rPr>
              <w:t xml:space="preserve"> </w:t>
            </w:r>
          </w:p>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rPr>
              <w:t>Existence komplexního plánu či komplexních plánů nebo rámce či rámců pro investice do dopravy v souladu s institucionálním uspořádáním členských států (včetně veřejné dopravy na regionální a místní úrovni), čímž se podporuje rozvoj infrastruktury a zvyšuje se dopravní obslužnost ve vztahu ke globálním a hlavním sítím TEN-T</w:t>
            </w:r>
          </w:p>
        </w:tc>
        <w:tc>
          <w:tcPr>
            <w:tcW w:w="4110" w:type="dxa"/>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rPr>
              <w:t>Existence komplexního dopravního plánu či plánů nebo rámce či rámců pro investice do dopravy, které splňují právní požadavky pro strategické posouzení dopadů na životní prostředí a stanoví:</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 xml:space="preserve">příspěvek na jednotný evropský dopravní prostor v souladu s článkem 10 nařízení č. [TEN-T], včetně pořadí důležitosti investic do: </w:t>
            </w:r>
          </w:p>
          <w:p w:rsidR="004C7161" w:rsidRPr="002466B4" w:rsidRDefault="004C7161" w:rsidP="00DD490C">
            <w:pPr>
              <w:pStyle w:val="Odstavecseseznamem"/>
              <w:spacing w:after="40"/>
              <w:ind w:left="355"/>
              <w:contextualSpacing w:val="0"/>
              <w:jc w:val="left"/>
              <w:rPr>
                <w:rFonts w:asciiTheme="minorHAnsi" w:hAnsiTheme="minorHAnsi"/>
                <w:color w:val="000000"/>
                <w:sz w:val="17"/>
                <w:szCs w:val="17"/>
              </w:rPr>
            </w:pPr>
            <w:r w:rsidRPr="002466B4">
              <w:rPr>
                <w:rFonts w:asciiTheme="minorHAnsi" w:hAnsiTheme="minorHAnsi"/>
                <w:color w:val="000000"/>
                <w:sz w:val="17"/>
                <w:szCs w:val="17"/>
                <w:u w:val="single"/>
              </w:rPr>
              <w:t>a) hlavní sítě TEN-T a globální sítě</w:t>
            </w:r>
            <w:r w:rsidRPr="002466B4">
              <w:rPr>
                <w:rFonts w:asciiTheme="minorHAnsi" w:hAnsiTheme="minorHAnsi"/>
                <w:color w:val="000000"/>
                <w:sz w:val="17"/>
                <w:szCs w:val="17"/>
              </w:rPr>
              <w:t xml:space="preserve">, u nichž se předpokládají investice z Evropského fondu pro regionální rozvoj a z Fondu soudržnosti a </w:t>
            </w:r>
          </w:p>
          <w:p w:rsidR="004C7161" w:rsidRPr="002466B4" w:rsidRDefault="004C7161" w:rsidP="00DD490C">
            <w:pPr>
              <w:pStyle w:val="Odstavecseseznamem"/>
              <w:spacing w:after="40"/>
              <w:ind w:left="355"/>
              <w:contextualSpacing w:val="0"/>
              <w:jc w:val="left"/>
              <w:rPr>
                <w:rFonts w:asciiTheme="minorHAnsi" w:hAnsiTheme="minorHAnsi"/>
                <w:color w:val="000000"/>
                <w:sz w:val="17"/>
                <w:szCs w:val="17"/>
              </w:rPr>
            </w:pPr>
            <w:r w:rsidRPr="002466B4">
              <w:rPr>
                <w:rFonts w:asciiTheme="minorHAnsi" w:hAnsiTheme="minorHAnsi"/>
                <w:color w:val="000000"/>
                <w:sz w:val="17"/>
                <w:szCs w:val="17"/>
                <w:u w:val="single"/>
              </w:rPr>
              <w:t>b) sekundární dopravní obslužnosti</w:t>
            </w:r>
            <w:r w:rsidRPr="002466B4">
              <w:rPr>
                <w:rFonts w:asciiTheme="minorHAnsi" w:hAnsiTheme="minorHAnsi"/>
                <w:color w:val="000000"/>
                <w:sz w:val="17"/>
                <w:szCs w:val="17"/>
              </w:rPr>
              <w:t>.</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bCs/>
                <w:sz w:val="17"/>
                <w:szCs w:val="17"/>
              </w:rPr>
            </w:pPr>
            <w:r w:rsidRPr="002466B4">
              <w:rPr>
                <w:rFonts w:asciiTheme="minorHAnsi" w:hAnsiTheme="minorHAnsi"/>
                <w:color w:val="000000"/>
                <w:sz w:val="17"/>
                <w:szCs w:val="17"/>
              </w:rPr>
              <w:t>realistické a vyspělé vypracování pro projekty, u nichž se předpokládá podpora z Evropského fondu pro regionální rozvoj a z Fondu soudržnosti.</w:t>
            </w:r>
          </w:p>
        </w:tc>
      </w:tr>
      <w:tr w:rsidR="004C7161" w:rsidRPr="00523D12" w:rsidTr="00F95534">
        <w:trPr>
          <w:trHeight w:val="554"/>
        </w:trPr>
        <w:tc>
          <w:tcPr>
            <w:tcW w:w="2142" w:type="dxa"/>
            <w:vMerge/>
            <w:vAlign w:val="center"/>
            <w:hideMark/>
          </w:tcPr>
          <w:p w:rsidR="004C7161" w:rsidRPr="002466B4" w:rsidRDefault="004C7161" w:rsidP="00DD490C">
            <w:pPr>
              <w:spacing w:line="240" w:lineRule="auto"/>
              <w:jc w:val="left"/>
              <w:rPr>
                <w:rFonts w:asciiTheme="minorHAnsi" w:hAnsiTheme="minorHAnsi"/>
                <w:b/>
                <w:bCs/>
                <w:sz w:val="17"/>
                <w:szCs w:val="17"/>
                <w:u w:val="single"/>
              </w:rPr>
            </w:pPr>
          </w:p>
        </w:tc>
        <w:tc>
          <w:tcPr>
            <w:tcW w:w="2835" w:type="dxa"/>
            <w:vMerge/>
            <w:vAlign w:val="center"/>
            <w:hideMark/>
          </w:tcPr>
          <w:p w:rsidR="004C7161" w:rsidRPr="002466B4" w:rsidRDefault="004C7161" w:rsidP="00DD490C">
            <w:pPr>
              <w:spacing w:line="240" w:lineRule="auto"/>
              <w:jc w:val="left"/>
              <w:rPr>
                <w:rFonts w:asciiTheme="minorHAnsi" w:hAnsiTheme="minorHAnsi"/>
                <w:b/>
                <w:bCs/>
                <w:sz w:val="17"/>
                <w:szCs w:val="17"/>
              </w:rPr>
            </w:pPr>
          </w:p>
        </w:tc>
        <w:tc>
          <w:tcPr>
            <w:tcW w:w="4110"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 xml:space="preserve">Opatření k posílení způsobilosti zprostředkujících subjektů a příjemců realizovat projekt. </w:t>
            </w:r>
          </w:p>
        </w:tc>
      </w:tr>
      <w:tr w:rsidR="004C7161" w:rsidRPr="00523D12" w:rsidTr="00F95534">
        <w:trPr>
          <w:trHeight w:val="2287"/>
        </w:trPr>
        <w:tc>
          <w:tcPr>
            <w:tcW w:w="2142"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bCs/>
                <w:sz w:val="16"/>
                <w:szCs w:val="16"/>
                <w:u w:val="single"/>
              </w:rPr>
              <w:t>E</w:t>
            </w:r>
            <w:r w:rsidR="00C07EED">
              <w:rPr>
                <w:rFonts w:asciiTheme="minorHAnsi" w:hAnsiTheme="minorHAnsi"/>
                <w:bCs/>
                <w:sz w:val="16"/>
                <w:szCs w:val="16"/>
                <w:u w:val="single"/>
              </w:rPr>
              <w:t>F</w:t>
            </w:r>
            <w:r w:rsidRPr="00F95534">
              <w:rPr>
                <w:rFonts w:asciiTheme="minorHAnsi" w:hAnsiTheme="minorHAnsi"/>
                <w:bCs/>
                <w:sz w:val="16"/>
                <w:szCs w:val="16"/>
                <w:u w:val="single"/>
              </w:rPr>
              <w:t>R</w:t>
            </w:r>
            <w:r w:rsidR="00C07EED">
              <w:rPr>
                <w:rFonts w:asciiTheme="minorHAnsi" w:hAnsiTheme="minorHAnsi"/>
                <w:bCs/>
                <w:sz w:val="16"/>
                <w:szCs w:val="16"/>
                <w:u w:val="single"/>
              </w:rPr>
              <w:t>R</w:t>
            </w:r>
            <w:r w:rsidRPr="00F95534">
              <w:rPr>
                <w:rFonts w:asciiTheme="minorHAnsi" w:hAnsiTheme="minorHAnsi"/>
                <w:bCs/>
                <w:sz w:val="16"/>
                <w:szCs w:val="16"/>
                <w:u w:val="single"/>
              </w:rPr>
              <w:t xml:space="preserve"> + </w:t>
            </w:r>
            <w:r w:rsidR="00C07EED">
              <w:rPr>
                <w:rFonts w:asciiTheme="minorHAnsi" w:hAnsiTheme="minorHAnsi"/>
                <w:bCs/>
                <w:sz w:val="16"/>
                <w:szCs w:val="16"/>
                <w:u w:val="single"/>
              </w:rPr>
              <w:t>FS</w:t>
            </w:r>
            <w:r w:rsidRPr="00F95534">
              <w:rPr>
                <w:rFonts w:asciiTheme="minorHAnsi" w:hAnsiTheme="minorHAnsi"/>
                <w:bCs/>
                <w:sz w:val="16"/>
                <w:szCs w:val="16"/>
                <w:u w:val="single"/>
              </w:rPr>
              <w:t>:</w:t>
            </w:r>
            <w:r w:rsidRPr="00F95534">
              <w:rPr>
                <w:rFonts w:asciiTheme="minorHAnsi" w:hAnsiTheme="minorHAnsi"/>
                <w:sz w:val="16"/>
                <w:szCs w:val="16"/>
              </w:rPr>
              <w:t xml:space="preserve"> </w:t>
            </w:r>
          </w:p>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a) podpora multimodálního jednotného evropského dopravního prostoru</w:t>
            </w:r>
            <w:r w:rsidRPr="00F95534">
              <w:rPr>
                <w:rFonts w:asciiTheme="minorHAnsi" w:hAnsiTheme="minorHAnsi"/>
                <w:sz w:val="16"/>
                <w:szCs w:val="16"/>
              </w:rPr>
              <w:br/>
              <w:t xml:space="preserve">prostřednictvím investic do transevropské dopravní sítě (TEN-T); </w:t>
            </w:r>
          </w:p>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 xml:space="preserve">b) vývoj komplexních a interoperabilních železničních systémů vysoké kvality; </w:t>
            </w:r>
          </w:p>
          <w:p w:rsidR="004C7161" w:rsidRPr="00F95534" w:rsidRDefault="004C7161" w:rsidP="00DD490C">
            <w:pPr>
              <w:spacing w:line="240" w:lineRule="auto"/>
              <w:jc w:val="left"/>
              <w:rPr>
                <w:rFonts w:asciiTheme="minorHAnsi" w:hAnsiTheme="minorHAnsi"/>
                <w:sz w:val="16"/>
                <w:szCs w:val="16"/>
              </w:rPr>
            </w:pPr>
          </w:p>
          <w:p w:rsidR="004C7161" w:rsidRPr="00F95534" w:rsidRDefault="004C7161" w:rsidP="00C07EED">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w:t>
            </w:r>
            <w:r w:rsidR="00C07EED">
              <w:rPr>
                <w:rFonts w:asciiTheme="minorHAnsi" w:hAnsiTheme="minorHAnsi"/>
                <w:bCs/>
                <w:sz w:val="16"/>
                <w:szCs w:val="16"/>
                <w:u w:val="single"/>
              </w:rPr>
              <w:t>F</w:t>
            </w:r>
            <w:r w:rsidRPr="00F95534">
              <w:rPr>
                <w:rFonts w:asciiTheme="minorHAnsi" w:hAnsiTheme="minorHAnsi"/>
                <w:bCs/>
                <w:sz w:val="16"/>
                <w:szCs w:val="16"/>
                <w:u w:val="single"/>
              </w:rPr>
              <w:t>R</w:t>
            </w:r>
            <w:r w:rsidR="00C07EED">
              <w:rPr>
                <w:rFonts w:asciiTheme="minorHAnsi" w:hAnsiTheme="minorHAnsi"/>
                <w:bCs/>
                <w:sz w:val="16"/>
                <w:szCs w:val="16"/>
                <w:u w:val="single"/>
              </w:rPr>
              <w:t>R</w:t>
            </w:r>
            <w:r w:rsidRPr="00F95534">
              <w:rPr>
                <w:rFonts w:asciiTheme="minorHAnsi" w:hAnsiTheme="minorHAnsi"/>
                <w:bCs/>
                <w:sz w:val="16"/>
                <w:szCs w:val="16"/>
                <w:u w:val="single"/>
              </w:rPr>
              <w:t>:</w:t>
            </w:r>
            <w:r w:rsidRPr="00F95534">
              <w:rPr>
                <w:rFonts w:asciiTheme="minorHAnsi" w:hAnsiTheme="minorHAnsi"/>
                <w:sz w:val="16"/>
                <w:szCs w:val="16"/>
              </w:rPr>
              <w:t xml:space="preserve"> zvyšování regionální mobility prostřednictvím připojení sekundárních a terciárních uzlů k infrastruktuře sítě TEN-T</w:t>
            </w:r>
          </w:p>
        </w:tc>
        <w:tc>
          <w:tcPr>
            <w:tcW w:w="2835"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i/>
                <w:sz w:val="16"/>
                <w:szCs w:val="16"/>
                <w:u w:val="single"/>
              </w:rPr>
              <w:t xml:space="preserve">7.2. Železniční doprava: </w:t>
            </w:r>
            <w:r w:rsidRPr="00F95534">
              <w:rPr>
                <w:rFonts w:asciiTheme="minorHAnsi" w:hAnsiTheme="minorHAnsi"/>
                <w:bCs/>
                <w:sz w:val="16"/>
                <w:szCs w:val="16"/>
              </w:rPr>
              <w:t>Existence – v rámci komplexního národní dopravního plánu – explicitní kapitoly o rozvoji železniční dopravy, stanovení pořadí důležitosti investic v rámci hlavní transevropské sítě dopravní infrastruktury (TEN-T), komplexní sítě (jiné investice než do hlavní sítě TEN</w:t>
            </w:r>
            <w:r w:rsidRPr="00F95534">
              <w:rPr>
                <w:rFonts w:asciiTheme="minorHAnsi" w:eastAsia="MS Mincho" w:hAnsi="MS Mincho" w:cs="MS Mincho"/>
                <w:bCs/>
                <w:sz w:val="16"/>
                <w:szCs w:val="16"/>
              </w:rPr>
              <w:t>‑</w:t>
            </w:r>
            <w:r w:rsidRPr="00F95534">
              <w:rPr>
                <w:rFonts w:asciiTheme="minorHAnsi" w:hAnsiTheme="minorHAnsi" w:cs="Calibri"/>
                <w:bCs/>
                <w:sz w:val="16"/>
                <w:szCs w:val="16"/>
              </w:rPr>
              <w:t>T) a v oblasti sekundární dopravní obslužnosti železničního systému podle jejich příspěvku k mobilitě, udržitelnosti a vnitrostátním i celoevropským účinkům sítě. Investice se vztahují na mobilní majetek, interoperabili</w:t>
            </w:r>
            <w:r w:rsidRPr="00F95534">
              <w:rPr>
                <w:rFonts w:asciiTheme="minorHAnsi" w:hAnsiTheme="minorHAnsi"/>
                <w:bCs/>
                <w:sz w:val="16"/>
                <w:szCs w:val="16"/>
              </w:rPr>
              <w:t>tu a budování kapacit.</w:t>
            </w:r>
          </w:p>
        </w:tc>
        <w:tc>
          <w:tcPr>
            <w:tcW w:w="4110"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Existence oddílu o rozvoji železniční dopravy v rámci dopravního plánu či plánů nebo rámce či rámců, jak se uvedeno výše, které splňují právní požadavky pro strategické posouzení dopadů na životní prostředí a stanoví realistické a vyspělé vypracování projektu (včetně časového plánu a rozpočtového rámce).</w:t>
            </w:r>
          </w:p>
        </w:tc>
      </w:tr>
      <w:tr w:rsidR="004C7161" w:rsidRPr="00523D12" w:rsidTr="00F95534">
        <w:trPr>
          <w:trHeight w:val="835"/>
        </w:trPr>
        <w:tc>
          <w:tcPr>
            <w:tcW w:w="2142" w:type="dxa"/>
            <w:vMerge/>
            <w:vAlign w:val="center"/>
            <w:hideMark/>
          </w:tcPr>
          <w:p w:rsidR="004C7161" w:rsidRPr="002466B4" w:rsidRDefault="004C7161" w:rsidP="00DD490C">
            <w:pPr>
              <w:spacing w:line="240" w:lineRule="auto"/>
              <w:jc w:val="left"/>
              <w:rPr>
                <w:rFonts w:asciiTheme="minorHAnsi" w:hAnsiTheme="minorHAnsi"/>
                <w:b/>
                <w:bCs/>
                <w:sz w:val="17"/>
                <w:szCs w:val="17"/>
                <w:u w:val="single"/>
              </w:rPr>
            </w:pPr>
          </w:p>
        </w:tc>
        <w:tc>
          <w:tcPr>
            <w:tcW w:w="2835" w:type="dxa"/>
            <w:vMerge/>
            <w:vAlign w:val="center"/>
            <w:hideMark/>
          </w:tcPr>
          <w:p w:rsidR="004C7161" w:rsidRPr="002466B4" w:rsidRDefault="004C7161" w:rsidP="00DD490C">
            <w:pPr>
              <w:spacing w:line="240" w:lineRule="auto"/>
              <w:jc w:val="left"/>
              <w:rPr>
                <w:rFonts w:asciiTheme="minorHAnsi" w:hAnsiTheme="minorHAnsi"/>
                <w:b/>
                <w:bCs/>
                <w:sz w:val="17"/>
                <w:szCs w:val="17"/>
              </w:rPr>
            </w:pPr>
          </w:p>
        </w:tc>
        <w:tc>
          <w:tcPr>
            <w:tcW w:w="4110"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Opatření k posílení způsobilosti zprostředkujících subjektů a příjemců realizovat projekt.</w:t>
            </w:r>
          </w:p>
        </w:tc>
      </w:tr>
      <w:tr w:rsidR="000F161F" w:rsidRPr="00523D12" w:rsidTr="00F95534">
        <w:trPr>
          <w:trHeight w:val="835"/>
        </w:trPr>
        <w:tc>
          <w:tcPr>
            <w:tcW w:w="2142" w:type="dxa"/>
            <w:vAlign w:val="center"/>
          </w:tcPr>
          <w:p w:rsidR="000F161F" w:rsidRPr="002466B4" w:rsidRDefault="000F161F" w:rsidP="00DD490C">
            <w:pPr>
              <w:spacing w:line="240" w:lineRule="auto"/>
              <w:jc w:val="left"/>
              <w:rPr>
                <w:rFonts w:asciiTheme="minorHAnsi" w:hAnsiTheme="minorHAnsi"/>
                <w:b/>
                <w:bCs/>
                <w:sz w:val="17"/>
                <w:szCs w:val="17"/>
                <w:u w:val="single"/>
              </w:rPr>
            </w:pPr>
          </w:p>
        </w:tc>
        <w:tc>
          <w:tcPr>
            <w:tcW w:w="2835" w:type="dxa"/>
            <w:vAlign w:val="center"/>
          </w:tcPr>
          <w:p w:rsidR="000F161F" w:rsidRPr="002466B4" w:rsidRDefault="000F161F" w:rsidP="000F161F">
            <w:pPr>
              <w:spacing w:line="240" w:lineRule="auto"/>
              <w:jc w:val="left"/>
              <w:rPr>
                <w:rFonts w:asciiTheme="minorHAnsi" w:hAnsiTheme="minorHAnsi"/>
                <w:b/>
                <w:bCs/>
                <w:sz w:val="17"/>
                <w:szCs w:val="17"/>
              </w:rPr>
            </w:pPr>
            <w:r w:rsidRPr="00BD5121">
              <w:rPr>
                <w:rFonts w:asciiTheme="minorHAnsi" w:hAnsiTheme="minorHAnsi"/>
                <w:bCs/>
                <w:sz w:val="16"/>
                <w:szCs w:val="16"/>
              </w:rPr>
              <w:t xml:space="preserve">7.3 </w:t>
            </w:r>
            <w:r w:rsidR="00BD5121" w:rsidRPr="00BD5121">
              <w:rPr>
                <w:rFonts w:asciiTheme="minorHAnsi" w:hAnsiTheme="minorHAnsi"/>
                <w:bCs/>
                <w:sz w:val="16"/>
                <w:szCs w:val="16"/>
              </w:rPr>
              <w:t>„Rozvoj inteligentních a účinných systémů distribuce, skladování a přenosu elektřiny (a plynu)“Existence plánů pro investice do inteligentní energetické infrastruktury a regulačních opatření, které přispívají ke zvýšení energetické účinnosti a bezpečnosti dodávek“</w:t>
            </w:r>
            <w:r w:rsidR="00747BDC">
              <w:rPr>
                <w:rFonts w:asciiTheme="minorHAnsi" w:hAnsiTheme="minorHAnsi"/>
                <w:bCs/>
                <w:sz w:val="16"/>
                <w:szCs w:val="16"/>
              </w:rPr>
              <w:t>.</w:t>
            </w:r>
          </w:p>
        </w:tc>
        <w:tc>
          <w:tcPr>
            <w:tcW w:w="4110" w:type="dxa"/>
            <w:shd w:val="clear" w:color="auto" w:fill="auto"/>
            <w:vAlign w:val="center"/>
          </w:tcPr>
          <w:p w:rsidR="000F161F" w:rsidRPr="002466B4" w:rsidRDefault="00105C33" w:rsidP="00DD490C">
            <w:pPr>
              <w:spacing w:line="240" w:lineRule="auto"/>
              <w:jc w:val="left"/>
              <w:rPr>
                <w:rFonts w:asciiTheme="minorHAnsi" w:hAnsiTheme="minorHAnsi"/>
                <w:sz w:val="17"/>
                <w:szCs w:val="17"/>
              </w:rPr>
            </w:pPr>
            <w:r>
              <w:rPr>
                <w:rFonts w:asciiTheme="minorHAnsi" w:hAnsiTheme="minorHAnsi"/>
                <w:sz w:val="17"/>
                <w:szCs w:val="17"/>
              </w:rPr>
              <w:t>BUDE DOPLNĚNO</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8: Podpora zaměstnanosti a podpora mobility pracovních sil</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25"/>
        <w:gridCol w:w="2268"/>
        <w:gridCol w:w="4394"/>
      </w:tblGrid>
      <w:tr w:rsidR="004C7161" w:rsidRPr="00523D12" w:rsidTr="00DD490C">
        <w:trPr>
          <w:trHeight w:val="475"/>
        </w:trPr>
        <w:tc>
          <w:tcPr>
            <w:tcW w:w="2425"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2268"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4394"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1250"/>
        </w:trPr>
        <w:tc>
          <w:tcPr>
            <w:tcW w:w="2425"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ESF:</w:t>
            </w:r>
            <w:r w:rsidRPr="00F95534">
              <w:rPr>
                <w:rFonts w:asciiTheme="minorHAnsi" w:hAnsiTheme="minorHAnsi"/>
                <w:sz w:val="16"/>
                <w:szCs w:val="16"/>
              </w:rPr>
              <w:t xml:space="preserve"> přístup k zaměstnání pro osoby hledající zaměstnání a neaktivní osoby, včetně místních iniciativ na podporu zaměstnanosti a mobility pracovníků</w:t>
            </w:r>
          </w:p>
        </w:tc>
        <w:tc>
          <w:tcPr>
            <w:tcW w:w="2268"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bookmarkStart w:id="34" w:name="RANGE!D73"/>
            <w:r w:rsidRPr="00F95534">
              <w:rPr>
                <w:rFonts w:asciiTheme="minorHAnsi" w:hAnsiTheme="minorHAnsi"/>
                <w:bCs/>
                <w:sz w:val="16"/>
                <w:szCs w:val="16"/>
              </w:rPr>
              <w:t>8.1. Aktivní politiky trhu práce jsou koncipovány a prováděny v souladu s hlavními směry politik zaměstnanosti</w:t>
            </w:r>
            <w:bookmarkEnd w:id="34"/>
          </w:p>
        </w:tc>
        <w:tc>
          <w:tcPr>
            <w:tcW w:w="4394"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Služby zaměstnanosti mají kapacity k poskytování a poskytují:</w:t>
            </w:r>
          </w:p>
          <w:p w:rsidR="004C7161" w:rsidRPr="00F9553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individualizované služby a aktivní a preventivní opatření na trhu práce v raném stadiu, jež upřednostňují nejzranitelnější obyvatele, ale jsou přístupné pro všechny uchazeče o zaměstnání,</w:t>
            </w:r>
          </w:p>
          <w:p w:rsidR="004C7161" w:rsidRPr="00602E1B" w:rsidRDefault="004C7161" w:rsidP="00DD490C">
            <w:pPr>
              <w:pStyle w:val="Odstavecseseznamem"/>
              <w:numPr>
                <w:ilvl w:val="0"/>
                <w:numId w:val="10"/>
              </w:numPr>
              <w:spacing w:after="40"/>
              <w:ind w:left="355" w:hanging="283"/>
              <w:contextualSpacing w:val="0"/>
              <w:jc w:val="left"/>
              <w:rPr>
                <w:rFonts w:asciiTheme="minorHAnsi" w:hAnsiTheme="minorHAnsi"/>
                <w:bCs/>
                <w:sz w:val="16"/>
                <w:szCs w:val="16"/>
              </w:rPr>
            </w:pPr>
            <w:r w:rsidRPr="00F95534">
              <w:rPr>
                <w:rFonts w:asciiTheme="minorHAnsi" w:hAnsiTheme="minorHAnsi"/>
                <w:color w:val="000000"/>
                <w:sz w:val="16"/>
                <w:szCs w:val="16"/>
              </w:rPr>
              <w:t>informace o nových pracovních místech.</w:t>
            </w:r>
          </w:p>
          <w:p w:rsidR="00602E1B" w:rsidRPr="00602E1B" w:rsidRDefault="00602E1B" w:rsidP="00DD490C">
            <w:pPr>
              <w:pStyle w:val="Odstavecseseznamem"/>
              <w:numPr>
                <w:ilvl w:val="0"/>
                <w:numId w:val="10"/>
              </w:numPr>
              <w:spacing w:after="40"/>
              <w:ind w:left="355" w:hanging="283"/>
              <w:contextualSpacing w:val="0"/>
              <w:jc w:val="left"/>
              <w:rPr>
                <w:rFonts w:asciiTheme="minorHAnsi" w:hAnsiTheme="minorHAnsi"/>
                <w:bCs/>
                <w:strike/>
                <w:sz w:val="16"/>
                <w:szCs w:val="16"/>
              </w:rPr>
            </w:pPr>
            <w:r w:rsidRPr="00602E1B">
              <w:rPr>
                <w:rFonts w:asciiTheme="minorHAnsi" w:hAnsiTheme="minorHAnsi"/>
                <w:bCs/>
                <w:strike/>
                <w:sz w:val="16"/>
                <w:szCs w:val="16"/>
              </w:rPr>
              <w:t>prognózování a poradenství ohledně dlouhodobých pracovních příležitostí v důsledku strukturálních změn trhu práce;</w:t>
            </w:r>
          </w:p>
        </w:tc>
      </w:tr>
      <w:tr w:rsidR="004C7161" w:rsidRPr="00523D12" w:rsidTr="00F95534">
        <w:trPr>
          <w:trHeight w:val="384"/>
        </w:trPr>
        <w:tc>
          <w:tcPr>
            <w:tcW w:w="2425" w:type="dxa"/>
            <w:vMerge/>
            <w:vAlign w:val="center"/>
            <w:hideMark/>
          </w:tcPr>
          <w:p w:rsidR="004C7161" w:rsidRPr="00F95534" w:rsidRDefault="004C7161" w:rsidP="00DD490C">
            <w:pPr>
              <w:spacing w:line="240" w:lineRule="auto"/>
              <w:jc w:val="left"/>
              <w:rPr>
                <w:rFonts w:asciiTheme="minorHAnsi" w:hAnsiTheme="minorHAnsi"/>
                <w:bCs/>
                <w:sz w:val="16"/>
                <w:szCs w:val="16"/>
                <w:u w:val="single"/>
              </w:rPr>
            </w:pPr>
          </w:p>
        </w:tc>
        <w:tc>
          <w:tcPr>
            <w:tcW w:w="2268" w:type="dxa"/>
            <w:vMerge/>
            <w:vAlign w:val="center"/>
            <w:hideMark/>
          </w:tcPr>
          <w:p w:rsidR="004C7161" w:rsidRPr="00F95534" w:rsidRDefault="004C7161" w:rsidP="00DD490C">
            <w:pPr>
              <w:spacing w:line="240" w:lineRule="auto"/>
              <w:jc w:val="left"/>
              <w:rPr>
                <w:rFonts w:asciiTheme="minorHAnsi" w:hAnsiTheme="minorHAnsi"/>
                <w:bCs/>
                <w:sz w:val="16"/>
                <w:szCs w:val="16"/>
              </w:rPr>
            </w:pPr>
          </w:p>
        </w:tc>
        <w:tc>
          <w:tcPr>
            <w:tcW w:w="4394" w:type="dxa"/>
            <w:shd w:val="clear" w:color="auto" w:fill="auto"/>
            <w:vAlign w:val="center"/>
            <w:hideMark/>
          </w:tcPr>
          <w:p w:rsidR="004C7161"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Služby zaměstnanosti uzavřely formální či neformální ujednání o spolupráci s příslušnými zúčastněnými stranami</w:t>
            </w:r>
          </w:p>
          <w:p w:rsidR="00620AE8" w:rsidRPr="00620AE8" w:rsidRDefault="00620AE8" w:rsidP="00DD490C">
            <w:pPr>
              <w:spacing w:line="240" w:lineRule="auto"/>
              <w:jc w:val="left"/>
              <w:rPr>
                <w:rFonts w:asciiTheme="minorHAnsi" w:hAnsiTheme="minorHAnsi"/>
                <w:strike/>
                <w:sz w:val="16"/>
                <w:szCs w:val="16"/>
              </w:rPr>
            </w:pPr>
            <w:r w:rsidRPr="00620AE8">
              <w:rPr>
                <w:rFonts w:asciiTheme="minorHAnsi" w:hAnsiTheme="minorHAnsi"/>
                <w:strike/>
                <w:sz w:val="16"/>
                <w:szCs w:val="16"/>
              </w:rPr>
              <w:t>Služby zaměstnanosti mají vytvořené sítě se zaměstnavateli a vzdělávacími institucemi.</w:t>
            </w:r>
          </w:p>
        </w:tc>
      </w:tr>
      <w:tr w:rsidR="004C7161" w:rsidRPr="00523D12" w:rsidTr="00105C33">
        <w:trPr>
          <w:trHeight w:val="282"/>
        </w:trPr>
        <w:tc>
          <w:tcPr>
            <w:tcW w:w="2425" w:type="dxa"/>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bCs/>
                <w:sz w:val="16"/>
                <w:szCs w:val="16"/>
                <w:u w:val="single"/>
              </w:rPr>
              <w:t>ESF:</w:t>
            </w:r>
            <w:r w:rsidRPr="00F95534">
              <w:rPr>
                <w:rFonts w:asciiTheme="minorHAnsi" w:hAnsiTheme="minorHAnsi"/>
                <w:sz w:val="16"/>
                <w:szCs w:val="16"/>
              </w:rPr>
              <w:t xml:space="preserve"> samostatná výdělečná činnosti, podnikání a zakládání podniků; </w:t>
            </w:r>
          </w:p>
          <w:p w:rsidR="004C7161" w:rsidRPr="00F95534" w:rsidRDefault="004C7161" w:rsidP="00DD490C">
            <w:pPr>
              <w:spacing w:line="240" w:lineRule="auto"/>
              <w:jc w:val="left"/>
              <w:rPr>
                <w:rFonts w:asciiTheme="minorHAnsi" w:hAnsiTheme="minorHAnsi"/>
                <w:sz w:val="16"/>
                <w:szCs w:val="16"/>
              </w:rPr>
            </w:pPr>
          </w:p>
          <w:p w:rsidR="004C7161" w:rsidRPr="00F95534" w:rsidRDefault="004C7161" w:rsidP="00C07EED">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w:t>
            </w:r>
            <w:r w:rsidR="00C07EED">
              <w:rPr>
                <w:rFonts w:asciiTheme="minorHAnsi" w:hAnsiTheme="minorHAnsi"/>
                <w:bCs/>
                <w:sz w:val="16"/>
                <w:szCs w:val="16"/>
                <w:u w:val="single"/>
              </w:rPr>
              <w:t>F</w:t>
            </w:r>
            <w:r w:rsidRPr="00F95534">
              <w:rPr>
                <w:rFonts w:asciiTheme="minorHAnsi" w:hAnsiTheme="minorHAnsi"/>
                <w:bCs/>
                <w:sz w:val="16"/>
                <w:szCs w:val="16"/>
                <w:u w:val="single"/>
              </w:rPr>
              <w:t>R</w:t>
            </w:r>
            <w:r w:rsidR="00C07EED">
              <w:rPr>
                <w:rFonts w:asciiTheme="minorHAnsi" w:hAnsiTheme="minorHAnsi"/>
                <w:bCs/>
                <w:sz w:val="16"/>
                <w:szCs w:val="16"/>
                <w:u w:val="single"/>
              </w:rPr>
              <w:t>R</w:t>
            </w:r>
            <w:r w:rsidRPr="00F95534">
              <w:rPr>
                <w:rFonts w:asciiTheme="minorHAnsi" w:hAnsiTheme="minorHAnsi"/>
                <w:bCs/>
                <w:sz w:val="16"/>
                <w:szCs w:val="16"/>
                <w:u w:val="single"/>
              </w:rPr>
              <w:t>:</w:t>
            </w:r>
            <w:r w:rsidRPr="00F95534">
              <w:rPr>
                <w:rFonts w:asciiTheme="minorHAnsi" w:hAnsiTheme="minorHAnsi"/>
                <w:sz w:val="16"/>
                <w:szCs w:val="16"/>
              </w:rPr>
              <w:t xml:space="preserve"> rozvoj podnikatelských inkubátorů a investiční podpora pro osoby samostatně výdělečně činné, mikropodniky a zakládání podniků</w:t>
            </w:r>
          </w:p>
        </w:tc>
        <w:tc>
          <w:tcPr>
            <w:tcW w:w="2268"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 xml:space="preserve">8.2. </w:t>
            </w:r>
            <w:r w:rsidRPr="00F95534">
              <w:rPr>
                <w:rFonts w:asciiTheme="minorHAnsi" w:hAnsiTheme="minorHAnsi"/>
                <w:bCs/>
                <w:i/>
                <w:iCs/>
                <w:sz w:val="16"/>
                <w:szCs w:val="16"/>
              </w:rPr>
              <w:t xml:space="preserve">Samostatná výdělečná činnost, podnikání a zakládání firem: </w:t>
            </w:r>
            <w:r w:rsidRPr="00F95534">
              <w:rPr>
                <w:rFonts w:asciiTheme="minorHAnsi" w:hAnsiTheme="minorHAnsi"/>
                <w:bCs/>
                <w:sz w:val="16"/>
                <w:szCs w:val="16"/>
              </w:rPr>
              <w:t>existence strategického rámce politiky podpory začínajících podniků přispívající k začlenění.</w:t>
            </w:r>
          </w:p>
        </w:tc>
        <w:tc>
          <w:tcPr>
            <w:tcW w:w="4394" w:type="dxa"/>
            <w:shd w:val="clear" w:color="auto" w:fill="auto"/>
            <w:vAlign w:val="center"/>
            <w:hideMark/>
          </w:tcPr>
          <w:p w:rsidR="004C7161" w:rsidRPr="00105C33"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 xml:space="preserve">Existuje strategický rámec politiky podpory začínajících podniků </w:t>
            </w:r>
            <w:r w:rsidRPr="00105C33">
              <w:rPr>
                <w:rFonts w:asciiTheme="minorHAnsi" w:hAnsiTheme="minorHAnsi"/>
                <w:sz w:val="16"/>
                <w:szCs w:val="16"/>
              </w:rPr>
              <w:t>přispívající k začlenění, obsahující tyto prvky:</w:t>
            </w:r>
          </w:p>
          <w:p w:rsidR="004C7161" w:rsidRPr="00105C33"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105C33">
              <w:rPr>
                <w:rFonts w:asciiTheme="minorHAnsi" w:hAnsiTheme="minorHAnsi"/>
                <w:color w:val="000000"/>
                <w:sz w:val="16"/>
                <w:szCs w:val="16"/>
              </w:rPr>
              <w:t xml:space="preserve">opatření zaměřená na snížení nákladů </w:t>
            </w:r>
            <w:r w:rsidR="00DE294A" w:rsidRPr="00105C33">
              <w:rPr>
                <w:rFonts w:asciiTheme="minorHAnsi" w:hAnsiTheme="minorHAnsi"/>
                <w:strike/>
                <w:color w:val="000000"/>
                <w:sz w:val="16"/>
                <w:szCs w:val="16"/>
              </w:rPr>
              <w:t>na 100 EUR</w:t>
            </w:r>
            <w:r w:rsidR="00DE294A" w:rsidRPr="00105C33">
              <w:rPr>
                <w:rFonts w:asciiTheme="minorHAnsi" w:hAnsiTheme="minorHAnsi"/>
                <w:color w:val="000000"/>
                <w:sz w:val="16"/>
                <w:szCs w:val="16"/>
              </w:rPr>
              <w:t xml:space="preserve"> </w:t>
            </w:r>
            <w:r w:rsidRPr="00105C33">
              <w:rPr>
                <w:rFonts w:asciiTheme="minorHAnsi" w:hAnsiTheme="minorHAnsi"/>
                <w:color w:val="000000"/>
                <w:sz w:val="16"/>
                <w:szCs w:val="16"/>
              </w:rPr>
              <w:t>a zkrácení doby potřebných pro založení podniku</w:t>
            </w:r>
            <w:r w:rsidR="00DE294A" w:rsidRPr="00105C33">
              <w:rPr>
                <w:rFonts w:asciiTheme="minorHAnsi" w:hAnsiTheme="minorHAnsi"/>
                <w:color w:val="000000"/>
                <w:sz w:val="16"/>
                <w:szCs w:val="16"/>
              </w:rPr>
              <w:t xml:space="preserve"> </w:t>
            </w:r>
            <w:r w:rsidR="00DE294A" w:rsidRPr="00105C33">
              <w:rPr>
                <w:rFonts w:asciiTheme="minorHAnsi" w:hAnsiTheme="minorHAnsi"/>
                <w:strike/>
                <w:color w:val="000000"/>
                <w:sz w:val="16"/>
                <w:szCs w:val="16"/>
              </w:rPr>
              <w:t>na 3 dny</w:t>
            </w:r>
            <w:r w:rsidRPr="00105C33">
              <w:rPr>
                <w:rFonts w:asciiTheme="minorHAnsi" w:hAnsiTheme="minorHAnsi"/>
                <w:color w:val="000000"/>
                <w:sz w:val="16"/>
                <w:szCs w:val="16"/>
              </w:rPr>
              <w:t>,</w:t>
            </w:r>
          </w:p>
          <w:p w:rsidR="004C7161" w:rsidRPr="00105C33"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105C33">
              <w:rPr>
                <w:rFonts w:asciiTheme="minorHAnsi" w:hAnsiTheme="minorHAnsi"/>
                <w:color w:val="000000"/>
                <w:sz w:val="16"/>
                <w:szCs w:val="16"/>
              </w:rPr>
              <w:t>opatření ke zkrácení doby potřebné k získání licencí a povolení k zahájení a provádění konkrétní činnosti podniku</w:t>
            </w:r>
            <w:r w:rsidR="00105C33" w:rsidRPr="00105C33">
              <w:rPr>
                <w:rFonts w:asciiTheme="minorHAnsi" w:hAnsiTheme="minorHAnsi"/>
                <w:color w:val="000000"/>
                <w:sz w:val="16"/>
                <w:szCs w:val="16"/>
              </w:rPr>
              <w:t xml:space="preserve"> </w:t>
            </w:r>
            <w:r w:rsidR="00105C33" w:rsidRPr="00105C33">
              <w:rPr>
                <w:rFonts w:asciiTheme="minorHAnsi" w:hAnsiTheme="minorHAnsi"/>
                <w:strike/>
                <w:color w:val="000000"/>
                <w:sz w:val="16"/>
                <w:szCs w:val="16"/>
              </w:rPr>
              <w:t>na 3 měsíce</w:t>
            </w:r>
            <w:r w:rsidRPr="00105C33">
              <w:rPr>
                <w:rFonts w:asciiTheme="minorHAnsi" w:hAnsiTheme="minorHAnsi"/>
                <w:color w:val="000000"/>
                <w:sz w:val="16"/>
                <w:szCs w:val="16"/>
              </w:rPr>
              <w:t>,</w:t>
            </w:r>
          </w:p>
          <w:p w:rsidR="004C7161" w:rsidRPr="00F95534" w:rsidRDefault="004C7161" w:rsidP="00DD490C">
            <w:pPr>
              <w:pStyle w:val="Odstavecseseznamem"/>
              <w:numPr>
                <w:ilvl w:val="0"/>
                <w:numId w:val="10"/>
              </w:numPr>
              <w:spacing w:after="40"/>
              <w:ind w:left="355" w:hanging="283"/>
              <w:contextualSpacing w:val="0"/>
              <w:jc w:val="left"/>
              <w:rPr>
                <w:rFonts w:asciiTheme="minorHAnsi" w:hAnsiTheme="minorHAnsi"/>
                <w:sz w:val="16"/>
                <w:szCs w:val="16"/>
              </w:rPr>
            </w:pPr>
            <w:r w:rsidRPr="00105C33">
              <w:rPr>
                <w:rFonts w:asciiTheme="minorHAnsi" w:hAnsiTheme="minorHAnsi"/>
                <w:color w:val="000000"/>
                <w:sz w:val="16"/>
                <w:szCs w:val="16"/>
              </w:rPr>
              <w:t>činnosti propojující</w:t>
            </w:r>
            <w:r w:rsidRPr="00F95534">
              <w:rPr>
                <w:rFonts w:asciiTheme="minorHAnsi" w:hAnsiTheme="minorHAnsi"/>
                <w:color w:val="000000"/>
                <w:sz w:val="16"/>
                <w:szCs w:val="16"/>
              </w:rPr>
              <w:t xml:space="preserve"> vhodné služby pro rozvoj podnikání a finanční služby (přístup ke kapitálu), včetně případné aktivní pomoci pro znevýhodněné skupiny nebo oblasti.</w:t>
            </w:r>
          </w:p>
        </w:tc>
      </w:tr>
      <w:tr w:rsidR="004C7161" w:rsidRPr="00523D12" w:rsidTr="00602E1B">
        <w:trPr>
          <w:trHeight w:val="836"/>
        </w:trPr>
        <w:tc>
          <w:tcPr>
            <w:tcW w:w="2425"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bCs/>
                <w:sz w:val="16"/>
                <w:szCs w:val="16"/>
                <w:u w:val="single"/>
              </w:rPr>
              <w:t>ESF:</w:t>
            </w:r>
            <w:r w:rsidRPr="00F95534">
              <w:rPr>
                <w:rFonts w:asciiTheme="minorHAnsi" w:hAnsiTheme="minorHAnsi"/>
                <w:sz w:val="16"/>
                <w:szCs w:val="16"/>
              </w:rPr>
              <w:t xml:space="preserve"> modernizace a posílení institucí trhu práce, včetně opatření pro zlepšení nadnárodní mobility pracovních sil; </w:t>
            </w:r>
          </w:p>
          <w:p w:rsidR="004C7161" w:rsidRPr="00F95534" w:rsidRDefault="004C7161" w:rsidP="00DD490C">
            <w:pPr>
              <w:spacing w:line="240" w:lineRule="auto"/>
              <w:jc w:val="left"/>
              <w:rPr>
                <w:rFonts w:asciiTheme="minorHAnsi" w:hAnsiTheme="minorHAnsi"/>
                <w:sz w:val="16"/>
                <w:szCs w:val="16"/>
              </w:rPr>
            </w:pPr>
          </w:p>
          <w:p w:rsidR="004C7161" w:rsidRPr="00F95534" w:rsidRDefault="004C7161" w:rsidP="00C07EED">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w:t>
            </w:r>
            <w:r w:rsidR="00C07EED">
              <w:rPr>
                <w:rFonts w:asciiTheme="minorHAnsi" w:hAnsiTheme="minorHAnsi"/>
                <w:bCs/>
                <w:sz w:val="16"/>
                <w:szCs w:val="16"/>
                <w:u w:val="single"/>
              </w:rPr>
              <w:t>F</w:t>
            </w:r>
            <w:r w:rsidRPr="00F95534">
              <w:rPr>
                <w:rFonts w:asciiTheme="minorHAnsi" w:hAnsiTheme="minorHAnsi"/>
                <w:bCs/>
                <w:sz w:val="16"/>
                <w:szCs w:val="16"/>
                <w:u w:val="single"/>
              </w:rPr>
              <w:t>R</w:t>
            </w:r>
            <w:r w:rsidR="00C07EED">
              <w:rPr>
                <w:rFonts w:asciiTheme="minorHAnsi" w:hAnsiTheme="minorHAnsi"/>
                <w:bCs/>
                <w:sz w:val="16"/>
                <w:szCs w:val="16"/>
                <w:u w:val="single"/>
              </w:rPr>
              <w:t>R</w:t>
            </w:r>
            <w:r w:rsidRPr="00F95534">
              <w:rPr>
                <w:rFonts w:asciiTheme="minorHAnsi" w:hAnsiTheme="minorHAnsi"/>
                <w:bCs/>
                <w:sz w:val="16"/>
                <w:szCs w:val="16"/>
                <w:u w:val="single"/>
              </w:rPr>
              <w:t>:</w:t>
            </w:r>
            <w:r w:rsidRPr="00F95534">
              <w:rPr>
                <w:rFonts w:asciiTheme="minorHAnsi" w:hAnsiTheme="minorHAnsi"/>
                <w:sz w:val="16"/>
                <w:szCs w:val="16"/>
              </w:rPr>
              <w:t xml:space="preserve"> investování do infrastruktury pro veřejné služby zaměstnanosti </w:t>
            </w:r>
          </w:p>
        </w:tc>
        <w:tc>
          <w:tcPr>
            <w:tcW w:w="2268"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8.3. Instituce trhu práce jsou modernizované a posílené v souladu s hlavními směry politiky zaměstnanosti;</w:t>
            </w:r>
          </w:p>
          <w:p w:rsidR="004C7161" w:rsidRPr="00F95534" w:rsidRDefault="004C7161" w:rsidP="00DD490C">
            <w:pPr>
              <w:spacing w:line="240" w:lineRule="auto"/>
              <w:jc w:val="left"/>
              <w:rPr>
                <w:rFonts w:asciiTheme="minorHAnsi" w:hAnsiTheme="minorHAnsi"/>
                <w:bCs/>
                <w:sz w:val="16"/>
                <w:szCs w:val="16"/>
              </w:rPr>
            </w:pPr>
          </w:p>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 Zahájení reforem institucí trhu práce předchází zavedení jasného strategického rámce příslušné politiky a předběžné hodnocení, včetně zohlednění problematiky rovnosti pohlaví.</w:t>
            </w:r>
          </w:p>
        </w:tc>
        <w:bookmarkStart w:id="35" w:name="RANGE!E82"/>
        <w:tc>
          <w:tcPr>
            <w:tcW w:w="4394" w:type="dxa"/>
            <w:shd w:val="clear" w:color="auto" w:fill="auto"/>
            <w:vAlign w:val="center"/>
            <w:hideMark/>
          </w:tcPr>
          <w:p w:rsidR="004C7161" w:rsidRPr="00F95534" w:rsidRDefault="0037582F" w:rsidP="00DD490C">
            <w:pPr>
              <w:spacing w:line="240" w:lineRule="auto"/>
              <w:jc w:val="left"/>
              <w:rPr>
                <w:rFonts w:asciiTheme="minorHAnsi" w:hAnsiTheme="minorHAnsi"/>
                <w:sz w:val="16"/>
                <w:szCs w:val="16"/>
              </w:rPr>
            </w:pPr>
            <w:r w:rsidRPr="00F95534">
              <w:rPr>
                <w:rFonts w:asciiTheme="minorHAnsi" w:hAnsiTheme="minorHAnsi"/>
                <w:sz w:val="16"/>
                <w:szCs w:val="16"/>
              </w:rPr>
              <w:fldChar w:fldCharType="begin"/>
            </w:r>
            <w:r w:rsidR="004C7161" w:rsidRPr="00F95534">
              <w:rPr>
                <w:rFonts w:asciiTheme="minorHAnsi" w:hAnsiTheme="minorHAnsi"/>
                <w:sz w:val="16"/>
                <w:szCs w:val="16"/>
              </w:rPr>
              <w:instrText xml:space="preserve"> HYPERLINK "file:///C:\\Documents%20and%20Settings\\skodav2\\Plocha\\MV%20vyjádření.Tabulka%20kondicionalit.xlsx" \l "RANGE!#REF!" </w:instrText>
            </w:r>
            <w:r w:rsidRPr="00F95534">
              <w:rPr>
                <w:rFonts w:asciiTheme="minorHAnsi" w:hAnsiTheme="minorHAnsi"/>
                <w:sz w:val="16"/>
                <w:szCs w:val="16"/>
              </w:rPr>
              <w:fldChar w:fldCharType="separate"/>
            </w:r>
            <w:r w:rsidR="004C7161" w:rsidRPr="00F95534">
              <w:rPr>
                <w:rFonts w:asciiTheme="minorHAnsi" w:hAnsiTheme="minorHAnsi"/>
                <w:sz w:val="16"/>
                <w:szCs w:val="16"/>
              </w:rPr>
              <w:t>Opatření k reformě služeb zaměstnanosti, jejichž cílem je zajistit jim kapacity umožňující poskytovat:</w:t>
            </w:r>
            <w:r w:rsidRPr="00F95534">
              <w:rPr>
                <w:rFonts w:asciiTheme="minorHAnsi" w:hAnsiTheme="minorHAnsi"/>
                <w:sz w:val="16"/>
                <w:szCs w:val="16"/>
              </w:rPr>
              <w:fldChar w:fldCharType="end"/>
            </w:r>
          </w:p>
          <w:bookmarkEnd w:id="35"/>
          <w:p w:rsidR="004C7161" w:rsidRPr="00F9553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individualizované služby a aktivní a preventivní opatření na trhu práce v raném stadiu, jež upřednostňují nejzranitelnější uchazeče o zaměstnání,</w:t>
            </w:r>
          </w:p>
          <w:p w:rsidR="004C7161" w:rsidRPr="00602E1B" w:rsidRDefault="004C7161" w:rsidP="00DD490C">
            <w:pPr>
              <w:pStyle w:val="Odstavecseseznamem"/>
              <w:numPr>
                <w:ilvl w:val="0"/>
                <w:numId w:val="10"/>
              </w:numPr>
              <w:spacing w:after="40"/>
              <w:ind w:left="355" w:hanging="283"/>
              <w:contextualSpacing w:val="0"/>
              <w:jc w:val="left"/>
              <w:rPr>
                <w:rFonts w:asciiTheme="minorHAnsi" w:hAnsiTheme="minorHAnsi"/>
                <w:sz w:val="16"/>
                <w:szCs w:val="16"/>
              </w:rPr>
            </w:pPr>
            <w:r w:rsidRPr="00F95534">
              <w:rPr>
                <w:rFonts w:asciiTheme="minorHAnsi" w:hAnsiTheme="minorHAnsi"/>
                <w:color w:val="000000"/>
                <w:sz w:val="16"/>
                <w:szCs w:val="16"/>
              </w:rPr>
              <w:t>informace o nových volných pracovních místech.</w:t>
            </w:r>
          </w:p>
          <w:p w:rsidR="00602E1B" w:rsidRPr="00602E1B" w:rsidRDefault="00602E1B" w:rsidP="00DD490C">
            <w:pPr>
              <w:pStyle w:val="Odstavecseseznamem"/>
              <w:numPr>
                <w:ilvl w:val="0"/>
                <w:numId w:val="10"/>
              </w:numPr>
              <w:spacing w:after="40"/>
              <w:ind w:left="355" w:hanging="283"/>
              <w:contextualSpacing w:val="0"/>
              <w:jc w:val="left"/>
              <w:rPr>
                <w:rFonts w:asciiTheme="minorHAnsi" w:hAnsiTheme="minorHAnsi"/>
                <w:strike/>
                <w:sz w:val="16"/>
                <w:szCs w:val="16"/>
              </w:rPr>
            </w:pPr>
            <w:r w:rsidRPr="00602E1B">
              <w:rPr>
                <w:rFonts w:asciiTheme="minorHAnsi" w:hAnsiTheme="minorHAnsi"/>
                <w:strike/>
                <w:sz w:val="16"/>
                <w:szCs w:val="16"/>
              </w:rPr>
              <w:t>poradenství ohledně dlouhodobých pracovních příležitostí v důsledku strukturálních změn trhu práce;</w:t>
            </w:r>
          </w:p>
        </w:tc>
      </w:tr>
      <w:tr w:rsidR="004C7161" w:rsidRPr="00523D12" w:rsidTr="00DD490C">
        <w:trPr>
          <w:trHeight w:val="827"/>
        </w:trPr>
        <w:tc>
          <w:tcPr>
            <w:tcW w:w="2425" w:type="dxa"/>
            <w:vMerge/>
            <w:vAlign w:val="center"/>
            <w:hideMark/>
          </w:tcPr>
          <w:p w:rsidR="004C7161" w:rsidRPr="00F95534" w:rsidRDefault="004C7161" w:rsidP="00DD490C">
            <w:pPr>
              <w:spacing w:line="240" w:lineRule="auto"/>
              <w:jc w:val="left"/>
              <w:rPr>
                <w:rFonts w:asciiTheme="minorHAnsi" w:hAnsiTheme="minorHAnsi"/>
                <w:bCs/>
                <w:sz w:val="16"/>
                <w:szCs w:val="16"/>
                <w:u w:val="single"/>
              </w:rPr>
            </w:pPr>
          </w:p>
        </w:tc>
        <w:tc>
          <w:tcPr>
            <w:tcW w:w="2268" w:type="dxa"/>
            <w:vMerge/>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p>
        </w:tc>
        <w:tc>
          <w:tcPr>
            <w:tcW w:w="4394" w:type="dxa"/>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Reforma služeb zaměstnanosti bude zahrnovat uzavření formálních či neformálních ujednání o spolupráci s příslušnými zúčastněnými stranami.</w:t>
            </w:r>
          </w:p>
        </w:tc>
      </w:tr>
      <w:tr w:rsidR="004C7161" w:rsidRPr="00523D12" w:rsidTr="00F95534">
        <w:trPr>
          <w:trHeight w:val="1199"/>
        </w:trPr>
        <w:tc>
          <w:tcPr>
            <w:tcW w:w="2425"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ESF:</w:t>
            </w:r>
            <w:r w:rsidRPr="00F95534">
              <w:rPr>
                <w:rFonts w:asciiTheme="minorHAnsi" w:hAnsiTheme="minorHAnsi"/>
                <w:sz w:val="16"/>
                <w:szCs w:val="16"/>
              </w:rPr>
              <w:t xml:space="preserve"> aktivní a zdravé stárnutí</w:t>
            </w:r>
          </w:p>
        </w:tc>
        <w:bookmarkStart w:id="36" w:name="RANGE!D87"/>
        <w:tc>
          <w:tcPr>
            <w:tcW w:w="2268" w:type="dxa"/>
            <w:shd w:val="clear" w:color="auto" w:fill="auto"/>
            <w:vAlign w:val="center"/>
            <w:hideMark/>
          </w:tcPr>
          <w:p w:rsidR="004C7161" w:rsidRPr="00F95534" w:rsidRDefault="0037582F" w:rsidP="00DD490C">
            <w:pPr>
              <w:spacing w:line="240" w:lineRule="auto"/>
              <w:jc w:val="left"/>
              <w:rPr>
                <w:rFonts w:asciiTheme="minorHAnsi" w:hAnsiTheme="minorHAnsi"/>
                <w:bCs/>
                <w:sz w:val="16"/>
                <w:szCs w:val="16"/>
              </w:rPr>
            </w:pPr>
            <w:r w:rsidRPr="00F95534">
              <w:rPr>
                <w:rFonts w:asciiTheme="minorHAnsi" w:hAnsiTheme="minorHAnsi"/>
                <w:bCs/>
                <w:sz w:val="16"/>
                <w:szCs w:val="16"/>
              </w:rPr>
              <w:fldChar w:fldCharType="begin"/>
            </w:r>
            <w:r w:rsidR="004C7161" w:rsidRPr="00F95534">
              <w:rPr>
                <w:rFonts w:asciiTheme="minorHAnsi" w:hAnsiTheme="minorHAnsi"/>
                <w:bCs/>
                <w:sz w:val="16"/>
                <w:szCs w:val="16"/>
              </w:rPr>
              <w:instrText xml:space="preserve"> HYPERLINK "file:///C:\\Documents%20and%20Settings\\skodav2\\Plocha\\MV%20vyjádření.Tabulka%20kondicionalit.xlsx" \l "RANGE!#REF!" </w:instrText>
            </w:r>
            <w:r w:rsidRPr="00F95534">
              <w:rPr>
                <w:rFonts w:asciiTheme="minorHAnsi" w:hAnsiTheme="minorHAnsi"/>
                <w:bCs/>
                <w:sz w:val="16"/>
                <w:szCs w:val="16"/>
              </w:rPr>
              <w:fldChar w:fldCharType="separate"/>
            </w:r>
            <w:r w:rsidR="004C7161" w:rsidRPr="00F95534">
              <w:rPr>
                <w:rFonts w:asciiTheme="minorHAnsi" w:hAnsiTheme="minorHAnsi"/>
                <w:bCs/>
                <w:sz w:val="16"/>
                <w:szCs w:val="16"/>
              </w:rPr>
              <w:t xml:space="preserve">8.4. Aktivní a zdravé stárnutí: Politiky aktivního stárnutí jsou koncipována v souladu s hlavními směry politiky zaměstnanosti </w:t>
            </w:r>
            <w:r w:rsidRPr="00F95534">
              <w:rPr>
                <w:rFonts w:asciiTheme="minorHAnsi" w:hAnsiTheme="minorHAnsi"/>
                <w:bCs/>
                <w:sz w:val="16"/>
                <w:szCs w:val="16"/>
              </w:rPr>
              <w:fldChar w:fldCharType="end"/>
            </w:r>
            <w:bookmarkEnd w:id="36"/>
          </w:p>
        </w:tc>
        <w:bookmarkStart w:id="37" w:name="RANGE!E87"/>
        <w:tc>
          <w:tcPr>
            <w:tcW w:w="4394" w:type="dxa"/>
            <w:shd w:val="clear" w:color="auto" w:fill="auto"/>
            <w:vAlign w:val="center"/>
            <w:hideMark/>
          </w:tcPr>
          <w:p w:rsidR="004C7161" w:rsidRPr="00F95534" w:rsidRDefault="0037582F" w:rsidP="00DD490C">
            <w:pPr>
              <w:spacing w:line="240" w:lineRule="auto"/>
              <w:jc w:val="left"/>
              <w:rPr>
                <w:rFonts w:asciiTheme="minorHAnsi" w:hAnsiTheme="minorHAnsi"/>
                <w:bCs/>
                <w:sz w:val="16"/>
                <w:szCs w:val="16"/>
              </w:rPr>
            </w:pPr>
            <w:r w:rsidRPr="00F95534">
              <w:rPr>
                <w:rFonts w:asciiTheme="minorHAnsi" w:hAnsiTheme="minorHAnsi"/>
                <w:bCs/>
                <w:sz w:val="16"/>
                <w:szCs w:val="16"/>
              </w:rPr>
              <w:fldChar w:fldCharType="begin"/>
            </w:r>
            <w:r w:rsidR="004C7161" w:rsidRPr="00F95534">
              <w:rPr>
                <w:rFonts w:asciiTheme="minorHAnsi" w:hAnsiTheme="minorHAnsi"/>
                <w:bCs/>
                <w:sz w:val="16"/>
                <w:szCs w:val="16"/>
              </w:rPr>
              <w:instrText xml:space="preserve"> HYPERLINK "file:///C:\\Documents%20and%20Settings\\skodav2\\Plocha\\MV%20vyjádření.Tabulka%20kondicionalit.xlsx" \l "RANGE!#REF!" </w:instrText>
            </w:r>
            <w:r w:rsidRPr="00F95534">
              <w:rPr>
                <w:rFonts w:asciiTheme="minorHAnsi" w:hAnsiTheme="minorHAnsi"/>
                <w:bCs/>
                <w:sz w:val="16"/>
                <w:szCs w:val="16"/>
              </w:rPr>
              <w:fldChar w:fldCharType="separate"/>
            </w:r>
            <w:r w:rsidR="004C7161" w:rsidRPr="00F95534">
              <w:rPr>
                <w:rFonts w:asciiTheme="minorHAnsi" w:hAnsiTheme="minorHAnsi"/>
                <w:bCs/>
                <w:sz w:val="16"/>
                <w:szCs w:val="16"/>
              </w:rPr>
              <w:t>Opatření k řešení problematiky aktivního a zdravého stárnutí:</w:t>
            </w:r>
            <w:r w:rsidRPr="00F95534">
              <w:rPr>
                <w:rFonts w:asciiTheme="minorHAnsi" w:hAnsiTheme="minorHAnsi"/>
                <w:bCs/>
                <w:sz w:val="16"/>
                <w:szCs w:val="16"/>
              </w:rPr>
              <w:fldChar w:fldCharType="end"/>
            </w:r>
          </w:p>
          <w:bookmarkEnd w:id="37"/>
          <w:p w:rsidR="004C7161" w:rsidRPr="007913E3" w:rsidRDefault="004C7161" w:rsidP="00DD490C">
            <w:pPr>
              <w:pStyle w:val="Odstavecseseznamem"/>
              <w:numPr>
                <w:ilvl w:val="0"/>
                <w:numId w:val="10"/>
              </w:numPr>
              <w:spacing w:after="40"/>
              <w:ind w:left="355" w:hanging="283"/>
              <w:contextualSpacing w:val="0"/>
              <w:jc w:val="left"/>
              <w:rPr>
                <w:rFonts w:asciiTheme="minorHAnsi" w:hAnsiTheme="minorHAnsi"/>
                <w:bCs/>
                <w:sz w:val="16"/>
                <w:szCs w:val="16"/>
              </w:rPr>
            </w:pPr>
            <w:r w:rsidRPr="00F95534">
              <w:rPr>
                <w:rFonts w:asciiTheme="minorHAnsi" w:hAnsiTheme="minorHAnsi"/>
                <w:color w:val="000000"/>
                <w:sz w:val="16"/>
                <w:szCs w:val="16"/>
              </w:rPr>
              <w:t>příslušné zúčastněné strany se podílejí na koncipování a provádění politik aktivního stárnutí zaměřených na udržení starších pracovníků na trhu práce a na podporu jejich zaměstnávání.</w:t>
            </w:r>
          </w:p>
          <w:p w:rsidR="007913E3" w:rsidRPr="007913E3" w:rsidRDefault="007913E3" w:rsidP="00DD490C">
            <w:pPr>
              <w:pStyle w:val="Odstavecseseznamem"/>
              <w:numPr>
                <w:ilvl w:val="0"/>
                <w:numId w:val="10"/>
              </w:numPr>
              <w:spacing w:after="40"/>
              <w:ind w:left="355" w:hanging="283"/>
              <w:contextualSpacing w:val="0"/>
              <w:jc w:val="left"/>
              <w:rPr>
                <w:rFonts w:asciiTheme="minorHAnsi" w:hAnsiTheme="minorHAnsi"/>
                <w:bCs/>
                <w:strike/>
                <w:sz w:val="16"/>
                <w:szCs w:val="16"/>
              </w:rPr>
            </w:pPr>
            <w:r w:rsidRPr="007913E3">
              <w:rPr>
                <w:rFonts w:asciiTheme="minorHAnsi" w:hAnsiTheme="minorHAnsi"/>
                <w:bCs/>
                <w:strike/>
                <w:sz w:val="16"/>
                <w:szCs w:val="16"/>
              </w:rPr>
              <w:t>poradenství ohledně dlouhodobých pracovních příležitostí v důsledku strukturálních změn trhu práce;</w:t>
            </w:r>
          </w:p>
        </w:tc>
      </w:tr>
      <w:tr w:rsidR="004C7161" w:rsidRPr="00523D12" w:rsidTr="00DD490C">
        <w:trPr>
          <w:trHeight w:val="732"/>
        </w:trPr>
        <w:tc>
          <w:tcPr>
            <w:tcW w:w="2425"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ESF:</w:t>
            </w:r>
            <w:r w:rsidRPr="00F95534">
              <w:rPr>
                <w:rFonts w:asciiTheme="minorHAnsi" w:hAnsiTheme="minorHAnsi"/>
                <w:sz w:val="16"/>
                <w:szCs w:val="16"/>
              </w:rPr>
              <w:t xml:space="preserve"> pomoc pracovníkům, podnikům a podnikatelům přizpůsobovat se změnám</w:t>
            </w:r>
          </w:p>
        </w:tc>
        <w:bookmarkStart w:id="38" w:name="RANGE!D90"/>
        <w:tc>
          <w:tcPr>
            <w:tcW w:w="2268" w:type="dxa"/>
            <w:shd w:val="clear" w:color="auto" w:fill="auto"/>
            <w:vAlign w:val="center"/>
            <w:hideMark/>
          </w:tcPr>
          <w:p w:rsidR="004C7161" w:rsidRPr="00F95534" w:rsidRDefault="0037582F" w:rsidP="00DD490C">
            <w:pPr>
              <w:spacing w:line="240" w:lineRule="auto"/>
              <w:jc w:val="left"/>
              <w:rPr>
                <w:rFonts w:asciiTheme="minorHAnsi" w:hAnsiTheme="minorHAnsi"/>
                <w:bCs/>
                <w:sz w:val="16"/>
                <w:szCs w:val="16"/>
              </w:rPr>
            </w:pPr>
            <w:r w:rsidRPr="00F95534">
              <w:rPr>
                <w:rFonts w:asciiTheme="minorHAnsi" w:hAnsiTheme="minorHAnsi"/>
                <w:bCs/>
                <w:sz w:val="16"/>
                <w:szCs w:val="16"/>
              </w:rPr>
              <w:fldChar w:fldCharType="begin"/>
            </w:r>
            <w:r w:rsidR="004C7161" w:rsidRPr="00F95534">
              <w:rPr>
                <w:rFonts w:asciiTheme="minorHAnsi" w:hAnsiTheme="minorHAnsi"/>
                <w:bCs/>
                <w:sz w:val="16"/>
                <w:szCs w:val="16"/>
              </w:rPr>
              <w:instrText xml:space="preserve"> HYPERLINK "file:///C:\\Documents%20and%20Settings\\skodav2\\Plocha\\MV%20vyjádření.Tabulka%20kondicionalit.xlsx" \l "RANGE!#REF!" </w:instrText>
            </w:r>
            <w:r w:rsidRPr="00F95534">
              <w:rPr>
                <w:rFonts w:asciiTheme="minorHAnsi" w:hAnsiTheme="minorHAnsi"/>
                <w:bCs/>
                <w:sz w:val="16"/>
                <w:szCs w:val="16"/>
              </w:rPr>
              <w:fldChar w:fldCharType="separate"/>
            </w:r>
            <w:r w:rsidR="004C7161" w:rsidRPr="00F95534">
              <w:rPr>
                <w:rFonts w:asciiTheme="minorHAnsi" w:hAnsiTheme="minorHAnsi"/>
                <w:bCs/>
                <w:sz w:val="16"/>
                <w:szCs w:val="16"/>
              </w:rPr>
              <w:t xml:space="preserve">8.5. </w:t>
            </w:r>
            <w:r w:rsidR="004C7161" w:rsidRPr="00F95534">
              <w:rPr>
                <w:rFonts w:asciiTheme="minorHAnsi" w:hAnsiTheme="minorHAnsi"/>
                <w:bCs/>
                <w:i/>
                <w:iCs/>
                <w:sz w:val="16"/>
                <w:szCs w:val="16"/>
              </w:rPr>
              <w:t xml:space="preserve">Pomoc pracovníkům, podnikům a podnikatelům přizpůsobovat se změnám: </w:t>
            </w:r>
            <w:r w:rsidR="004C7161" w:rsidRPr="00F95534">
              <w:rPr>
                <w:rFonts w:asciiTheme="minorHAnsi" w:hAnsiTheme="minorHAnsi"/>
                <w:bCs/>
                <w:sz w:val="16"/>
                <w:szCs w:val="16"/>
              </w:rPr>
              <w:t>Existence politik zaměřených na upřednostňování předvídání a dobré zvládání změn a restrukturalizací.</w:t>
            </w:r>
            <w:r w:rsidRPr="00F95534">
              <w:rPr>
                <w:rFonts w:asciiTheme="minorHAnsi" w:hAnsiTheme="minorHAnsi"/>
                <w:bCs/>
                <w:sz w:val="16"/>
                <w:szCs w:val="16"/>
              </w:rPr>
              <w:fldChar w:fldCharType="end"/>
            </w:r>
            <w:bookmarkEnd w:id="38"/>
          </w:p>
        </w:tc>
        <w:tc>
          <w:tcPr>
            <w:tcW w:w="4394" w:type="dxa"/>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K dispozici je určité omezené množství základních nástrojů, které sociálním partnerům a orgánům veřejné správy pomáhají lépe rozvíjet iniciativní přístupy ke změnám a restrukturalizacím, zejména existují politiky zaměřené na upřednostňování předvídání a dobré zvládání změn a restrukturalizací.</w:t>
            </w:r>
          </w:p>
        </w:tc>
      </w:tr>
      <w:tr w:rsidR="00DC3CE8" w:rsidRPr="00523D12" w:rsidTr="00DD490C">
        <w:trPr>
          <w:trHeight w:val="732"/>
        </w:trPr>
        <w:tc>
          <w:tcPr>
            <w:tcW w:w="2425" w:type="dxa"/>
            <w:shd w:val="clear" w:color="auto" w:fill="auto"/>
            <w:vAlign w:val="center"/>
          </w:tcPr>
          <w:p w:rsidR="00DC3CE8" w:rsidRPr="00F95534" w:rsidRDefault="00DC3CE8" w:rsidP="00DD490C">
            <w:pPr>
              <w:spacing w:line="240" w:lineRule="auto"/>
              <w:jc w:val="left"/>
              <w:rPr>
                <w:rFonts w:asciiTheme="minorHAnsi" w:hAnsiTheme="minorHAnsi"/>
                <w:bCs/>
                <w:sz w:val="16"/>
                <w:szCs w:val="16"/>
                <w:u w:val="single"/>
              </w:rPr>
            </w:pPr>
          </w:p>
        </w:tc>
        <w:tc>
          <w:tcPr>
            <w:tcW w:w="2268" w:type="dxa"/>
            <w:shd w:val="clear" w:color="auto" w:fill="auto"/>
            <w:vAlign w:val="center"/>
          </w:tcPr>
          <w:p w:rsidR="00DC3CE8" w:rsidRPr="00F95534" w:rsidRDefault="00EB3250" w:rsidP="00DC3CE8">
            <w:pPr>
              <w:spacing w:line="240" w:lineRule="auto"/>
              <w:jc w:val="left"/>
              <w:rPr>
                <w:rFonts w:asciiTheme="minorHAnsi" w:hAnsiTheme="minorHAnsi"/>
                <w:bCs/>
                <w:sz w:val="16"/>
                <w:szCs w:val="16"/>
              </w:rPr>
            </w:pPr>
            <w:r w:rsidRPr="00EB3250">
              <w:rPr>
                <w:rFonts w:asciiTheme="minorHAnsi" w:hAnsiTheme="minorHAnsi"/>
                <w:bCs/>
                <w:sz w:val="16"/>
                <w:szCs w:val="16"/>
              </w:rPr>
              <w:t>8 6. Trvalé začlenění na trh práce mladých lidí ve věku 15-24 let bez zaměstnání, vzdělávání nebo odborné přípravy: Existence komplexního strategického rámce politiky pro dosažení cílů Balíčku zaměstnanosti mládeže a zejména pro stanovení systému Záruka pro mládež v souladu s Doporučením Rady ze dne [xxx]</w:t>
            </w:r>
          </w:p>
        </w:tc>
        <w:tc>
          <w:tcPr>
            <w:tcW w:w="4394" w:type="dxa"/>
            <w:shd w:val="clear" w:color="auto" w:fill="auto"/>
            <w:vAlign w:val="center"/>
          </w:tcPr>
          <w:p w:rsidR="00EB3250" w:rsidRPr="00EB3250" w:rsidRDefault="00EB3250" w:rsidP="00EB3250">
            <w:pPr>
              <w:spacing w:line="240" w:lineRule="auto"/>
              <w:jc w:val="left"/>
              <w:rPr>
                <w:rFonts w:asciiTheme="minorHAnsi" w:hAnsiTheme="minorHAnsi"/>
                <w:sz w:val="16"/>
                <w:szCs w:val="16"/>
              </w:rPr>
            </w:pPr>
            <w:r w:rsidRPr="00EB3250">
              <w:rPr>
                <w:rFonts w:asciiTheme="minorHAnsi" w:hAnsiTheme="minorHAnsi"/>
                <w:sz w:val="16"/>
                <w:szCs w:val="16"/>
              </w:rPr>
              <w:t>Komplexní strategický rámec politiky pro dosažení cílů programu Balíčku zaměstnanosti mládeže a zejména pro stanovení systému Záruka pro mládež</w:t>
            </w:r>
          </w:p>
          <w:p w:rsidR="00EB3250" w:rsidRPr="00EB3250" w:rsidRDefault="00EB3250" w:rsidP="00EB3250">
            <w:pPr>
              <w:spacing w:line="240" w:lineRule="auto"/>
              <w:jc w:val="left"/>
              <w:rPr>
                <w:rFonts w:asciiTheme="minorHAnsi" w:hAnsiTheme="minorHAnsi"/>
                <w:sz w:val="16"/>
                <w:szCs w:val="16"/>
              </w:rPr>
            </w:pPr>
            <w:r w:rsidRPr="00EB3250">
              <w:rPr>
                <w:rFonts w:asciiTheme="minorHAnsi" w:hAnsiTheme="minorHAnsi"/>
                <w:sz w:val="16"/>
                <w:szCs w:val="16"/>
              </w:rPr>
              <w:t>v souladu s doporučením Rady ze dne [xxx] splňuje následující požadavky:</w:t>
            </w:r>
          </w:p>
          <w:p w:rsidR="00EB3250" w:rsidRPr="00EB3250" w:rsidRDefault="00EB3250" w:rsidP="00EB3250">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EB3250">
              <w:rPr>
                <w:rFonts w:asciiTheme="minorHAnsi" w:hAnsiTheme="minorHAnsi"/>
                <w:color w:val="000000"/>
                <w:sz w:val="16"/>
                <w:szCs w:val="16"/>
              </w:rPr>
              <w:t>je založen na systému opatření, které měří výsledky pro mladé lidi ve věku 15-24 let bez zaměstnání, vzdělávání nebo odborné přípravy:</w:t>
            </w:r>
          </w:p>
          <w:p w:rsidR="00EB3250" w:rsidRDefault="00EB3250" w:rsidP="00EB3250">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EB3250">
              <w:rPr>
                <w:rFonts w:asciiTheme="minorHAnsi" w:hAnsiTheme="minorHAnsi"/>
                <w:color w:val="000000"/>
                <w:sz w:val="16"/>
                <w:szCs w:val="16"/>
              </w:rPr>
              <w:t>stanoví systém pro sběr a analýzu údajů a informací systému Záruka pro mládež  na příslušných úrovních, který zajistí dostatečnou průkaznost za účelem vypracování cílených opatření a sleduje vývoj srovnávacích hod</w:t>
            </w:r>
            <w:r>
              <w:rPr>
                <w:rFonts w:asciiTheme="minorHAnsi" w:hAnsiTheme="minorHAnsi"/>
                <w:color w:val="000000"/>
                <w:sz w:val="16"/>
                <w:szCs w:val="16"/>
              </w:rPr>
              <w:t>nocení, všude, kde je to možné.</w:t>
            </w:r>
          </w:p>
          <w:p w:rsidR="00EB3250" w:rsidRPr="00EB3250" w:rsidRDefault="00EB3250" w:rsidP="00EB3250">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EB3250">
              <w:rPr>
                <w:rFonts w:asciiTheme="minorHAnsi" w:hAnsiTheme="minorHAnsi"/>
                <w:color w:val="000000"/>
                <w:sz w:val="16"/>
                <w:szCs w:val="16"/>
              </w:rPr>
              <w:t>určuje příslušný veřejný orgán odpovědný za vytvoření a systému Záruka pro mládež a koordinace partnerství na všech úrovních a odvětví;</w:t>
            </w:r>
          </w:p>
          <w:p w:rsidR="00EB3250" w:rsidRPr="00EB3250" w:rsidRDefault="00EB3250" w:rsidP="00EB3250">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EB3250">
              <w:rPr>
                <w:rFonts w:asciiTheme="minorHAnsi" w:hAnsiTheme="minorHAnsi"/>
                <w:color w:val="000000"/>
                <w:sz w:val="16"/>
                <w:szCs w:val="16"/>
              </w:rPr>
              <w:t>zahrnuje všechny zúčastněné strany, které jsou relevantní pro řešení nezaměstnanosti mladých lidí;</w:t>
            </w:r>
          </w:p>
          <w:p w:rsidR="00DC3CE8" w:rsidRPr="00F95534" w:rsidRDefault="00EB3250" w:rsidP="00EB3250">
            <w:pPr>
              <w:pStyle w:val="Odstavecseseznamem"/>
              <w:numPr>
                <w:ilvl w:val="0"/>
                <w:numId w:val="10"/>
              </w:numPr>
              <w:spacing w:after="40"/>
              <w:ind w:left="355" w:hanging="283"/>
              <w:contextualSpacing w:val="0"/>
              <w:jc w:val="left"/>
              <w:rPr>
                <w:rFonts w:asciiTheme="minorHAnsi" w:hAnsiTheme="minorHAnsi"/>
                <w:sz w:val="16"/>
                <w:szCs w:val="16"/>
              </w:rPr>
            </w:pPr>
            <w:r w:rsidRPr="00EB3250">
              <w:rPr>
                <w:rFonts w:asciiTheme="minorHAnsi" w:hAnsiTheme="minorHAnsi"/>
                <w:color w:val="000000"/>
                <w:sz w:val="16"/>
                <w:szCs w:val="16"/>
              </w:rPr>
              <w:t xml:space="preserve">je založen </w:t>
            </w:r>
            <w:r>
              <w:rPr>
                <w:rFonts w:asciiTheme="minorHAnsi" w:hAnsiTheme="minorHAnsi"/>
                <w:color w:val="000000"/>
                <w:sz w:val="16"/>
                <w:szCs w:val="16"/>
              </w:rPr>
              <w:t xml:space="preserve">na včasné intervenci a aktivace </w:t>
            </w:r>
            <w:r w:rsidRPr="00EB3250">
              <w:rPr>
                <w:rFonts w:asciiTheme="minorHAnsi" w:hAnsiTheme="minorHAnsi"/>
                <w:color w:val="000000"/>
                <w:sz w:val="16"/>
                <w:szCs w:val="16"/>
              </w:rPr>
              <w:t>zahrnujíc podpůrná opatření pro začlenění na trhu práce, včetně opatření ke zvýšení dovedností a souvisejících opatření.</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9: Investice do rozvoje dovedností, vzdělávání a celoživotního učení</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91"/>
        <w:gridCol w:w="1843"/>
        <w:gridCol w:w="5953"/>
      </w:tblGrid>
      <w:tr w:rsidR="004C7161" w:rsidRPr="00523D12" w:rsidTr="00DD490C">
        <w:trPr>
          <w:trHeight w:val="635"/>
        </w:trPr>
        <w:tc>
          <w:tcPr>
            <w:tcW w:w="1291"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1843"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953"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819"/>
        </w:trPr>
        <w:tc>
          <w:tcPr>
            <w:tcW w:w="1291" w:type="dxa"/>
            <w:vMerge w:val="restart"/>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u w:val="single"/>
              </w:rPr>
            </w:pPr>
            <w:r w:rsidRPr="002466B4">
              <w:rPr>
                <w:rFonts w:asciiTheme="minorHAnsi" w:hAnsiTheme="minorHAnsi"/>
                <w:bCs/>
                <w:sz w:val="17"/>
                <w:szCs w:val="17"/>
                <w:u w:val="single"/>
              </w:rPr>
              <w:t>ESF:</w:t>
            </w:r>
            <w:r w:rsidRPr="002466B4">
              <w:rPr>
                <w:rFonts w:asciiTheme="minorHAnsi" w:hAnsiTheme="minorHAnsi"/>
                <w:sz w:val="17"/>
                <w:szCs w:val="17"/>
              </w:rPr>
              <w:t xml:space="preserve"> předcházení předčasnému ukončování školní docházky a jeho omezování</w:t>
            </w:r>
          </w:p>
        </w:tc>
        <w:bookmarkStart w:id="39" w:name="RANGE!D92"/>
        <w:tc>
          <w:tcPr>
            <w:tcW w:w="1843" w:type="dxa"/>
            <w:vMerge w:val="restart"/>
            <w:shd w:val="clear" w:color="auto" w:fill="auto"/>
            <w:vAlign w:val="center"/>
            <w:hideMark/>
          </w:tcPr>
          <w:p w:rsidR="004C7161" w:rsidRPr="002466B4" w:rsidRDefault="0037582F" w:rsidP="00DD490C">
            <w:pPr>
              <w:spacing w:line="240" w:lineRule="auto"/>
              <w:jc w:val="left"/>
              <w:rPr>
                <w:rFonts w:asciiTheme="minorHAnsi" w:hAnsiTheme="minorHAnsi"/>
                <w:bCs/>
                <w:sz w:val="17"/>
                <w:szCs w:val="17"/>
              </w:rPr>
            </w:pPr>
            <w:r w:rsidRPr="002466B4">
              <w:rPr>
                <w:rFonts w:asciiTheme="minorHAnsi" w:hAnsiTheme="minorHAnsi"/>
                <w:bCs/>
                <w:sz w:val="17"/>
                <w:szCs w:val="17"/>
              </w:rPr>
              <w:fldChar w:fldCharType="begin"/>
            </w:r>
            <w:r w:rsidR="004C7161" w:rsidRPr="002466B4">
              <w:rPr>
                <w:rFonts w:asciiTheme="minorHAnsi" w:hAnsiTheme="minorHAnsi"/>
                <w:bCs/>
                <w:sz w:val="17"/>
                <w:szCs w:val="17"/>
              </w:rPr>
              <w:instrText xml:space="preserve"> HYPERLINK "file:///C:\\Documents%20and%20Settings\\skodav2\\Plocha\\MV%20vyjádření.Tabulka%20kondicionalit.xlsx" \l "RANGE!#REF!" </w:instrText>
            </w:r>
            <w:r w:rsidRPr="002466B4">
              <w:rPr>
                <w:rFonts w:asciiTheme="minorHAnsi" w:hAnsiTheme="minorHAnsi"/>
                <w:bCs/>
                <w:sz w:val="17"/>
                <w:szCs w:val="17"/>
              </w:rPr>
              <w:fldChar w:fldCharType="separate"/>
            </w:r>
            <w:r w:rsidR="004C7161" w:rsidRPr="002466B4">
              <w:rPr>
                <w:rFonts w:asciiTheme="minorHAnsi" w:hAnsiTheme="minorHAnsi"/>
                <w:bCs/>
                <w:sz w:val="17"/>
                <w:szCs w:val="17"/>
              </w:rPr>
              <w:t xml:space="preserve">9.1. </w:t>
            </w:r>
            <w:r w:rsidR="004C7161" w:rsidRPr="002466B4">
              <w:rPr>
                <w:rFonts w:asciiTheme="minorHAnsi" w:hAnsiTheme="minorHAnsi"/>
                <w:bCs/>
                <w:i/>
                <w:iCs/>
                <w:sz w:val="17"/>
                <w:szCs w:val="17"/>
              </w:rPr>
              <w:t>Předčasné ukončování školní docházky:</w:t>
            </w:r>
            <w:r w:rsidR="004C7161" w:rsidRPr="002466B4">
              <w:rPr>
                <w:rFonts w:asciiTheme="minorHAnsi" w:hAnsiTheme="minorHAnsi"/>
                <w:bCs/>
                <w:sz w:val="17"/>
                <w:szCs w:val="17"/>
              </w:rPr>
              <w:t xml:space="preserve"> existence strategického rámce politiky zaměřené na omezování předčasného ukončování školní docházky v mezích článku 165 SFEU.</w:t>
            </w:r>
            <w:r w:rsidRPr="002466B4">
              <w:rPr>
                <w:rFonts w:asciiTheme="minorHAnsi" w:hAnsiTheme="minorHAnsi"/>
                <w:bCs/>
                <w:sz w:val="17"/>
                <w:szCs w:val="17"/>
              </w:rPr>
              <w:fldChar w:fldCharType="end"/>
            </w:r>
            <w:bookmarkEnd w:id="39"/>
          </w:p>
        </w:tc>
        <w:tc>
          <w:tcPr>
            <w:tcW w:w="5953" w:type="dxa"/>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rPr>
              <w:t>Je zaveden systém pro sběr a analýzu údajů a informací o předčasném ukončování školní docházky na příslušných úrovních, který:</w:t>
            </w:r>
          </w:p>
          <w:p w:rsidR="004C7161" w:rsidRPr="00E007F8" w:rsidRDefault="004C7161" w:rsidP="00DD490C">
            <w:pPr>
              <w:pStyle w:val="Odstavecseseznamem"/>
              <w:numPr>
                <w:ilvl w:val="0"/>
                <w:numId w:val="10"/>
              </w:numPr>
              <w:spacing w:after="40"/>
              <w:ind w:left="355" w:hanging="283"/>
              <w:contextualSpacing w:val="0"/>
              <w:jc w:val="left"/>
              <w:rPr>
                <w:rFonts w:asciiTheme="minorHAnsi" w:hAnsiTheme="minorHAnsi"/>
                <w:bCs/>
                <w:sz w:val="17"/>
                <w:szCs w:val="17"/>
              </w:rPr>
            </w:pPr>
            <w:r w:rsidRPr="002466B4">
              <w:rPr>
                <w:rFonts w:asciiTheme="minorHAnsi" w:hAnsiTheme="minorHAnsi"/>
                <w:color w:val="000000"/>
                <w:sz w:val="17"/>
                <w:szCs w:val="17"/>
              </w:rPr>
              <w:t>poskytuje dostatek podkladů pro vypracování cílených politik a umožňuje sledování vývoje.</w:t>
            </w:r>
          </w:p>
          <w:p w:rsidR="00E007F8" w:rsidRPr="00E007F8" w:rsidRDefault="00E007F8" w:rsidP="00DD490C">
            <w:pPr>
              <w:pStyle w:val="Odstavecseseznamem"/>
              <w:numPr>
                <w:ilvl w:val="0"/>
                <w:numId w:val="10"/>
              </w:numPr>
              <w:spacing w:after="40"/>
              <w:ind w:left="355" w:hanging="283"/>
              <w:contextualSpacing w:val="0"/>
              <w:jc w:val="left"/>
              <w:rPr>
                <w:rFonts w:asciiTheme="minorHAnsi" w:hAnsiTheme="minorHAnsi"/>
                <w:bCs/>
                <w:strike/>
                <w:sz w:val="17"/>
                <w:szCs w:val="17"/>
              </w:rPr>
            </w:pPr>
            <w:r w:rsidRPr="00E007F8">
              <w:rPr>
                <w:rFonts w:asciiTheme="minorHAnsi" w:hAnsiTheme="minorHAnsi"/>
                <w:bCs/>
                <w:strike/>
                <w:sz w:val="17"/>
                <w:szCs w:val="17"/>
              </w:rPr>
              <w:t>se systematicky využívá ke sledování vývoje na příslušné úrovni.</w:t>
            </w:r>
          </w:p>
        </w:tc>
      </w:tr>
      <w:tr w:rsidR="004C7161" w:rsidRPr="00523D12" w:rsidTr="00FB6B3D">
        <w:trPr>
          <w:trHeight w:val="282"/>
        </w:trPr>
        <w:tc>
          <w:tcPr>
            <w:tcW w:w="1291" w:type="dxa"/>
            <w:vMerge/>
            <w:vAlign w:val="center"/>
            <w:hideMark/>
          </w:tcPr>
          <w:p w:rsidR="004C7161" w:rsidRPr="002466B4" w:rsidRDefault="004C7161" w:rsidP="00DD490C">
            <w:pPr>
              <w:spacing w:line="240" w:lineRule="auto"/>
              <w:jc w:val="left"/>
              <w:rPr>
                <w:rFonts w:asciiTheme="minorHAnsi" w:hAnsiTheme="minorHAnsi"/>
                <w:bCs/>
                <w:sz w:val="17"/>
                <w:szCs w:val="17"/>
                <w:u w:val="single"/>
              </w:rPr>
            </w:pPr>
          </w:p>
        </w:tc>
        <w:tc>
          <w:tcPr>
            <w:tcW w:w="1843" w:type="dxa"/>
            <w:vMerge/>
            <w:vAlign w:val="center"/>
            <w:hideMark/>
          </w:tcPr>
          <w:p w:rsidR="004C7161" w:rsidRPr="002466B4" w:rsidRDefault="004C7161" w:rsidP="00DD490C">
            <w:pPr>
              <w:spacing w:line="240" w:lineRule="auto"/>
              <w:jc w:val="left"/>
              <w:rPr>
                <w:rFonts w:asciiTheme="minorHAnsi" w:hAnsiTheme="minorHAnsi"/>
                <w:bCs/>
                <w:sz w:val="17"/>
                <w:szCs w:val="17"/>
              </w:rPr>
            </w:pPr>
          </w:p>
        </w:tc>
        <w:tc>
          <w:tcPr>
            <w:tcW w:w="5953"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Existuje strategický rámec politiky zaměřené na řešení problematiky předčasného ukončování školní docházky, který:</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vychází z objektivních podkladů,</w:t>
            </w:r>
          </w:p>
          <w:p w:rsidR="004C7161"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týká se důležitých oblastí vzdělávání, včetně předškolního, a zabývá se preventivními, intervenčními a kompenzačními opatřeními</w:t>
            </w:r>
          </w:p>
          <w:p w:rsidR="00E007F8" w:rsidRPr="00E007F8" w:rsidRDefault="00E007F8" w:rsidP="00DD490C">
            <w:pPr>
              <w:pStyle w:val="Odstavecseseznamem"/>
              <w:numPr>
                <w:ilvl w:val="0"/>
                <w:numId w:val="10"/>
              </w:numPr>
              <w:spacing w:after="40"/>
              <w:ind w:left="355" w:hanging="283"/>
              <w:contextualSpacing w:val="0"/>
              <w:jc w:val="left"/>
              <w:rPr>
                <w:rFonts w:asciiTheme="minorHAnsi" w:hAnsiTheme="minorHAnsi"/>
                <w:strike/>
                <w:color w:val="000000"/>
                <w:sz w:val="17"/>
                <w:szCs w:val="17"/>
              </w:rPr>
            </w:pPr>
            <w:r w:rsidRPr="00E007F8">
              <w:rPr>
                <w:rFonts w:asciiTheme="minorHAnsi" w:hAnsiTheme="minorHAnsi"/>
                <w:strike/>
                <w:color w:val="000000"/>
                <w:sz w:val="17"/>
                <w:szCs w:val="17"/>
              </w:rPr>
              <w:t>stanoví cíle, které jsou v souladu s doporučením Rady o politikách snížení předčasného ukončování školní docházky,</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sz w:val="17"/>
                <w:szCs w:val="17"/>
              </w:rPr>
            </w:pPr>
            <w:r w:rsidRPr="002466B4">
              <w:rPr>
                <w:rFonts w:asciiTheme="minorHAnsi" w:hAnsiTheme="minorHAnsi"/>
                <w:color w:val="000000"/>
                <w:sz w:val="17"/>
                <w:szCs w:val="17"/>
              </w:rPr>
              <w:t>zahrnuje všechny oblasti politiky a zúčastněné strany, které jsou důležité pro řešení problematiky předčasného ukončování školní docházky.</w:t>
            </w:r>
          </w:p>
        </w:tc>
      </w:tr>
      <w:tr w:rsidR="004C7161" w:rsidRPr="00523D12" w:rsidTr="00E007F8">
        <w:trPr>
          <w:trHeight w:val="2030"/>
        </w:trPr>
        <w:tc>
          <w:tcPr>
            <w:tcW w:w="1291" w:type="dxa"/>
            <w:vMerge w:val="restart"/>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u w:val="single"/>
              </w:rPr>
            </w:pPr>
            <w:r w:rsidRPr="002466B4">
              <w:rPr>
                <w:rFonts w:asciiTheme="minorHAnsi" w:hAnsiTheme="minorHAnsi"/>
                <w:bCs/>
                <w:sz w:val="17"/>
                <w:szCs w:val="17"/>
                <w:u w:val="single"/>
              </w:rPr>
              <w:t>ESF:</w:t>
            </w:r>
            <w:r w:rsidRPr="002466B4">
              <w:rPr>
                <w:rFonts w:asciiTheme="minorHAnsi" w:hAnsiTheme="minorHAnsi"/>
                <w:sz w:val="17"/>
                <w:szCs w:val="17"/>
              </w:rPr>
              <w:t xml:space="preserve"> zlepšování kvality, účinnosti a otevřenosti terciárního a obdobného vzdělávání s cílem zvýšit účast a úrovně dosaženého vzdělání</w:t>
            </w:r>
          </w:p>
        </w:tc>
        <w:bookmarkStart w:id="40" w:name="RANGE!D100"/>
        <w:tc>
          <w:tcPr>
            <w:tcW w:w="1843" w:type="dxa"/>
            <w:vMerge w:val="restart"/>
            <w:shd w:val="clear" w:color="auto" w:fill="auto"/>
            <w:vAlign w:val="center"/>
            <w:hideMark/>
          </w:tcPr>
          <w:p w:rsidR="004C7161" w:rsidRPr="002466B4" w:rsidRDefault="0037582F" w:rsidP="00DD490C">
            <w:pPr>
              <w:spacing w:line="240" w:lineRule="auto"/>
              <w:jc w:val="left"/>
              <w:rPr>
                <w:rFonts w:asciiTheme="minorHAnsi" w:hAnsiTheme="minorHAnsi"/>
                <w:bCs/>
                <w:sz w:val="17"/>
                <w:szCs w:val="17"/>
              </w:rPr>
            </w:pPr>
            <w:r w:rsidRPr="002466B4">
              <w:rPr>
                <w:rFonts w:asciiTheme="minorHAnsi" w:hAnsiTheme="minorHAnsi"/>
                <w:bCs/>
                <w:sz w:val="17"/>
                <w:szCs w:val="17"/>
              </w:rPr>
              <w:fldChar w:fldCharType="begin"/>
            </w:r>
            <w:r w:rsidR="004C7161" w:rsidRPr="002466B4">
              <w:rPr>
                <w:rFonts w:asciiTheme="minorHAnsi" w:hAnsiTheme="minorHAnsi"/>
                <w:bCs/>
                <w:sz w:val="17"/>
                <w:szCs w:val="17"/>
              </w:rPr>
              <w:instrText xml:space="preserve"> HYPERLINK "file:///C:\\Documents%20and%20Settings\\skodav2\\Plocha\\MV%20vyjádření.Tabulka%20kondicionalit.xlsx" \l "RANGE!#REF!" </w:instrText>
            </w:r>
            <w:r w:rsidRPr="002466B4">
              <w:rPr>
                <w:rFonts w:asciiTheme="minorHAnsi" w:hAnsiTheme="minorHAnsi"/>
                <w:bCs/>
                <w:sz w:val="17"/>
                <w:szCs w:val="17"/>
              </w:rPr>
              <w:fldChar w:fldCharType="separate"/>
            </w:r>
            <w:r w:rsidR="004C7161" w:rsidRPr="002466B4">
              <w:rPr>
                <w:rFonts w:asciiTheme="minorHAnsi" w:hAnsiTheme="minorHAnsi"/>
                <w:bCs/>
                <w:sz w:val="17"/>
                <w:szCs w:val="17"/>
              </w:rPr>
              <w:t xml:space="preserve">9.2. </w:t>
            </w:r>
            <w:r w:rsidR="004C7161" w:rsidRPr="002466B4">
              <w:rPr>
                <w:rFonts w:asciiTheme="minorHAnsi" w:hAnsiTheme="minorHAnsi"/>
                <w:bCs/>
                <w:i/>
                <w:iCs/>
                <w:sz w:val="17"/>
                <w:szCs w:val="17"/>
              </w:rPr>
              <w:t>Vysokoškolské vzdělání:</w:t>
            </w:r>
            <w:r w:rsidR="004C7161" w:rsidRPr="002466B4">
              <w:rPr>
                <w:rFonts w:asciiTheme="minorHAnsi" w:hAnsiTheme="minorHAnsi"/>
                <w:bCs/>
                <w:sz w:val="17"/>
                <w:szCs w:val="17"/>
              </w:rPr>
              <w:t xml:space="preserve"> existence vnitrostátního nebo regionálního strategického rámce politiky zaměřené na zvyšování úrovně dosaženého terciárního vzdělání, kvality a účinnosti v mezích článku 165 SFEU.</w:t>
            </w:r>
            <w:r w:rsidRPr="002466B4">
              <w:rPr>
                <w:rFonts w:asciiTheme="minorHAnsi" w:hAnsiTheme="minorHAnsi"/>
                <w:bCs/>
                <w:sz w:val="17"/>
                <w:szCs w:val="17"/>
              </w:rPr>
              <w:fldChar w:fldCharType="end"/>
            </w:r>
            <w:bookmarkEnd w:id="40"/>
          </w:p>
        </w:tc>
        <w:tc>
          <w:tcPr>
            <w:tcW w:w="5953" w:type="dxa"/>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rPr>
              <w:t>Existuje vnitrostátní nebo regionální strategický rámec politiky v oblasti terciárního vzdělávání, obsahující tyto prvky:</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opatření ke zvýšení účasti a úrovně dosaženého vzdělání, jež:</w:t>
            </w:r>
          </w:p>
          <w:p w:rsidR="00E007F8" w:rsidRPr="00E007F8" w:rsidRDefault="00E007F8" w:rsidP="00DD490C">
            <w:pPr>
              <w:pStyle w:val="Odstavecseseznamem"/>
              <w:numPr>
                <w:ilvl w:val="0"/>
                <w:numId w:val="10"/>
              </w:numPr>
              <w:spacing w:after="40"/>
              <w:ind w:left="639" w:hanging="283"/>
              <w:contextualSpacing w:val="0"/>
              <w:jc w:val="left"/>
              <w:rPr>
                <w:rFonts w:asciiTheme="minorHAnsi" w:hAnsiTheme="minorHAnsi"/>
                <w:strike/>
                <w:color w:val="000000"/>
                <w:sz w:val="17"/>
                <w:szCs w:val="17"/>
              </w:rPr>
            </w:pPr>
            <w:r w:rsidRPr="00E007F8">
              <w:rPr>
                <w:rFonts w:asciiTheme="minorHAnsi" w:hAnsiTheme="minorHAnsi"/>
                <w:strike/>
                <w:color w:val="000000"/>
                <w:sz w:val="17"/>
                <w:szCs w:val="17"/>
              </w:rPr>
              <w:t>zkvalitňují poradenství poskytované zájemcům o studium,</w:t>
            </w:r>
          </w:p>
          <w:p w:rsidR="004C7161"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zvyšují účast na vysokoškolském vzdělávání mezi nízko příjmovými skupinami a jinými nedostatečně zastoupenými skupinami,</w:t>
            </w:r>
          </w:p>
          <w:p w:rsidR="00E007F8" w:rsidRPr="00E007F8" w:rsidRDefault="00E007F8" w:rsidP="00DD490C">
            <w:pPr>
              <w:pStyle w:val="Odstavecseseznamem"/>
              <w:numPr>
                <w:ilvl w:val="0"/>
                <w:numId w:val="10"/>
              </w:numPr>
              <w:spacing w:after="40"/>
              <w:ind w:left="639" w:hanging="283"/>
              <w:contextualSpacing w:val="0"/>
              <w:jc w:val="left"/>
              <w:rPr>
                <w:rFonts w:asciiTheme="minorHAnsi" w:hAnsiTheme="minorHAnsi"/>
                <w:strike/>
                <w:color w:val="000000"/>
                <w:sz w:val="17"/>
                <w:szCs w:val="17"/>
              </w:rPr>
            </w:pPr>
            <w:r w:rsidRPr="00E007F8">
              <w:rPr>
                <w:rFonts w:asciiTheme="minorHAnsi" w:hAnsiTheme="minorHAnsi"/>
                <w:strike/>
                <w:color w:val="000000"/>
                <w:sz w:val="17"/>
                <w:szCs w:val="17"/>
              </w:rPr>
              <w:t>zvyšují počet studentů z řad dospělých,</w:t>
            </w:r>
          </w:p>
          <w:p w:rsidR="004C7161" w:rsidRPr="002466B4" w:rsidRDefault="004C7161" w:rsidP="00DD490C">
            <w:pPr>
              <w:pStyle w:val="Odstavecseseznamem"/>
              <w:numPr>
                <w:ilvl w:val="0"/>
                <w:numId w:val="10"/>
              </w:numPr>
              <w:spacing w:after="40"/>
              <w:ind w:left="639" w:hanging="283"/>
              <w:contextualSpacing w:val="0"/>
              <w:jc w:val="left"/>
              <w:rPr>
                <w:rFonts w:asciiTheme="minorHAnsi" w:hAnsiTheme="minorHAnsi"/>
                <w:bCs/>
                <w:sz w:val="17"/>
                <w:szCs w:val="17"/>
              </w:rPr>
            </w:pPr>
            <w:r w:rsidRPr="002466B4">
              <w:rPr>
                <w:rFonts w:asciiTheme="minorHAnsi" w:hAnsiTheme="minorHAnsi"/>
                <w:color w:val="000000"/>
                <w:sz w:val="17"/>
                <w:szCs w:val="17"/>
              </w:rPr>
              <w:t>snižují míru nedokončení studia či zvyšují míru dokončení studia,</w:t>
            </w:r>
          </w:p>
        </w:tc>
      </w:tr>
      <w:tr w:rsidR="00E007F8" w:rsidRPr="00523D12" w:rsidTr="00E007F8">
        <w:trPr>
          <w:trHeight w:val="595"/>
        </w:trPr>
        <w:tc>
          <w:tcPr>
            <w:tcW w:w="1291" w:type="dxa"/>
            <w:vMerge/>
            <w:shd w:val="clear" w:color="auto" w:fill="auto"/>
            <w:vAlign w:val="center"/>
            <w:hideMark/>
          </w:tcPr>
          <w:p w:rsidR="00E007F8" w:rsidRPr="002466B4" w:rsidRDefault="00E007F8" w:rsidP="00DD490C">
            <w:pPr>
              <w:spacing w:line="240" w:lineRule="auto"/>
              <w:jc w:val="left"/>
              <w:rPr>
                <w:rFonts w:asciiTheme="minorHAnsi" w:hAnsiTheme="minorHAnsi"/>
                <w:bCs/>
                <w:sz w:val="17"/>
                <w:szCs w:val="17"/>
                <w:u w:val="single"/>
              </w:rPr>
            </w:pPr>
          </w:p>
        </w:tc>
        <w:tc>
          <w:tcPr>
            <w:tcW w:w="1843" w:type="dxa"/>
            <w:vMerge/>
            <w:shd w:val="clear" w:color="auto" w:fill="auto"/>
            <w:vAlign w:val="center"/>
            <w:hideMark/>
          </w:tcPr>
          <w:p w:rsidR="00E007F8" w:rsidRPr="002466B4" w:rsidRDefault="00E007F8" w:rsidP="00DD490C">
            <w:pPr>
              <w:spacing w:line="240" w:lineRule="auto"/>
              <w:jc w:val="left"/>
              <w:rPr>
                <w:rFonts w:asciiTheme="minorHAnsi" w:hAnsiTheme="minorHAnsi"/>
                <w:bCs/>
                <w:sz w:val="17"/>
                <w:szCs w:val="17"/>
              </w:rPr>
            </w:pPr>
          </w:p>
        </w:tc>
        <w:tc>
          <w:tcPr>
            <w:tcW w:w="5953" w:type="dxa"/>
            <w:shd w:val="clear" w:color="auto" w:fill="auto"/>
            <w:vAlign w:val="center"/>
            <w:hideMark/>
          </w:tcPr>
          <w:p w:rsidR="00E007F8" w:rsidRPr="00E007F8" w:rsidRDefault="00E007F8" w:rsidP="00DD490C">
            <w:pPr>
              <w:spacing w:line="240" w:lineRule="auto"/>
              <w:jc w:val="left"/>
              <w:rPr>
                <w:rFonts w:asciiTheme="minorHAnsi" w:hAnsiTheme="minorHAnsi"/>
                <w:bCs/>
                <w:strike/>
                <w:sz w:val="17"/>
                <w:szCs w:val="17"/>
              </w:rPr>
            </w:pPr>
            <w:r w:rsidRPr="00E007F8">
              <w:rPr>
                <w:rFonts w:asciiTheme="minorHAnsi" w:hAnsiTheme="minorHAnsi"/>
                <w:bCs/>
                <w:strike/>
                <w:sz w:val="17"/>
                <w:szCs w:val="17"/>
              </w:rPr>
              <w:t>Opatření ke zvýšení kvality, jež:</w:t>
            </w:r>
          </w:p>
          <w:p w:rsidR="00E007F8" w:rsidRPr="00E007F8" w:rsidRDefault="00E007F8" w:rsidP="00E007F8">
            <w:pPr>
              <w:pStyle w:val="Odstavecseseznamem"/>
              <w:numPr>
                <w:ilvl w:val="0"/>
                <w:numId w:val="10"/>
              </w:numPr>
              <w:spacing w:after="40"/>
              <w:ind w:left="639" w:hanging="283"/>
              <w:contextualSpacing w:val="0"/>
              <w:jc w:val="left"/>
              <w:rPr>
                <w:rFonts w:asciiTheme="minorHAnsi" w:hAnsiTheme="minorHAnsi"/>
                <w:strike/>
                <w:color w:val="000000"/>
                <w:sz w:val="17"/>
                <w:szCs w:val="17"/>
              </w:rPr>
            </w:pPr>
            <w:r w:rsidRPr="00E007F8">
              <w:rPr>
                <w:rFonts w:asciiTheme="minorHAnsi" w:hAnsiTheme="minorHAnsi"/>
                <w:strike/>
                <w:color w:val="000000"/>
                <w:sz w:val="17"/>
                <w:szCs w:val="17"/>
              </w:rPr>
              <w:t>podporují inovativní obsah a koncepci programů,</w:t>
            </w:r>
          </w:p>
          <w:p w:rsidR="00E007F8" w:rsidRPr="002466B4" w:rsidRDefault="00E007F8" w:rsidP="00E007F8">
            <w:pPr>
              <w:pStyle w:val="Odstavecseseznamem"/>
              <w:numPr>
                <w:ilvl w:val="0"/>
                <w:numId w:val="10"/>
              </w:numPr>
              <w:spacing w:after="40"/>
              <w:ind w:left="639" w:hanging="283"/>
              <w:contextualSpacing w:val="0"/>
              <w:jc w:val="left"/>
              <w:rPr>
                <w:rFonts w:asciiTheme="minorHAnsi" w:hAnsiTheme="minorHAnsi"/>
                <w:bCs/>
                <w:sz w:val="17"/>
                <w:szCs w:val="17"/>
              </w:rPr>
            </w:pPr>
            <w:r w:rsidRPr="00E007F8">
              <w:rPr>
                <w:rFonts w:asciiTheme="minorHAnsi" w:hAnsiTheme="minorHAnsi"/>
                <w:strike/>
                <w:color w:val="000000"/>
                <w:sz w:val="17"/>
                <w:szCs w:val="17"/>
              </w:rPr>
              <w:t>podporují vysokou úroveň kvality výuky,</w:t>
            </w:r>
          </w:p>
        </w:tc>
      </w:tr>
      <w:tr w:rsidR="004C7161" w:rsidRPr="00523D12" w:rsidTr="00620AE8">
        <w:trPr>
          <w:trHeight w:val="269"/>
        </w:trPr>
        <w:tc>
          <w:tcPr>
            <w:tcW w:w="1291" w:type="dxa"/>
            <w:vMerge/>
            <w:vAlign w:val="center"/>
            <w:hideMark/>
          </w:tcPr>
          <w:p w:rsidR="004C7161" w:rsidRPr="002466B4" w:rsidRDefault="004C7161" w:rsidP="00DD490C">
            <w:pPr>
              <w:spacing w:line="240" w:lineRule="auto"/>
              <w:jc w:val="left"/>
              <w:rPr>
                <w:rFonts w:asciiTheme="minorHAnsi" w:hAnsiTheme="minorHAnsi"/>
                <w:bCs/>
                <w:sz w:val="17"/>
                <w:szCs w:val="17"/>
                <w:u w:val="single"/>
              </w:rPr>
            </w:pPr>
          </w:p>
        </w:tc>
        <w:tc>
          <w:tcPr>
            <w:tcW w:w="1843" w:type="dxa"/>
            <w:vMerge/>
            <w:vAlign w:val="center"/>
            <w:hideMark/>
          </w:tcPr>
          <w:p w:rsidR="004C7161" w:rsidRPr="002466B4" w:rsidRDefault="004C7161" w:rsidP="00DD490C">
            <w:pPr>
              <w:spacing w:line="240" w:lineRule="auto"/>
              <w:jc w:val="left"/>
              <w:rPr>
                <w:rFonts w:asciiTheme="minorHAnsi" w:hAnsiTheme="minorHAnsi"/>
                <w:bCs/>
                <w:sz w:val="17"/>
                <w:szCs w:val="17"/>
              </w:rPr>
            </w:pPr>
          </w:p>
        </w:tc>
        <w:tc>
          <w:tcPr>
            <w:tcW w:w="5953" w:type="dxa"/>
            <w:shd w:val="clear" w:color="auto" w:fill="auto"/>
            <w:vAlign w:val="center"/>
            <w:hideMark/>
          </w:tcPr>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opatření ke zvýšení zaměstnatelnosti a míry podnikání, jež:</w:t>
            </w:r>
          </w:p>
          <w:p w:rsidR="004C7161" w:rsidRPr="002466B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v příslušných programech vysokoškolského vzdělávání podporují rozvoj „průřezových dovedností“ včetně podnikatelských dovedností</w:t>
            </w:r>
          </w:p>
          <w:p w:rsidR="004C7161" w:rsidRPr="00E007F8" w:rsidRDefault="004C7161" w:rsidP="00DD490C">
            <w:pPr>
              <w:pStyle w:val="Odstavecseseznamem"/>
              <w:numPr>
                <w:ilvl w:val="0"/>
                <w:numId w:val="10"/>
              </w:numPr>
              <w:spacing w:after="40"/>
              <w:ind w:left="639" w:hanging="283"/>
              <w:contextualSpacing w:val="0"/>
              <w:jc w:val="left"/>
              <w:rPr>
                <w:rFonts w:asciiTheme="minorHAnsi" w:hAnsiTheme="minorHAnsi"/>
                <w:sz w:val="17"/>
                <w:szCs w:val="17"/>
              </w:rPr>
            </w:pPr>
            <w:r w:rsidRPr="002466B4">
              <w:rPr>
                <w:rFonts w:asciiTheme="minorHAnsi" w:hAnsiTheme="minorHAnsi"/>
                <w:color w:val="000000"/>
                <w:sz w:val="17"/>
                <w:szCs w:val="17"/>
              </w:rPr>
              <w:t>omezují rozdíly mezi pohlavími, pokud jde o volbu vzdělání a povolání.</w:t>
            </w:r>
          </w:p>
          <w:p w:rsidR="00E007F8" w:rsidRPr="00E007F8" w:rsidRDefault="00E007F8" w:rsidP="00DD490C">
            <w:pPr>
              <w:pStyle w:val="Odstavecseseznamem"/>
              <w:numPr>
                <w:ilvl w:val="0"/>
                <w:numId w:val="10"/>
              </w:numPr>
              <w:spacing w:after="40"/>
              <w:ind w:left="639" w:hanging="283"/>
              <w:contextualSpacing w:val="0"/>
              <w:jc w:val="left"/>
              <w:rPr>
                <w:rFonts w:asciiTheme="minorHAnsi" w:hAnsiTheme="minorHAnsi"/>
                <w:strike/>
                <w:sz w:val="17"/>
                <w:szCs w:val="17"/>
              </w:rPr>
            </w:pPr>
            <w:r w:rsidRPr="00E007F8">
              <w:rPr>
                <w:rFonts w:asciiTheme="minorHAnsi" w:hAnsiTheme="minorHAnsi"/>
                <w:strike/>
                <w:sz w:val="17"/>
                <w:szCs w:val="17"/>
              </w:rPr>
              <w:t>zajišťují informovanou výuku s využitím poznatků z výzkumu a vývoje v podnikatelské praxi.</w:t>
            </w:r>
          </w:p>
        </w:tc>
      </w:tr>
      <w:tr w:rsidR="004C7161" w:rsidRPr="00523D12" w:rsidTr="00DD490C">
        <w:trPr>
          <w:trHeight w:val="2395"/>
        </w:trPr>
        <w:tc>
          <w:tcPr>
            <w:tcW w:w="1291" w:type="dxa"/>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u w:val="single"/>
              </w:rPr>
            </w:pPr>
            <w:r w:rsidRPr="002466B4">
              <w:rPr>
                <w:rFonts w:asciiTheme="minorHAnsi" w:hAnsiTheme="minorHAnsi"/>
                <w:bCs/>
                <w:sz w:val="17"/>
                <w:szCs w:val="17"/>
                <w:u w:val="single"/>
              </w:rPr>
              <w:t>ESF:</w:t>
            </w:r>
            <w:r w:rsidRPr="002466B4">
              <w:rPr>
                <w:rFonts w:asciiTheme="minorHAnsi" w:hAnsiTheme="minorHAnsi"/>
                <w:sz w:val="17"/>
                <w:szCs w:val="17"/>
              </w:rPr>
              <w:t xml:space="preserve"> zlepšování přístupu k celoživotnímu učení, rozvoji dovedností a kompetencí pracovních sil</w:t>
            </w:r>
          </w:p>
        </w:tc>
        <w:bookmarkStart w:id="41" w:name="RANGE!D113"/>
        <w:tc>
          <w:tcPr>
            <w:tcW w:w="1843" w:type="dxa"/>
            <w:shd w:val="clear" w:color="auto" w:fill="auto"/>
            <w:vAlign w:val="center"/>
            <w:hideMark/>
          </w:tcPr>
          <w:p w:rsidR="004C7161" w:rsidRPr="002466B4" w:rsidRDefault="0037582F" w:rsidP="00DD490C">
            <w:pPr>
              <w:spacing w:line="240" w:lineRule="auto"/>
              <w:jc w:val="left"/>
              <w:rPr>
                <w:rFonts w:asciiTheme="minorHAnsi" w:hAnsiTheme="minorHAnsi"/>
                <w:bCs/>
                <w:sz w:val="17"/>
                <w:szCs w:val="17"/>
              </w:rPr>
            </w:pPr>
            <w:r w:rsidRPr="002466B4">
              <w:rPr>
                <w:rFonts w:asciiTheme="minorHAnsi" w:hAnsiTheme="minorHAnsi"/>
                <w:bCs/>
                <w:sz w:val="17"/>
                <w:szCs w:val="17"/>
              </w:rPr>
              <w:fldChar w:fldCharType="begin"/>
            </w:r>
            <w:r w:rsidR="004C7161" w:rsidRPr="002466B4">
              <w:rPr>
                <w:rFonts w:asciiTheme="minorHAnsi" w:hAnsiTheme="minorHAnsi"/>
                <w:bCs/>
                <w:sz w:val="17"/>
                <w:szCs w:val="17"/>
              </w:rPr>
              <w:instrText xml:space="preserve"> HYPERLINK "file:///C:\\Documents%20and%20Settings\\skodav2\\Plocha\\MV%20vyjádření.Tabulka%20kondicionalit.xlsx" \l "RANGE!#REF!" </w:instrText>
            </w:r>
            <w:r w:rsidRPr="002466B4">
              <w:rPr>
                <w:rFonts w:asciiTheme="minorHAnsi" w:hAnsiTheme="minorHAnsi"/>
                <w:bCs/>
                <w:sz w:val="17"/>
                <w:szCs w:val="17"/>
              </w:rPr>
              <w:fldChar w:fldCharType="separate"/>
            </w:r>
            <w:r w:rsidR="004C7161" w:rsidRPr="002466B4">
              <w:rPr>
                <w:rFonts w:asciiTheme="minorHAnsi" w:hAnsiTheme="minorHAnsi"/>
                <w:bCs/>
                <w:sz w:val="17"/>
                <w:szCs w:val="17"/>
              </w:rPr>
              <w:t xml:space="preserve">9.3. </w:t>
            </w:r>
            <w:r w:rsidR="004C7161" w:rsidRPr="002466B4">
              <w:rPr>
                <w:rFonts w:asciiTheme="minorHAnsi" w:hAnsiTheme="minorHAnsi"/>
                <w:bCs/>
                <w:i/>
                <w:iCs/>
                <w:sz w:val="17"/>
                <w:szCs w:val="17"/>
              </w:rPr>
              <w:t>Celoživotní učení:</w:t>
            </w:r>
            <w:r w:rsidR="004C7161" w:rsidRPr="002466B4">
              <w:rPr>
                <w:rFonts w:asciiTheme="minorHAnsi" w:hAnsiTheme="minorHAnsi"/>
                <w:bCs/>
                <w:sz w:val="17"/>
                <w:szCs w:val="17"/>
              </w:rPr>
              <w:t xml:space="preserve"> existence vnitrostátního nebo regionálního strategického rámce politiky celoživotního učení v mezích článku 165 SFEU.</w:t>
            </w:r>
            <w:r w:rsidRPr="002466B4">
              <w:rPr>
                <w:rFonts w:asciiTheme="minorHAnsi" w:hAnsiTheme="minorHAnsi"/>
                <w:bCs/>
                <w:sz w:val="17"/>
                <w:szCs w:val="17"/>
              </w:rPr>
              <w:fldChar w:fldCharType="end"/>
            </w:r>
            <w:bookmarkEnd w:id="41"/>
          </w:p>
        </w:tc>
        <w:tc>
          <w:tcPr>
            <w:tcW w:w="5953" w:type="dxa"/>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rPr>
              <w:t>Je vypracován vnitrostátní nebo regionální strategický rámec politiky celoživotního učení, který obsahuje:</w:t>
            </w:r>
          </w:p>
          <w:p w:rsidR="004C7161" w:rsidRPr="002466B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opatření na podporu provádění politiky celoživotního učení a zvyšování kvalifikace a zajištění zapojení zúčastněných stran a partnerství s nimi,</w:t>
            </w:r>
          </w:p>
          <w:p w:rsidR="004C7161" w:rsidRPr="002466B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opatření zaměřená na umožnění rozvoje dovedností odpovídajících potřebám různých cílových skupin, které jsou ve vnitrostátních nebo regionálních strategických rámcích příslušné politiky vymezeny jako prioritní (například mladí lidé účastnící se odborného vzdělávání, dospělí, rodiče vracející se na trh práce, pracovníci s nízkou kvalifikací a starší pracovníci, migranti a další znevýhodněné skupiny),</w:t>
            </w:r>
          </w:p>
          <w:p w:rsidR="004C7161" w:rsidRPr="00426434" w:rsidRDefault="004C7161" w:rsidP="00DD490C">
            <w:pPr>
              <w:pStyle w:val="Odstavecseseznamem"/>
              <w:numPr>
                <w:ilvl w:val="0"/>
                <w:numId w:val="10"/>
              </w:numPr>
              <w:spacing w:after="40"/>
              <w:ind w:left="639" w:hanging="283"/>
              <w:contextualSpacing w:val="0"/>
              <w:jc w:val="left"/>
              <w:rPr>
                <w:rFonts w:asciiTheme="minorHAnsi" w:hAnsiTheme="minorHAnsi"/>
                <w:bCs/>
                <w:sz w:val="17"/>
                <w:szCs w:val="17"/>
              </w:rPr>
            </w:pPr>
            <w:r w:rsidRPr="002466B4">
              <w:rPr>
                <w:rFonts w:asciiTheme="minorHAnsi" w:hAnsiTheme="minorHAnsi"/>
                <w:color w:val="000000"/>
                <w:sz w:val="17"/>
                <w:szCs w:val="17"/>
              </w:rPr>
              <w:t>opatření k rozšíření přístupu k celoživotnímu učení, a to rovněž prostřednictvím úsilí o účinné provádění nástrojů pro transparentnost (například evropský rámec kvalifikací, národní rámec kvalifikací, evropský systém kreditů pro odborné vzdělávání a přípravu, evropský referenční rámec pro zajišťování kvality v oblasti odborného vzdělávání a přípravy).</w:t>
            </w:r>
          </w:p>
          <w:p w:rsidR="00426434" w:rsidRPr="00426434" w:rsidRDefault="00426434" w:rsidP="00DD490C">
            <w:pPr>
              <w:pStyle w:val="Odstavecseseznamem"/>
              <w:numPr>
                <w:ilvl w:val="0"/>
                <w:numId w:val="10"/>
              </w:numPr>
              <w:spacing w:after="40"/>
              <w:ind w:left="639" w:hanging="283"/>
              <w:contextualSpacing w:val="0"/>
              <w:jc w:val="left"/>
              <w:rPr>
                <w:rFonts w:asciiTheme="minorHAnsi" w:hAnsiTheme="minorHAnsi"/>
                <w:bCs/>
                <w:strike/>
                <w:sz w:val="17"/>
                <w:szCs w:val="17"/>
              </w:rPr>
            </w:pPr>
            <w:r w:rsidRPr="00426434">
              <w:rPr>
                <w:rFonts w:asciiTheme="minorHAnsi" w:hAnsiTheme="minorHAnsi"/>
                <w:bCs/>
                <w:strike/>
                <w:sz w:val="17"/>
                <w:szCs w:val="17"/>
              </w:rPr>
              <w:t>opatření ke zlepšení přiměřenosti vzdělávání a odborné přípravy a k jejich přizpůsobení potřebám určených cílových skupin.</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10: Podpora sociálního začleňování a boj proti chudobě</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3"/>
        <w:gridCol w:w="1560"/>
        <w:gridCol w:w="5244"/>
      </w:tblGrid>
      <w:tr w:rsidR="004C7161" w:rsidRPr="00523D12" w:rsidTr="00DD490C">
        <w:trPr>
          <w:trHeight w:val="635"/>
        </w:trPr>
        <w:tc>
          <w:tcPr>
            <w:tcW w:w="2283"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1560"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244"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1914"/>
        </w:trPr>
        <w:tc>
          <w:tcPr>
            <w:tcW w:w="2283"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ESF:</w:t>
            </w:r>
            <w:r w:rsidRPr="00F95534">
              <w:rPr>
                <w:rFonts w:asciiTheme="minorHAnsi" w:hAnsiTheme="minorHAnsi"/>
                <w:sz w:val="16"/>
                <w:szCs w:val="16"/>
              </w:rPr>
              <w:t xml:space="preserve"> aktivní začleňování s cílem k zlepšení pracovní příležitostí</w:t>
            </w:r>
          </w:p>
        </w:tc>
        <w:tc>
          <w:tcPr>
            <w:tcW w:w="1560"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10.1. Existence a provedení vnitrostátního strategického rámce politiky v oblasti snižování chudoby zaměřené na aktivní začleňování osob vyloučených z trhu práce v souladu s hlavními směry politik zaměstnanosti.</w:t>
            </w:r>
          </w:p>
        </w:tc>
        <w:tc>
          <w:tcPr>
            <w:tcW w:w="5244"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Existuje vnitrostátní strategický rámec politiky v oblasti snižování chudoby, zaměřené na aktivní začleňování, který:</w:t>
            </w:r>
          </w:p>
          <w:p w:rsidR="004C7161" w:rsidRPr="00F9553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poskytuje dostatek podkladů pro vypracovávání politik v oblasti snižování chudoby a umožňuje sledování vývoje,</w:t>
            </w:r>
          </w:p>
          <w:p w:rsidR="004C7161"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je v souladu s vnitrostátním cílem týkajícím se boje proti chudobě a sociálnímu vyloučení (jak je vymezen v národním plánu reforem), který zahrnuje rozšíření pracovních příležitostí pro znevýhodněné skupiny,</w:t>
            </w:r>
          </w:p>
          <w:p w:rsidR="00426434" w:rsidRPr="00426434" w:rsidRDefault="00426434" w:rsidP="00DD490C">
            <w:pPr>
              <w:pStyle w:val="Odstavecseseznamem"/>
              <w:numPr>
                <w:ilvl w:val="0"/>
                <w:numId w:val="10"/>
              </w:numPr>
              <w:spacing w:after="40"/>
              <w:ind w:left="639" w:hanging="283"/>
              <w:contextualSpacing w:val="0"/>
              <w:jc w:val="left"/>
              <w:rPr>
                <w:rFonts w:asciiTheme="minorHAnsi" w:hAnsiTheme="minorHAnsi"/>
                <w:strike/>
                <w:color w:val="000000"/>
                <w:sz w:val="16"/>
                <w:szCs w:val="16"/>
              </w:rPr>
            </w:pPr>
            <w:r w:rsidRPr="00426434">
              <w:rPr>
                <w:rFonts w:asciiTheme="minorHAnsi" w:hAnsiTheme="minorHAnsi"/>
                <w:strike/>
                <w:color w:val="000000"/>
                <w:sz w:val="16"/>
                <w:szCs w:val="16"/>
              </w:rPr>
              <w:t>obsahuje mapování územní koncentrace – nad rámec regionální úrovně / na úrovni NUTS 3 – marginalizovaných a znevýhodněných skupin obyvatel včetně Romů,</w:t>
            </w:r>
          </w:p>
          <w:p w:rsidR="004C7161" w:rsidRPr="00426434" w:rsidRDefault="004C7161" w:rsidP="00DD490C">
            <w:pPr>
              <w:pStyle w:val="Odstavecseseznamem"/>
              <w:numPr>
                <w:ilvl w:val="0"/>
                <w:numId w:val="10"/>
              </w:numPr>
              <w:spacing w:after="40"/>
              <w:ind w:left="639" w:hanging="283"/>
              <w:contextualSpacing w:val="0"/>
              <w:jc w:val="left"/>
              <w:rPr>
                <w:rFonts w:asciiTheme="minorHAnsi" w:hAnsiTheme="minorHAnsi"/>
                <w:bCs/>
                <w:sz w:val="16"/>
                <w:szCs w:val="16"/>
              </w:rPr>
            </w:pPr>
            <w:r w:rsidRPr="00F95534">
              <w:rPr>
                <w:rFonts w:asciiTheme="minorHAnsi" w:hAnsiTheme="minorHAnsi"/>
                <w:color w:val="000000"/>
                <w:sz w:val="16"/>
                <w:szCs w:val="16"/>
              </w:rPr>
              <w:t>do boje proti chudobě zapojuje příslušné zúčastněné strany,</w:t>
            </w:r>
          </w:p>
          <w:p w:rsidR="00426434" w:rsidRPr="00426434" w:rsidRDefault="00426434" w:rsidP="00DD490C">
            <w:pPr>
              <w:pStyle w:val="Odstavecseseznamem"/>
              <w:numPr>
                <w:ilvl w:val="0"/>
                <w:numId w:val="10"/>
              </w:numPr>
              <w:spacing w:after="40"/>
              <w:ind w:left="639" w:hanging="283"/>
              <w:contextualSpacing w:val="0"/>
              <w:jc w:val="left"/>
              <w:rPr>
                <w:rFonts w:asciiTheme="minorHAnsi" w:hAnsiTheme="minorHAnsi"/>
                <w:bCs/>
                <w:strike/>
                <w:sz w:val="16"/>
                <w:szCs w:val="16"/>
              </w:rPr>
            </w:pPr>
            <w:r w:rsidRPr="00426434">
              <w:rPr>
                <w:rFonts w:asciiTheme="minorHAnsi" w:hAnsiTheme="minorHAnsi"/>
                <w:bCs/>
                <w:strike/>
                <w:sz w:val="16"/>
                <w:szCs w:val="16"/>
              </w:rPr>
              <w:t>zahrnuje opatření na přechod od ústavní péče ke komunitní péči,</w:t>
            </w:r>
          </w:p>
          <w:p w:rsidR="00426434" w:rsidRPr="00F95534" w:rsidRDefault="00426434" w:rsidP="00DD490C">
            <w:pPr>
              <w:pStyle w:val="Odstavecseseznamem"/>
              <w:numPr>
                <w:ilvl w:val="0"/>
                <w:numId w:val="10"/>
              </w:numPr>
              <w:spacing w:after="40"/>
              <w:ind w:left="639" w:hanging="283"/>
              <w:contextualSpacing w:val="0"/>
              <w:jc w:val="left"/>
              <w:rPr>
                <w:rFonts w:asciiTheme="minorHAnsi" w:hAnsiTheme="minorHAnsi"/>
                <w:bCs/>
                <w:sz w:val="16"/>
                <w:szCs w:val="16"/>
              </w:rPr>
            </w:pPr>
            <w:r w:rsidRPr="00426434">
              <w:rPr>
                <w:rFonts w:asciiTheme="minorHAnsi" w:hAnsiTheme="minorHAnsi"/>
                <w:bCs/>
                <w:strike/>
                <w:sz w:val="16"/>
                <w:szCs w:val="16"/>
              </w:rPr>
              <w:t>stanoví jasná opatření na předcházení segregaci ve všech oblastech a boje proti ní;</w:t>
            </w:r>
          </w:p>
        </w:tc>
      </w:tr>
      <w:tr w:rsidR="004C7161" w:rsidRPr="00523D12" w:rsidTr="00F95534">
        <w:trPr>
          <w:trHeight w:val="608"/>
        </w:trPr>
        <w:tc>
          <w:tcPr>
            <w:tcW w:w="2283" w:type="dxa"/>
            <w:vMerge/>
            <w:vAlign w:val="center"/>
            <w:hideMark/>
          </w:tcPr>
          <w:p w:rsidR="004C7161" w:rsidRPr="00F95534" w:rsidRDefault="004C7161" w:rsidP="00DD490C">
            <w:pPr>
              <w:spacing w:line="240" w:lineRule="auto"/>
              <w:jc w:val="left"/>
              <w:rPr>
                <w:rFonts w:asciiTheme="minorHAnsi" w:hAnsiTheme="minorHAnsi"/>
                <w:bCs/>
                <w:sz w:val="16"/>
                <w:szCs w:val="16"/>
                <w:u w:val="single"/>
              </w:rPr>
            </w:pPr>
          </w:p>
        </w:tc>
        <w:tc>
          <w:tcPr>
            <w:tcW w:w="1560" w:type="dxa"/>
            <w:vMerge/>
            <w:vAlign w:val="center"/>
            <w:hideMark/>
          </w:tcPr>
          <w:p w:rsidR="004C7161" w:rsidRPr="00F95534" w:rsidRDefault="004C7161" w:rsidP="00DD490C">
            <w:pPr>
              <w:spacing w:line="240" w:lineRule="auto"/>
              <w:jc w:val="left"/>
              <w:rPr>
                <w:rFonts w:asciiTheme="minorHAnsi" w:hAnsiTheme="minorHAnsi"/>
                <w:bCs/>
                <w:sz w:val="16"/>
                <w:szCs w:val="16"/>
              </w:rPr>
            </w:pPr>
          </w:p>
        </w:tc>
        <w:tc>
          <w:tcPr>
            <w:tcW w:w="5244" w:type="dxa"/>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Příslušným zúčastněným stranám může být v případě potřeby a na požádání poskytnuta podpora při předkládání projektových žádostí a provádění a řízení vybraných projektů.</w:t>
            </w:r>
          </w:p>
        </w:tc>
      </w:tr>
      <w:tr w:rsidR="004C7161" w:rsidRPr="00523D12" w:rsidTr="00F95534">
        <w:trPr>
          <w:trHeight w:val="3097"/>
        </w:trPr>
        <w:tc>
          <w:tcPr>
            <w:tcW w:w="2283"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ESF:</w:t>
            </w:r>
            <w:r w:rsidRPr="00F95534">
              <w:rPr>
                <w:rFonts w:asciiTheme="minorHAnsi" w:hAnsiTheme="minorHAnsi"/>
                <w:sz w:val="16"/>
                <w:szCs w:val="16"/>
              </w:rPr>
              <w:t xml:space="preserve"> začleňování marginalizovaných společenství Romů</w:t>
            </w:r>
          </w:p>
        </w:tc>
        <w:bookmarkStart w:id="42" w:name="RANGE!D124"/>
        <w:bookmarkStart w:id="43" w:name="RANGE!D130"/>
        <w:bookmarkEnd w:id="42"/>
        <w:tc>
          <w:tcPr>
            <w:tcW w:w="1560" w:type="dxa"/>
            <w:vMerge w:val="restart"/>
            <w:shd w:val="clear" w:color="auto" w:fill="auto"/>
            <w:vAlign w:val="center"/>
            <w:hideMark/>
          </w:tcPr>
          <w:p w:rsidR="004C7161" w:rsidRPr="00F95534" w:rsidRDefault="0037582F" w:rsidP="00DD490C">
            <w:pPr>
              <w:spacing w:line="240" w:lineRule="auto"/>
              <w:jc w:val="left"/>
              <w:rPr>
                <w:rFonts w:asciiTheme="minorHAnsi" w:hAnsiTheme="minorHAnsi"/>
                <w:bCs/>
                <w:sz w:val="16"/>
                <w:szCs w:val="16"/>
              </w:rPr>
            </w:pPr>
            <w:r w:rsidRPr="00F95534">
              <w:rPr>
                <w:rFonts w:asciiTheme="minorHAnsi" w:hAnsiTheme="minorHAnsi"/>
                <w:bCs/>
                <w:sz w:val="16"/>
                <w:szCs w:val="16"/>
              </w:rPr>
              <w:fldChar w:fldCharType="begin"/>
            </w:r>
            <w:r w:rsidR="004C7161" w:rsidRPr="00F95534">
              <w:rPr>
                <w:rFonts w:asciiTheme="minorHAnsi" w:hAnsiTheme="minorHAnsi"/>
                <w:bCs/>
                <w:sz w:val="16"/>
                <w:szCs w:val="16"/>
              </w:rPr>
              <w:instrText xml:space="preserve"> HYPERLINK "file:///C:\\Documents%20and%20Settings\\skodav2\\Plocha\\MV%20vyjádření.Tabulka%20kondicionalit.xlsx" \l "RANGE!#REF!" </w:instrText>
            </w:r>
            <w:r w:rsidRPr="00F95534">
              <w:rPr>
                <w:rFonts w:asciiTheme="minorHAnsi" w:hAnsiTheme="minorHAnsi"/>
                <w:bCs/>
                <w:sz w:val="16"/>
                <w:szCs w:val="16"/>
              </w:rPr>
              <w:fldChar w:fldCharType="separate"/>
            </w:r>
            <w:r w:rsidR="004C7161" w:rsidRPr="00F95534">
              <w:rPr>
                <w:rFonts w:asciiTheme="minorHAnsi" w:hAnsiTheme="minorHAnsi"/>
                <w:bCs/>
                <w:sz w:val="16"/>
                <w:szCs w:val="16"/>
              </w:rPr>
              <w:t>10.2. Existuje vnitrostátní strategický rámec politiky začleňování Romů.</w:t>
            </w:r>
            <w:r w:rsidRPr="00F95534">
              <w:rPr>
                <w:rFonts w:asciiTheme="minorHAnsi" w:hAnsiTheme="minorHAnsi"/>
                <w:bCs/>
                <w:sz w:val="16"/>
                <w:szCs w:val="16"/>
              </w:rPr>
              <w:fldChar w:fldCharType="end"/>
            </w:r>
            <w:bookmarkEnd w:id="43"/>
          </w:p>
        </w:tc>
        <w:tc>
          <w:tcPr>
            <w:tcW w:w="5244"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Je vypracována vnitrostátní strategie začleňování Romů, jež:</w:t>
            </w:r>
          </w:p>
          <w:p w:rsidR="004C7161"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určuje splnitelné vnitrostátní cíle integrace Romů při překonávání rozdílů oproti ostatní populaci. Tyto cíle by měly přinejmenším řešit čtyři záměry EU pro integraci Romů týkající se přístupu ke vzdělání, zaměstnání, zdravotní péči, sociálnímu zabezpečení a bydlení,</w:t>
            </w:r>
          </w:p>
          <w:p w:rsidR="00426434" w:rsidRPr="00426434" w:rsidRDefault="00426434" w:rsidP="00DD490C">
            <w:pPr>
              <w:pStyle w:val="Odstavecseseznamem"/>
              <w:numPr>
                <w:ilvl w:val="0"/>
                <w:numId w:val="10"/>
              </w:numPr>
              <w:spacing w:after="40"/>
              <w:ind w:left="639" w:hanging="283"/>
              <w:contextualSpacing w:val="0"/>
              <w:jc w:val="left"/>
              <w:rPr>
                <w:rFonts w:asciiTheme="minorHAnsi" w:hAnsiTheme="minorHAnsi"/>
                <w:strike/>
                <w:color w:val="000000"/>
                <w:sz w:val="16"/>
                <w:szCs w:val="16"/>
              </w:rPr>
            </w:pPr>
            <w:r w:rsidRPr="00426434">
              <w:rPr>
                <w:rFonts w:asciiTheme="minorHAnsi" w:hAnsiTheme="minorHAnsi"/>
                <w:strike/>
                <w:color w:val="000000"/>
                <w:sz w:val="16"/>
                <w:szCs w:val="16"/>
              </w:rPr>
              <w:t>je v souladu s národním programem reforem,</w:t>
            </w:r>
          </w:p>
          <w:p w:rsidR="004C7161"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za použití dostupných socioekonomických a územních ukazatelů (např. velmi nízká úroveň vzdělání, dlouhodobá nezaměstnanost atd.) zjišťuje, kde jsou znevýhodněné mikroregiony nebo segregované městské části, v nichž jsou komunity nejvíce znevýhodněné,</w:t>
            </w:r>
          </w:p>
          <w:p w:rsidR="00426434" w:rsidRPr="00426434" w:rsidRDefault="00426434" w:rsidP="00DD490C">
            <w:pPr>
              <w:pStyle w:val="Odstavecseseznamem"/>
              <w:numPr>
                <w:ilvl w:val="0"/>
                <w:numId w:val="10"/>
              </w:numPr>
              <w:spacing w:after="40"/>
              <w:ind w:left="639" w:hanging="283"/>
              <w:contextualSpacing w:val="0"/>
              <w:jc w:val="left"/>
              <w:rPr>
                <w:rFonts w:asciiTheme="minorHAnsi" w:hAnsiTheme="minorHAnsi"/>
                <w:strike/>
                <w:color w:val="000000"/>
                <w:sz w:val="16"/>
                <w:szCs w:val="16"/>
              </w:rPr>
            </w:pPr>
            <w:r w:rsidRPr="00426434">
              <w:rPr>
                <w:rFonts w:asciiTheme="minorHAnsi" w:hAnsiTheme="minorHAnsi"/>
                <w:strike/>
                <w:color w:val="000000"/>
                <w:sz w:val="16"/>
                <w:szCs w:val="16"/>
              </w:rPr>
              <w:t>poskytne dostatečné finanční prostředky z rozpočtů členských států, které budou případně doplněny prostředky z mezinárodních zdrojů a z EU,</w:t>
            </w:r>
          </w:p>
          <w:p w:rsidR="004C7161" w:rsidRPr="00F9553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zahrnuje důsledné kontrolní metody, které umožní hodnocení dopadu opatření na integraci Romů, a přezkumný mechanismus pro upravování strategie,</w:t>
            </w:r>
          </w:p>
          <w:p w:rsidR="004C7161" w:rsidRPr="00426434" w:rsidRDefault="004C7161" w:rsidP="00DD490C">
            <w:pPr>
              <w:pStyle w:val="Odstavecseseznamem"/>
              <w:numPr>
                <w:ilvl w:val="0"/>
                <w:numId w:val="10"/>
              </w:numPr>
              <w:spacing w:after="40"/>
              <w:ind w:left="639" w:hanging="283"/>
              <w:contextualSpacing w:val="0"/>
              <w:jc w:val="left"/>
              <w:rPr>
                <w:rFonts w:asciiTheme="minorHAnsi" w:hAnsiTheme="minorHAnsi"/>
                <w:bCs/>
                <w:sz w:val="16"/>
                <w:szCs w:val="16"/>
              </w:rPr>
            </w:pPr>
            <w:r w:rsidRPr="00F95534">
              <w:rPr>
                <w:rFonts w:asciiTheme="minorHAnsi" w:hAnsiTheme="minorHAnsi"/>
                <w:color w:val="000000"/>
                <w:sz w:val="16"/>
                <w:szCs w:val="16"/>
              </w:rPr>
              <w:t>je navržena, prováděna a kontrolována v úzké spolupráci a nepřetržitém dialogu s romskou občanskou společností, místními a regionálními orgány,</w:t>
            </w:r>
          </w:p>
          <w:p w:rsidR="00426434" w:rsidRPr="00426434" w:rsidRDefault="00426434" w:rsidP="00DD490C">
            <w:pPr>
              <w:pStyle w:val="Odstavecseseznamem"/>
              <w:numPr>
                <w:ilvl w:val="0"/>
                <w:numId w:val="10"/>
              </w:numPr>
              <w:spacing w:after="40"/>
              <w:ind w:left="639" w:hanging="283"/>
              <w:contextualSpacing w:val="0"/>
              <w:jc w:val="left"/>
              <w:rPr>
                <w:rFonts w:asciiTheme="minorHAnsi" w:hAnsiTheme="minorHAnsi"/>
                <w:bCs/>
                <w:strike/>
                <w:sz w:val="16"/>
                <w:szCs w:val="16"/>
              </w:rPr>
            </w:pPr>
            <w:r w:rsidRPr="00426434">
              <w:rPr>
                <w:rFonts w:asciiTheme="minorHAnsi" w:hAnsiTheme="minorHAnsi"/>
                <w:bCs/>
                <w:strike/>
                <w:sz w:val="16"/>
                <w:szCs w:val="16"/>
              </w:rPr>
              <w:t>obsahuje národní kontaktní místo pro vnitrostátní strategie integrace Romů, které bude koordinovat vývoj a provádění strategie.</w:t>
            </w:r>
          </w:p>
        </w:tc>
      </w:tr>
      <w:tr w:rsidR="004C7161" w:rsidRPr="00523D12" w:rsidTr="00DD490C">
        <w:trPr>
          <w:trHeight w:val="627"/>
        </w:trPr>
        <w:tc>
          <w:tcPr>
            <w:tcW w:w="2283" w:type="dxa"/>
            <w:vMerge/>
            <w:vAlign w:val="center"/>
            <w:hideMark/>
          </w:tcPr>
          <w:p w:rsidR="004C7161" w:rsidRPr="00F95534" w:rsidRDefault="004C7161" w:rsidP="00DD490C">
            <w:pPr>
              <w:spacing w:line="240" w:lineRule="auto"/>
              <w:jc w:val="left"/>
              <w:rPr>
                <w:rFonts w:asciiTheme="minorHAnsi" w:hAnsiTheme="minorHAnsi"/>
                <w:bCs/>
                <w:sz w:val="16"/>
                <w:szCs w:val="16"/>
                <w:u w:val="single"/>
              </w:rPr>
            </w:pPr>
          </w:p>
        </w:tc>
        <w:tc>
          <w:tcPr>
            <w:tcW w:w="1560" w:type="dxa"/>
            <w:vMerge/>
            <w:vAlign w:val="center"/>
            <w:hideMark/>
          </w:tcPr>
          <w:p w:rsidR="004C7161" w:rsidRPr="00F95534" w:rsidRDefault="004C7161" w:rsidP="00DD490C">
            <w:pPr>
              <w:spacing w:line="240" w:lineRule="auto"/>
              <w:jc w:val="left"/>
              <w:rPr>
                <w:rFonts w:asciiTheme="minorHAnsi" w:hAnsiTheme="minorHAnsi"/>
                <w:bCs/>
                <w:sz w:val="16"/>
                <w:szCs w:val="16"/>
              </w:rPr>
            </w:pPr>
          </w:p>
        </w:tc>
        <w:tc>
          <w:tcPr>
            <w:tcW w:w="5244" w:type="dxa"/>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Příslušným zúčastněným stranám je v případě žádosti poskytována podpora při předkládání projektových žádostí a provádění a řízení vybraných projektů</w:t>
            </w:r>
            <w:r w:rsidRPr="00F95534">
              <w:rPr>
                <w:rFonts w:asciiTheme="minorHAnsi" w:hAnsiTheme="minorHAnsi"/>
                <w:color w:val="FF0000"/>
                <w:sz w:val="16"/>
                <w:szCs w:val="16"/>
              </w:rPr>
              <w:t xml:space="preserve"> </w:t>
            </w:r>
          </w:p>
        </w:tc>
      </w:tr>
      <w:tr w:rsidR="004C7161" w:rsidRPr="00523D12" w:rsidTr="00F95534">
        <w:trPr>
          <w:trHeight w:val="1403"/>
        </w:trPr>
        <w:tc>
          <w:tcPr>
            <w:tcW w:w="2283"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bCs/>
                <w:sz w:val="16"/>
                <w:szCs w:val="16"/>
                <w:u w:val="single"/>
              </w:rPr>
              <w:t>ESF:</w:t>
            </w:r>
            <w:r w:rsidRPr="00F95534">
              <w:rPr>
                <w:rFonts w:asciiTheme="minorHAnsi" w:hAnsiTheme="minorHAnsi"/>
                <w:bCs/>
                <w:sz w:val="16"/>
                <w:szCs w:val="16"/>
              </w:rPr>
              <w:t xml:space="preserve"> </w:t>
            </w:r>
            <w:r w:rsidRPr="00F95534">
              <w:rPr>
                <w:rFonts w:asciiTheme="minorHAnsi" w:hAnsiTheme="minorHAnsi"/>
                <w:sz w:val="16"/>
                <w:szCs w:val="16"/>
              </w:rPr>
              <w:t xml:space="preserve">zlepšování přístupu k cenově dostupné a udržitelné zdravotní péči vysoké kvality; </w:t>
            </w:r>
          </w:p>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ERDF:</w:t>
            </w:r>
            <w:r w:rsidRPr="00F95534">
              <w:rPr>
                <w:rFonts w:asciiTheme="minorHAnsi" w:hAnsiTheme="minorHAnsi"/>
                <w:sz w:val="16"/>
                <w:szCs w:val="16"/>
              </w:rPr>
              <w:t xml:space="preserve"> investice do zdravotnické infrastruktury, které přispívají k vnitrostátnímu, regionálnímu a místnímu rozvoji, snižování nerovností, pokud jde o zdravotní stav </w:t>
            </w:r>
            <w:r w:rsidRPr="00F95534">
              <w:rPr>
                <w:rFonts w:asciiTheme="minorHAnsi" w:hAnsiTheme="minorHAnsi"/>
                <w:i/>
                <w:iCs/>
                <w:sz w:val="16"/>
                <w:szCs w:val="16"/>
              </w:rPr>
              <w:t>(investiční priorita patřící k TC 9)</w:t>
            </w:r>
          </w:p>
        </w:tc>
        <w:tc>
          <w:tcPr>
            <w:tcW w:w="1560"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 xml:space="preserve">10.3. </w:t>
            </w:r>
            <w:r w:rsidRPr="00F95534">
              <w:rPr>
                <w:rFonts w:asciiTheme="minorHAnsi" w:hAnsiTheme="minorHAnsi"/>
                <w:bCs/>
                <w:i/>
                <w:iCs/>
                <w:sz w:val="16"/>
                <w:szCs w:val="16"/>
              </w:rPr>
              <w:t xml:space="preserve">Zdraví: </w:t>
            </w:r>
            <w:r w:rsidRPr="00F95534">
              <w:rPr>
                <w:rFonts w:asciiTheme="minorHAnsi" w:hAnsiTheme="minorHAnsi"/>
                <w:bCs/>
                <w:sz w:val="16"/>
                <w:szCs w:val="16"/>
              </w:rPr>
              <w:t>existence vnitrostátního nebo regionálního strategického rámce politiky</w:t>
            </w:r>
            <w:r w:rsidRPr="00F95534">
              <w:rPr>
                <w:rFonts w:asciiTheme="minorHAnsi" w:hAnsiTheme="minorHAnsi"/>
                <w:bCs/>
                <w:sz w:val="16"/>
                <w:szCs w:val="16"/>
              </w:rPr>
              <w:br/>
              <w:t>v oblasti zdraví v mezích článku 168 SFEU, zajišťujícího ekonomickou udržitelnost.</w:t>
            </w:r>
          </w:p>
        </w:tc>
        <w:tc>
          <w:tcPr>
            <w:tcW w:w="5244"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Je vypracován vnitrostátní nebo regionální strategický rámec politiky v oblasti zdraví, který:</w:t>
            </w:r>
          </w:p>
          <w:p w:rsidR="004C7161" w:rsidRPr="00F9553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obsahuje koordinovaná opatření ke zlepšení přístupu ke zdravotnickým službám,</w:t>
            </w:r>
          </w:p>
          <w:p w:rsidR="004C7161" w:rsidRPr="00F9553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obsahuje opatření k podpoře účinnosti ve zdravotnictví, včetně zavedení modelů poskytování služeb a infrastruktury,</w:t>
            </w:r>
          </w:p>
          <w:p w:rsidR="004C7161" w:rsidRPr="00F95534" w:rsidRDefault="004C7161" w:rsidP="00DD490C">
            <w:pPr>
              <w:pStyle w:val="Odstavecseseznamem"/>
              <w:numPr>
                <w:ilvl w:val="0"/>
                <w:numId w:val="10"/>
              </w:numPr>
              <w:spacing w:after="40"/>
              <w:ind w:left="639" w:hanging="283"/>
              <w:contextualSpacing w:val="0"/>
              <w:jc w:val="left"/>
              <w:rPr>
                <w:rFonts w:asciiTheme="minorHAnsi" w:hAnsiTheme="minorHAnsi"/>
                <w:bCs/>
                <w:sz w:val="16"/>
                <w:szCs w:val="16"/>
              </w:rPr>
            </w:pPr>
            <w:r w:rsidRPr="00F95534">
              <w:rPr>
                <w:rFonts w:asciiTheme="minorHAnsi" w:hAnsiTheme="minorHAnsi"/>
                <w:color w:val="000000"/>
                <w:sz w:val="16"/>
                <w:szCs w:val="16"/>
              </w:rPr>
              <w:t>obsahuje systém monitorování a hodnocení.</w:t>
            </w:r>
          </w:p>
        </w:tc>
      </w:tr>
      <w:tr w:rsidR="004C7161" w:rsidRPr="00523D12" w:rsidTr="00DD490C">
        <w:trPr>
          <w:trHeight w:val="835"/>
        </w:trPr>
        <w:tc>
          <w:tcPr>
            <w:tcW w:w="2283" w:type="dxa"/>
            <w:vMerge/>
            <w:vAlign w:val="center"/>
            <w:hideMark/>
          </w:tcPr>
          <w:p w:rsidR="004C7161" w:rsidRPr="00F95534" w:rsidRDefault="004C7161" w:rsidP="00DD490C">
            <w:pPr>
              <w:spacing w:line="240" w:lineRule="auto"/>
              <w:jc w:val="left"/>
              <w:rPr>
                <w:rFonts w:asciiTheme="minorHAnsi" w:hAnsiTheme="minorHAnsi"/>
                <w:bCs/>
                <w:sz w:val="16"/>
                <w:szCs w:val="16"/>
                <w:u w:val="single"/>
              </w:rPr>
            </w:pPr>
          </w:p>
        </w:tc>
        <w:tc>
          <w:tcPr>
            <w:tcW w:w="1560" w:type="dxa"/>
            <w:vMerge/>
            <w:vAlign w:val="center"/>
            <w:hideMark/>
          </w:tcPr>
          <w:p w:rsidR="004C7161" w:rsidRPr="00F95534" w:rsidRDefault="004C7161" w:rsidP="00DD490C">
            <w:pPr>
              <w:spacing w:line="240" w:lineRule="auto"/>
              <w:jc w:val="left"/>
              <w:rPr>
                <w:rFonts w:asciiTheme="minorHAnsi" w:hAnsiTheme="minorHAnsi"/>
                <w:bCs/>
                <w:sz w:val="16"/>
                <w:szCs w:val="16"/>
              </w:rPr>
            </w:pPr>
          </w:p>
        </w:tc>
        <w:tc>
          <w:tcPr>
            <w:tcW w:w="5244" w:type="dxa"/>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Členský stát nebo region přijal rámec, který orientačně vymezuje dostupné rozpočtové prostředky a nákladově efektivní soustředění prostředků pro potřeby označené v oblasti zdravotní péče jako prioritní.</w:t>
            </w:r>
          </w:p>
        </w:tc>
      </w:tr>
    </w:tbl>
    <w:p w:rsidR="004C7161" w:rsidRPr="00F05188" w:rsidRDefault="004C7161" w:rsidP="00F7737D">
      <w:pPr>
        <w:spacing w:before="360" w:after="60"/>
        <w:jc w:val="left"/>
        <w:rPr>
          <w:rFonts w:asciiTheme="minorHAnsi" w:hAnsiTheme="minorHAnsi" w:cs="Arial"/>
          <w:color w:val="000000"/>
          <w:u w:val="single"/>
        </w:rPr>
      </w:pPr>
      <w:r w:rsidRPr="00F05188">
        <w:rPr>
          <w:rFonts w:asciiTheme="minorHAnsi" w:hAnsiTheme="minorHAnsi" w:cs="Arial"/>
          <w:color w:val="000000"/>
          <w:u w:val="single"/>
        </w:rPr>
        <w:t>Tematický cíl 11: Posilování institucionální kapacity a účinné veřejné správy</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08"/>
        <w:gridCol w:w="1701"/>
        <w:gridCol w:w="6378"/>
      </w:tblGrid>
      <w:tr w:rsidR="004C7161" w:rsidRPr="00523D12" w:rsidTr="00DD490C">
        <w:trPr>
          <w:trHeight w:val="635"/>
        </w:trPr>
        <w:tc>
          <w:tcPr>
            <w:tcW w:w="1008"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priorita</w:t>
            </w:r>
          </w:p>
        </w:tc>
        <w:tc>
          <w:tcPr>
            <w:tcW w:w="1701"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378"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2395"/>
        </w:trPr>
        <w:tc>
          <w:tcPr>
            <w:tcW w:w="1008" w:type="dxa"/>
            <w:tcBorders>
              <w:bottom w:val="single" w:sz="4" w:space="0" w:color="auto"/>
            </w:tcBorders>
            <w:shd w:val="clear" w:color="auto" w:fill="auto"/>
            <w:vAlign w:val="center"/>
            <w:hideMark/>
          </w:tcPr>
          <w:p w:rsidR="004C7161" w:rsidRPr="00E420E0" w:rsidRDefault="004C7161" w:rsidP="00DD490C">
            <w:pPr>
              <w:spacing w:line="240" w:lineRule="auto"/>
              <w:jc w:val="left"/>
              <w:rPr>
                <w:rFonts w:asciiTheme="minorHAnsi" w:hAnsiTheme="minorHAnsi"/>
                <w:bCs/>
                <w:sz w:val="17"/>
                <w:szCs w:val="17"/>
              </w:rPr>
            </w:pPr>
            <w:r w:rsidRPr="00E420E0">
              <w:rPr>
                <w:rFonts w:asciiTheme="minorHAnsi" w:hAnsiTheme="minorHAnsi"/>
                <w:bCs/>
                <w:sz w:val="17"/>
                <w:szCs w:val="17"/>
              </w:rPr>
              <w:t>Účinnost veřejné správy v členských státech</w:t>
            </w:r>
          </w:p>
        </w:tc>
        <w:tc>
          <w:tcPr>
            <w:tcW w:w="1701" w:type="dxa"/>
            <w:tcBorders>
              <w:bottom w:val="single" w:sz="4" w:space="0" w:color="auto"/>
            </w:tcBorders>
            <w:shd w:val="clear" w:color="auto" w:fill="auto"/>
            <w:vAlign w:val="center"/>
            <w:hideMark/>
          </w:tcPr>
          <w:p w:rsidR="004C7161" w:rsidRPr="00E420E0" w:rsidRDefault="004C7161" w:rsidP="00DD490C">
            <w:pPr>
              <w:spacing w:line="240" w:lineRule="auto"/>
              <w:jc w:val="left"/>
              <w:rPr>
                <w:rFonts w:asciiTheme="minorHAnsi" w:hAnsiTheme="minorHAnsi"/>
                <w:bCs/>
                <w:i/>
                <w:iCs/>
                <w:sz w:val="17"/>
                <w:szCs w:val="17"/>
              </w:rPr>
            </w:pPr>
            <w:r w:rsidRPr="00E420E0">
              <w:rPr>
                <w:rFonts w:asciiTheme="minorHAnsi" w:hAnsiTheme="minorHAnsi"/>
                <w:bCs/>
                <w:i/>
                <w:iCs/>
                <w:sz w:val="17"/>
                <w:szCs w:val="17"/>
              </w:rPr>
              <w:t>Účinnost veřejné správy v členských státech:</w:t>
            </w:r>
          </w:p>
          <w:bookmarkStart w:id="44" w:name="RANGE!D139"/>
          <w:p w:rsidR="004C7161" w:rsidRPr="00E420E0" w:rsidRDefault="0037582F" w:rsidP="00DD490C">
            <w:pPr>
              <w:spacing w:line="240" w:lineRule="auto"/>
              <w:jc w:val="left"/>
              <w:rPr>
                <w:rFonts w:asciiTheme="minorHAnsi" w:hAnsiTheme="minorHAnsi"/>
                <w:bCs/>
                <w:i/>
                <w:iCs/>
                <w:sz w:val="17"/>
                <w:szCs w:val="17"/>
              </w:rPr>
            </w:pPr>
            <w:r w:rsidRPr="00E420E0">
              <w:rPr>
                <w:rFonts w:asciiTheme="minorHAnsi" w:hAnsiTheme="minorHAnsi"/>
                <w:bCs/>
                <w:sz w:val="17"/>
                <w:szCs w:val="17"/>
              </w:rPr>
              <w:fldChar w:fldCharType="begin"/>
            </w:r>
            <w:r w:rsidR="004C7161" w:rsidRPr="00E420E0">
              <w:rPr>
                <w:rFonts w:asciiTheme="minorHAnsi" w:hAnsiTheme="minorHAnsi"/>
                <w:bCs/>
                <w:sz w:val="17"/>
                <w:szCs w:val="17"/>
              </w:rPr>
              <w:instrText xml:space="preserve"> HYPERLINK "file:///C:\\Documents%20and%20Settings\\skodav2\\Plocha\\Tabulka%20kondicionalit.Bez%20MV.xlsx" \l "RANGE!#REF!" </w:instrText>
            </w:r>
            <w:r w:rsidRPr="00E420E0">
              <w:rPr>
                <w:rFonts w:asciiTheme="minorHAnsi" w:hAnsiTheme="minorHAnsi"/>
                <w:bCs/>
                <w:sz w:val="17"/>
                <w:szCs w:val="17"/>
              </w:rPr>
              <w:fldChar w:fldCharType="separate"/>
            </w:r>
            <w:r w:rsidR="004C7161" w:rsidRPr="00E420E0">
              <w:rPr>
                <w:rFonts w:asciiTheme="minorHAnsi" w:hAnsiTheme="minorHAnsi"/>
                <w:bCs/>
                <w:sz w:val="17"/>
                <w:szCs w:val="17"/>
              </w:rPr>
              <w:t>existence strategického rámce politiky zaměřené na posilování účinnosti veřejné správy členského státu, včetně reformy veřejné správy.</w:t>
            </w:r>
            <w:r w:rsidRPr="00E420E0">
              <w:rPr>
                <w:rFonts w:asciiTheme="minorHAnsi" w:hAnsiTheme="minorHAnsi"/>
                <w:bCs/>
                <w:sz w:val="17"/>
                <w:szCs w:val="17"/>
              </w:rPr>
              <w:fldChar w:fldCharType="end"/>
            </w:r>
            <w:bookmarkEnd w:id="44"/>
          </w:p>
        </w:tc>
        <w:bookmarkStart w:id="45" w:name="RANGE!E137"/>
        <w:tc>
          <w:tcPr>
            <w:tcW w:w="6378" w:type="dxa"/>
            <w:shd w:val="clear" w:color="auto" w:fill="auto"/>
            <w:vAlign w:val="center"/>
            <w:hideMark/>
          </w:tcPr>
          <w:p w:rsidR="004C7161" w:rsidRPr="00E420E0" w:rsidRDefault="0037582F" w:rsidP="00DD490C">
            <w:pPr>
              <w:spacing w:line="240" w:lineRule="auto"/>
              <w:jc w:val="left"/>
              <w:rPr>
                <w:rFonts w:asciiTheme="minorHAnsi" w:hAnsiTheme="minorHAnsi"/>
                <w:bCs/>
                <w:sz w:val="17"/>
                <w:szCs w:val="17"/>
              </w:rPr>
            </w:pPr>
            <w:r w:rsidRPr="00E420E0">
              <w:rPr>
                <w:rFonts w:asciiTheme="minorHAnsi" w:hAnsiTheme="minorHAnsi"/>
                <w:bCs/>
                <w:sz w:val="17"/>
                <w:szCs w:val="17"/>
              </w:rPr>
              <w:fldChar w:fldCharType="begin"/>
            </w:r>
            <w:r w:rsidR="004C7161" w:rsidRPr="00E420E0">
              <w:rPr>
                <w:rFonts w:asciiTheme="minorHAnsi" w:hAnsiTheme="minorHAnsi"/>
                <w:bCs/>
                <w:sz w:val="17"/>
                <w:szCs w:val="17"/>
              </w:rPr>
              <w:instrText xml:space="preserve"> HYPERLINK "file:///C:\\Documents%20and%20Settings\\skodav2\\Plocha\\Tabulka%20kondicionalit.Bez%20MV.xlsx" \l "RANGE!#REF!" </w:instrText>
            </w:r>
            <w:r w:rsidRPr="00E420E0">
              <w:rPr>
                <w:rFonts w:asciiTheme="minorHAnsi" w:hAnsiTheme="minorHAnsi"/>
                <w:bCs/>
                <w:sz w:val="17"/>
                <w:szCs w:val="17"/>
              </w:rPr>
              <w:fldChar w:fldCharType="separate"/>
            </w:r>
            <w:r w:rsidR="004C7161" w:rsidRPr="00E420E0">
              <w:rPr>
                <w:rFonts w:asciiTheme="minorHAnsi" w:hAnsiTheme="minorHAnsi"/>
                <w:bCs/>
                <w:sz w:val="17"/>
                <w:szCs w:val="17"/>
              </w:rPr>
              <w:t>Je vypracován a prováděn strategický rámec politiky zaměřené na posilování účinnosti veřejné správy členského státu, obsahující tyto prvky:</w:t>
            </w:r>
            <w:r w:rsidRPr="00E420E0">
              <w:rPr>
                <w:rFonts w:asciiTheme="minorHAnsi" w:hAnsiTheme="minorHAnsi"/>
                <w:bCs/>
                <w:sz w:val="17"/>
                <w:szCs w:val="17"/>
              </w:rPr>
              <w:fldChar w:fldCharType="end"/>
            </w:r>
          </w:p>
          <w:bookmarkEnd w:id="45"/>
          <w:p w:rsidR="004C7161" w:rsidRPr="00E420E0"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E420E0">
              <w:rPr>
                <w:rFonts w:asciiTheme="minorHAnsi" w:hAnsiTheme="minorHAnsi"/>
                <w:color w:val="000000"/>
                <w:sz w:val="17"/>
                <w:szCs w:val="17"/>
              </w:rPr>
              <w:t>analýzu a strategické plánování právních, organizačních a/nebo procedurálních reformních opatření,</w:t>
            </w:r>
          </w:p>
          <w:p w:rsidR="004C7161" w:rsidRPr="00E420E0"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E420E0">
              <w:rPr>
                <w:rFonts w:asciiTheme="minorHAnsi" w:hAnsiTheme="minorHAnsi"/>
                <w:color w:val="000000"/>
                <w:sz w:val="17"/>
                <w:szCs w:val="17"/>
              </w:rPr>
              <w:t>vývoj systémů řízení jakosti,</w:t>
            </w:r>
          </w:p>
          <w:p w:rsidR="004C7161" w:rsidRPr="00E420E0"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E420E0">
              <w:rPr>
                <w:rFonts w:asciiTheme="minorHAnsi" w:hAnsiTheme="minorHAnsi"/>
                <w:color w:val="000000"/>
                <w:sz w:val="17"/>
                <w:szCs w:val="17"/>
              </w:rPr>
              <w:t>integrovaná opatření pro zjednodušení a racionalizaci správních postupů,</w:t>
            </w:r>
          </w:p>
          <w:p w:rsidR="004C7161" w:rsidRPr="00E420E0"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E420E0">
              <w:rPr>
                <w:rFonts w:asciiTheme="minorHAnsi" w:hAnsiTheme="minorHAnsi"/>
                <w:color w:val="000000"/>
                <w:sz w:val="17"/>
                <w:szCs w:val="17"/>
              </w:rPr>
              <w:t>rozvoj a provádění strategií a politik lidských zdrojů, včetně náborových plánů a možností uplatnění pracovníků, budování kapacit a financování,</w:t>
            </w:r>
          </w:p>
          <w:p w:rsidR="004C7161" w:rsidRPr="00E420E0"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E420E0">
              <w:rPr>
                <w:rFonts w:asciiTheme="minorHAnsi" w:hAnsiTheme="minorHAnsi"/>
                <w:color w:val="000000"/>
                <w:sz w:val="17"/>
                <w:szCs w:val="17"/>
              </w:rPr>
              <w:t xml:space="preserve"> rozvoj dovedností na všech úrovních,</w:t>
            </w:r>
          </w:p>
          <w:p w:rsidR="004C7161" w:rsidRPr="00E420E0" w:rsidRDefault="004C7161" w:rsidP="00DD490C">
            <w:pPr>
              <w:pStyle w:val="Odstavecseseznamem"/>
              <w:numPr>
                <w:ilvl w:val="0"/>
                <w:numId w:val="10"/>
              </w:numPr>
              <w:spacing w:after="40"/>
              <w:ind w:left="639" w:hanging="283"/>
              <w:contextualSpacing w:val="0"/>
              <w:jc w:val="left"/>
              <w:rPr>
                <w:rFonts w:asciiTheme="minorHAnsi" w:hAnsiTheme="minorHAnsi"/>
                <w:bCs/>
                <w:sz w:val="17"/>
                <w:szCs w:val="17"/>
              </w:rPr>
            </w:pPr>
            <w:r w:rsidRPr="00E420E0">
              <w:rPr>
                <w:rFonts w:asciiTheme="minorHAnsi" w:hAnsiTheme="minorHAnsi"/>
                <w:color w:val="000000"/>
                <w:sz w:val="17"/>
                <w:szCs w:val="17"/>
              </w:rPr>
              <w:t>vývoj postupů a nástrojů pro sledování a hodnocení.</w:t>
            </w:r>
          </w:p>
        </w:tc>
      </w:tr>
    </w:tbl>
    <w:p w:rsidR="00DE294A" w:rsidRDefault="00DE294A" w:rsidP="004C7161">
      <w:pPr>
        <w:rPr>
          <w:rFonts w:asciiTheme="minorHAnsi" w:hAnsiTheme="minorHAnsi"/>
          <w:sz w:val="24"/>
          <w:szCs w:val="24"/>
        </w:rPr>
      </w:pPr>
    </w:p>
    <w:p w:rsidR="00DE294A" w:rsidRDefault="00DE294A" w:rsidP="004C7161">
      <w:pPr>
        <w:rPr>
          <w:rFonts w:asciiTheme="minorHAnsi" w:hAnsiTheme="minorHAnsi"/>
          <w:sz w:val="24"/>
          <w:szCs w:val="24"/>
        </w:rPr>
      </w:pPr>
    </w:p>
    <w:p w:rsidR="00DE294A" w:rsidRDefault="00DE294A" w:rsidP="004C7161">
      <w:pPr>
        <w:rPr>
          <w:rFonts w:asciiTheme="minorHAnsi" w:hAnsiTheme="minorHAnsi"/>
          <w:sz w:val="24"/>
          <w:szCs w:val="24"/>
        </w:rPr>
      </w:pPr>
    </w:p>
    <w:p w:rsidR="00656588" w:rsidRPr="009A03FE" w:rsidRDefault="00656588" w:rsidP="009A03FE">
      <w:pPr>
        <w:pStyle w:val="Nadpis11"/>
        <w:numPr>
          <w:ilvl w:val="0"/>
          <w:numId w:val="0"/>
        </w:numPr>
        <w:spacing w:after="120"/>
        <w:ind w:left="567"/>
        <w:jc w:val="right"/>
        <w:rPr>
          <w:rFonts w:asciiTheme="minorHAnsi" w:eastAsiaTheme="majorEastAsia" w:hAnsiTheme="minorHAnsi"/>
        </w:rPr>
      </w:pPr>
      <w:bookmarkStart w:id="46" w:name="_Toc359587673"/>
      <w:r w:rsidRPr="009A03FE">
        <w:rPr>
          <w:rFonts w:asciiTheme="minorHAnsi" w:eastAsiaTheme="majorEastAsia" w:hAnsiTheme="minorHAnsi"/>
        </w:rPr>
        <w:t>Příloha 1c: Horizontální předběžné podmínky pro EZFRV</w:t>
      </w:r>
      <w:bookmarkEnd w:id="46"/>
      <w:r w:rsidRPr="009A03FE">
        <w:rPr>
          <w:rFonts w:asciiTheme="minorHAnsi" w:eastAsiaTheme="majorEastAsia" w:hAnsiTheme="minorHAnsi"/>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5953"/>
      </w:tblGrid>
      <w:tr w:rsidR="00656588" w:rsidRPr="00523D12" w:rsidTr="00712F71">
        <w:trPr>
          <w:trHeight w:val="635"/>
        </w:trPr>
        <w:tc>
          <w:tcPr>
            <w:tcW w:w="313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95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E420E0" w:rsidTr="00F7737D">
        <w:trPr>
          <w:trHeight w:val="1846"/>
        </w:trPr>
        <w:tc>
          <w:tcPr>
            <w:tcW w:w="3134" w:type="dxa"/>
            <w:shd w:val="clear" w:color="auto" w:fill="auto"/>
            <w:vAlign w:val="center"/>
            <w:hideMark/>
          </w:tcPr>
          <w:p w:rsidR="00656588" w:rsidRPr="00E420E0" w:rsidRDefault="00656588" w:rsidP="00E35631">
            <w:pPr>
              <w:spacing w:line="240" w:lineRule="auto"/>
              <w:jc w:val="left"/>
              <w:rPr>
                <w:rFonts w:asciiTheme="minorHAnsi" w:hAnsiTheme="minorHAnsi"/>
                <w:bCs/>
                <w:i/>
                <w:iCs/>
                <w:sz w:val="17"/>
                <w:szCs w:val="17"/>
              </w:rPr>
            </w:pPr>
            <w:r w:rsidRPr="00E72F1D">
              <w:rPr>
                <w:rFonts w:asciiTheme="minorHAnsi" w:hAnsiTheme="minorHAnsi"/>
                <w:bCs/>
                <w:i/>
                <w:iCs/>
                <w:sz w:val="17"/>
                <w:szCs w:val="17"/>
              </w:rPr>
              <w:t>Horizontální podmínka č. 1 Účinná správa členských států:</w:t>
            </w:r>
            <w:r w:rsidR="00E35631">
              <w:rPr>
                <w:rFonts w:asciiTheme="minorHAnsi" w:hAnsiTheme="minorHAnsi"/>
                <w:bCs/>
                <w:i/>
                <w:iCs/>
                <w:sz w:val="17"/>
                <w:szCs w:val="17"/>
              </w:rPr>
              <w:t xml:space="preserve"> </w:t>
            </w:r>
            <w:r w:rsidRPr="00E72F1D">
              <w:rPr>
                <w:rFonts w:asciiTheme="minorHAnsi" w:hAnsiTheme="minorHAnsi"/>
                <w:bCs/>
                <w:iCs/>
                <w:sz w:val="17"/>
                <w:szCs w:val="17"/>
              </w:rPr>
              <w:t>existence strategie pro posílení účinnosti správy země, včetně</w:t>
            </w:r>
            <w:r>
              <w:rPr>
                <w:rFonts w:asciiTheme="minorHAnsi" w:hAnsiTheme="minorHAnsi"/>
                <w:bCs/>
                <w:iCs/>
                <w:sz w:val="17"/>
                <w:szCs w:val="17"/>
              </w:rPr>
              <w:t xml:space="preserve"> </w:t>
            </w:r>
            <w:r w:rsidRPr="00E72F1D">
              <w:rPr>
                <w:rFonts w:asciiTheme="minorHAnsi" w:hAnsiTheme="minorHAnsi"/>
                <w:bCs/>
                <w:iCs/>
                <w:sz w:val="17"/>
                <w:szCs w:val="17"/>
              </w:rPr>
              <w:t>reformy veřejné správy</w:t>
            </w:r>
          </w:p>
        </w:tc>
        <w:tc>
          <w:tcPr>
            <w:tcW w:w="5953" w:type="dxa"/>
            <w:shd w:val="clear" w:color="auto" w:fill="auto"/>
            <w:vAlign w:val="center"/>
            <w:hideMark/>
          </w:tcPr>
          <w:p w:rsidR="00656588" w:rsidRPr="00103542" w:rsidRDefault="00656588" w:rsidP="00712F71">
            <w:pPr>
              <w:pStyle w:val="ListDash1"/>
              <w:spacing w:after="0"/>
              <w:ind w:left="74"/>
              <w:jc w:val="left"/>
              <w:rPr>
                <w:rFonts w:asciiTheme="minorHAnsi" w:hAnsiTheme="minorHAnsi"/>
                <w:sz w:val="17"/>
                <w:szCs w:val="17"/>
              </w:rPr>
            </w:pPr>
            <w:r w:rsidRPr="00103542">
              <w:rPr>
                <w:rFonts w:asciiTheme="minorHAnsi" w:hAnsiTheme="minorHAnsi"/>
                <w:sz w:val="17"/>
                <w:szCs w:val="17"/>
              </w:rPr>
              <w:t>Je zavedena a prováděna strategie pro posílení účinnosti správy</w:t>
            </w:r>
            <w:r>
              <w:rPr>
                <w:rFonts w:asciiTheme="minorHAnsi" w:hAnsiTheme="minorHAnsi"/>
                <w:sz w:val="17"/>
                <w:szCs w:val="17"/>
              </w:rPr>
              <w:t xml:space="preserve"> </w:t>
            </w:r>
            <w:r w:rsidRPr="00103542">
              <w:rPr>
                <w:rFonts w:asciiTheme="minorHAnsi" w:hAnsiTheme="minorHAnsi"/>
                <w:sz w:val="17"/>
                <w:szCs w:val="17"/>
              </w:rPr>
              <w:t>členských států. Strategie zahrnuje:</w:t>
            </w:r>
          </w:p>
          <w:p w:rsidR="00656588" w:rsidRPr="00103542" w:rsidRDefault="00656588" w:rsidP="00656588">
            <w:pPr>
              <w:pStyle w:val="ListDash1"/>
              <w:numPr>
                <w:ilvl w:val="0"/>
                <w:numId w:val="33"/>
              </w:numPr>
              <w:spacing w:after="0"/>
              <w:ind w:left="355" w:hanging="283"/>
              <w:jc w:val="left"/>
              <w:rPr>
                <w:rFonts w:asciiTheme="minorHAnsi" w:hAnsiTheme="minorHAnsi"/>
                <w:sz w:val="17"/>
                <w:szCs w:val="17"/>
              </w:rPr>
            </w:pPr>
            <w:r w:rsidRPr="00103542">
              <w:rPr>
                <w:rFonts w:asciiTheme="minorHAnsi" w:hAnsiTheme="minorHAnsi"/>
                <w:sz w:val="17"/>
                <w:szCs w:val="17"/>
              </w:rPr>
              <w:t>analýzu a strategické plánování právních, organizačních</w:t>
            </w:r>
            <w:r>
              <w:rPr>
                <w:rFonts w:asciiTheme="minorHAnsi" w:hAnsiTheme="minorHAnsi"/>
                <w:sz w:val="17"/>
                <w:szCs w:val="17"/>
              </w:rPr>
              <w:t xml:space="preserve"> </w:t>
            </w:r>
            <w:r w:rsidRPr="00103542">
              <w:rPr>
                <w:rFonts w:asciiTheme="minorHAnsi" w:hAnsiTheme="minorHAnsi"/>
                <w:sz w:val="17"/>
                <w:szCs w:val="17"/>
              </w:rPr>
              <w:t>a/nebo procedurálních reformních opatření,</w:t>
            </w:r>
          </w:p>
          <w:p w:rsidR="00656588" w:rsidRPr="007A3765" w:rsidRDefault="00656588" w:rsidP="00656588">
            <w:pPr>
              <w:pStyle w:val="ListDash1"/>
              <w:numPr>
                <w:ilvl w:val="0"/>
                <w:numId w:val="33"/>
              </w:numPr>
              <w:spacing w:after="0"/>
              <w:ind w:left="355" w:hanging="283"/>
              <w:jc w:val="left"/>
              <w:rPr>
                <w:rFonts w:asciiTheme="minorHAnsi" w:hAnsiTheme="minorHAnsi"/>
                <w:sz w:val="17"/>
                <w:szCs w:val="17"/>
              </w:rPr>
            </w:pPr>
            <w:r w:rsidRPr="007A3765">
              <w:rPr>
                <w:rFonts w:asciiTheme="minorHAnsi" w:hAnsiTheme="minorHAnsi"/>
                <w:sz w:val="17"/>
                <w:szCs w:val="17"/>
              </w:rPr>
              <w:t>vypracování systému řízení kvality,</w:t>
            </w:r>
          </w:p>
          <w:p w:rsidR="00656588" w:rsidRPr="00103542" w:rsidRDefault="00656588" w:rsidP="00656588">
            <w:pPr>
              <w:pStyle w:val="ListDash1"/>
              <w:numPr>
                <w:ilvl w:val="0"/>
                <w:numId w:val="33"/>
              </w:numPr>
              <w:spacing w:after="0"/>
              <w:ind w:left="355" w:hanging="283"/>
              <w:jc w:val="left"/>
              <w:rPr>
                <w:rFonts w:asciiTheme="minorHAnsi" w:hAnsiTheme="minorHAnsi"/>
                <w:sz w:val="17"/>
                <w:szCs w:val="17"/>
              </w:rPr>
            </w:pPr>
            <w:r w:rsidRPr="00103542">
              <w:rPr>
                <w:rFonts w:asciiTheme="minorHAnsi" w:hAnsiTheme="minorHAnsi"/>
                <w:sz w:val="17"/>
                <w:szCs w:val="17"/>
              </w:rPr>
              <w:t>integrovaná opatření na zjednodušení a zefektivnění</w:t>
            </w:r>
            <w:r>
              <w:rPr>
                <w:rFonts w:asciiTheme="minorHAnsi" w:hAnsiTheme="minorHAnsi"/>
                <w:sz w:val="17"/>
                <w:szCs w:val="17"/>
              </w:rPr>
              <w:t xml:space="preserve"> </w:t>
            </w:r>
            <w:r w:rsidRPr="00103542">
              <w:rPr>
                <w:rFonts w:asciiTheme="minorHAnsi" w:hAnsiTheme="minorHAnsi"/>
                <w:sz w:val="17"/>
                <w:szCs w:val="17"/>
              </w:rPr>
              <w:t>správních postupů,</w:t>
            </w:r>
          </w:p>
          <w:p w:rsidR="00656588" w:rsidRPr="007A3765" w:rsidRDefault="00656588" w:rsidP="00656588">
            <w:pPr>
              <w:pStyle w:val="ListDash1"/>
              <w:numPr>
                <w:ilvl w:val="0"/>
                <w:numId w:val="33"/>
              </w:numPr>
              <w:spacing w:after="0"/>
              <w:ind w:left="355" w:hanging="283"/>
              <w:jc w:val="left"/>
              <w:rPr>
                <w:rFonts w:asciiTheme="minorHAnsi" w:hAnsiTheme="minorHAnsi"/>
                <w:sz w:val="17"/>
                <w:szCs w:val="17"/>
              </w:rPr>
            </w:pPr>
            <w:r w:rsidRPr="007A3765">
              <w:rPr>
                <w:rFonts w:asciiTheme="minorHAnsi" w:hAnsiTheme="minorHAnsi"/>
                <w:sz w:val="17"/>
                <w:szCs w:val="17"/>
              </w:rPr>
              <w:t>rozvoj dovedností na všech úrovních,</w:t>
            </w:r>
          </w:p>
          <w:p w:rsidR="00656588" w:rsidRPr="00E420E0" w:rsidRDefault="00656588" w:rsidP="00656588">
            <w:pPr>
              <w:pStyle w:val="ListDash1"/>
              <w:numPr>
                <w:ilvl w:val="0"/>
                <w:numId w:val="33"/>
              </w:numPr>
              <w:spacing w:after="0"/>
              <w:ind w:left="355" w:hanging="283"/>
              <w:rPr>
                <w:rFonts w:asciiTheme="minorHAnsi" w:hAnsiTheme="minorHAnsi"/>
                <w:bCs/>
                <w:sz w:val="17"/>
                <w:szCs w:val="17"/>
              </w:rPr>
            </w:pPr>
            <w:r w:rsidRPr="007A3765">
              <w:rPr>
                <w:rFonts w:asciiTheme="minorHAnsi" w:hAnsiTheme="minorHAnsi"/>
                <w:sz w:val="17"/>
                <w:szCs w:val="17"/>
              </w:rPr>
              <w:t>rozvoj postupů a nástrojů pro sledování a hodnocení.</w:t>
            </w:r>
          </w:p>
        </w:tc>
      </w:tr>
      <w:tr w:rsidR="00656588" w:rsidRPr="00E420E0" w:rsidTr="00F7737D">
        <w:trPr>
          <w:trHeight w:val="1405"/>
        </w:trPr>
        <w:tc>
          <w:tcPr>
            <w:tcW w:w="3134" w:type="dxa"/>
            <w:shd w:val="clear" w:color="auto" w:fill="auto"/>
            <w:vAlign w:val="center"/>
            <w:hideMark/>
          </w:tcPr>
          <w:p w:rsidR="00656588" w:rsidRPr="00163B89" w:rsidRDefault="00656588" w:rsidP="00712F71">
            <w:pPr>
              <w:spacing w:line="240" w:lineRule="auto"/>
              <w:jc w:val="left"/>
              <w:rPr>
                <w:rFonts w:asciiTheme="minorHAnsi" w:hAnsiTheme="minorHAnsi"/>
                <w:bCs/>
                <w:i/>
                <w:iCs/>
                <w:sz w:val="17"/>
                <w:szCs w:val="17"/>
              </w:rPr>
            </w:pPr>
            <w:r w:rsidRPr="00CD0B60">
              <w:rPr>
                <w:rFonts w:asciiTheme="minorHAnsi" w:hAnsiTheme="minorHAnsi"/>
                <w:bCs/>
                <w:i/>
                <w:iCs/>
                <w:sz w:val="17"/>
                <w:szCs w:val="17"/>
              </w:rPr>
              <w:t xml:space="preserve">Horizontální podmínka č. 2 Lidské zdroje: </w:t>
            </w:r>
            <w:r w:rsidRPr="00CD0B60">
              <w:rPr>
                <w:rFonts w:asciiTheme="minorHAnsi" w:hAnsiTheme="minorHAnsi"/>
                <w:bCs/>
                <w:iCs/>
                <w:sz w:val="17"/>
                <w:szCs w:val="17"/>
              </w:rPr>
              <w:t>subjekty odpovědné za řízení a provádění programů rozvoje venkova mají dostatečnou kapacitu v oblasti lidských zdrojů, řízení odborné přípravy a systémů IT</w:t>
            </w:r>
          </w:p>
        </w:tc>
        <w:tc>
          <w:tcPr>
            <w:tcW w:w="5953" w:type="dxa"/>
            <w:shd w:val="clear" w:color="auto" w:fill="auto"/>
            <w:vAlign w:val="center"/>
            <w:hideMark/>
          </w:tcPr>
          <w:p w:rsidR="00656588" w:rsidRPr="00E420E0" w:rsidRDefault="00656588" w:rsidP="00712F71">
            <w:pPr>
              <w:spacing w:line="240" w:lineRule="auto"/>
              <w:jc w:val="left"/>
              <w:rPr>
                <w:rFonts w:asciiTheme="minorHAnsi" w:hAnsiTheme="minorHAnsi"/>
                <w:bCs/>
                <w:sz w:val="17"/>
                <w:szCs w:val="17"/>
              </w:rPr>
            </w:pPr>
            <w:r w:rsidRPr="00774A2A">
              <w:rPr>
                <w:rFonts w:asciiTheme="minorHAnsi" w:hAnsiTheme="minorHAnsi"/>
                <w:bCs/>
                <w:sz w:val="17"/>
                <w:szCs w:val="17"/>
              </w:rPr>
              <w:t>V programu je obsažen popis lidských zdrojů, řízení odborné</w:t>
            </w:r>
            <w:r>
              <w:rPr>
                <w:rFonts w:asciiTheme="minorHAnsi" w:hAnsiTheme="minorHAnsi"/>
                <w:bCs/>
                <w:sz w:val="17"/>
                <w:szCs w:val="17"/>
              </w:rPr>
              <w:t xml:space="preserve"> </w:t>
            </w:r>
            <w:r w:rsidRPr="00774A2A">
              <w:rPr>
                <w:rFonts w:asciiTheme="minorHAnsi" w:hAnsiTheme="minorHAnsi"/>
                <w:bCs/>
                <w:sz w:val="17"/>
                <w:szCs w:val="17"/>
              </w:rPr>
              <w:t>přípravy a systémů IT v rámci řídících orgánů programu, který</w:t>
            </w:r>
            <w:r>
              <w:rPr>
                <w:rFonts w:asciiTheme="minorHAnsi" w:hAnsiTheme="minorHAnsi"/>
                <w:bCs/>
                <w:sz w:val="17"/>
                <w:szCs w:val="17"/>
              </w:rPr>
              <w:t xml:space="preserve"> </w:t>
            </w:r>
            <w:r w:rsidRPr="00774A2A">
              <w:rPr>
                <w:rFonts w:asciiTheme="minorHAnsi" w:hAnsiTheme="minorHAnsi"/>
                <w:bCs/>
                <w:sz w:val="17"/>
                <w:szCs w:val="17"/>
              </w:rPr>
              <w:t>prokazuje splnění předběžné horizontální podmínky č. 2.</w:t>
            </w:r>
          </w:p>
        </w:tc>
      </w:tr>
      <w:tr w:rsidR="00656588" w:rsidRPr="00E420E0" w:rsidTr="00712F71">
        <w:trPr>
          <w:trHeight w:val="898"/>
        </w:trPr>
        <w:tc>
          <w:tcPr>
            <w:tcW w:w="3134" w:type="dxa"/>
            <w:tcBorders>
              <w:bottom w:val="single" w:sz="4" w:space="0" w:color="auto"/>
            </w:tcBorders>
            <w:shd w:val="clear" w:color="auto" w:fill="auto"/>
            <w:vAlign w:val="center"/>
            <w:hideMark/>
          </w:tcPr>
          <w:p w:rsidR="00656588" w:rsidRPr="00774A2A" w:rsidRDefault="00656588" w:rsidP="00712F71">
            <w:pPr>
              <w:spacing w:line="240" w:lineRule="auto"/>
              <w:jc w:val="left"/>
              <w:rPr>
                <w:rFonts w:asciiTheme="minorHAnsi" w:hAnsiTheme="minorHAnsi"/>
                <w:bCs/>
                <w:iCs/>
                <w:sz w:val="17"/>
                <w:szCs w:val="17"/>
              </w:rPr>
            </w:pPr>
            <w:r w:rsidRPr="00774A2A">
              <w:rPr>
                <w:rFonts w:asciiTheme="minorHAnsi" w:hAnsiTheme="minorHAnsi"/>
                <w:bCs/>
                <w:i/>
                <w:iCs/>
                <w:sz w:val="17"/>
                <w:szCs w:val="17"/>
              </w:rPr>
              <w:t xml:space="preserve">Horizontální podmínka č. 3 Výběrová kritéria: </w:t>
            </w:r>
            <w:r w:rsidRPr="00774A2A">
              <w:rPr>
                <w:rFonts w:asciiTheme="minorHAnsi" w:hAnsiTheme="minorHAnsi"/>
                <w:bCs/>
                <w:iCs/>
                <w:sz w:val="17"/>
                <w:szCs w:val="17"/>
              </w:rPr>
              <w:t>je vymezen vhodný přístup, který stanoví zásady, pokud jde o určení</w:t>
            </w:r>
          </w:p>
          <w:p w:rsidR="00656588" w:rsidRPr="00163B89" w:rsidRDefault="00656588" w:rsidP="00712F71">
            <w:pPr>
              <w:spacing w:line="240" w:lineRule="auto"/>
              <w:jc w:val="left"/>
              <w:rPr>
                <w:rFonts w:asciiTheme="minorHAnsi" w:hAnsiTheme="minorHAnsi"/>
                <w:bCs/>
                <w:i/>
                <w:iCs/>
                <w:sz w:val="17"/>
                <w:szCs w:val="17"/>
              </w:rPr>
            </w:pPr>
            <w:r w:rsidRPr="00774A2A">
              <w:rPr>
                <w:rFonts w:asciiTheme="minorHAnsi" w:hAnsiTheme="minorHAnsi"/>
                <w:bCs/>
                <w:iCs/>
                <w:sz w:val="17"/>
                <w:szCs w:val="17"/>
              </w:rPr>
              <w:t>výběrových kritérií pro projekty a místní rozvoj</w:t>
            </w:r>
          </w:p>
        </w:tc>
        <w:tc>
          <w:tcPr>
            <w:tcW w:w="5953" w:type="dxa"/>
            <w:shd w:val="clear" w:color="auto" w:fill="auto"/>
            <w:vAlign w:val="center"/>
            <w:hideMark/>
          </w:tcPr>
          <w:p w:rsidR="00656588" w:rsidRPr="00F857E2" w:rsidRDefault="00656588" w:rsidP="00712F71">
            <w:pPr>
              <w:spacing w:line="240" w:lineRule="auto"/>
              <w:jc w:val="left"/>
              <w:rPr>
                <w:rFonts w:asciiTheme="minorHAnsi" w:hAnsiTheme="minorHAnsi"/>
                <w:bCs/>
                <w:sz w:val="17"/>
                <w:szCs w:val="17"/>
              </w:rPr>
            </w:pPr>
            <w:r w:rsidRPr="00774A2A">
              <w:rPr>
                <w:rFonts w:asciiTheme="minorHAnsi" w:hAnsiTheme="minorHAnsi"/>
                <w:bCs/>
                <w:sz w:val="17"/>
                <w:szCs w:val="17"/>
              </w:rPr>
              <w:t>V programu je obsažen popis zvoleného přístupu ke stanovení</w:t>
            </w:r>
            <w:r>
              <w:rPr>
                <w:rFonts w:asciiTheme="minorHAnsi" w:hAnsiTheme="minorHAnsi"/>
                <w:bCs/>
                <w:sz w:val="17"/>
                <w:szCs w:val="17"/>
              </w:rPr>
              <w:t xml:space="preserve"> </w:t>
            </w:r>
            <w:r w:rsidRPr="00774A2A">
              <w:rPr>
                <w:rFonts w:asciiTheme="minorHAnsi" w:hAnsiTheme="minorHAnsi"/>
                <w:bCs/>
                <w:sz w:val="17"/>
                <w:szCs w:val="17"/>
              </w:rPr>
              <w:t>výběrových kritérií pro projekty a místní rozvoj, který prokazuje</w:t>
            </w:r>
            <w:r>
              <w:rPr>
                <w:rFonts w:asciiTheme="minorHAnsi" w:hAnsiTheme="minorHAnsi"/>
                <w:bCs/>
                <w:sz w:val="17"/>
                <w:szCs w:val="17"/>
              </w:rPr>
              <w:t xml:space="preserve"> </w:t>
            </w:r>
            <w:r w:rsidRPr="00774A2A">
              <w:rPr>
                <w:rFonts w:asciiTheme="minorHAnsi" w:hAnsiTheme="minorHAnsi"/>
                <w:bCs/>
                <w:sz w:val="17"/>
                <w:szCs w:val="17"/>
              </w:rPr>
              <w:t>splnění předběžné horizontální podmínky č. 3.</w:t>
            </w:r>
          </w:p>
        </w:tc>
      </w:tr>
    </w:tbl>
    <w:p w:rsidR="009A03FE" w:rsidRDefault="009A03FE" w:rsidP="009A03FE">
      <w:pPr>
        <w:pStyle w:val="Nadpis11"/>
        <w:numPr>
          <w:ilvl w:val="0"/>
          <w:numId w:val="0"/>
        </w:numPr>
        <w:spacing w:after="120"/>
        <w:ind w:left="567"/>
        <w:jc w:val="right"/>
        <w:rPr>
          <w:rFonts w:asciiTheme="minorHAnsi" w:eastAsiaTheme="majorEastAsia" w:hAnsiTheme="minorHAnsi"/>
        </w:rPr>
      </w:pPr>
    </w:p>
    <w:p w:rsidR="009A03FE" w:rsidRDefault="009A03FE">
      <w:pPr>
        <w:spacing w:before="360" w:after="200" w:line="276" w:lineRule="auto"/>
        <w:ind w:left="425"/>
        <w:rPr>
          <w:rFonts w:asciiTheme="minorHAnsi" w:eastAsiaTheme="majorEastAsia" w:hAnsiTheme="minorHAnsi" w:cs="Arial"/>
          <w:b/>
          <w:bCs/>
          <w:color w:val="002060"/>
          <w:sz w:val="26"/>
          <w:szCs w:val="26"/>
        </w:rPr>
      </w:pPr>
      <w:r>
        <w:rPr>
          <w:rFonts w:asciiTheme="minorHAnsi" w:eastAsiaTheme="majorEastAsia" w:hAnsiTheme="minorHAnsi"/>
        </w:rPr>
        <w:br w:type="page"/>
      </w:r>
    </w:p>
    <w:p w:rsidR="00656588" w:rsidRPr="009A03FE" w:rsidRDefault="00656588" w:rsidP="009A03FE">
      <w:pPr>
        <w:pStyle w:val="Nadpis11"/>
        <w:numPr>
          <w:ilvl w:val="0"/>
          <w:numId w:val="0"/>
        </w:numPr>
        <w:spacing w:after="120"/>
        <w:ind w:left="567"/>
        <w:jc w:val="right"/>
        <w:rPr>
          <w:rFonts w:asciiTheme="minorHAnsi" w:eastAsiaTheme="majorEastAsia" w:hAnsiTheme="minorHAnsi"/>
        </w:rPr>
      </w:pPr>
      <w:bookmarkStart w:id="47" w:name="_Toc359587674"/>
      <w:r w:rsidRPr="009A03FE">
        <w:rPr>
          <w:rFonts w:asciiTheme="minorHAnsi" w:eastAsiaTheme="majorEastAsia" w:hAnsiTheme="minorHAnsi"/>
        </w:rPr>
        <w:t xml:space="preserve">Příloha </w:t>
      </w:r>
      <w:r w:rsidR="00F7737D" w:rsidRPr="009A03FE">
        <w:rPr>
          <w:rFonts w:asciiTheme="minorHAnsi" w:eastAsiaTheme="majorEastAsia" w:hAnsiTheme="minorHAnsi"/>
        </w:rPr>
        <w:t>1</w:t>
      </w:r>
      <w:r w:rsidRPr="009A03FE">
        <w:rPr>
          <w:rFonts w:asciiTheme="minorHAnsi" w:eastAsiaTheme="majorEastAsia" w:hAnsiTheme="minorHAnsi"/>
        </w:rPr>
        <w:t>d: Tematické předběžné podmínky pro EZFRV</w:t>
      </w:r>
      <w:bookmarkEnd w:id="47"/>
    </w:p>
    <w:p w:rsidR="00656588" w:rsidRPr="00550DB3" w:rsidRDefault="00656588" w:rsidP="00F7737D">
      <w:pPr>
        <w:spacing w:after="60" w:line="240" w:lineRule="auto"/>
        <w:rPr>
          <w:rFonts w:asciiTheme="minorHAnsi" w:hAnsiTheme="minorHAnsi" w:cs="Arial"/>
          <w:strike/>
          <w:color w:val="000000"/>
          <w:u w:val="single"/>
        </w:rPr>
      </w:pPr>
      <w:r w:rsidRPr="00550DB3">
        <w:rPr>
          <w:rFonts w:asciiTheme="minorHAnsi" w:hAnsiTheme="minorHAnsi" w:cs="Arial"/>
          <w:strike/>
          <w:color w:val="000000"/>
          <w:u w:val="single"/>
        </w:rPr>
        <w:t>Priorita pro rozvoj venkova č. 1: podpora předávání znalostí a inovací v zemědělství, lesnictví a ve venkovských oblastech</w:t>
      </w:r>
    </w:p>
    <w:p w:rsidR="00656588" w:rsidRPr="00550DB3" w:rsidRDefault="00656588" w:rsidP="00F7737D">
      <w:pPr>
        <w:spacing w:after="60" w:line="240" w:lineRule="auto"/>
        <w:rPr>
          <w:rFonts w:asciiTheme="minorHAnsi" w:hAnsiTheme="minorHAnsi" w:cs="Arial"/>
          <w:strike/>
          <w:color w:val="000000"/>
          <w:u w:val="single"/>
        </w:rPr>
      </w:pPr>
      <w:r w:rsidRPr="00550DB3">
        <w:rPr>
          <w:rFonts w:asciiTheme="minorHAnsi" w:hAnsiTheme="minorHAnsi" w:cs="Arial"/>
          <w:strike/>
          <w:color w:val="000000"/>
          <w:u w:val="single"/>
        </w:rPr>
        <w:t>Tematický cíl 1: Posílení výzkumu, technologického vývoje a inovací</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5953"/>
      </w:tblGrid>
      <w:tr w:rsidR="00656588" w:rsidRPr="00523D12" w:rsidTr="0027669E">
        <w:trPr>
          <w:trHeight w:val="431"/>
        </w:trPr>
        <w:tc>
          <w:tcPr>
            <w:tcW w:w="313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95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712F71">
        <w:trPr>
          <w:trHeight w:val="2395"/>
        </w:trPr>
        <w:tc>
          <w:tcPr>
            <w:tcW w:w="3134" w:type="dxa"/>
            <w:shd w:val="clear" w:color="auto" w:fill="auto"/>
            <w:vAlign w:val="center"/>
            <w:hideMark/>
          </w:tcPr>
          <w:p w:rsidR="00656588" w:rsidRPr="00550DB3" w:rsidRDefault="00656588" w:rsidP="00712F71">
            <w:pPr>
              <w:spacing w:line="240" w:lineRule="auto"/>
              <w:jc w:val="left"/>
              <w:rPr>
                <w:rFonts w:asciiTheme="minorHAnsi" w:hAnsiTheme="minorHAnsi"/>
                <w:bCs/>
                <w:iCs/>
                <w:strike/>
                <w:sz w:val="17"/>
                <w:szCs w:val="17"/>
              </w:rPr>
            </w:pPr>
            <w:r w:rsidRPr="00550DB3">
              <w:rPr>
                <w:rFonts w:asciiTheme="minorHAnsi" w:hAnsiTheme="minorHAnsi"/>
                <w:bCs/>
                <w:i/>
                <w:iCs/>
                <w:strike/>
                <w:sz w:val="17"/>
                <w:szCs w:val="17"/>
              </w:rPr>
              <w:t xml:space="preserve">1.1. Výzkum a inovace: </w:t>
            </w:r>
            <w:r w:rsidRPr="00550DB3">
              <w:rPr>
                <w:rFonts w:asciiTheme="minorHAnsi" w:hAnsiTheme="minorHAnsi"/>
                <w:bCs/>
                <w:iCs/>
                <w:strike/>
                <w:sz w:val="17"/>
                <w:szCs w:val="17"/>
              </w:rPr>
              <w:t>existence celostátní a/nebo regionální inovační strategie pro inteligentní specializaci v souladu s</w:t>
            </w:r>
          </w:p>
          <w:p w:rsidR="00656588" w:rsidRPr="00550DB3" w:rsidRDefault="00656588" w:rsidP="00712F71">
            <w:pPr>
              <w:spacing w:line="240" w:lineRule="auto"/>
              <w:jc w:val="left"/>
              <w:rPr>
                <w:rFonts w:asciiTheme="minorHAnsi" w:hAnsiTheme="minorHAnsi"/>
                <w:bCs/>
                <w:i/>
                <w:iCs/>
                <w:strike/>
                <w:sz w:val="17"/>
                <w:szCs w:val="17"/>
              </w:rPr>
            </w:pPr>
            <w:r w:rsidRPr="00550DB3">
              <w:rPr>
                <w:rFonts w:asciiTheme="minorHAnsi" w:hAnsiTheme="minorHAnsi"/>
                <w:bCs/>
                <w:iCs/>
                <w:strike/>
                <w:sz w:val="17"/>
                <w:szCs w:val="17"/>
              </w:rPr>
              <w:t>národním programem reforem s cílem podnítit soukromé výdaje na výzkum a inovace, který je v souladu s charakteristikami dobře fungujících celostátních nebo regionálních systému pro výzkum a inovace.</w:t>
            </w:r>
          </w:p>
        </w:tc>
        <w:tc>
          <w:tcPr>
            <w:tcW w:w="5953" w:type="dxa"/>
            <w:shd w:val="clear" w:color="auto" w:fill="auto"/>
            <w:vAlign w:val="center"/>
            <w:hideMark/>
          </w:tcPr>
          <w:p w:rsidR="00656588" w:rsidRPr="00550DB3" w:rsidRDefault="00656588" w:rsidP="00712F71">
            <w:pPr>
              <w:pStyle w:val="ListDash1"/>
              <w:numPr>
                <w:ilvl w:val="0"/>
                <w:numId w:val="0"/>
              </w:numPr>
              <w:spacing w:after="0"/>
              <w:ind w:left="72"/>
              <w:jc w:val="left"/>
              <w:rPr>
                <w:rFonts w:asciiTheme="minorHAnsi" w:hAnsiTheme="minorHAnsi"/>
                <w:bCs/>
                <w:strike/>
                <w:sz w:val="17"/>
                <w:szCs w:val="17"/>
              </w:rPr>
            </w:pPr>
            <w:r w:rsidRPr="00550DB3">
              <w:rPr>
                <w:rFonts w:asciiTheme="minorHAnsi" w:hAnsiTheme="minorHAnsi"/>
                <w:strike/>
                <w:sz w:val="17"/>
                <w:szCs w:val="17"/>
              </w:rPr>
              <w:t xml:space="preserve">Je zavedena celostátní a/nebo regionální inovační strategie pro </w:t>
            </w:r>
            <w:r w:rsidRPr="00550DB3">
              <w:rPr>
                <w:rFonts w:asciiTheme="minorHAnsi" w:hAnsiTheme="minorHAnsi"/>
                <w:bCs/>
                <w:strike/>
                <w:sz w:val="17"/>
                <w:szCs w:val="17"/>
              </w:rPr>
              <w:t>inteligentní specializaci, která:</w:t>
            </w:r>
          </w:p>
          <w:p w:rsidR="00656588" w:rsidRPr="00550DB3" w:rsidRDefault="00656588" w:rsidP="00656588">
            <w:pPr>
              <w:pStyle w:val="ListDash1"/>
              <w:numPr>
                <w:ilvl w:val="0"/>
                <w:numId w:val="28"/>
              </w:numPr>
              <w:spacing w:after="0"/>
              <w:ind w:left="355" w:hanging="283"/>
              <w:jc w:val="left"/>
              <w:rPr>
                <w:rFonts w:asciiTheme="minorHAnsi" w:hAnsiTheme="minorHAnsi"/>
                <w:bCs/>
                <w:strike/>
                <w:sz w:val="17"/>
                <w:szCs w:val="17"/>
              </w:rPr>
            </w:pPr>
            <w:r w:rsidRPr="00550DB3">
              <w:rPr>
                <w:rFonts w:asciiTheme="minorHAnsi" w:hAnsiTheme="minorHAnsi"/>
                <w:strike/>
                <w:sz w:val="17"/>
                <w:szCs w:val="17"/>
              </w:rPr>
              <w:t xml:space="preserve">je založena na analýze SWOT s cílem soustředit zdroje na </w:t>
            </w:r>
            <w:r w:rsidRPr="00550DB3">
              <w:rPr>
                <w:rFonts w:asciiTheme="minorHAnsi" w:hAnsiTheme="minorHAnsi"/>
                <w:bCs/>
                <w:strike/>
                <w:sz w:val="17"/>
                <w:szCs w:val="17"/>
              </w:rPr>
              <w:t>omezený soubor priorit v oblasti výzkumu a inovací,</w:t>
            </w:r>
          </w:p>
          <w:p w:rsidR="00656588" w:rsidRPr="00550DB3" w:rsidRDefault="00656588" w:rsidP="00656588">
            <w:pPr>
              <w:pStyle w:val="ListDash1"/>
              <w:numPr>
                <w:ilvl w:val="0"/>
                <w:numId w:val="28"/>
              </w:numPr>
              <w:spacing w:after="0"/>
              <w:ind w:left="355" w:hanging="283"/>
              <w:jc w:val="left"/>
              <w:rPr>
                <w:rFonts w:asciiTheme="minorHAnsi" w:hAnsiTheme="minorHAnsi"/>
                <w:bCs/>
                <w:strike/>
                <w:sz w:val="17"/>
                <w:szCs w:val="17"/>
              </w:rPr>
            </w:pPr>
            <w:r w:rsidRPr="00550DB3">
              <w:rPr>
                <w:rFonts w:asciiTheme="minorHAnsi" w:hAnsiTheme="minorHAnsi"/>
                <w:strike/>
                <w:sz w:val="17"/>
                <w:szCs w:val="17"/>
              </w:rPr>
              <w:t xml:space="preserve">vymezuje opatření ke stimulaci soukromých investic do </w:t>
            </w:r>
            <w:r w:rsidRPr="00550DB3">
              <w:rPr>
                <w:rFonts w:asciiTheme="minorHAnsi" w:hAnsiTheme="minorHAnsi"/>
                <w:bCs/>
                <w:strike/>
                <w:sz w:val="17"/>
                <w:szCs w:val="17"/>
              </w:rPr>
              <w:t>výzkumu a technologického rozvoje,</w:t>
            </w:r>
          </w:p>
          <w:p w:rsidR="00656588" w:rsidRPr="00550DB3" w:rsidRDefault="00656588" w:rsidP="00656588">
            <w:pPr>
              <w:pStyle w:val="ListDash1"/>
              <w:numPr>
                <w:ilvl w:val="0"/>
                <w:numId w:val="28"/>
              </w:numPr>
              <w:spacing w:after="0"/>
              <w:ind w:left="355" w:hanging="283"/>
              <w:rPr>
                <w:rFonts w:asciiTheme="minorHAnsi" w:hAnsiTheme="minorHAnsi"/>
                <w:strike/>
                <w:sz w:val="17"/>
                <w:szCs w:val="17"/>
              </w:rPr>
            </w:pPr>
            <w:r w:rsidRPr="00550DB3">
              <w:rPr>
                <w:rFonts w:asciiTheme="minorHAnsi" w:hAnsiTheme="minorHAnsi"/>
                <w:strike/>
                <w:sz w:val="17"/>
                <w:szCs w:val="17"/>
              </w:rPr>
              <w:t>obsahuje systém sledování a přezkumu.</w:t>
            </w:r>
          </w:p>
          <w:p w:rsidR="00656588" w:rsidRPr="00550DB3" w:rsidRDefault="00656588" w:rsidP="00712F71">
            <w:pPr>
              <w:pStyle w:val="ListDash1"/>
              <w:numPr>
                <w:ilvl w:val="0"/>
                <w:numId w:val="0"/>
              </w:numPr>
              <w:spacing w:after="0"/>
              <w:ind w:left="72"/>
              <w:rPr>
                <w:rFonts w:asciiTheme="minorHAnsi" w:hAnsiTheme="minorHAnsi"/>
                <w:bCs/>
                <w:strike/>
                <w:sz w:val="17"/>
                <w:szCs w:val="17"/>
              </w:rPr>
            </w:pPr>
            <w:r w:rsidRPr="00550DB3">
              <w:rPr>
                <w:rFonts w:asciiTheme="minorHAnsi" w:hAnsiTheme="minorHAnsi"/>
                <w:strike/>
                <w:sz w:val="17"/>
                <w:szCs w:val="17"/>
              </w:rPr>
              <w:t xml:space="preserve">Členský stát přijal rámec vymezující dostupné rozpočtové zdroje pro </w:t>
            </w:r>
            <w:r w:rsidRPr="00550DB3">
              <w:rPr>
                <w:rFonts w:asciiTheme="minorHAnsi" w:hAnsiTheme="minorHAnsi"/>
                <w:bCs/>
                <w:strike/>
                <w:sz w:val="17"/>
                <w:szCs w:val="17"/>
              </w:rPr>
              <w:t>výzkum a vývoj.</w:t>
            </w:r>
          </w:p>
          <w:p w:rsidR="00656588" w:rsidRPr="00550DB3" w:rsidRDefault="00656588" w:rsidP="00712F71">
            <w:pPr>
              <w:pStyle w:val="ListDash1"/>
              <w:numPr>
                <w:ilvl w:val="0"/>
                <w:numId w:val="0"/>
              </w:numPr>
              <w:spacing w:after="0"/>
              <w:ind w:left="72"/>
              <w:rPr>
                <w:rFonts w:asciiTheme="minorHAnsi" w:hAnsiTheme="minorHAnsi"/>
                <w:bCs/>
                <w:strike/>
                <w:sz w:val="17"/>
                <w:szCs w:val="17"/>
              </w:rPr>
            </w:pPr>
            <w:r w:rsidRPr="00550DB3">
              <w:rPr>
                <w:rFonts w:asciiTheme="minorHAnsi" w:hAnsiTheme="minorHAnsi"/>
                <w:strike/>
                <w:sz w:val="17"/>
                <w:szCs w:val="17"/>
              </w:rPr>
              <w:t xml:space="preserve">Členský stát přijal víceletý plán pro sestavování rozpočtu a stanovení </w:t>
            </w:r>
            <w:r w:rsidRPr="00550DB3">
              <w:rPr>
                <w:rFonts w:asciiTheme="minorHAnsi" w:hAnsiTheme="minorHAnsi"/>
                <w:bCs/>
                <w:strike/>
                <w:sz w:val="17"/>
                <w:szCs w:val="17"/>
              </w:rPr>
              <w:t>priorit pro investice spojené s prioritami EU (ESFRI).</w:t>
            </w:r>
          </w:p>
        </w:tc>
      </w:tr>
      <w:tr w:rsidR="00656588" w:rsidRPr="00523D12" w:rsidTr="00F7737D">
        <w:trPr>
          <w:trHeight w:val="1518"/>
        </w:trPr>
        <w:tc>
          <w:tcPr>
            <w:tcW w:w="3134" w:type="dxa"/>
            <w:tcBorders>
              <w:bottom w:val="single" w:sz="4" w:space="0" w:color="auto"/>
            </w:tcBorders>
            <w:shd w:val="clear" w:color="auto" w:fill="auto"/>
            <w:vAlign w:val="center"/>
            <w:hideMark/>
          </w:tcPr>
          <w:p w:rsidR="00656588" w:rsidRPr="00550DB3" w:rsidRDefault="00656588" w:rsidP="00712F71">
            <w:pPr>
              <w:spacing w:line="240" w:lineRule="auto"/>
              <w:jc w:val="left"/>
              <w:rPr>
                <w:rFonts w:asciiTheme="minorHAnsi" w:hAnsiTheme="minorHAnsi"/>
                <w:bCs/>
                <w:i/>
                <w:iCs/>
                <w:strike/>
                <w:sz w:val="17"/>
                <w:szCs w:val="17"/>
              </w:rPr>
            </w:pPr>
            <w:r w:rsidRPr="00550DB3">
              <w:rPr>
                <w:rFonts w:asciiTheme="minorHAnsi" w:hAnsiTheme="minorHAnsi"/>
                <w:bCs/>
                <w:i/>
                <w:iCs/>
                <w:strike/>
                <w:sz w:val="17"/>
                <w:szCs w:val="17"/>
              </w:rPr>
              <w:t xml:space="preserve">1.2. Kapacita v oblasti poradenství: </w:t>
            </w:r>
            <w:r w:rsidRPr="00550DB3">
              <w:rPr>
                <w:rFonts w:asciiTheme="minorHAnsi" w:hAnsiTheme="minorHAnsi"/>
                <w:bCs/>
                <w:iCs/>
                <w:strike/>
                <w:sz w:val="17"/>
                <w:szCs w:val="17"/>
              </w:rPr>
              <w:t>v oblasti poradenství existuje dostatečná kapacita k zajištění poradenství týkajícího se regulatorních požadavků a všech aspektů spojených s udržitelným řízením a opatřeními v oblasti klimatu v zemědělství a lesnictví.</w:t>
            </w:r>
          </w:p>
        </w:tc>
        <w:tc>
          <w:tcPr>
            <w:tcW w:w="5953" w:type="dxa"/>
            <w:shd w:val="clear" w:color="auto" w:fill="auto"/>
            <w:vAlign w:val="center"/>
            <w:hideMark/>
          </w:tcPr>
          <w:p w:rsidR="00656588" w:rsidRPr="00550DB3" w:rsidRDefault="00656588" w:rsidP="00712F71">
            <w:pPr>
              <w:spacing w:line="240" w:lineRule="auto"/>
              <w:jc w:val="left"/>
              <w:rPr>
                <w:rFonts w:asciiTheme="minorHAnsi" w:hAnsiTheme="minorHAnsi"/>
                <w:bCs/>
                <w:strike/>
                <w:sz w:val="17"/>
                <w:szCs w:val="17"/>
              </w:rPr>
            </w:pPr>
            <w:r w:rsidRPr="00550DB3">
              <w:rPr>
                <w:rFonts w:asciiTheme="minorHAnsi" w:hAnsiTheme="minorHAnsi"/>
                <w:bCs/>
                <w:strike/>
                <w:sz w:val="17"/>
                <w:szCs w:val="17"/>
              </w:rPr>
              <w:t>Popis struktury systémů rozšíření/poradenství na příslušné zeměpisné úrovni (celostátní/regionální), včetně jejich zamýšlené úlohy v rámci oblasti působnosti priority pro rozvoj venkova, což prokazuje, že splnění předběžné podmínky 1.2 je začleněno do programu.</w:t>
            </w:r>
          </w:p>
        </w:tc>
      </w:tr>
    </w:tbl>
    <w:p w:rsidR="00656588" w:rsidRDefault="00656588" w:rsidP="00656588">
      <w:pPr>
        <w:rPr>
          <w:rFonts w:asciiTheme="minorHAnsi" w:hAnsiTheme="minorHAnsi"/>
          <w:sz w:val="24"/>
          <w:szCs w:val="24"/>
        </w:rPr>
      </w:pPr>
    </w:p>
    <w:p w:rsidR="00656588" w:rsidRPr="00A949D4" w:rsidRDefault="00656588" w:rsidP="00F7737D">
      <w:pPr>
        <w:spacing w:after="60" w:line="240" w:lineRule="auto"/>
        <w:rPr>
          <w:rFonts w:asciiTheme="minorHAnsi" w:hAnsiTheme="minorHAnsi" w:cs="Arial"/>
          <w:strike/>
          <w:u w:val="single"/>
        </w:rPr>
      </w:pPr>
      <w:r w:rsidRPr="00A949D4">
        <w:rPr>
          <w:rFonts w:asciiTheme="minorHAnsi" w:hAnsiTheme="minorHAnsi" w:cs="Arial"/>
          <w:strike/>
          <w:u w:val="single"/>
        </w:rPr>
        <w:t>Priorita pro rozvoj venkova č. 2: zvýšení konkurenceschopnosti všech druhů zemědělské činnosti</w:t>
      </w:r>
    </w:p>
    <w:p w:rsidR="00656588" w:rsidRPr="00A949D4" w:rsidRDefault="00656588" w:rsidP="00F7737D">
      <w:pPr>
        <w:spacing w:after="60" w:line="240" w:lineRule="auto"/>
        <w:rPr>
          <w:rFonts w:asciiTheme="minorHAnsi" w:hAnsiTheme="minorHAnsi" w:cs="Arial"/>
          <w:strike/>
          <w:u w:val="single"/>
        </w:rPr>
      </w:pPr>
      <w:r w:rsidRPr="00A949D4">
        <w:rPr>
          <w:rFonts w:asciiTheme="minorHAnsi" w:hAnsiTheme="minorHAnsi" w:cs="Arial"/>
          <w:strike/>
          <w:u w:val="single"/>
        </w:rPr>
        <w:t>a zlepšení životaschopnosti zemědělských podniků</w:t>
      </w:r>
    </w:p>
    <w:p w:rsidR="00656588" w:rsidRPr="00A949D4" w:rsidRDefault="00656588" w:rsidP="00F7737D">
      <w:pPr>
        <w:spacing w:after="60" w:line="240" w:lineRule="auto"/>
        <w:rPr>
          <w:rFonts w:asciiTheme="minorHAnsi" w:hAnsiTheme="minorHAnsi" w:cs="Arial"/>
          <w:strike/>
          <w:u w:val="single"/>
        </w:rPr>
      </w:pPr>
      <w:r w:rsidRPr="00A949D4">
        <w:rPr>
          <w:rFonts w:asciiTheme="minorHAnsi" w:hAnsiTheme="minorHAnsi" w:cs="Arial"/>
          <w:strike/>
          <w:u w:val="single"/>
        </w:rPr>
        <w:t>Priorita pro rozvoj venkova č. 3: podpor</w:t>
      </w:r>
      <w:r w:rsidR="00A949D4" w:rsidRPr="00A949D4">
        <w:rPr>
          <w:rFonts w:asciiTheme="minorHAnsi" w:hAnsiTheme="minorHAnsi" w:cs="Arial"/>
          <w:strike/>
          <w:u w:val="single"/>
        </w:rPr>
        <w:t>a</w:t>
      </w:r>
      <w:r w:rsidRPr="00A949D4">
        <w:rPr>
          <w:rFonts w:asciiTheme="minorHAnsi" w:hAnsiTheme="minorHAnsi" w:cs="Arial"/>
          <w:strike/>
          <w:u w:val="single"/>
        </w:rPr>
        <w:t xml:space="preserve"> organizace potravinového řetězce a řízení rizik v zemědělství</w:t>
      </w:r>
    </w:p>
    <w:p w:rsidR="00656588" w:rsidRPr="00A949D4" w:rsidRDefault="00656588" w:rsidP="00F7737D">
      <w:pPr>
        <w:spacing w:after="60" w:line="240" w:lineRule="auto"/>
        <w:rPr>
          <w:rFonts w:asciiTheme="minorHAnsi" w:hAnsiTheme="minorHAnsi" w:cs="Arial"/>
          <w:strike/>
          <w:u w:val="single"/>
        </w:rPr>
      </w:pPr>
      <w:r w:rsidRPr="00A949D4">
        <w:rPr>
          <w:rFonts w:asciiTheme="minorHAnsi" w:hAnsiTheme="minorHAnsi" w:cs="Arial"/>
          <w:strike/>
          <w:u w:val="single"/>
        </w:rPr>
        <w:t>Tematický cíl 3: zvýšení konkurenceschopnosti malých a středních podniků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5953"/>
      </w:tblGrid>
      <w:tr w:rsidR="00656588" w:rsidRPr="00523D12" w:rsidTr="0027669E">
        <w:trPr>
          <w:trHeight w:val="411"/>
        </w:trPr>
        <w:tc>
          <w:tcPr>
            <w:tcW w:w="313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95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F7737D">
        <w:trPr>
          <w:trHeight w:val="1752"/>
        </w:trPr>
        <w:tc>
          <w:tcPr>
            <w:tcW w:w="3134" w:type="dxa"/>
            <w:shd w:val="clear" w:color="auto" w:fill="auto"/>
            <w:vAlign w:val="center"/>
            <w:hideMark/>
          </w:tcPr>
          <w:p w:rsidR="00656588" w:rsidRPr="00550DB3" w:rsidRDefault="00656588" w:rsidP="00712F71">
            <w:pPr>
              <w:spacing w:line="240" w:lineRule="auto"/>
              <w:jc w:val="left"/>
              <w:rPr>
                <w:rFonts w:asciiTheme="minorHAnsi" w:hAnsiTheme="minorHAnsi"/>
                <w:bCs/>
                <w:iCs/>
                <w:strike/>
                <w:sz w:val="17"/>
                <w:szCs w:val="17"/>
              </w:rPr>
            </w:pPr>
            <w:r w:rsidRPr="00550DB3">
              <w:rPr>
                <w:rFonts w:asciiTheme="minorHAnsi" w:hAnsiTheme="minorHAnsi"/>
                <w:bCs/>
                <w:i/>
                <w:iCs/>
                <w:strike/>
                <w:sz w:val="17"/>
                <w:szCs w:val="17"/>
              </w:rPr>
              <w:t xml:space="preserve">2-3.1. Zakládání podniků: </w:t>
            </w:r>
            <w:r w:rsidRPr="00550DB3">
              <w:rPr>
                <w:rFonts w:asciiTheme="minorHAnsi" w:hAnsiTheme="minorHAnsi"/>
                <w:bCs/>
                <w:iCs/>
                <w:strike/>
                <w:sz w:val="17"/>
                <w:szCs w:val="17"/>
              </w:rPr>
              <w:t>byly provedeny konkrétní akce s cílem účinně provést „Small Business Act“ a jeho přezkum z 23.</w:t>
            </w:r>
          </w:p>
          <w:p w:rsidR="00656588" w:rsidRPr="00550DB3" w:rsidRDefault="00656588" w:rsidP="00712F71">
            <w:pPr>
              <w:spacing w:line="240" w:lineRule="auto"/>
              <w:jc w:val="left"/>
              <w:rPr>
                <w:rFonts w:asciiTheme="minorHAnsi" w:hAnsiTheme="minorHAnsi"/>
                <w:bCs/>
                <w:i/>
                <w:iCs/>
                <w:strike/>
                <w:sz w:val="17"/>
                <w:szCs w:val="17"/>
              </w:rPr>
            </w:pPr>
            <w:r w:rsidRPr="00550DB3">
              <w:rPr>
                <w:rFonts w:asciiTheme="minorHAnsi" w:hAnsiTheme="minorHAnsi"/>
                <w:bCs/>
                <w:iCs/>
                <w:strike/>
                <w:sz w:val="17"/>
                <w:szCs w:val="17"/>
              </w:rPr>
              <w:t>února 2011, včetně zásady „zelenou malým a středním podnikům“.</w:t>
            </w:r>
          </w:p>
        </w:tc>
        <w:tc>
          <w:tcPr>
            <w:tcW w:w="5953" w:type="dxa"/>
            <w:shd w:val="clear" w:color="auto" w:fill="auto"/>
            <w:vAlign w:val="center"/>
            <w:hideMark/>
          </w:tcPr>
          <w:p w:rsidR="00656588" w:rsidRPr="00550DB3" w:rsidRDefault="00656588" w:rsidP="00712F71">
            <w:pPr>
              <w:pStyle w:val="ListDash1"/>
              <w:numPr>
                <w:ilvl w:val="0"/>
                <w:numId w:val="0"/>
              </w:numPr>
              <w:spacing w:after="0"/>
              <w:ind w:left="72"/>
              <w:jc w:val="left"/>
              <w:rPr>
                <w:rFonts w:asciiTheme="minorHAnsi" w:hAnsiTheme="minorHAnsi"/>
                <w:strike/>
                <w:sz w:val="17"/>
                <w:szCs w:val="17"/>
              </w:rPr>
            </w:pPr>
            <w:r w:rsidRPr="00550DB3">
              <w:rPr>
                <w:rFonts w:asciiTheme="minorHAnsi" w:hAnsiTheme="minorHAnsi"/>
                <w:strike/>
                <w:sz w:val="17"/>
                <w:szCs w:val="17"/>
              </w:rPr>
              <w:t>Konkrétní akce zahrnují:</w:t>
            </w:r>
          </w:p>
          <w:p w:rsidR="00656588" w:rsidRPr="00550DB3" w:rsidRDefault="00656588" w:rsidP="00656588">
            <w:pPr>
              <w:pStyle w:val="ListDash1"/>
              <w:numPr>
                <w:ilvl w:val="0"/>
                <w:numId w:val="29"/>
              </w:numPr>
              <w:spacing w:after="0"/>
              <w:ind w:left="355" w:hanging="283"/>
              <w:jc w:val="left"/>
              <w:rPr>
                <w:rFonts w:asciiTheme="minorHAnsi" w:hAnsiTheme="minorHAnsi"/>
                <w:strike/>
                <w:sz w:val="17"/>
                <w:szCs w:val="17"/>
              </w:rPr>
            </w:pPr>
            <w:r w:rsidRPr="00550DB3">
              <w:rPr>
                <w:rFonts w:asciiTheme="minorHAnsi" w:hAnsiTheme="minorHAnsi"/>
                <w:strike/>
                <w:sz w:val="17"/>
                <w:szCs w:val="17"/>
              </w:rPr>
              <w:t>opatření na snížení doby pro založení podniku na 3 pracovní dny a náklady na 100 EUR,</w:t>
            </w:r>
          </w:p>
          <w:p w:rsidR="00656588" w:rsidRPr="00550DB3" w:rsidRDefault="00656588" w:rsidP="00656588">
            <w:pPr>
              <w:pStyle w:val="ListDash1"/>
              <w:numPr>
                <w:ilvl w:val="0"/>
                <w:numId w:val="29"/>
              </w:numPr>
              <w:spacing w:after="0"/>
              <w:ind w:left="355" w:hanging="283"/>
              <w:jc w:val="left"/>
              <w:rPr>
                <w:rFonts w:asciiTheme="minorHAnsi" w:hAnsiTheme="minorHAnsi"/>
                <w:strike/>
                <w:sz w:val="17"/>
                <w:szCs w:val="17"/>
              </w:rPr>
            </w:pPr>
            <w:r w:rsidRPr="00550DB3">
              <w:rPr>
                <w:rFonts w:asciiTheme="minorHAnsi" w:hAnsiTheme="minorHAnsi"/>
                <w:strike/>
                <w:sz w:val="17"/>
                <w:szCs w:val="17"/>
              </w:rPr>
              <w:t>opatření na snížení doby potřebné pro získání licencí a povolení k zahájení a provádění konkrétní činnosti podniku na 3 měsíce,</w:t>
            </w:r>
          </w:p>
          <w:p w:rsidR="00656588" w:rsidRPr="00550DB3" w:rsidRDefault="00656588" w:rsidP="00656588">
            <w:pPr>
              <w:pStyle w:val="ListDash1"/>
              <w:numPr>
                <w:ilvl w:val="0"/>
                <w:numId w:val="29"/>
              </w:numPr>
              <w:spacing w:after="0"/>
              <w:ind w:left="355" w:hanging="283"/>
              <w:jc w:val="left"/>
              <w:rPr>
                <w:rFonts w:asciiTheme="minorHAnsi" w:hAnsiTheme="minorHAnsi"/>
                <w:bCs/>
                <w:strike/>
                <w:sz w:val="17"/>
                <w:szCs w:val="17"/>
              </w:rPr>
            </w:pPr>
            <w:r w:rsidRPr="00550DB3">
              <w:rPr>
                <w:rFonts w:asciiTheme="minorHAnsi" w:hAnsiTheme="minorHAnsi"/>
                <w:strike/>
                <w:sz w:val="17"/>
                <w:szCs w:val="17"/>
              </w:rPr>
              <w:t>mechanismus pro systematické posuzování dopadu právních předpisů na malé a střední podniky za použití „testu pro malé a střední podniky“ při případném zohlednění rozdílů ve velikosti podniků.</w:t>
            </w:r>
          </w:p>
        </w:tc>
      </w:tr>
    </w:tbl>
    <w:p w:rsidR="00656588" w:rsidRDefault="00656588" w:rsidP="00656588">
      <w:pPr>
        <w:rPr>
          <w:rFonts w:asciiTheme="minorHAnsi" w:hAnsiTheme="minorHAnsi"/>
          <w:sz w:val="24"/>
          <w:szCs w:val="24"/>
        </w:rPr>
      </w:pPr>
    </w:p>
    <w:p w:rsidR="00656588" w:rsidRDefault="00656588" w:rsidP="00F7737D">
      <w:pPr>
        <w:spacing w:after="60" w:line="240" w:lineRule="auto"/>
        <w:rPr>
          <w:rFonts w:asciiTheme="minorHAnsi" w:hAnsiTheme="minorHAnsi" w:cs="Arial"/>
          <w:color w:val="000000"/>
          <w:u w:val="single"/>
        </w:rPr>
      </w:pPr>
      <w:r w:rsidRPr="00A843F1">
        <w:rPr>
          <w:rFonts w:asciiTheme="minorHAnsi" w:hAnsiTheme="minorHAnsi" w:cs="Arial"/>
          <w:color w:val="000000"/>
          <w:u w:val="single"/>
        </w:rPr>
        <w:t>Priorita pro rozvoj venkova č. 4:</w:t>
      </w:r>
      <w:r>
        <w:rPr>
          <w:rFonts w:asciiTheme="minorHAnsi" w:hAnsiTheme="minorHAnsi" w:cs="Arial"/>
          <w:color w:val="000000"/>
          <w:u w:val="single"/>
        </w:rPr>
        <w:t xml:space="preserve"> </w:t>
      </w:r>
      <w:r w:rsidRPr="00A843F1">
        <w:rPr>
          <w:rFonts w:asciiTheme="minorHAnsi" w:hAnsiTheme="minorHAnsi" w:cs="Arial"/>
          <w:color w:val="000000"/>
          <w:u w:val="single"/>
        </w:rPr>
        <w:t>obnova, zachování a zlepšení</w:t>
      </w:r>
      <w:r>
        <w:rPr>
          <w:rFonts w:asciiTheme="minorHAnsi" w:hAnsiTheme="minorHAnsi" w:cs="Arial"/>
          <w:color w:val="000000"/>
          <w:u w:val="single"/>
        </w:rPr>
        <w:t xml:space="preserve"> </w:t>
      </w:r>
      <w:r w:rsidRPr="00A843F1">
        <w:rPr>
          <w:rFonts w:asciiTheme="minorHAnsi" w:hAnsiTheme="minorHAnsi" w:cs="Arial"/>
          <w:color w:val="000000"/>
          <w:u w:val="single"/>
        </w:rPr>
        <w:t>ekosystémů závislých na</w:t>
      </w:r>
      <w:r>
        <w:rPr>
          <w:rFonts w:asciiTheme="minorHAnsi" w:hAnsiTheme="minorHAnsi" w:cs="Arial"/>
          <w:color w:val="000000"/>
          <w:u w:val="single"/>
        </w:rPr>
        <w:t xml:space="preserve"> </w:t>
      </w:r>
      <w:r w:rsidRPr="00A843F1">
        <w:rPr>
          <w:rFonts w:asciiTheme="minorHAnsi" w:hAnsiTheme="minorHAnsi" w:cs="Arial"/>
          <w:color w:val="000000"/>
          <w:u w:val="single"/>
        </w:rPr>
        <w:t>zemědělství a lesnictví</w:t>
      </w:r>
      <w:r>
        <w:rPr>
          <w:rFonts w:asciiTheme="minorHAnsi" w:hAnsiTheme="minorHAnsi" w:cs="Arial"/>
          <w:color w:val="000000"/>
          <w:u w:val="single"/>
        </w:rPr>
        <w:t xml:space="preserve"> </w:t>
      </w:r>
    </w:p>
    <w:p w:rsidR="00656588" w:rsidRDefault="00656588" w:rsidP="00F7737D">
      <w:pPr>
        <w:spacing w:after="60" w:line="240" w:lineRule="auto"/>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5</w:t>
      </w:r>
      <w:r w:rsidRPr="00F05188">
        <w:rPr>
          <w:rFonts w:asciiTheme="minorHAnsi" w:hAnsiTheme="minorHAnsi" w:cs="Arial"/>
          <w:color w:val="000000"/>
          <w:u w:val="single"/>
        </w:rPr>
        <w:t xml:space="preserve">: </w:t>
      </w:r>
      <w:r w:rsidRPr="00927F07">
        <w:rPr>
          <w:rFonts w:asciiTheme="minorHAnsi" w:hAnsiTheme="minorHAnsi" w:cs="Arial"/>
          <w:color w:val="000000"/>
          <w:u w:val="single"/>
        </w:rPr>
        <w:t>podpora</w:t>
      </w:r>
      <w:r>
        <w:rPr>
          <w:rFonts w:asciiTheme="minorHAnsi" w:hAnsiTheme="minorHAnsi" w:cs="Arial"/>
          <w:color w:val="000000"/>
          <w:u w:val="single"/>
        </w:rPr>
        <w:t xml:space="preserve"> </w:t>
      </w:r>
      <w:r w:rsidRPr="00927F07">
        <w:rPr>
          <w:rFonts w:asciiTheme="minorHAnsi" w:hAnsiTheme="minorHAnsi" w:cs="Arial"/>
          <w:color w:val="000000"/>
          <w:u w:val="single"/>
        </w:rPr>
        <w:t>přizpůsobení se změně klimatu,</w:t>
      </w:r>
      <w:r>
        <w:rPr>
          <w:rFonts w:asciiTheme="minorHAnsi" w:hAnsiTheme="minorHAnsi" w:cs="Arial"/>
          <w:color w:val="000000"/>
          <w:u w:val="single"/>
        </w:rPr>
        <w:t xml:space="preserve"> </w:t>
      </w:r>
      <w:r w:rsidRPr="00927F07">
        <w:rPr>
          <w:rFonts w:asciiTheme="minorHAnsi" w:hAnsiTheme="minorHAnsi" w:cs="Arial"/>
          <w:color w:val="000000"/>
          <w:u w:val="single"/>
        </w:rPr>
        <w:t>prevence a řízení rizik</w:t>
      </w:r>
    </w:p>
    <w:p w:rsidR="00656588" w:rsidRPr="00F05188" w:rsidRDefault="00656588" w:rsidP="00F7737D">
      <w:pPr>
        <w:spacing w:after="60" w:line="240" w:lineRule="auto"/>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6</w:t>
      </w:r>
      <w:r w:rsidR="00F30D14">
        <w:rPr>
          <w:rFonts w:asciiTheme="minorHAnsi" w:hAnsiTheme="minorHAnsi" w:cs="Arial"/>
          <w:color w:val="000000"/>
          <w:u w:val="single"/>
        </w:rPr>
        <w:t>, 5</w:t>
      </w:r>
      <w:r w:rsidRPr="00F05188">
        <w:rPr>
          <w:rFonts w:asciiTheme="minorHAnsi" w:hAnsiTheme="minorHAnsi" w:cs="Arial"/>
          <w:color w:val="000000"/>
          <w:u w:val="single"/>
        </w:rPr>
        <w:t xml:space="preserve">: </w:t>
      </w:r>
      <w:r w:rsidRPr="0001515C">
        <w:rPr>
          <w:rFonts w:asciiTheme="minorHAnsi" w:hAnsiTheme="minorHAnsi" w:cs="Arial"/>
          <w:color w:val="000000"/>
          <w:u w:val="single"/>
        </w:rPr>
        <w:t>ochrana</w:t>
      </w:r>
      <w:r>
        <w:rPr>
          <w:rFonts w:asciiTheme="minorHAnsi" w:hAnsiTheme="minorHAnsi" w:cs="Arial"/>
          <w:color w:val="000000"/>
          <w:u w:val="single"/>
        </w:rPr>
        <w:t xml:space="preserve"> </w:t>
      </w:r>
      <w:r w:rsidRPr="0001515C">
        <w:rPr>
          <w:rFonts w:asciiTheme="minorHAnsi" w:hAnsiTheme="minorHAnsi" w:cs="Arial"/>
          <w:color w:val="000000"/>
          <w:u w:val="single"/>
        </w:rPr>
        <w:t>životního prostředí a podpora</w:t>
      </w:r>
      <w:r>
        <w:rPr>
          <w:rFonts w:asciiTheme="minorHAnsi" w:hAnsiTheme="minorHAnsi" w:cs="Arial"/>
          <w:color w:val="000000"/>
          <w:u w:val="single"/>
        </w:rPr>
        <w:t xml:space="preserve"> </w:t>
      </w:r>
      <w:r w:rsidRPr="0001515C">
        <w:rPr>
          <w:rFonts w:asciiTheme="minorHAnsi" w:hAnsiTheme="minorHAnsi" w:cs="Arial"/>
          <w:color w:val="000000"/>
          <w:u w:val="single"/>
        </w:rPr>
        <w:t>účinného využívání zdrojů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126"/>
        <w:gridCol w:w="4961"/>
      </w:tblGrid>
      <w:tr w:rsidR="00656588" w:rsidRPr="00523D12" w:rsidTr="0027669E">
        <w:trPr>
          <w:trHeight w:val="468"/>
        </w:trPr>
        <w:tc>
          <w:tcPr>
            <w:tcW w:w="4126"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4961"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F7737D">
        <w:trPr>
          <w:trHeight w:val="973"/>
        </w:trPr>
        <w:tc>
          <w:tcPr>
            <w:tcW w:w="4126" w:type="dxa"/>
            <w:shd w:val="clear" w:color="auto" w:fill="auto"/>
            <w:vAlign w:val="center"/>
            <w:hideMark/>
          </w:tcPr>
          <w:p w:rsidR="00656588" w:rsidRPr="00E420E0" w:rsidRDefault="00656588" w:rsidP="00712F71">
            <w:pPr>
              <w:spacing w:line="240" w:lineRule="auto"/>
              <w:jc w:val="left"/>
              <w:rPr>
                <w:rFonts w:asciiTheme="minorHAnsi" w:hAnsiTheme="minorHAnsi"/>
                <w:bCs/>
                <w:i/>
                <w:iCs/>
                <w:sz w:val="17"/>
                <w:szCs w:val="17"/>
              </w:rPr>
            </w:pPr>
            <w:r w:rsidRPr="00AA2FDE">
              <w:rPr>
                <w:rFonts w:asciiTheme="minorHAnsi" w:hAnsiTheme="minorHAnsi"/>
                <w:bCs/>
                <w:i/>
                <w:iCs/>
                <w:sz w:val="17"/>
                <w:szCs w:val="17"/>
              </w:rPr>
              <w:t xml:space="preserve">4.1 Dobrý zemědělský a environmentální stav: </w:t>
            </w:r>
            <w:r w:rsidRPr="00AA2FDE">
              <w:rPr>
                <w:rFonts w:asciiTheme="minorHAnsi" w:hAnsiTheme="minorHAnsi"/>
                <w:bCs/>
                <w:iCs/>
                <w:sz w:val="17"/>
                <w:szCs w:val="17"/>
              </w:rPr>
              <w:t>na vnitrostátní</w:t>
            </w:r>
            <w:r>
              <w:rPr>
                <w:rFonts w:asciiTheme="minorHAnsi" w:hAnsiTheme="minorHAnsi"/>
                <w:bCs/>
                <w:iCs/>
                <w:sz w:val="17"/>
                <w:szCs w:val="17"/>
              </w:rPr>
              <w:t xml:space="preserve"> </w:t>
            </w:r>
            <w:r w:rsidRPr="00AA2FDE">
              <w:rPr>
                <w:rFonts w:asciiTheme="minorHAnsi" w:hAnsiTheme="minorHAnsi"/>
                <w:bCs/>
                <w:iCs/>
                <w:sz w:val="17"/>
                <w:szCs w:val="17"/>
              </w:rPr>
              <w:t>úrovni jsou zavedeny normy dobrého zemědělského a</w:t>
            </w:r>
            <w:r>
              <w:rPr>
                <w:rFonts w:asciiTheme="minorHAnsi" w:hAnsiTheme="minorHAnsi"/>
                <w:bCs/>
                <w:iCs/>
                <w:sz w:val="17"/>
                <w:szCs w:val="17"/>
              </w:rPr>
              <w:t xml:space="preserve"> </w:t>
            </w:r>
            <w:r w:rsidRPr="00AA2FDE">
              <w:rPr>
                <w:rFonts w:asciiTheme="minorHAnsi" w:hAnsiTheme="minorHAnsi"/>
                <w:bCs/>
                <w:iCs/>
                <w:sz w:val="17"/>
                <w:szCs w:val="17"/>
              </w:rPr>
              <w:t>environmentálního stavu půdy podle hlavy VI kapitoly I nařízení</w:t>
            </w:r>
            <w:r>
              <w:rPr>
                <w:rFonts w:asciiTheme="minorHAnsi" w:hAnsiTheme="minorHAnsi"/>
                <w:bCs/>
                <w:iCs/>
                <w:sz w:val="17"/>
                <w:szCs w:val="17"/>
              </w:rPr>
              <w:t xml:space="preserve"> </w:t>
            </w:r>
            <w:r w:rsidRPr="00AA2FDE">
              <w:rPr>
                <w:rFonts w:asciiTheme="minorHAnsi" w:hAnsiTheme="minorHAnsi"/>
                <w:bCs/>
                <w:iCs/>
                <w:sz w:val="17"/>
                <w:szCs w:val="17"/>
              </w:rPr>
              <w:t>(EU) č. horizontální nařízení/xxxx.</w:t>
            </w:r>
          </w:p>
        </w:tc>
        <w:tc>
          <w:tcPr>
            <w:tcW w:w="4961" w:type="dxa"/>
            <w:shd w:val="clear" w:color="auto" w:fill="auto"/>
            <w:vAlign w:val="center"/>
            <w:hideMark/>
          </w:tcPr>
          <w:p w:rsidR="00656588" w:rsidRPr="00E420E0" w:rsidRDefault="00656588" w:rsidP="00712F71">
            <w:pPr>
              <w:pStyle w:val="ListDash1"/>
              <w:ind w:left="72"/>
              <w:jc w:val="left"/>
              <w:rPr>
                <w:rFonts w:asciiTheme="minorHAnsi" w:hAnsiTheme="minorHAnsi"/>
                <w:bCs/>
                <w:sz w:val="17"/>
                <w:szCs w:val="17"/>
              </w:rPr>
            </w:pPr>
            <w:r w:rsidRPr="001D7F94">
              <w:rPr>
                <w:rFonts w:asciiTheme="minorHAnsi" w:hAnsiTheme="minorHAnsi"/>
                <w:sz w:val="17"/>
                <w:szCs w:val="17"/>
              </w:rPr>
              <w:t>Normy dobrého zemědělského a environmentálního stavu jsou</w:t>
            </w:r>
            <w:r>
              <w:rPr>
                <w:rFonts w:asciiTheme="minorHAnsi" w:hAnsiTheme="minorHAnsi"/>
                <w:sz w:val="17"/>
                <w:szCs w:val="17"/>
              </w:rPr>
              <w:t xml:space="preserve"> </w:t>
            </w:r>
            <w:r w:rsidRPr="001D7F94">
              <w:rPr>
                <w:rFonts w:asciiTheme="minorHAnsi" w:hAnsiTheme="minorHAnsi"/>
                <w:sz w:val="17"/>
                <w:szCs w:val="17"/>
              </w:rPr>
              <w:t>vymezeny ve vnitrostátním právu a upřesněny v programech</w:t>
            </w:r>
          </w:p>
        </w:tc>
      </w:tr>
      <w:tr w:rsidR="00656588" w:rsidRPr="00523D12" w:rsidTr="00E35631">
        <w:trPr>
          <w:trHeight w:val="1010"/>
        </w:trPr>
        <w:tc>
          <w:tcPr>
            <w:tcW w:w="4126" w:type="dxa"/>
            <w:shd w:val="clear" w:color="auto" w:fill="auto"/>
            <w:vAlign w:val="center"/>
            <w:hideMark/>
          </w:tcPr>
          <w:p w:rsidR="00656588" w:rsidRPr="00192634" w:rsidRDefault="00656588" w:rsidP="00E35631">
            <w:pPr>
              <w:spacing w:line="240" w:lineRule="auto"/>
              <w:jc w:val="left"/>
              <w:rPr>
                <w:rFonts w:asciiTheme="minorHAnsi" w:hAnsiTheme="minorHAnsi"/>
                <w:bCs/>
                <w:i/>
                <w:iCs/>
                <w:sz w:val="17"/>
                <w:szCs w:val="17"/>
              </w:rPr>
            </w:pPr>
            <w:r w:rsidRPr="00AA68F2">
              <w:rPr>
                <w:rFonts w:asciiTheme="minorHAnsi" w:hAnsiTheme="minorHAnsi"/>
                <w:bCs/>
                <w:i/>
                <w:iCs/>
                <w:sz w:val="17"/>
                <w:szCs w:val="17"/>
              </w:rPr>
              <w:t>4.2 Minimální požadavky na hnojiva a přípravky na ochranu</w:t>
            </w:r>
            <w:r w:rsidR="00E35631">
              <w:rPr>
                <w:rFonts w:asciiTheme="minorHAnsi" w:hAnsiTheme="minorHAnsi"/>
                <w:bCs/>
                <w:i/>
                <w:iCs/>
                <w:sz w:val="17"/>
                <w:szCs w:val="17"/>
              </w:rPr>
              <w:t xml:space="preserve"> </w:t>
            </w:r>
            <w:r w:rsidRPr="00AA68F2">
              <w:rPr>
                <w:rFonts w:asciiTheme="minorHAnsi" w:hAnsiTheme="minorHAnsi"/>
                <w:bCs/>
                <w:i/>
                <w:iCs/>
                <w:sz w:val="17"/>
                <w:szCs w:val="17"/>
              </w:rPr>
              <w:t xml:space="preserve">rostlin: </w:t>
            </w:r>
            <w:r w:rsidRPr="00AA68F2">
              <w:rPr>
                <w:rFonts w:asciiTheme="minorHAnsi" w:hAnsiTheme="minorHAnsi"/>
                <w:bCs/>
                <w:iCs/>
                <w:sz w:val="17"/>
                <w:szCs w:val="17"/>
              </w:rPr>
              <w:t>na vnitrostátní úrovni jsou vymezeny minimální</w:t>
            </w:r>
            <w:r w:rsidR="00E35631">
              <w:rPr>
                <w:rFonts w:asciiTheme="minorHAnsi" w:hAnsiTheme="minorHAnsi"/>
                <w:bCs/>
                <w:iCs/>
                <w:sz w:val="17"/>
                <w:szCs w:val="17"/>
              </w:rPr>
              <w:t xml:space="preserve"> </w:t>
            </w:r>
            <w:r w:rsidRPr="00AA68F2">
              <w:rPr>
                <w:rFonts w:asciiTheme="minorHAnsi" w:hAnsiTheme="minorHAnsi"/>
                <w:bCs/>
                <w:iCs/>
                <w:sz w:val="17"/>
                <w:szCs w:val="17"/>
              </w:rPr>
              <w:t>požadavky na hnojiva a přípravky na ochranu rostlin podle hlavy</w:t>
            </w:r>
            <w:r w:rsidR="00E35631">
              <w:rPr>
                <w:rFonts w:asciiTheme="minorHAnsi" w:hAnsiTheme="minorHAnsi"/>
                <w:bCs/>
                <w:iCs/>
                <w:sz w:val="17"/>
                <w:szCs w:val="17"/>
              </w:rPr>
              <w:t xml:space="preserve"> </w:t>
            </w:r>
            <w:r w:rsidRPr="00AA68F2">
              <w:rPr>
                <w:rFonts w:asciiTheme="minorHAnsi" w:hAnsiTheme="minorHAnsi"/>
                <w:bCs/>
                <w:iCs/>
                <w:sz w:val="17"/>
                <w:szCs w:val="17"/>
              </w:rPr>
              <w:t>III kapitoly I článku 29 tohoto nařízení.</w:t>
            </w:r>
          </w:p>
        </w:tc>
        <w:tc>
          <w:tcPr>
            <w:tcW w:w="4961" w:type="dxa"/>
            <w:shd w:val="clear" w:color="auto" w:fill="auto"/>
            <w:vAlign w:val="center"/>
            <w:hideMark/>
          </w:tcPr>
          <w:p w:rsidR="00656588" w:rsidRPr="00125452" w:rsidRDefault="00656588" w:rsidP="00712F71">
            <w:pPr>
              <w:pStyle w:val="ListDash1"/>
              <w:ind w:left="72"/>
              <w:jc w:val="left"/>
              <w:rPr>
                <w:rFonts w:asciiTheme="minorHAnsi" w:hAnsiTheme="minorHAnsi"/>
                <w:sz w:val="17"/>
                <w:szCs w:val="17"/>
              </w:rPr>
            </w:pPr>
            <w:r w:rsidRPr="009E4BD6">
              <w:rPr>
                <w:rFonts w:asciiTheme="minorHAnsi" w:hAnsiTheme="minorHAnsi"/>
                <w:sz w:val="17"/>
                <w:szCs w:val="17"/>
              </w:rPr>
              <w:t>V programech jsou upřesněny minimální požadavky na hnojiva a</w:t>
            </w:r>
            <w:r>
              <w:rPr>
                <w:rFonts w:asciiTheme="minorHAnsi" w:hAnsiTheme="minorHAnsi"/>
                <w:sz w:val="17"/>
                <w:szCs w:val="17"/>
              </w:rPr>
              <w:t xml:space="preserve"> </w:t>
            </w:r>
            <w:r w:rsidRPr="009E4BD6">
              <w:rPr>
                <w:rFonts w:asciiTheme="minorHAnsi" w:hAnsiTheme="minorHAnsi"/>
                <w:sz w:val="17"/>
                <w:szCs w:val="17"/>
              </w:rPr>
              <w:t>přípravky na ochranu rostlin podle hlavy III kapitoly I tohoto</w:t>
            </w:r>
            <w:r>
              <w:rPr>
                <w:rFonts w:asciiTheme="minorHAnsi" w:hAnsiTheme="minorHAnsi"/>
                <w:sz w:val="17"/>
                <w:szCs w:val="17"/>
              </w:rPr>
              <w:t xml:space="preserve"> </w:t>
            </w:r>
            <w:r w:rsidRPr="009E4BD6">
              <w:rPr>
                <w:rFonts w:asciiTheme="minorHAnsi" w:hAnsiTheme="minorHAnsi"/>
                <w:sz w:val="17"/>
                <w:szCs w:val="17"/>
              </w:rPr>
              <w:t>nařízení.</w:t>
            </w:r>
          </w:p>
        </w:tc>
      </w:tr>
      <w:tr w:rsidR="00656588" w:rsidRPr="00523D12" w:rsidTr="00F7737D">
        <w:trPr>
          <w:trHeight w:val="709"/>
        </w:trPr>
        <w:tc>
          <w:tcPr>
            <w:tcW w:w="4126" w:type="dxa"/>
            <w:shd w:val="clear" w:color="auto" w:fill="auto"/>
            <w:vAlign w:val="center"/>
            <w:hideMark/>
          </w:tcPr>
          <w:p w:rsidR="00656588" w:rsidRPr="00192634" w:rsidRDefault="00656588" w:rsidP="00712F71">
            <w:pPr>
              <w:spacing w:line="240" w:lineRule="auto"/>
              <w:jc w:val="left"/>
              <w:rPr>
                <w:rFonts w:asciiTheme="minorHAnsi" w:hAnsiTheme="minorHAnsi"/>
                <w:bCs/>
                <w:i/>
                <w:iCs/>
                <w:sz w:val="17"/>
                <w:szCs w:val="17"/>
              </w:rPr>
            </w:pPr>
            <w:r w:rsidRPr="007C3832">
              <w:rPr>
                <w:rFonts w:asciiTheme="minorHAnsi" w:hAnsiTheme="minorHAnsi"/>
                <w:bCs/>
                <w:i/>
                <w:iCs/>
                <w:sz w:val="17"/>
                <w:szCs w:val="17"/>
              </w:rPr>
              <w:t xml:space="preserve">4.3 Ostatní příslušné vnitrostátní normy: </w:t>
            </w:r>
            <w:r w:rsidRPr="007C3832">
              <w:rPr>
                <w:rFonts w:asciiTheme="minorHAnsi" w:hAnsiTheme="minorHAnsi"/>
                <w:bCs/>
                <w:iCs/>
                <w:sz w:val="17"/>
                <w:szCs w:val="17"/>
              </w:rPr>
              <w:t>jsou vymezeny</w:t>
            </w:r>
            <w:r>
              <w:rPr>
                <w:rFonts w:asciiTheme="minorHAnsi" w:hAnsiTheme="minorHAnsi"/>
                <w:bCs/>
                <w:iCs/>
                <w:sz w:val="17"/>
                <w:szCs w:val="17"/>
              </w:rPr>
              <w:t xml:space="preserve"> </w:t>
            </w:r>
            <w:r w:rsidRPr="007C3832">
              <w:rPr>
                <w:rFonts w:asciiTheme="minorHAnsi" w:hAnsiTheme="minorHAnsi"/>
                <w:bCs/>
                <w:iCs/>
                <w:sz w:val="17"/>
                <w:szCs w:val="17"/>
              </w:rPr>
              <w:t>příslušné závazné vnitrostátní normy pro účely hlavy III kapitoly</w:t>
            </w:r>
            <w:r>
              <w:rPr>
                <w:rFonts w:asciiTheme="minorHAnsi" w:hAnsiTheme="minorHAnsi"/>
                <w:bCs/>
                <w:iCs/>
                <w:sz w:val="17"/>
                <w:szCs w:val="17"/>
              </w:rPr>
              <w:t xml:space="preserve"> </w:t>
            </w:r>
            <w:r w:rsidRPr="007C3832">
              <w:rPr>
                <w:rFonts w:asciiTheme="minorHAnsi" w:hAnsiTheme="minorHAnsi"/>
                <w:bCs/>
                <w:iCs/>
                <w:sz w:val="17"/>
                <w:szCs w:val="17"/>
              </w:rPr>
              <w:t>I článku 29 tohoto nařízení.</w:t>
            </w:r>
          </w:p>
        </w:tc>
        <w:tc>
          <w:tcPr>
            <w:tcW w:w="4961" w:type="dxa"/>
            <w:shd w:val="clear" w:color="auto" w:fill="auto"/>
            <w:vAlign w:val="center"/>
            <w:hideMark/>
          </w:tcPr>
          <w:p w:rsidR="00656588" w:rsidRPr="00125452" w:rsidRDefault="00656588" w:rsidP="00712F71">
            <w:pPr>
              <w:pStyle w:val="ListDash1"/>
              <w:numPr>
                <w:ilvl w:val="0"/>
                <w:numId w:val="0"/>
              </w:numPr>
              <w:spacing w:after="0"/>
              <w:ind w:left="72"/>
              <w:jc w:val="left"/>
              <w:rPr>
                <w:rFonts w:asciiTheme="minorHAnsi" w:hAnsiTheme="minorHAnsi"/>
                <w:sz w:val="17"/>
                <w:szCs w:val="17"/>
              </w:rPr>
            </w:pPr>
            <w:r w:rsidRPr="00D7589D">
              <w:rPr>
                <w:rFonts w:asciiTheme="minorHAnsi" w:hAnsiTheme="minorHAnsi"/>
                <w:sz w:val="17"/>
                <w:szCs w:val="17"/>
              </w:rPr>
              <w:t>V programech jsou upřesněny příslušné závazné vnitrostátní normy.</w:t>
            </w:r>
          </w:p>
        </w:tc>
      </w:tr>
      <w:tr w:rsidR="00656588" w:rsidRPr="00523D12" w:rsidTr="00F7737D">
        <w:trPr>
          <w:trHeight w:val="1260"/>
        </w:trPr>
        <w:tc>
          <w:tcPr>
            <w:tcW w:w="4126" w:type="dxa"/>
            <w:shd w:val="clear" w:color="auto" w:fill="auto"/>
            <w:vAlign w:val="center"/>
            <w:hideMark/>
          </w:tcPr>
          <w:p w:rsidR="00656588" w:rsidRPr="00192634" w:rsidRDefault="00656588" w:rsidP="00E35631">
            <w:pPr>
              <w:spacing w:line="240" w:lineRule="auto"/>
              <w:jc w:val="left"/>
              <w:rPr>
                <w:rFonts w:asciiTheme="minorHAnsi" w:hAnsiTheme="minorHAnsi"/>
                <w:bCs/>
                <w:i/>
                <w:iCs/>
                <w:sz w:val="17"/>
                <w:szCs w:val="17"/>
              </w:rPr>
            </w:pPr>
            <w:r w:rsidRPr="00176E09">
              <w:rPr>
                <w:rFonts w:asciiTheme="minorHAnsi" w:hAnsiTheme="minorHAnsi"/>
                <w:bCs/>
                <w:i/>
                <w:iCs/>
                <w:sz w:val="17"/>
                <w:szCs w:val="17"/>
              </w:rPr>
              <w:t>4.4 Prevence rizik: existence vnitrostátních posouzení rizik pro</w:t>
            </w:r>
            <w:r w:rsidR="00E35631">
              <w:rPr>
                <w:rFonts w:asciiTheme="minorHAnsi" w:hAnsiTheme="minorHAnsi"/>
                <w:bCs/>
                <w:i/>
                <w:iCs/>
                <w:sz w:val="17"/>
                <w:szCs w:val="17"/>
              </w:rPr>
              <w:t xml:space="preserve"> </w:t>
            </w:r>
            <w:r w:rsidRPr="00176E09">
              <w:rPr>
                <w:rFonts w:asciiTheme="minorHAnsi" w:hAnsiTheme="minorHAnsi"/>
                <w:bCs/>
                <w:i/>
                <w:iCs/>
                <w:sz w:val="17"/>
                <w:szCs w:val="17"/>
              </w:rPr>
              <w:t>zvládání katastrof s ohledem na přizpůsobení se změně</w:t>
            </w:r>
            <w:r w:rsidR="00E35631">
              <w:rPr>
                <w:rFonts w:asciiTheme="minorHAnsi" w:hAnsiTheme="minorHAnsi"/>
                <w:bCs/>
                <w:i/>
                <w:iCs/>
                <w:sz w:val="17"/>
                <w:szCs w:val="17"/>
              </w:rPr>
              <w:t xml:space="preserve"> </w:t>
            </w:r>
            <w:r w:rsidRPr="00176E09">
              <w:rPr>
                <w:rFonts w:asciiTheme="minorHAnsi" w:hAnsiTheme="minorHAnsi"/>
                <w:bCs/>
                <w:i/>
                <w:iCs/>
                <w:sz w:val="17"/>
                <w:szCs w:val="17"/>
              </w:rPr>
              <w:t>klimatu.</w:t>
            </w:r>
          </w:p>
        </w:tc>
        <w:tc>
          <w:tcPr>
            <w:tcW w:w="4961" w:type="dxa"/>
            <w:shd w:val="clear" w:color="auto" w:fill="auto"/>
            <w:vAlign w:val="center"/>
            <w:hideMark/>
          </w:tcPr>
          <w:p w:rsidR="00656588" w:rsidRPr="00176E09" w:rsidRDefault="00656588" w:rsidP="00712F71">
            <w:pPr>
              <w:pStyle w:val="ListDash1"/>
              <w:spacing w:after="0"/>
              <w:ind w:left="72"/>
              <w:jc w:val="left"/>
              <w:rPr>
                <w:rFonts w:asciiTheme="minorHAnsi" w:hAnsiTheme="minorHAnsi"/>
                <w:sz w:val="17"/>
                <w:szCs w:val="17"/>
              </w:rPr>
            </w:pPr>
            <w:r w:rsidRPr="00176E09">
              <w:rPr>
                <w:rFonts w:asciiTheme="minorHAnsi" w:hAnsiTheme="minorHAnsi"/>
                <w:sz w:val="17"/>
                <w:szCs w:val="17"/>
              </w:rPr>
              <w:t>Je zavedeno vnitrostátní posouzení rizik, které zahrnuje:</w:t>
            </w:r>
          </w:p>
          <w:p w:rsidR="00656588" w:rsidRPr="00176E09" w:rsidRDefault="00656588" w:rsidP="00656588">
            <w:pPr>
              <w:pStyle w:val="ListDash1"/>
              <w:numPr>
                <w:ilvl w:val="0"/>
                <w:numId w:val="30"/>
              </w:numPr>
              <w:spacing w:after="0"/>
              <w:ind w:left="355" w:hanging="283"/>
              <w:jc w:val="left"/>
              <w:rPr>
                <w:rFonts w:asciiTheme="minorHAnsi" w:hAnsiTheme="minorHAnsi"/>
                <w:sz w:val="17"/>
                <w:szCs w:val="17"/>
              </w:rPr>
            </w:pPr>
            <w:r w:rsidRPr="00176E09">
              <w:rPr>
                <w:rFonts w:asciiTheme="minorHAnsi" w:hAnsiTheme="minorHAnsi"/>
                <w:sz w:val="17"/>
                <w:szCs w:val="17"/>
              </w:rPr>
              <w:t>popis postupu, metodiky, metod a jiných než citlivých údajů</w:t>
            </w:r>
            <w:r>
              <w:rPr>
                <w:rFonts w:asciiTheme="minorHAnsi" w:hAnsiTheme="minorHAnsi"/>
                <w:sz w:val="17"/>
                <w:szCs w:val="17"/>
              </w:rPr>
              <w:t xml:space="preserve"> </w:t>
            </w:r>
            <w:r w:rsidRPr="00176E09">
              <w:rPr>
                <w:rFonts w:asciiTheme="minorHAnsi" w:hAnsiTheme="minorHAnsi"/>
                <w:sz w:val="17"/>
                <w:szCs w:val="17"/>
              </w:rPr>
              <w:t>používaných při vnitrostátním posuzování rizik,</w:t>
            </w:r>
          </w:p>
          <w:p w:rsidR="00656588" w:rsidRPr="00176E09" w:rsidRDefault="00656588" w:rsidP="00656588">
            <w:pPr>
              <w:pStyle w:val="ListDash1"/>
              <w:numPr>
                <w:ilvl w:val="0"/>
                <w:numId w:val="30"/>
              </w:numPr>
              <w:spacing w:after="0"/>
              <w:ind w:left="355" w:hanging="283"/>
              <w:jc w:val="left"/>
              <w:rPr>
                <w:rFonts w:asciiTheme="minorHAnsi" w:hAnsiTheme="minorHAnsi"/>
                <w:sz w:val="17"/>
                <w:szCs w:val="17"/>
              </w:rPr>
            </w:pPr>
            <w:r w:rsidRPr="00176E09">
              <w:rPr>
                <w:rFonts w:asciiTheme="minorHAnsi" w:hAnsiTheme="minorHAnsi"/>
                <w:sz w:val="17"/>
                <w:szCs w:val="17"/>
              </w:rPr>
              <w:t>přijetí kvalitativních a kvantitativních metod pro posuzování</w:t>
            </w:r>
            <w:r>
              <w:rPr>
                <w:rFonts w:asciiTheme="minorHAnsi" w:hAnsiTheme="minorHAnsi"/>
                <w:sz w:val="17"/>
                <w:szCs w:val="17"/>
              </w:rPr>
              <w:t xml:space="preserve"> </w:t>
            </w:r>
            <w:r w:rsidRPr="00176E09">
              <w:rPr>
                <w:rFonts w:asciiTheme="minorHAnsi" w:hAnsiTheme="minorHAnsi"/>
                <w:sz w:val="17"/>
                <w:szCs w:val="17"/>
              </w:rPr>
              <w:t>rizik,</w:t>
            </w:r>
          </w:p>
          <w:p w:rsidR="00656588" w:rsidRPr="00125452" w:rsidRDefault="00656588" w:rsidP="00656588">
            <w:pPr>
              <w:pStyle w:val="ListDash1"/>
              <w:numPr>
                <w:ilvl w:val="0"/>
                <w:numId w:val="30"/>
              </w:numPr>
              <w:spacing w:after="0"/>
              <w:ind w:left="355" w:hanging="283"/>
              <w:jc w:val="left"/>
              <w:rPr>
                <w:rFonts w:asciiTheme="minorHAnsi" w:hAnsiTheme="minorHAnsi"/>
                <w:sz w:val="17"/>
                <w:szCs w:val="17"/>
              </w:rPr>
            </w:pPr>
            <w:r w:rsidRPr="00176E09">
              <w:rPr>
                <w:rFonts w:asciiTheme="minorHAnsi" w:hAnsiTheme="minorHAnsi"/>
                <w:sz w:val="17"/>
                <w:szCs w:val="17"/>
              </w:rPr>
              <w:t>případné zohlednění vnitrostátních strategií pro</w:t>
            </w:r>
            <w:r>
              <w:rPr>
                <w:rFonts w:asciiTheme="minorHAnsi" w:hAnsiTheme="minorHAnsi"/>
                <w:sz w:val="17"/>
                <w:szCs w:val="17"/>
              </w:rPr>
              <w:t xml:space="preserve"> </w:t>
            </w:r>
            <w:r w:rsidRPr="00176E09">
              <w:rPr>
                <w:rFonts w:asciiTheme="minorHAnsi" w:hAnsiTheme="minorHAnsi"/>
                <w:sz w:val="17"/>
                <w:szCs w:val="17"/>
              </w:rPr>
              <w:t>přizpůsobení se změně klimatu.</w:t>
            </w:r>
          </w:p>
        </w:tc>
      </w:tr>
    </w:tbl>
    <w:p w:rsidR="00656588" w:rsidRDefault="00656588" w:rsidP="00656588">
      <w:pPr>
        <w:rPr>
          <w:rFonts w:asciiTheme="minorHAnsi" w:hAnsiTheme="minorHAnsi"/>
          <w:sz w:val="24"/>
          <w:szCs w:val="24"/>
        </w:rPr>
      </w:pPr>
    </w:p>
    <w:p w:rsidR="00656588" w:rsidRPr="00000379" w:rsidRDefault="00656588" w:rsidP="00F7737D">
      <w:pPr>
        <w:spacing w:after="60" w:line="240" w:lineRule="auto"/>
        <w:rPr>
          <w:rFonts w:asciiTheme="minorHAnsi" w:hAnsiTheme="minorHAnsi" w:cs="Arial"/>
          <w:strike/>
          <w:color w:val="000000"/>
          <w:u w:val="single"/>
        </w:rPr>
      </w:pPr>
      <w:r w:rsidRPr="00000379">
        <w:rPr>
          <w:rFonts w:asciiTheme="minorHAnsi" w:hAnsiTheme="minorHAnsi" w:cs="Arial"/>
          <w:strike/>
          <w:color w:val="000000"/>
          <w:u w:val="single"/>
        </w:rPr>
        <w:t xml:space="preserve">Priorita pro rozvoj venkova č. 5: podpora účinného využívání zdrojů a podpora přechodu na nízkouhlíkovou ekonomiku v odvětvích zemědělství, potravinářství a lesnictví, která je odolná vůči klimatu </w:t>
      </w:r>
    </w:p>
    <w:p w:rsidR="00656588" w:rsidRPr="00000379" w:rsidRDefault="00656588" w:rsidP="00F7737D">
      <w:pPr>
        <w:spacing w:after="60" w:line="240" w:lineRule="auto"/>
        <w:rPr>
          <w:rFonts w:asciiTheme="minorHAnsi" w:hAnsiTheme="minorHAnsi" w:cs="Arial"/>
          <w:strike/>
          <w:color w:val="000000"/>
          <w:u w:val="single"/>
        </w:rPr>
      </w:pPr>
      <w:r w:rsidRPr="00000379">
        <w:rPr>
          <w:rFonts w:asciiTheme="minorHAnsi" w:hAnsiTheme="minorHAnsi" w:cs="Arial"/>
          <w:strike/>
          <w:color w:val="000000"/>
          <w:u w:val="single"/>
        </w:rPr>
        <w:t>Tematický cíl 4: podpora přechodu na nízkouhlíkovou ekonomiku ve všech odvětvích</w:t>
      </w:r>
    </w:p>
    <w:p w:rsidR="00656588" w:rsidRPr="00550DB3" w:rsidRDefault="00656588" w:rsidP="00F7737D">
      <w:pPr>
        <w:spacing w:after="60" w:line="240" w:lineRule="auto"/>
        <w:rPr>
          <w:rFonts w:asciiTheme="minorHAnsi" w:hAnsiTheme="minorHAnsi" w:cs="Arial"/>
          <w:strike/>
          <w:color w:val="000000"/>
          <w:u w:val="single"/>
        </w:rPr>
      </w:pPr>
      <w:r w:rsidRPr="00550DB3">
        <w:rPr>
          <w:rFonts w:asciiTheme="minorHAnsi" w:hAnsiTheme="minorHAnsi" w:cs="Arial"/>
          <w:strike/>
          <w:color w:val="000000"/>
          <w:u w:val="single"/>
        </w:rPr>
        <w:t>Tematický cíl 5: podpora přizpůsobení se změně klimatu, prevence a řízení rizik</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59"/>
        <w:gridCol w:w="5528"/>
      </w:tblGrid>
      <w:tr w:rsidR="00656588" w:rsidRPr="00523D12" w:rsidTr="0027669E">
        <w:trPr>
          <w:trHeight w:val="442"/>
        </w:trPr>
        <w:tc>
          <w:tcPr>
            <w:tcW w:w="3559"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528"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F7737D">
        <w:trPr>
          <w:trHeight w:val="1383"/>
        </w:trPr>
        <w:tc>
          <w:tcPr>
            <w:tcW w:w="3559" w:type="dxa"/>
            <w:shd w:val="clear" w:color="auto" w:fill="auto"/>
            <w:vAlign w:val="center"/>
            <w:hideMark/>
          </w:tcPr>
          <w:p w:rsidR="00656588" w:rsidRPr="00BF1281" w:rsidRDefault="00656588" w:rsidP="00712F71">
            <w:pPr>
              <w:spacing w:line="240" w:lineRule="auto"/>
              <w:jc w:val="left"/>
              <w:rPr>
                <w:rFonts w:asciiTheme="minorHAnsi" w:hAnsiTheme="minorHAnsi"/>
                <w:bCs/>
                <w:iCs/>
                <w:strike/>
                <w:sz w:val="17"/>
                <w:szCs w:val="17"/>
              </w:rPr>
            </w:pPr>
            <w:r w:rsidRPr="00BF1281">
              <w:rPr>
                <w:rFonts w:asciiTheme="minorHAnsi" w:hAnsiTheme="minorHAnsi"/>
                <w:bCs/>
                <w:i/>
                <w:iCs/>
                <w:strike/>
                <w:sz w:val="17"/>
                <w:szCs w:val="17"/>
              </w:rPr>
              <w:t xml:space="preserve">5.1 Emise skleníkových plynů: </w:t>
            </w:r>
            <w:r w:rsidRPr="00BF1281">
              <w:rPr>
                <w:rFonts w:asciiTheme="minorHAnsi" w:hAnsiTheme="minorHAnsi"/>
                <w:bCs/>
                <w:iCs/>
                <w:strike/>
                <w:sz w:val="17"/>
                <w:szCs w:val="17"/>
              </w:rPr>
              <w:t>soulad s čl. 6 odst. 1 rozhodnutí Evropského parlamentu a Rady č. 406/2009/ES ze dne 23. dubna</w:t>
            </w:r>
          </w:p>
          <w:p w:rsidR="00656588" w:rsidRPr="00BF1281" w:rsidRDefault="00656588" w:rsidP="00712F71">
            <w:pPr>
              <w:spacing w:line="240" w:lineRule="auto"/>
              <w:jc w:val="left"/>
              <w:rPr>
                <w:rFonts w:asciiTheme="minorHAnsi" w:hAnsiTheme="minorHAnsi"/>
                <w:bCs/>
                <w:iCs/>
                <w:strike/>
                <w:sz w:val="17"/>
                <w:szCs w:val="17"/>
              </w:rPr>
            </w:pPr>
            <w:r w:rsidRPr="00BF1281">
              <w:rPr>
                <w:rFonts w:asciiTheme="minorHAnsi" w:hAnsiTheme="minorHAnsi"/>
                <w:bCs/>
                <w:iCs/>
                <w:strike/>
                <w:sz w:val="17"/>
                <w:szCs w:val="17"/>
              </w:rPr>
              <w:t>2009 o úsilí členských států snížit emise skleníkových plynů, aby byly splněny závazky Společenství v oblasti snížení emisí</w:t>
            </w:r>
          </w:p>
          <w:p w:rsidR="00656588" w:rsidRPr="00BF1281" w:rsidRDefault="00656588" w:rsidP="00712F71">
            <w:pPr>
              <w:spacing w:line="240" w:lineRule="auto"/>
              <w:jc w:val="left"/>
              <w:rPr>
                <w:rFonts w:asciiTheme="minorHAnsi" w:hAnsiTheme="minorHAnsi"/>
                <w:bCs/>
                <w:i/>
                <w:iCs/>
                <w:strike/>
                <w:sz w:val="17"/>
                <w:szCs w:val="17"/>
              </w:rPr>
            </w:pPr>
            <w:r w:rsidRPr="00BF1281">
              <w:rPr>
                <w:rFonts w:asciiTheme="minorHAnsi" w:hAnsiTheme="minorHAnsi"/>
                <w:bCs/>
                <w:iCs/>
                <w:strike/>
                <w:sz w:val="17"/>
                <w:szCs w:val="17"/>
              </w:rPr>
              <w:t>skleníkových plynů do roku 2020</w:t>
            </w:r>
          </w:p>
        </w:tc>
        <w:tc>
          <w:tcPr>
            <w:tcW w:w="5528" w:type="dxa"/>
            <w:shd w:val="clear" w:color="auto" w:fill="auto"/>
            <w:vAlign w:val="center"/>
            <w:hideMark/>
          </w:tcPr>
          <w:p w:rsidR="00656588" w:rsidRPr="00BF1281" w:rsidRDefault="00656588" w:rsidP="00712F71">
            <w:pPr>
              <w:pStyle w:val="ListDash1"/>
              <w:ind w:left="72"/>
              <w:jc w:val="left"/>
              <w:rPr>
                <w:rFonts w:asciiTheme="minorHAnsi" w:hAnsiTheme="minorHAnsi"/>
                <w:bCs/>
                <w:strike/>
                <w:sz w:val="17"/>
                <w:szCs w:val="17"/>
              </w:rPr>
            </w:pPr>
            <w:r w:rsidRPr="00BF1281">
              <w:rPr>
                <w:rFonts w:asciiTheme="minorHAnsi" w:hAnsiTheme="minorHAnsi"/>
                <w:strike/>
                <w:sz w:val="17"/>
                <w:szCs w:val="17"/>
              </w:rPr>
              <w:t>Členský stát předložil Komisi zprávu o přijatých vnitrostátních politikách a opatřeních v období 2013–2020 podle článku 3 rozhodnutí č. 406/2009/ES.</w:t>
            </w:r>
          </w:p>
        </w:tc>
      </w:tr>
      <w:tr w:rsidR="00656588" w:rsidRPr="00523D12" w:rsidTr="00E35631">
        <w:trPr>
          <w:trHeight w:val="1261"/>
        </w:trPr>
        <w:tc>
          <w:tcPr>
            <w:tcW w:w="3559" w:type="dxa"/>
            <w:shd w:val="clear" w:color="auto" w:fill="auto"/>
            <w:vAlign w:val="center"/>
            <w:hideMark/>
          </w:tcPr>
          <w:p w:rsidR="00656588" w:rsidRPr="00BF1281" w:rsidRDefault="00656588" w:rsidP="00712F71">
            <w:pPr>
              <w:spacing w:line="240" w:lineRule="auto"/>
              <w:jc w:val="left"/>
              <w:rPr>
                <w:rFonts w:asciiTheme="minorHAnsi" w:hAnsiTheme="minorHAnsi"/>
                <w:bCs/>
                <w:i/>
                <w:iCs/>
                <w:strike/>
                <w:sz w:val="17"/>
                <w:szCs w:val="17"/>
              </w:rPr>
            </w:pPr>
            <w:r w:rsidRPr="00BF1281">
              <w:rPr>
                <w:rFonts w:asciiTheme="minorHAnsi" w:hAnsiTheme="minorHAnsi"/>
                <w:bCs/>
                <w:i/>
                <w:iCs/>
                <w:strike/>
                <w:sz w:val="17"/>
                <w:szCs w:val="17"/>
              </w:rPr>
              <w:t xml:space="preserve">5.2 Energetická účinnost: </w:t>
            </w:r>
            <w:r w:rsidRPr="00BF1281">
              <w:rPr>
                <w:rFonts w:asciiTheme="minorHAnsi" w:hAnsiTheme="minorHAnsi"/>
                <w:bCs/>
                <w:iCs/>
                <w:strike/>
                <w:sz w:val="17"/>
                <w:szCs w:val="17"/>
              </w:rPr>
              <w:t>provedení směrnice Evropského parlamentu a Rady 2006/32/ES ze dne 5. dubna 2006 o energetické účinnosti u konečného uživatele a o energetických službách do vnitrostátního práva</w:t>
            </w:r>
          </w:p>
        </w:tc>
        <w:tc>
          <w:tcPr>
            <w:tcW w:w="5528" w:type="dxa"/>
            <w:shd w:val="clear" w:color="auto" w:fill="auto"/>
            <w:vAlign w:val="center"/>
            <w:hideMark/>
          </w:tcPr>
          <w:p w:rsidR="00656588" w:rsidRPr="00BF1281" w:rsidRDefault="00656588" w:rsidP="00712F71">
            <w:pPr>
              <w:pStyle w:val="ListDash1"/>
              <w:ind w:left="72"/>
              <w:jc w:val="left"/>
              <w:rPr>
                <w:rFonts w:asciiTheme="minorHAnsi" w:hAnsiTheme="minorHAnsi"/>
                <w:strike/>
                <w:sz w:val="17"/>
                <w:szCs w:val="17"/>
              </w:rPr>
            </w:pPr>
            <w:r w:rsidRPr="00BF1281">
              <w:rPr>
                <w:rFonts w:asciiTheme="minorHAnsi" w:hAnsiTheme="minorHAnsi"/>
                <w:strike/>
                <w:sz w:val="17"/>
                <w:szCs w:val="17"/>
              </w:rPr>
              <w:t>Členský stát předložil Komisi akční plán energetické účinnosti, který převádí cíle v oblasti úspory energií na konkrétní a soudržná opatření v souladu s článkem 14 směrnice 2006/32/ES.</w:t>
            </w:r>
          </w:p>
        </w:tc>
      </w:tr>
      <w:tr w:rsidR="00656588" w:rsidRPr="00523D12" w:rsidTr="00E35631">
        <w:trPr>
          <w:trHeight w:val="1828"/>
        </w:trPr>
        <w:tc>
          <w:tcPr>
            <w:tcW w:w="3559" w:type="dxa"/>
            <w:shd w:val="clear" w:color="auto" w:fill="auto"/>
            <w:vAlign w:val="center"/>
            <w:hideMark/>
          </w:tcPr>
          <w:p w:rsidR="00656588" w:rsidRPr="00BF1281" w:rsidRDefault="00656588" w:rsidP="00712F71">
            <w:pPr>
              <w:spacing w:line="240" w:lineRule="auto"/>
              <w:jc w:val="left"/>
              <w:rPr>
                <w:rFonts w:asciiTheme="minorHAnsi" w:hAnsiTheme="minorHAnsi"/>
                <w:bCs/>
                <w:iCs/>
                <w:strike/>
                <w:sz w:val="17"/>
                <w:szCs w:val="17"/>
              </w:rPr>
            </w:pPr>
            <w:r w:rsidRPr="00BF1281">
              <w:rPr>
                <w:rFonts w:asciiTheme="minorHAnsi" w:hAnsiTheme="minorHAnsi"/>
                <w:bCs/>
                <w:i/>
                <w:iCs/>
                <w:strike/>
                <w:sz w:val="17"/>
                <w:szCs w:val="17"/>
              </w:rPr>
              <w:t xml:space="preserve">5.3 Cena vody: </w:t>
            </w:r>
            <w:r w:rsidRPr="00BF1281">
              <w:rPr>
                <w:rFonts w:asciiTheme="minorHAnsi" w:hAnsiTheme="minorHAnsi"/>
                <w:bCs/>
                <w:iCs/>
                <w:strike/>
                <w:sz w:val="17"/>
                <w:szCs w:val="17"/>
              </w:rPr>
              <w:t>existence politiky v oblasti cen vody, která zajistí přiměřený příspěvek různých hospodářských odvětví k úhradě nákladů na vodohospodářské služby v souladu s článkem 9 směrnice Evropského parlamentu a Rady 2000/60/ES ze dne</w:t>
            </w:r>
          </w:p>
          <w:p w:rsidR="00656588" w:rsidRPr="00BF1281" w:rsidRDefault="00656588" w:rsidP="00712F71">
            <w:pPr>
              <w:spacing w:line="240" w:lineRule="auto"/>
              <w:jc w:val="left"/>
              <w:rPr>
                <w:rFonts w:asciiTheme="minorHAnsi" w:hAnsiTheme="minorHAnsi"/>
                <w:bCs/>
                <w:i/>
                <w:iCs/>
                <w:strike/>
                <w:sz w:val="17"/>
                <w:szCs w:val="17"/>
              </w:rPr>
            </w:pPr>
            <w:r w:rsidRPr="00BF1281">
              <w:rPr>
                <w:rFonts w:asciiTheme="minorHAnsi" w:hAnsiTheme="minorHAnsi"/>
                <w:bCs/>
                <w:iCs/>
                <w:strike/>
                <w:sz w:val="17"/>
                <w:szCs w:val="17"/>
              </w:rPr>
              <w:t>23. října 2000, kterou se stanoví rámec pro činnost Společenství v oblasti vodní politiky.</w:t>
            </w:r>
          </w:p>
        </w:tc>
        <w:tc>
          <w:tcPr>
            <w:tcW w:w="5528" w:type="dxa"/>
            <w:shd w:val="clear" w:color="auto" w:fill="auto"/>
            <w:vAlign w:val="center"/>
            <w:hideMark/>
          </w:tcPr>
          <w:p w:rsidR="00656588" w:rsidRPr="00BF1281" w:rsidRDefault="00656588" w:rsidP="00E35631">
            <w:pPr>
              <w:pStyle w:val="ListDash1"/>
              <w:spacing w:after="80"/>
              <w:ind w:left="74" w:hanging="284"/>
              <w:jc w:val="left"/>
              <w:rPr>
                <w:rFonts w:asciiTheme="minorHAnsi" w:hAnsiTheme="minorHAnsi"/>
                <w:strike/>
                <w:sz w:val="17"/>
                <w:szCs w:val="17"/>
              </w:rPr>
            </w:pPr>
            <w:r w:rsidRPr="00BF1281">
              <w:rPr>
                <w:rFonts w:asciiTheme="minorHAnsi" w:hAnsiTheme="minorHAnsi"/>
                <w:strike/>
                <w:sz w:val="17"/>
                <w:szCs w:val="17"/>
              </w:rPr>
              <w:t>Členský stát zohlednil zásadu úhrady nákladů na vodohospodářské služby, včetně environmentálních nákladů a nákladů na využívané zdroje v souladu s čl. 9 odst. 1 směrnice 2000/60/ES.</w:t>
            </w:r>
          </w:p>
          <w:p w:rsidR="00656588" w:rsidRPr="00BF1281" w:rsidRDefault="00656588" w:rsidP="00E35631">
            <w:pPr>
              <w:pStyle w:val="ListDash1"/>
              <w:spacing w:after="80"/>
              <w:ind w:left="74" w:hanging="284"/>
              <w:jc w:val="left"/>
              <w:rPr>
                <w:rFonts w:asciiTheme="minorHAnsi" w:hAnsiTheme="minorHAnsi"/>
                <w:strike/>
                <w:sz w:val="17"/>
                <w:szCs w:val="17"/>
              </w:rPr>
            </w:pPr>
            <w:r w:rsidRPr="00BF1281">
              <w:rPr>
                <w:rFonts w:asciiTheme="minorHAnsi" w:hAnsiTheme="minorHAnsi"/>
                <w:strike/>
                <w:sz w:val="17"/>
                <w:szCs w:val="17"/>
              </w:rPr>
              <w:t xml:space="preserve"> Členský stát provedl v souladu s článkem 5 a přílohou III směrnice 2000/60/ES ekonomickou analýzu, pokud jde o objem, ceny a náklady související s vodohospodářskými službami a o odhady souvisejících investic.</w:t>
            </w:r>
          </w:p>
          <w:p w:rsidR="00656588" w:rsidRPr="00BF1281" w:rsidRDefault="00656588" w:rsidP="00E35631">
            <w:pPr>
              <w:pStyle w:val="ListDash1"/>
              <w:spacing w:after="80"/>
              <w:ind w:left="74" w:hanging="284"/>
              <w:jc w:val="left"/>
              <w:rPr>
                <w:rFonts w:asciiTheme="minorHAnsi" w:hAnsiTheme="minorHAnsi"/>
                <w:strike/>
                <w:sz w:val="17"/>
                <w:szCs w:val="17"/>
              </w:rPr>
            </w:pPr>
            <w:r w:rsidRPr="00BF1281">
              <w:rPr>
                <w:rFonts w:asciiTheme="minorHAnsi" w:hAnsiTheme="minorHAnsi"/>
                <w:strike/>
                <w:sz w:val="17"/>
                <w:szCs w:val="17"/>
              </w:rPr>
              <w:t>Členský stát zajistil přispění různých způsobů využívání vody podle odvětví v souladu s čl. 9 odst. 3 směrnice 2000/60/ES.</w:t>
            </w:r>
          </w:p>
        </w:tc>
      </w:tr>
      <w:tr w:rsidR="00656588" w:rsidRPr="00523D12" w:rsidTr="00F7737D">
        <w:trPr>
          <w:trHeight w:val="1260"/>
        </w:trPr>
        <w:tc>
          <w:tcPr>
            <w:tcW w:w="3559" w:type="dxa"/>
            <w:shd w:val="clear" w:color="auto" w:fill="auto"/>
            <w:vAlign w:val="center"/>
            <w:hideMark/>
          </w:tcPr>
          <w:p w:rsidR="00656588" w:rsidRPr="00BF1281" w:rsidRDefault="00656588" w:rsidP="00712F71">
            <w:pPr>
              <w:spacing w:line="240" w:lineRule="auto"/>
              <w:jc w:val="left"/>
              <w:rPr>
                <w:rFonts w:asciiTheme="minorHAnsi" w:hAnsiTheme="minorHAnsi"/>
                <w:bCs/>
                <w:i/>
                <w:iCs/>
                <w:strike/>
                <w:sz w:val="17"/>
                <w:szCs w:val="17"/>
              </w:rPr>
            </w:pPr>
            <w:r w:rsidRPr="00BF1281">
              <w:rPr>
                <w:rFonts w:asciiTheme="minorHAnsi" w:hAnsiTheme="minorHAnsi"/>
                <w:bCs/>
                <w:i/>
                <w:iCs/>
                <w:strike/>
                <w:sz w:val="17"/>
                <w:szCs w:val="17"/>
              </w:rPr>
              <w:t xml:space="preserve">5.4. Plány pro nakládání s odpady: </w:t>
            </w:r>
            <w:r w:rsidRPr="00BF1281">
              <w:rPr>
                <w:rFonts w:asciiTheme="minorHAnsi" w:hAnsiTheme="minorHAnsi"/>
                <w:bCs/>
                <w:iCs/>
                <w:strike/>
                <w:sz w:val="17"/>
                <w:szCs w:val="17"/>
              </w:rPr>
              <w:t>provedení směrnice Evropského parlamentu a Rady 2008/98/ES ze dne 19. listopadu 2008 o odpadech a o zrušení některých směrnic do vnitrostátního práva, zejména vypracování plánů pro nakládání s odpady v souladu se směrnicí</w:t>
            </w:r>
          </w:p>
        </w:tc>
        <w:tc>
          <w:tcPr>
            <w:tcW w:w="5528" w:type="dxa"/>
            <w:shd w:val="clear" w:color="auto" w:fill="auto"/>
            <w:vAlign w:val="center"/>
            <w:hideMark/>
          </w:tcPr>
          <w:p w:rsidR="00656588" w:rsidRPr="00E35631" w:rsidRDefault="00656588" w:rsidP="00E35631">
            <w:pPr>
              <w:pStyle w:val="ListDash1"/>
              <w:ind w:left="72"/>
              <w:jc w:val="left"/>
              <w:rPr>
                <w:rFonts w:asciiTheme="minorHAnsi" w:hAnsiTheme="minorHAnsi"/>
                <w:strike/>
                <w:sz w:val="17"/>
                <w:szCs w:val="17"/>
              </w:rPr>
            </w:pPr>
            <w:r w:rsidRPr="00BF1281">
              <w:rPr>
                <w:rFonts w:asciiTheme="minorHAnsi" w:hAnsiTheme="minorHAnsi"/>
                <w:strike/>
                <w:sz w:val="17"/>
                <w:szCs w:val="17"/>
              </w:rPr>
              <w:t>Členský stát zajistil, aby jeho příslušné orgány v souladu s články 1, 4, 13 a 16 směrnice 2008/98/ES stanovily jeden či více plánů pro nakládání s odpady, jak vyžaduje článek 28 směrnice.</w:t>
            </w:r>
          </w:p>
        </w:tc>
      </w:tr>
      <w:tr w:rsidR="00656588" w:rsidRPr="00523D12" w:rsidTr="00F7737D">
        <w:trPr>
          <w:trHeight w:val="1260"/>
        </w:trPr>
        <w:tc>
          <w:tcPr>
            <w:tcW w:w="3559" w:type="dxa"/>
            <w:shd w:val="clear" w:color="auto" w:fill="auto"/>
            <w:vAlign w:val="center"/>
            <w:hideMark/>
          </w:tcPr>
          <w:p w:rsidR="00656588" w:rsidRPr="00BF1281" w:rsidRDefault="00656588" w:rsidP="00712F71">
            <w:pPr>
              <w:spacing w:line="240" w:lineRule="auto"/>
              <w:jc w:val="left"/>
              <w:rPr>
                <w:rFonts w:asciiTheme="minorHAnsi" w:hAnsiTheme="minorHAnsi"/>
                <w:bCs/>
                <w:i/>
                <w:iCs/>
                <w:strike/>
                <w:sz w:val="17"/>
                <w:szCs w:val="17"/>
              </w:rPr>
            </w:pPr>
            <w:r w:rsidRPr="00BF1281">
              <w:rPr>
                <w:rFonts w:asciiTheme="minorHAnsi" w:hAnsiTheme="minorHAnsi"/>
                <w:bCs/>
                <w:i/>
                <w:iCs/>
                <w:strike/>
                <w:sz w:val="17"/>
                <w:szCs w:val="17"/>
              </w:rPr>
              <w:t xml:space="preserve">5.5 Energie z obnovitelných zdrojů: </w:t>
            </w:r>
            <w:r w:rsidRPr="00BF1281">
              <w:rPr>
                <w:rFonts w:asciiTheme="minorHAnsi" w:hAnsiTheme="minorHAnsi"/>
                <w:bCs/>
                <w:iCs/>
                <w:strike/>
                <w:sz w:val="17"/>
                <w:szCs w:val="17"/>
              </w:rPr>
              <w:t>provedení směrnice Evropského parlamentu a Rady 2009/28/ES ze dne 23. dubna 2009 o podpoře využívání energie z obnovitelných zdrojů a o změně a následném zrušení směrnic 2001/77/ES a 2003/30/ES41 do vnitrostátního práva</w:t>
            </w:r>
          </w:p>
        </w:tc>
        <w:tc>
          <w:tcPr>
            <w:tcW w:w="5528" w:type="dxa"/>
            <w:shd w:val="clear" w:color="auto" w:fill="auto"/>
            <w:vAlign w:val="center"/>
            <w:hideMark/>
          </w:tcPr>
          <w:p w:rsidR="00656588" w:rsidRPr="00BF1281" w:rsidRDefault="00656588" w:rsidP="00712F71">
            <w:pPr>
              <w:pStyle w:val="ListDash1"/>
              <w:ind w:left="72"/>
              <w:jc w:val="left"/>
              <w:rPr>
                <w:rFonts w:asciiTheme="minorHAnsi" w:hAnsiTheme="minorHAnsi"/>
                <w:strike/>
                <w:sz w:val="17"/>
                <w:szCs w:val="17"/>
              </w:rPr>
            </w:pPr>
            <w:r w:rsidRPr="00BF1281">
              <w:rPr>
                <w:rFonts w:asciiTheme="minorHAnsi" w:hAnsiTheme="minorHAnsi"/>
                <w:strike/>
                <w:sz w:val="17"/>
                <w:szCs w:val="17"/>
              </w:rPr>
              <w:t>Členský stát přijal národní akční plán pro energii</w:t>
            </w:r>
            <w:r w:rsidRPr="00BF1281">
              <w:rPr>
                <w:strike/>
              </w:rPr>
              <w:t xml:space="preserve"> </w:t>
            </w:r>
            <w:r w:rsidRPr="00BF1281">
              <w:rPr>
                <w:rFonts w:asciiTheme="minorHAnsi" w:hAnsiTheme="minorHAnsi"/>
                <w:strike/>
                <w:sz w:val="17"/>
                <w:szCs w:val="17"/>
              </w:rPr>
              <w:t>z obnovitelných zdrojů v souladu s článkem 4 směrnice 2009/28/ES.</w:t>
            </w:r>
          </w:p>
        </w:tc>
      </w:tr>
    </w:tbl>
    <w:p w:rsidR="00656588" w:rsidRDefault="00656588" w:rsidP="00656588">
      <w:pPr>
        <w:spacing w:after="60" w:line="240" w:lineRule="auto"/>
        <w:jc w:val="left"/>
        <w:rPr>
          <w:rFonts w:asciiTheme="minorHAnsi" w:hAnsiTheme="minorHAnsi" w:cs="Arial"/>
          <w:color w:val="000000"/>
          <w:u w:val="single"/>
        </w:rPr>
      </w:pPr>
    </w:p>
    <w:p w:rsidR="00656588" w:rsidRDefault="00656588" w:rsidP="00F7737D">
      <w:pPr>
        <w:spacing w:after="60" w:line="240" w:lineRule="auto"/>
        <w:rPr>
          <w:rFonts w:asciiTheme="minorHAnsi" w:hAnsiTheme="minorHAnsi" w:cs="Arial"/>
          <w:color w:val="000000"/>
          <w:u w:val="single"/>
        </w:rPr>
      </w:pPr>
      <w:r w:rsidRPr="001F3300">
        <w:rPr>
          <w:rFonts w:asciiTheme="minorHAnsi" w:hAnsiTheme="minorHAnsi" w:cs="Arial"/>
          <w:color w:val="000000"/>
          <w:u w:val="single"/>
        </w:rPr>
        <w:t>Priorita pro rozvoj venkova č. 6:</w:t>
      </w:r>
      <w:r>
        <w:rPr>
          <w:rFonts w:asciiTheme="minorHAnsi" w:hAnsiTheme="minorHAnsi" w:cs="Arial"/>
          <w:color w:val="000000"/>
          <w:u w:val="single"/>
        </w:rPr>
        <w:t xml:space="preserve"> </w:t>
      </w:r>
      <w:r w:rsidRPr="001F3300">
        <w:rPr>
          <w:rFonts w:asciiTheme="minorHAnsi" w:hAnsiTheme="minorHAnsi" w:cs="Arial"/>
          <w:color w:val="000000"/>
          <w:u w:val="single"/>
        </w:rPr>
        <w:t>podpora sociálního začleňování,</w:t>
      </w:r>
      <w:r>
        <w:rPr>
          <w:rFonts w:asciiTheme="minorHAnsi" w:hAnsiTheme="minorHAnsi" w:cs="Arial"/>
          <w:color w:val="000000"/>
          <w:u w:val="single"/>
        </w:rPr>
        <w:t xml:space="preserve"> </w:t>
      </w:r>
      <w:r w:rsidRPr="001F3300">
        <w:rPr>
          <w:rFonts w:asciiTheme="minorHAnsi" w:hAnsiTheme="minorHAnsi" w:cs="Arial"/>
          <w:color w:val="000000"/>
          <w:u w:val="single"/>
        </w:rPr>
        <w:t>snižování chudoby a</w:t>
      </w:r>
      <w:r>
        <w:rPr>
          <w:rFonts w:asciiTheme="minorHAnsi" w:hAnsiTheme="minorHAnsi" w:cs="Arial"/>
          <w:color w:val="000000"/>
          <w:u w:val="single"/>
        </w:rPr>
        <w:t xml:space="preserve"> </w:t>
      </w:r>
      <w:r w:rsidRPr="001F3300">
        <w:rPr>
          <w:rFonts w:asciiTheme="minorHAnsi" w:hAnsiTheme="minorHAnsi" w:cs="Arial"/>
          <w:color w:val="000000"/>
          <w:u w:val="single"/>
        </w:rPr>
        <w:t>hospodářského rozvoje ve</w:t>
      </w:r>
      <w:r>
        <w:rPr>
          <w:rFonts w:asciiTheme="minorHAnsi" w:hAnsiTheme="minorHAnsi" w:cs="Arial"/>
          <w:color w:val="000000"/>
          <w:u w:val="single"/>
        </w:rPr>
        <w:t xml:space="preserve"> </w:t>
      </w:r>
      <w:r w:rsidRPr="001F3300">
        <w:rPr>
          <w:rFonts w:asciiTheme="minorHAnsi" w:hAnsiTheme="minorHAnsi" w:cs="Arial"/>
          <w:color w:val="000000"/>
          <w:u w:val="single"/>
        </w:rPr>
        <w:t>venkovských oblastech</w:t>
      </w:r>
      <w:r>
        <w:rPr>
          <w:rFonts w:asciiTheme="minorHAnsi" w:hAnsiTheme="minorHAnsi" w:cs="Arial"/>
          <w:color w:val="000000"/>
          <w:u w:val="single"/>
        </w:rPr>
        <w:t xml:space="preserve"> </w:t>
      </w:r>
    </w:p>
    <w:p w:rsidR="00656588" w:rsidRDefault="00656588" w:rsidP="00F7737D">
      <w:pPr>
        <w:spacing w:after="60" w:line="240" w:lineRule="auto"/>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8</w:t>
      </w:r>
      <w:r w:rsidRPr="00F05188">
        <w:rPr>
          <w:rFonts w:asciiTheme="minorHAnsi" w:hAnsiTheme="minorHAnsi" w:cs="Arial"/>
          <w:color w:val="000000"/>
          <w:u w:val="single"/>
        </w:rPr>
        <w:t xml:space="preserve">: </w:t>
      </w:r>
      <w:r w:rsidRPr="00AC18C6">
        <w:rPr>
          <w:rFonts w:asciiTheme="minorHAnsi" w:hAnsiTheme="minorHAnsi" w:cs="Arial"/>
          <w:color w:val="000000"/>
          <w:u w:val="single"/>
        </w:rPr>
        <w:t>podpora</w:t>
      </w:r>
      <w:r>
        <w:rPr>
          <w:rFonts w:asciiTheme="minorHAnsi" w:hAnsiTheme="minorHAnsi" w:cs="Arial"/>
          <w:color w:val="000000"/>
          <w:u w:val="single"/>
        </w:rPr>
        <w:t xml:space="preserve"> </w:t>
      </w:r>
      <w:r w:rsidRPr="00AC18C6">
        <w:rPr>
          <w:rFonts w:asciiTheme="minorHAnsi" w:hAnsiTheme="minorHAnsi" w:cs="Arial"/>
          <w:color w:val="000000"/>
          <w:u w:val="single"/>
        </w:rPr>
        <w:t>zaměstnanosti a mobility</w:t>
      </w:r>
      <w:r>
        <w:rPr>
          <w:rFonts w:asciiTheme="minorHAnsi" w:hAnsiTheme="minorHAnsi" w:cs="Arial"/>
          <w:color w:val="000000"/>
          <w:u w:val="single"/>
        </w:rPr>
        <w:t xml:space="preserve"> </w:t>
      </w:r>
      <w:r w:rsidRPr="00AC18C6">
        <w:rPr>
          <w:rFonts w:asciiTheme="minorHAnsi" w:hAnsiTheme="minorHAnsi" w:cs="Arial"/>
          <w:color w:val="000000"/>
          <w:u w:val="single"/>
        </w:rPr>
        <w:t>pracovníků</w:t>
      </w:r>
    </w:p>
    <w:p w:rsidR="00656588" w:rsidRPr="00000379" w:rsidRDefault="00656588" w:rsidP="00F7737D">
      <w:pPr>
        <w:spacing w:after="60" w:line="240" w:lineRule="auto"/>
        <w:rPr>
          <w:rFonts w:asciiTheme="minorHAnsi" w:hAnsiTheme="minorHAnsi" w:cs="Arial"/>
          <w:strike/>
          <w:color w:val="000000"/>
          <w:u w:val="single"/>
        </w:rPr>
      </w:pPr>
      <w:r w:rsidRPr="00000379">
        <w:rPr>
          <w:rFonts w:asciiTheme="minorHAnsi" w:hAnsiTheme="minorHAnsi" w:cs="Arial"/>
          <w:strike/>
          <w:color w:val="000000"/>
          <w:u w:val="single"/>
        </w:rPr>
        <w:t>Tematický cíl 9: podpora sociálního začleňování a boj proti chudobě</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5953"/>
      </w:tblGrid>
      <w:tr w:rsidR="00656588" w:rsidRPr="00523D12" w:rsidTr="0027669E">
        <w:trPr>
          <w:trHeight w:val="500"/>
        </w:trPr>
        <w:tc>
          <w:tcPr>
            <w:tcW w:w="313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95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E35631">
        <w:trPr>
          <w:trHeight w:val="518"/>
        </w:trPr>
        <w:tc>
          <w:tcPr>
            <w:tcW w:w="3134" w:type="dxa"/>
            <w:shd w:val="clear" w:color="auto" w:fill="auto"/>
            <w:vAlign w:val="center"/>
            <w:hideMark/>
          </w:tcPr>
          <w:p w:rsidR="00656588" w:rsidRPr="00E420E0" w:rsidRDefault="00656588" w:rsidP="00712F71">
            <w:pPr>
              <w:spacing w:line="240" w:lineRule="auto"/>
              <w:jc w:val="left"/>
              <w:rPr>
                <w:rFonts w:asciiTheme="minorHAnsi" w:hAnsiTheme="minorHAnsi"/>
                <w:bCs/>
                <w:i/>
                <w:iCs/>
                <w:sz w:val="17"/>
                <w:szCs w:val="17"/>
              </w:rPr>
            </w:pPr>
            <w:r w:rsidRPr="00F60174">
              <w:rPr>
                <w:rFonts w:asciiTheme="minorHAnsi" w:hAnsiTheme="minorHAnsi"/>
                <w:bCs/>
                <w:i/>
                <w:iCs/>
                <w:sz w:val="17"/>
                <w:szCs w:val="17"/>
              </w:rPr>
              <w:t xml:space="preserve">6.1 Přístup k EZFRV: </w:t>
            </w:r>
            <w:r w:rsidRPr="00F60174">
              <w:rPr>
                <w:rFonts w:asciiTheme="minorHAnsi" w:hAnsiTheme="minorHAnsi"/>
                <w:bCs/>
                <w:iCs/>
                <w:sz w:val="17"/>
                <w:szCs w:val="17"/>
              </w:rPr>
              <w:t>poskytnutí podpory přístupu příslušných zúčastněných stran k EZFRV</w:t>
            </w:r>
          </w:p>
        </w:tc>
        <w:tc>
          <w:tcPr>
            <w:tcW w:w="5953" w:type="dxa"/>
            <w:shd w:val="clear" w:color="auto" w:fill="auto"/>
            <w:vAlign w:val="center"/>
            <w:hideMark/>
          </w:tcPr>
          <w:p w:rsidR="00656588" w:rsidRPr="00E420E0" w:rsidRDefault="00656588" w:rsidP="00712F71">
            <w:pPr>
              <w:pStyle w:val="ListDash1"/>
              <w:ind w:left="72"/>
              <w:jc w:val="left"/>
              <w:rPr>
                <w:rFonts w:asciiTheme="minorHAnsi" w:hAnsiTheme="minorHAnsi"/>
                <w:bCs/>
                <w:sz w:val="17"/>
                <w:szCs w:val="17"/>
              </w:rPr>
            </w:pPr>
            <w:r w:rsidRPr="008143B6">
              <w:rPr>
                <w:rFonts w:asciiTheme="minorHAnsi" w:hAnsiTheme="minorHAnsi"/>
                <w:sz w:val="17"/>
                <w:szCs w:val="17"/>
              </w:rPr>
              <w:t>Příslušným zúčastněným stranám je poskytována podpora při</w:t>
            </w:r>
            <w:r>
              <w:rPr>
                <w:rFonts w:asciiTheme="minorHAnsi" w:hAnsiTheme="minorHAnsi"/>
                <w:sz w:val="17"/>
                <w:szCs w:val="17"/>
              </w:rPr>
              <w:t xml:space="preserve"> </w:t>
            </w:r>
            <w:r w:rsidRPr="008143B6">
              <w:rPr>
                <w:rFonts w:asciiTheme="minorHAnsi" w:hAnsiTheme="minorHAnsi"/>
                <w:sz w:val="17"/>
                <w:szCs w:val="17"/>
              </w:rPr>
              <w:t>předkládání projektových žádostí a při provádění a řízení</w:t>
            </w:r>
            <w:r>
              <w:rPr>
                <w:rFonts w:asciiTheme="minorHAnsi" w:hAnsiTheme="minorHAnsi"/>
                <w:sz w:val="17"/>
                <w:szCs w:val="17"/>
              </w:rPr>
              <w:t xml:space="preserve"> </w:t>
            </w:r>
            <w:r w:rsidRPr="008143B6">
              <w:rPr>
                <w:rFonts w:asciiTheme="minorHAnsi" w:hAnsiTheme="minorHAnsi"/>
                <w:sz w:val="17"/>
                <w:szCs w:val="17"/>
              </w:rPr>
              <w:t>vybraných projektů.</w:t>
            </w:r>
          </w:p>
        </w:tc>
      </w:tr>
      <w:tr w:rsidR="00656588" w:rsidRPr="00523D12" w:rsidTr="00712F71">
        <w:trPr>
          <w:trHeight w:val="1701"/>
        </w:trPr>
        <w:tc>
          <w:tcPr>
            <w:tcW w:w="3134" w:type="dxa"/>
            <w:shd w:val="clear" w:color="auto" w:fill="auto"/>
            <w:vAlign w:val="center"/>
            <w:hideMark/>
          </w:tcPr>
          <w:p w:rsidR="00656588" w:rsidRPr="00AC1D07" w:rsidRDefault="00656588" w:rsidP="00712F71">
            <w:pPr>
              <w:spacing w:line="240" w:lineRule="auto"/>
              <w:jc w:val="left"/>
              <w:rPr>
                <w:rFonts w:asciiTheme="minorHAnsi" w:hAnsiTheme="minorHAnsi"/>
                <w:bCs/>
                <w:i/>
                <w:iCs/>
                <w:strike/>
                <w:sz w:val="17"/>
                <w:szCs w:val="17"/>
              </w:rPr>
            </w:pPr>
            <w:r w:rsidRPr="00AC1D07">
              <w:rPr>
                <w:rFonts w:asciiTheme="minorHAnsi" w:hAnsiTheme="minorHAnsi"/>
                <w:bCs/>
                <w:i/>
                <w:iCs/>
                <w:strike/>
                <w:sz w:val="17"/>
                <w:szCs w:val="17"/>
              </w:rPr>
              <w:t xml:space="preserve">6.2 Samostatná výdělečná činnost, podnikatelství a zakládání podniků: </w:t>
            </w:r>
            <w:r w:rsidRPr="00AC1D07">
              <w:rPr>
                <w:rFonts w:asciiTheme="minorHAnsi" w:hAnsiTheme="minorHAnsi"/>
                <w:bCs/>
                <w:iCs/>
                <w:strike/>
                <w:sz w:val="17"/>
                <w:szCs w:val="17"/>
              </w:rPr>
              <w:t>existence komplexní a inkluzivní strategie pro podporu zakládání podniků v souladu s iniciativou „Small Business Act“ a v souladu s hlavním směrem zaměstnanosti 7, pokud jde o podmínky umožňující vytváření pracovních míst.</w:t>
            </w:r>
          </w:p>
        </w:tc>
        <w:tc>
          <w:tcPr>
            <w:tcW w:w="5953" w:type="dxa"/>
            <w:shd w:val="clear" w:color="auto" w:fill="auto"/>
            <w:vAlign w:val="center"/>
            <w:hideMark/>
          </w:tcPr>
          <w:p w:rsidR="00656588" w:rsidRPr="00AC1D07" w:rsidRDefault="00656588" w:rsidP="00712F71">
            <w:pPr>
              <w:pStyle w:val="ListDash1"/>
              <w:spacing w:after="0"/>
              <w:ind w:left="74" w:hanging="284"/>
              <w:jc w:val="left"/>
              <w:rPr>
                <w:rFonts w:asciiTheme="minorHAnsi" w:hAnsiTheme="minorHAnsi"/>
                <w:strike/>
                <w:sz w:val="17"/>
                <w:szCs w:val="17"/>
              </w:rPr>
            </w:pPr>
            <w:r w:rsidRPr="00AC1D07">
              <w:rPr>
                <w:rFonts w:asciiTheme="minorHAnsi" w:hAnsiTheme="minorHAnsi"/>
                <w:strike/>
                <w:sz w:val="17"/>
                <w:szCs w:val="17"/>
              </w:rPr>
              <w:t>Členské státy zavedly komplexní a inkluzivní strategii, která zahrne:</w:t>
            </w:r>
          </w:p>
          <w:p w:rsidR="00656588" w:rsidRPr="00AC1D07" w:rsidRDefault="00656588" w:rsidP="00656588">
            <w:pPr>
              <w:pStyle w:val="ListDash1"/>
              <w:numPr>
                <w:ilvl w:val="0"/>
                <w:numId w:val="31"/>
              </w:numPr>
              <w:spacing w:after="0"/>
              <w:ind w:left="355" w:hanging="283"/>
              <w:jc w:val="left"/>
              <w:rPr>
                <w:rFonts w:asciiTheme="minorHAnsi" w:hAnsiTheme="minorHAnsi"/>
                <w:strike/>
                <w:sz w:val="17"/>
                <w:szCs w:val="17"/>
              </w:rPr>
            </w:pPr>
            <w:r w:rsidRPr="00AC1D07">
              <w:rPr>
                <w:rFonts w:asciiTheme="minorHAnsi" w:hAnsiTheme="minorHAnsi"/>
                <w:strike/>
                <w:sz w:val="17"/>
                <w:szCs w:val="17"/>
              </w:rPr>
              <w:t>opatření na výrazné snížení doby a nákladů na zakládání podniků v souladem s iniciativou „Small Business Act“,</w:t>
            </w:r>
          </w:p>
          <w:p w:rsidR="00656588" w:rsidRPr="00AC1D07" w:rsidRDefault="00656588" w:rsidP="00656588">
            <w:pPr>
              <w:pStyle w:val="ListDash1"/>
              <w:numPr>
                <w:ilvl w:val="0"/>
                <w:numId w:val="31"/>
              </w:numPr>
              <w:spacing w:after="0"/>
              <w:ind w:left="355" w:hanging="283"/>
              <w:jc w:val="left"/>
              <w:rPr>
                <w:rFonts w:asciiTheme="minorHAnsi" w:hAnsiTheme="minorHAnsi"/>
                <w:strike/>
                <w:sz w:val="17"/>
                <w:szCs w:val="17"/>
              </w:rPr>
            </w:pPr>
            <w:r w:rsidRPr="00AC1D07">
              <w:rPr>
                <w:rFonts w:asciiTheme="minorHAnsi" w:hAnsiTheme="minorHAnsi"/>
                <w:strike/>
                <w:sz w:val="17"/>
                <w:szCs w:val="17"/>
              </w:rPr>
              <w:t>opatření na snížení doby potřebné pro získání licencí a povolení k zahájení a provádění konkrétní činnosti podniku v souladu s iniciativou „Small Business Act“,</w:t>
            </w:r>
          </w:p>
          <w:p w:rsidR="00656588" w:rsidRPr="00AC1D07" w:rsidRDefault="00656588" w:rsidP="00656588">
            <w:pPr>
              <w:pStyle w:val="ListDash1"/>
              <w:numPr>
                <w:ilvl w:val="0"/>
                <w:numId w:val="31"/>
              </w:numPr>
              <w:spacing w:after="0"/>
              <w:ind w:left="355" w:hanging="283"/>
              <w:jc w:val="left"/>
              <w:rPr>
                <w:rFonts w:asciiTheme="minorHAnsi" w:hAnsiTheme="minorHAnsi"/>
                <w:strike/>
                <w:sz w:val="17"/>
                <w:szCs w:val="17"/>
              </w:rPr>
            </w:pPr>
            <w:r w:rsidRPr="00AC1D07">
              <w:rPr>
                <w:rFonts w:asciiTheme="minorHAnsi" w:hAnsiTheme="minorHAnsi"/>
                <w:strike/>
                <w:sz w:val="17"/>
                <w:szCs w:val="17"/>
              </w:rPr>
              <w:t>akce propojující vhodné služby v oblasti rozvoje podnikání a finanční služby (přístup ke kapitálu), včetně dosahu znevýhodněných skupin a oblastí.</w:t>
            </w:r>
          </w:p>
        </w:tc>
      </w:tr>
      <w:tr w:rsidR="00656588" w:rsidRPr="00523D12" w:rsidTr="00712F71">
        <w:trPr>
          <w:trHeight w:val="1130"/>
        </w:trPr>
        <w:tc>
          <w:tcPr>
            <w:tcW w:w="3134" w:type="dxa"/>
            <w:shd w:val="clear" w:color="auto" w:fill="auto"/>
            <w:vAlign w:val="center"/>
            <w:hideMark/>
          </w:tcPr>
          <w:p w:rsidR="00656588" w:rsidRPr="00AC1D07" w:rsidRDefault="00656588" w:rsidP="00712F71">
            <w:pPr>
              <w:spacing w:line="240" w:lineRule="auto"/>
              <w:jc w:val="left"/>
              <w:rPr>
                <w:rFonts w:asciiTheme="minorHAnsi" w:hAnsiTheme="minorHAnsi"/>
                <w:bCs/>
                <w:i/>
                <w:iCs/>
                <w:strike/>
                <w:sz w:val="17"/>
                <w:szCs w:val="17"/>
              </w:rPr>
            </w:pPr>
            <w:r w:rsidRPr="00AC1D07">
              <w:rPr>
                <w:rFonts w:asciiTheme="minorHAnsi" w:hAnsiTheme="minorHAnsi"/>
                <w:bCs/>
                <w:i/>
                <w:iCs/>
                <w:strike/>
                <w:sz w:val="17"/>
                <w:szCs w:val="17"/>
              </w:rPr>
              <w:t xml:space="preserve">6.3 Infrastruktura sítí NGA (přístupové sítě nové generace): </w:t>
            </w:r>
            <w:r w:rsidRPr="00AC1D07">
              <w:rPr>
                <w:rFonts w:asciiTheme="minorHAnsi" w:hAnsiTheme="minorHAnsi"/>
                <w:bCs/>
                <w:iCs/>
                <w:strike/>
                <w:sz w:val="17"/>
                <w:szCs w:val="17"/>
              </w:rPr>
              <w:t>existence vnitrostátních plánů sítí NGA, které zohledňují regionální akce pro dosažení cílů EU v oblasti přístupu k vysokorychlostnímu internetu a zaměřují se na oblasti, ve kterých trh neposkytuje otevřenou infrastrukturu za přijatelnou cenu a v odpovídající kvalitě</w:t>
            </w:r>
          </w:p>
        </w:tc>
        <w:tc>
          <w:tcPr>
            <w:tcW w:w="5953" w:type="dxa"/>
            <w:shd w:val="clear" w:color="auto" w:fill="auto"/>
            <w:vAlign w:val="center"/>
            <w:hideMark/>
          </w:tcPr>
          <w:p w:rsidR="00656588" w:rsidRPr="00AC1D07" w:rsidRDefault="00656588" w:rsidP="00712F71">
            <w:pPr>
              <w:pStyle w:val="ListDash1"/>
              <w:spacing w:after="0"/>
              <w:ind w:left="74" w:hanging="284"/>
              <w:jc w:val="left"/>
              <w:rPr>
                <w:rFonts w:asciiTheme="minorHAnsi" w:hAnsiTheme="minorHAnsi"/>
                <w:strike/>
                <w:sz w:val="17"/>
                <w:szCs w:val="17"/>
              </w:rPr>
            </w:pPr>
            <w:r w:rsidRPr="00AC1D07">
              <w:rPr>
                <w:rFonts w:asciiTheme="minorHAnsi" w:hAnsiTheme="minorHAnsi"/>
                <w:strike/>
                <w:sz w:val="17"/>
                <w:szCs w:val="17"/>
              </w:rPr>
              <w:t>Je zaveden vnitrostátní plán sítí NGA, který obsahuje:</w:t>
            </w:r>
          </w:p>
          <w:p w:rsidR="00656588" w:rsidRPr="00AC1D07" w:rsidRDefault="00656588" w:rsidP="00656588">
            <w:pPr>
              <w:pStyle w:val="ListDash1"/>
              <w:numPr>
                <w:ilvl w:val="0"/>
                <w:numId w:val="32"/>
              </w:numPr>
              <w:spacing w:after="0"/>
              <w:ind w:left="355" w:hanging="283"/>
              <w:jc w:val="left"/>
              <w:rPr>
                <w:rFonts w:asciiTheme="minorHAnsi" w:hAnsiTheme="minorHAnsi"/>
                <w:strike/>
                <w:sz w:val="17"/>
                <w:szCs w:val="17"/>
              </w:rPr>
            </w:pPr>
            <w:r w:rsidRPr="00AC1D07">
              <w:rPr>
                <w:rFonts w:asciiTheme="minorHAnsi" w:hAnsiTheme="minorHAnsi"/>
                <w:strike/>
                <w:sz w:val="17"/>
                <w:szCs w:val="17"/>
              </w:rPr>
              <w:t>plán investic do infrastruktury založený na sdružování poptávky a mapování infrastruktury a služeb, který je pravidelně aktualizován,</w:t>
            </w:r>
          </w:p>
          <w:p w:rsidR="00656588" w:rsidRPr="00AC1D07" w:rsidRDefault="00656588" w:rsidP="00656588">
            <w:pPr>
              <w:pStyle w:val="ListDash1"/>
              <w:numPr>
                <w:ilvl w:val="0"/>
                <w:numId w:val="32"/>
              </w:numPr>
              <w:spacing w:after="0"/>
              <w:ind w:left="355" w:hanging="283"/>
              <w:jc w:val="left"/>
              <w:rPr>
                <w:rFonts w:asciiTheme="minorHAnsi" w:hAnsiTheme="minorHAnsi"/>
                <w:strike/>
                <w:sz w:val="17"/>
                <w:szCs w:val="17"/>
              </w:rPr>
            </w:pPr>
            <w:r w:rsidRPr="00AC1D07">
              <w:rPr>
                <w:rFonts w:asciiTheme="minorHAnsi" w:hAnsiTheme="minorHAnsi"/>
                <w:strike/>
                <w:sz w:val="17"/>
                <w:szCs w:val="17"/>
              </w:rPr>
              <w:t>udržitelné investiční modely, které posilují konkurenceschopnost a poskytují přístup k otevřené, cenově dostupné a kvalitní infrastruktuře a službám, které vyhovují budoucím potřebám,</w:t>
            </w:r>
          </w:p>
          <w:p w:rsidR="00656588" w:rsidRPr="00AC1D07" w:rsidRDefault="00656588" w:rsidP="00656588">
            <w:pPr>
              <w:pStyle w:val="ListDash1"/>
              <w:numPr>
                <w:ilvl w:val="0"/>
                <w:numId w:val="32"/>
              </w:numPr>
              <w:spacing w:after="0"/>
              <w:ind w:left="355" w:hanging="283"/>
              <w:jc w:val="left"/>
              <w:rPr>
                <w:rFonts w:asciiTheme="minorHAnsi" w:hAnsiTheme="minorHAnsi"/>
                <w:strike/>
                <w:sz w:val="17"/>
                <w:szCs w:val="17"/>
              </w:rPr>
            </w:pPr>
            <w:r w:rsidRPr="00AC1D07">
              <w:rPr>
                <w:rFonts w:asciiTheme="minorHAnsi" w:hAnsiTheme="minorHAnsi"/>
                <w:strike/>
                <w:sz w:val="17"/>
                <w:szCs w:val="17"/>
              </w:rPr>
              <w:t>opatření ke stimulaci soukromých investic.</w:t>
            </w:r>
          </w:p>
        </w:tc>
      </w:tr>
    </w:tbl>
    <w:p w:rsidR="009A03FE" w:rsidRDefault="009A03FE" w:rsidP="009A03FE">
      <w:pPr>
        <w:pStyle w:val="Nadpis11"/>
        <w:numPr>
          <w:ilvl w:val="0"/>
          <w:numId w:val="0"/>
        </w:numPr>
        <w:spacing w:after="120"/>
        <w:ind w:left="567"/>
        <w:jc w:val="right"/>
        <w:rPr>
          <w:rFonts w:asciiTheme="minorHAnsi" w:eastAsiaTheme="majorEastAsia" w:hAnsiTheme="minorHAnsi"/>
        </w:rPr>
      </w:pPr>
    </w:p>
    <w:p w:rsidR="009A03FE" w:rsidRDefault="009A03FE">
      <w:pPr>
        <w:spacing w:before="360" w:after="200" w:line="276" w:lineRule="auto"/>
        <w:ind w:left="425"/>
        <w:rPr>
          <w:rFonts w:asciiTheme="minorHAnsi" w:eastAsiaTheme="majorEastAsia" w:hAnsiTheme="minorHAnsi" w:cs="Arial"/>
          <w:b/>
          <w:bCs/>
          <w:color w:val="002060"/>
          <w:sz w:val="26"/>
          <w:szCs w:val="26"/>
        </w:rPr>
      </w:pPr>
      <w:r>
        <w:rPr>
          <w:rFonts w:asciiTheme="minorHAnsi" w:eastAsiaTheme="majorEastAsia" w:hAnsiTheme="minorHAnsi"/>
        </w:rPr>
        <w:br w:type="page"/>
      </w:r>
    </w:p>
    <w:p w:rsidR="00656588" w:rsidRPr="009A03FE" w:rsidRDefault="00656588" w:rsidP="009A03FE">
      <w:pPr>
        <w:pStyle w:val="Nadpis11"/>
        <w:numPr>
          <w:ilvl w:val="0"/>
          <w:numId w:val="0"/>
        </w:numPr>
        <w:spacing w:after="120"/>
        <w:ind w:left="567"/>
        <w:jc w:val="right"/>
        <w:rPr>
          <w:rFonts w:asciiTheme="minorHAnsi" w:eastAsiaTheme="majorEastAsia" w:hAnsiTheme="minorHAnsi"/>
        </w:rPr>
      </w:pPr>
      <w:bookmarkStart w:id="48" w:name="_Toc359587675"/>
      <w:r w:rsidRPr="009A03FE">
        <w:rPr>
          <w:rFonts w:asciiTheme="minorHAnsi" w:eastAsiaTheme="majorEastAsia" w:hAnsiTheme="minorHAnsi"/>
        </w:rPr>
        <w:t xml:space="preserve">Příloha </w:t>
      </w:r>
      <w:r w:rsidR="00F7737D" w:rsidRPr="009A03FE">
        <w:rPr>
          <w:rFonts w:asciiTheme="minorHAnsi" w:eastAsiaTheme="majorEastAsia" w:hAnsiTheme="minorHAnsi"/>
        </w:rPr>
        <w:t>1</w:t>
      </w:r>
      <w:r w:rsidRPr="009A03FE">
        <w:rPr>
          <w:rFonts w:asciiTheme="minorHAnsi" w:eastAsiaTheme="majorEastAsia" w:hAnsiTheme="minorHAnsi"/>
        </w:rPr>
        <w:t>e: Obecné předběžné podmínky pro ENRF</w:t>
      </w:r>
      <w:bookmarkEnd w:id="48"/>
    </w:p>
    <w:p w:rsidR="00656588" w:rsidRPr="00845DD6" w:rsidRDefault="00656588" w:rsidP="00656588">
      <w:pPr>
        <w:spacing w:before="240" w:after="60"/>
        <w:jc w:val="left"/>
        <w:rPr>
          <w:rFonts w:asciiTheme="minorHAnsi" w:hAnsiTheme="minorHAnsi" w:cs="Arial"/>
          <w:strike/>
          <w:color w:val="000000"/>
          <w:u w:val="single"/>
        </w:rPr>
      </w:pPr>
      <w:r w:rsidRPr="00845DD6">
        <w:rPr>
          <w:rFonts w:asciiTheme="minorHAnsi" w:hAnsiTheme="minorHAnsi" w:cs="Arial"/>
          <w:strike/>
          <w:color w:val="000000"/>
          <w:u w:val="single"/>
        </w:rPr>
        <w:t>Oblast 1: Nediskriminace</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9"/>
        <w:gridCol w:w="5953"/>
      </w:tblGrid>
      <w:tr w:rsidR="00656588" w:rsidRPr="0038411F" w:rsidTr="00712F71">
        <w:trPr>
          <w:trHeight w:val="396"/>
        </w:trPr>
        <w:tc>
          <w:tcPr>
            <w:tcW w:w="3129" w:type="dxa"/>
            <w:shd w:val="clear" w:color="auto" w:fill="B8CCE4" w:themeFill="accent1" w:themeFillTint="66"/>
            <w:vAlign w:val="center"/>
            <w:hideMark/>
          </w:tcPr>
          <w:p w:rsidR="00656588" w:rsidRPr="0038411F" w:rsidRDefault="00656588" w:rsidP="00712F71">
            <w:pPr>
              <w:spacing w:line="240" w:lineRule="auto"/>
              <w:jc w:val="center"/>
              <w:rPr>
                <w:rFonts w:asciiTheme="minorHAnsi" w:hAnsiTheme="minorHAnsi"/>
                <w:b/>
                <w:bCs/>
                <w:strike/>
                <w:color w:val="000000"/>
                <w:sz w:val="20"/>
                <w:szCs w:val="20"/>
              </w:rPr>
            </w:pPr>
            <w:r w:rsidRPr="0038411F">
              <w:rPr>
                <w:rFonts w:asciiTheme="minorHAnsi" w:hAnsiTheme="minorHAnsi"/>
                <w:b/>
                <w:bCs/>
                <w:strike/>
                <w:color w:val="000000"/>
                <w:sz w:val="20"/>
                <w:szCs w:val="20"/>
              </w:rPr>
              <w:t>Předběžná podmínka</w:t>
            </w:r>
          </w:p>
        </w:tc>
        <w:tc>
          <w:tcPr>
            <w:tcW w:w="5953" w:type="dxa"/>
            <w:shd w:val="clear" w:color="auto" w:fill="B8CCE4" w:themeFill="accent1" w:themeFillTint="66"/>
            <w:vAlign w:val="center"/>
            <w:hideMark/>
          </w:tcPr>
          <w:p w:rsidR="00656588" w:rsidRPr="0038411F" w:rsidRDefault="00656588" w:rsidP="00712F71">
            <w:pPr>
              <w:spacing w:line="240" w:lineRule="auto"/>
              <w:jc w:val="center"/>
              <w:rPr>
                <w:rFonts w:asciiTheme="minorHAnsi" w:hAnsiTheme="minorHAnsi"/>
                <w:b/>
                <w:bCs/>
                <w:strike/>
                <w:color w:val="000000"/>
                <w:sz w:val="20"/>
                <w:szCs w:val="20"/>
              </w:rPr>
            </w:pPr>
            <w:r w:rsidRPr="0038411F">
              <w:rPr>
                <w:rFonts w:asciiTheme="minorHAnsi" w:hAnsiTheme="minorHAnsi"/>
                <w:b/>
                <w:bCs/>
                <w:strike/>
                <w:color w:val="000000"/>
                <w:sz w:val="20"/>
                <w:szCs w:val="20"/>
              </w:rPr>
              <w:t>Kritéria splnění</w:t>
            </w:r>
          </w:p>
        </w:tc>
      </w:tr>
      <w:tr w:rsidR="00656588" w:rsidRPr="0038411F" w:rsidTr="00FB6B3D">
        <w:trPr>
          <w:trHeight w:val="566"/>
        </w:trPr>
        <w:tc>
          <w:tcPr>
            <w:tcW w:w="3129" w:type="dxa"/>
            <w:shd w:val="clear" w:color="auto" w:fill="auto"/>
            <w:vAlign w:val="center"/>
            <w:hideMark/>
          </w:tcPr>
          <w:p w:rsidR="00656588" w:rsidRPr="0038411F" w:rsidRDefault="00656588" w:rsidP="00712F71">
            <w:pPr>
              <w:spacing w:line="240" w:lineRule="auto"/>
              <w:jc w:val="left"/>
              <w:rPr>
                <w:rFonts w:asciiTheme="minorHAnsi" w:hAnsiTheme="minorHAnsi"/>
                <w:strike/>
                <w:color w:val="000000"/>
                <w:sz w:val="18"/>
                <w:szCs w:val="18"/>
              </w:rPr>
            </w:pPr>
            <w:r w:rsidRPr="0038411F">
              <w:rPr>
                <w:rFonts w:asciiTheme="minorHAnsi" w:hAnsiTheme="minorHAnsi"/>
                <w:strike/>
                <w:color w:val="000000"/>
                <w:sz w:val="18"/>
                <w:szCs w:val="18"/>
              </w:rPr>
              <w:t>Existence mechanismu, který zajišťuje účinné provádění a uplatňování směrnice 2000/78/ES ze dne 27. listopadu 2000, kterou se stanoví obecný rámec pro rovné zacházení v zaměstnání a povolání, a směrnice 2000/43/ES ze dne 29. června 2000, kterou se zavádí zásada rovného zacházení s osobami bez ohledu na jejich rasu nebo etnický původ</w:t>
            </w:r>
          </w:p>
        </w:tc>
        <w:tc>
          <w:tcPr>
            <w:tcW w:w="5953" w:type="dxa"/>
            <w:shd w:val="clear" w:color="auto" w:fill="FFFFFF" w:themeFill="background1"/>
            <w:vAlign w:val="center"/>
            <w:hideMark/>
          </w:tcPr>
          <w:p w:rsidR="00656588" w:rsidRPr="0038411F" w:rsidRDefault="00656588" w:rsidP="00712F71">
            <w:pPr>
              <w:spacing w:line="240" w:lineRule="auto"/>
              <w:jc w:val="left"/>
              <w:rPr>
                <w:rFonts w:asciiTheme="minorHAnsi" w:hAnsiTheme="minorHAnsi"/>
                <w:iCs/>
                <w:strike/>
                <w:color w:val="000000"/>
                <w:sz w:val="18"/>
                <w:szCs w:val="18"/>
              </w:rPr>
            </w:pPr>
            <w:r w:rsidRPr="0038411F">
              <w:rPr>
                <w:rFonts w:asciiTheme="minorHAnsi" w:hAnsiTheme="minorHAnsi"/>
                <w:iCs/>
                <w:strike/>
                <w:color w:val="000000"/>
                <w:sz w:val="18"/>
                <w:szCs w:val="18"/>
              </w:rPr>
              <w:t>Účinné provádění a uplatňování směrnic EU 2000/78/ES a 2000/43/ES o zákazu diskriminace je zajištěno prostřednictvím:</w:t>
            </w:r>
          </w:p>
          <w:p w:rsidR="00656588" w:rsidRPr="0038411F" w:rsidRDefault="00656588"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38411F">
              <w:rPr>
                <w:rFonts w:asciiTheme="minorHAnsi" w:hAnsiTheme="minorHAnsi"/>
                <w:strike/>
                <w:color w:val="000000"/>
                <w:sz w:val="18"/>
                <w:szCs w:val="18"/>
              </w:rPr>
              <w:t>institucionálních opatření pro provádění, uplatňování a kontrolu dodržování směrnic EU o zákazu diskriminace,</w:t>
            </w:r>
          </w:p>
          <w:p w:rsidR="00656588" w:rsidRPr="0038411F" w:rsidRDefault="00656588"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38411F">
              <w:rPr>
                <w:rFonts w:asciiTheme="minorHAnsi" w:hAnsiTheme="minorHAnsi"/>
                <w:strike/>
                <w:color w:val="000000"/>
                <w:sz w:val="18"/>
                <w:szCs w:val="18"/>
              </w:rPr>
              <w:t>strategie odborné přípravy a šíření informací pro zaměstnance podílející se na provádění fondů,</w:t>
            </w:r>
          </w:p>
          <w:p w:rsidR="00656588" w:rsidRPr="0038411F" w:rsidRDefault="00844A83" w:rsidP="00712F71">
            <w:pPr>
              <w:spacing w:line="240" w:lineRule="auto"/>
              <w:jc w:val="left"/>
              <w:rPr>
                <w:rFonts w:asciiTheme="minorHAnsi" w:hAnsiTheme="minorHAnsi"/>
                <w:i/>
                <w:iCs/>
                <w:strike/>
                <w:color w:val="000000"/>
                <w:sz w:val="18"/>
                <w:szCs w:val="18"/>
              </w:rPr>
            </w:pPr>
            <w:r w:rsidRPr="00844A83">
              <w:rPr>
                <w:rFonts w:asciiTheme="minorHAnsi" w:hAnsiTheme="minorHAnsi"/>
                <w:strike/>
                <w:color w:val="000000"/>
                <w:sz w:val="18"/>
                <w:szCs w:val="18"/>
              </w:rPr>
              <w:t>opatření k posílení správní kapacity pro provádění a uplatňování směrnic EU o zákazu diskriminace.</w:t>
            </w:r>
          </w:p>
        </w:tc>
      </w:tr>
    </w:tbl>
    <w:p w:rsidR="00656588" w:rsidRPr="00845DD6" w:rsidRDefault="00656588" w:rsidP="00656588">
      <w:pPr>
        <w:spacing w:before="240" w:after="60"/>
        <w:jc w:val="left"/>
        <w:rPr>
          <w:rFonts w:asciiTheme="minorHAnsi" w:hAnsiTheme="minorHAnsi" w:cs="Arial"/>
          <w:strike/>
          <w:color w:val="000000"/>
          <w:u w:val="single"/>
        </w:rPr>
      </w:pPr>
      <w:r w:rsidRPr="00845DD6">
        <w:rPr>
          <w:rFonts w:asciiTheme="minorHAnsi" w:hAnsiTheme="minorHAnsi" w:cs="Arial"/>
          <w:strike/>
          <w:color w:val="000000"/>
          <w:u w:val="single"/>
        </w:rPr>
        <w:t>Oblast 2: Rovnost mužů a žen</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704"/>
        <w:gridCol w:w="6378"/>
      </w:tblGrid>
      <w:tr w:rsidR="00656588" w:rsidRPr="0038411F" w:rsidTr="00F7737D">
        <w:trPr>
          <w:trHeight w:val="396"/>
        </w:trPr>
        <w:tc>
          <w:tcPr>
            <w:tcW w:w="2704" w:type="dxa"/>
            <w:shd w:val="clear" w:color="auto" w:fill="B8CCE4" w:themeFill="accent1" w:themeFillTint="66"/>
            <w:vAlign w:val="center"/>
            <w:hideMark/>
          </w:tcPr>
          <w:p w:rsidR="00656588" w:rsidRPr="0038411F" w:rsidRDefault="00656588" w:rsidP="00712F71">
            <w:pPr>
              <w:spacing w:line="240" w:lineRule="auto"/>
              <w:jc w:val="center"/>
              <w:rPr>
                <w:rFonts w:asciiTheme="minorHAnsi" w:hAnsiTheme="minorHAnsi"/>
                <w:b/>
                <w:bCs/>
                <w:strike/>
                <w:color w:val="000000"/>
                <w:sz w:val="20"/>
                <w:szCs w:val="20"/>
              </w:rPr>
            </w:pPr>
            <w:r w:rsidRPr="0038411F">
              <w:rPr>
                <w:rFonts w:asciiTheme="minorHAnsi" w:hAnsiTheme="minorHAnsi"/>
                <w:b/>
                <w:bCs/>
                <w:strike/>
                <w:color w:val="000000"/>
                <w:sz w:val="20"/>
                <w:szCs w:val="20"/>
              </w:rPr>
              <w:t>Předběžná podmínka</w:t>
            </w:r>
          </w:p>
        </w:tc>
        <w:tc>
          <w:tcPr>
            <w:tcW w:w="6378" w:type="dxa"/>
            <w:shd w:val="clear" w:color="auto" w:fill="B8CCE4" w:themeFill="accent1" w:themeFillTint="66"/>
            <w:vAlign w:val="center"/>
            <w:hideMark/>
          </w:tcPr>
          <w:p w:rsidR="00656588" w:rsidRPr="0038411F" w:rsidRDefault="00656588" w:rsidP="00712F71">
            <w:pPr>
              <w:spacing w:line="240" w:lineRule="auto"/>
              <w:jc w:val="center"/>
              <w:rPr>
                <w:rFonts w:asciiTheme="minorHAnsi" w:hAnsiTheme="minorHAnsi"/>
                <w:b/>
                <w:bCs/>
                <w:strike/>
                <w:color w:val="000000"/>
                <w:sz w:val="20"/>
                <w:szCs w:val="20"/>
              </w:rPr>
            </w:pPr>
            <w:r w:rsidRPr="0038411F">
              <w:rPr>
                <w:rFonts w:asciiTheme="minorHAnsi" w:hAnsiTheme="minorHAnsi"/>
                <w:b/>
                <w:bCs/>
                <w:strike/>
                <w:color w:val="000000"/>
                <w:sz w:val="20"/>
                <w:szCs w:val="20"/>
              </w:rPr>
              <w:t>Kritéria splnění</w:t>
            </w:r>
          </w:p>
        </w:tc>
      </w:tr>
      <w:tr w:rsidR="00656588" w:rsidRPr="0038411F" w:rsidTr="00F7737D">
        <w:trPr>
          <w:trHeight w:val="2037"/>
        </w:trPr>
        <w:tc>
          <w:tcPr>
            <w:tcW w:w="2704" w:type="dxa"/>
            <w:shd w:val="clear" w:color="auto" w:fill="auto"/>
            <w:vAlign w:val="center"/>
            <w:hideMark/>
          </w:tcPr>
          <w:p w:rsidR="00656588" w:rsidRPr="0038411F" w:rsidRDefault="00656588" w:rsidP="00712F71">
            <w:pPr>
              <w:spacing w:line="240" w:lineRule="auto"/>
              <w:jc w:val="left"/>
              <w:rPr>
                <w:rFonts w:asciiTheme="minorHAnsi" w:hAnsiTheme="minorHAnsi"/>
                <w:strike/>
                <w:color w:val="000000"/>
                <w:sz w:val="18"/>
                <w:szCs w:val="18"/>
              </w:rPr>
            </w:pPr>
            <w:r w:rsidRPr="0038411F">
              <w:rPr>
                <w:rFonts w:asciiTheme="minorHAnsi" w:hAnsiTheme="minorHAnsi"/>
                <w:strike/>
                <w:color w:val="000000"/>
                <w:sz w:val="18"/>
                <w:szCs w:val="18"/>
              </w:rPr>
              <w:t>Existence strategie na podporu rovnosti žen a mužů a mechanismu, který zajistí její účinné provádění</w:t>
            </w:r>
          </w:p>
        </w:tc>
        <w:tc>
          <w:tcPr>
            <w:tcW w:w="6378" w:type="dxa"/>
            <w:shd w:val="clear" w:color="auto" w:fill="FFFFFF" w:themeFill="background1"/>
            <w:vAlign w:val="center"/>
            <w:hideMark/>
          </w:tcPr>
          <w:p w:rsidR="00656588" w:rsidRPr="0038411F" w:rsidRDefault="00656588" w:rsidP="00712F71">
            <w:pPr>
              <w:spacing w:line="240" w:lineRule="auto"/>
              <w:jc w:val="left"/>
              <w:rPr>
                <w:rFonts w:asciiTheme="minorHAnsi" w:hAnsiTheme="minorHAnsi"/>
                <w:iCs/>
                <w:strike/>
                <w:color w:val="000000"/>
                <w:sz w:val="18"/>
                <w:szCs w:val="18"/>
              </w:rPr>
            </w:pPr>
            <w:r w:rsidRPr="0038411F">
              <w:rPr>
                <w:rFonts w:asciiTheme="minorHAnsi" w:hAnsiTheme="minorHAnsi"/>
                <w:iCs/>
                <w:strike/>
                <w:color w:val="000000"/>
                <w:sz w:val="18"/>
                <w:szCs w:val="18"/>
              </w:rPr>
              <w:t>Účinné provádění a uplatňování explicitní strategie na podporu rovnosti žen a mužů je zajištěno prostřednictvím:</w:t>
            </w:r>
          </w:p>
          <w:p w:rsidR="00656588" w:rsidRPr="0038411F" w:rsidRDefault="00656588"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38411F">
              <w:rPr>
                <w:rFonts w:asciiTheme="minorHAnsi" w:hAnsiTheme="minorHAnsi"/>
                <w:strike/>
                <w:color w:val="000000"/>
                <w:sz w:val="18"/>
                <w:szCs w:val="18"/>
              </w:rPr>
              <w:t>systému pro sběr a analýzu údajů a ukazatelů v členění podle pohlaví a vypracování politiky rovnosti žen a mužů na základě objektivních podkladů,</w:t>
            </w:r>
          </w:p>
          <w:p w:rsidR="00656588" w:rsidRPr="0038411F" w:rsidRDefault="00656588"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38411F">
              <w:rPr>
                <w:rFonts w:asciiTheme="minorHAnsi" w:hAnsiTheme="minorHAnsi"/>
                <w:strike/>
                <w:color w:val="000000"/>
                <w:sz w:val="18"/>
                <w:szCs w:val="18"/>
              </w:rPr>
              <w:t>plánu a předběžných kritérií pro začlenění cílů týkajících se rovnosti žen a mužů prostřednictvím norem a pokynů zamě</w:t>
            </w:r>
            <w:r w:rsidR="00844A83" w:rsidRPr="00844A83">
              <w:rPr>
                <w:rFonts w:asciiTheme="minorHAnsi" w:hAnsiTheme="minorHAnsi"/>
                <w:strike/>
                <w:color w:val="000000"/>
                <w:sz w:val="18"/>
                <w:szCs w:val="18"/>
              </w:rPr>
              <w:t>řených na rovnost žen a mužů,</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i/>
                <w:iCs/>
                <w:strike/>
                <w:color w:val="000000"/>
                <w:sz w:val="18"/>
                <w:szCs w:val="18"/>
              </w:rPr>
            </w:pPr>
            <w:r w:rsidRPr="00844A83">
              <w:rPr>
                <w:rFonts w:asciiTheme="minorHAnsi" w:hAnsiTheme="minorHAnsi"/>
                <w:strike/>
                <w:color w:val="000000"/>
                <w:sz w:val="18"/>
                <w:szCs w:val="18"/>
              </w:rPr>
              <w:t>mechanismů provádění, včetně zapojení zvláštního subjektu pro rovnost žen a mužů a příslušných odborníků do navrhování, monitorování a hodnocení zásahů.</w:t>
            </w:r>
          </w:p>
        </w:tc>
      </w:tr>
    </w:tbl>
    <w:p w:rsidR="00656588" w:rsidRPr="00845DD6" w:rsidRDefault="00656588" w:rsidP="00656588">
      <w:pPr>
        <w:spacing w:before="240" w:after="60"/>
        <w:jc w:val="left"/>
        <w:rPr>
          <w:rFonts w:asciiTheme="minorHAnsi" w:hAnsiTheme="minorHAnsi" w:cs="Arial"/>
          <w:strike/>
          <w:color w:val="000000"/>
          <w:u w:val="single"/>
        </w:rPr>
      </w:pPr>
      <w:r w:rsidRPr="00845DD6">
        <w:rPr>
          <w:rFonts w:asciiTheme="minorHAnsi" w:hAnsiTheme="minorHAnsi" w:cs="Arial"/>
          <w:strike/>
          <w:color w:val="000000"/>
          <w:u w:val="single"/>
        </w:rPr>
        <w:t>Oblast 3: Zdravotní postižení</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704"/>
        <w:gridCol w:w="6378"/>
      </w:tblGrid>
      <w:tr w:rsidR="00656588" w:rsidRPr="0038411F" w:rsidTr="00F7737D">
        <w:trPr>
          <w:trHeight w:val="396"/>
        </w:trPr>
        <w:tc>
          <w:tcPr>
            <w:tcW w:w="2704" w:type="dxa"/>
            <w:shd w:val="clear" w:color="auto" w:fill="B8CCE4" w:themeFill="accent1" w:themeFillTint="66"/>
            <w:vAlign w:val="center"/>
            <w:hideMark/>
          </w:tcPr>
          <w:p w:rsidR="00656588" w:rsidRPr="0038411F" w:rsidRDefault="00656588" w:rsidP="00712F71">
            <w:pPr>
              <w:spacing w:line="240" w:lineRule="auto"/>
              <w:jc w:val="center"/>
              <w:rPr>
                <w:rFonts w:asciiTheme="minorHAnsi" w:hAnsiTheme="minorHAnsi"/>
                <w:b/>
                <w:bCs/>
                <w:strike/>
                <w:color w:val="000000"/>
                <w:sz w:val="20"/>
                <w:szCs w:val="20"/>
              </w:rPr>
            </w:pPr>
            <w:r w:rsidRPr="0038411F">
              <w:rPr>
                <w:rFonts w:asciiTheme="minorHAnsi" w:hAnsiTheme="minorHAnsi"/>
                <w:b/>
                <w:bCs/>
                <w:strike/>
                <w:color w:val="000000"/>
                <w:sz w:val="20"/>
                <w:szCs w:val="20"/>
              </w:rPr>
              <w:t>Předběžná podmínka</w:t>
            </w:r>
          </w:p>
        </w:tc>
        <w:tc>
          <w:tcPr>
            <w:tcW w:w="6378" w:type="dxa"/>
            <w:shd w:val="clear" w:color="auto" w:fill="B8CCE4" w:themeFill="accent1" w:themeFillTint="66"/>
            <w:vAlign w:val="center"/>
            <w:hideMark/>
          </w:tcPr>
          <w:p w:rsidR="00656588" w:rsidRPr="0038411F" w:rsidRDefault="00656588" w:rsidP="00712F71">
            <w:pPr>
              <w:spacing w:line="240" w:lineRule="auto"/>
              <w:jc w:val="center"/>
              <w:rPr>
                <w:rFonts w:asciiTheme="minorHAnsi" w:hAnsiTheme="minorHAnsi"/>
                <w:b/>
                <w:bCs/>
                <w:strike/>
                <w:color w:val="000000"/>
                <w:sz w:val="20"/>
                <w:szCs w:val="20"/>
              </w:rPr>
            </w:pPr>
            <w:r w:rsidRPr="0038411F">
              <w:rPr>
                <w:rFonts w:asciiTheme="minorHAnsi" w:hAnsiTheme="minorHAnsi"/>
                <w:b/>
                <w:bCs/>
                <w:strike/>
                <w:color w:val="000000"/>
                <w:sz w:val="20"/>
                <w:szCs w:val="20"/>
              </w:rPr>
              <w:t>Kritéria splnění</w:t>
            </w:r>
          </w:p>
        </w:tc>
      </w:tr>
      <w:tr w:rsidR="00656588" w:rsidRPr="0038411F" w:rsidTr="00F7737D">
        <w:trPr>
          <w:trHeight w:val="2720"/>
        </w:trPr>
        <w:tc>
          <w:tcPr>
            <w:tcW w:w="2704" w:type="dxa"/>
            <w:shd w:val="clear" w:color="auto" w:fill="auto"/>
            <w:vAlign w:val="center"/>
            <w:hideMark/>
          </w:tcPr>
          <w:p w:rsidR="00656588" w:rsidRPr="0038411F" w:rsidRDefault="00656588" w:rsidP="00712F71">
            <w:pPr>
              <w:spacing w:line="240" w:lineRule="auto"/>
              <w:jc w:val="left"/>
              <w:rPr>
                <w:rFonts w:asciiTheme="minorHAnsi" w:hAnsiTheme="minorHAnsi"/>
                <w:strike/>
                <w:color w:val="000000"/>
                <w:sz w:val="18"/>
                <w:szCs w:val="18"/>
              </w:rPr>
            </w:pPr>
            <w:r w:rsidRPr="0038411F">
              <w:rPr>
                <w:rFonts w:asciiTheme="minorHAnsi" w:hAnsiTheme="minorHAnsi"/>
                <w:strike/>
                <w:color w:val="000000"/>
                <w:sz w:val="18"/>
                <w:szCs w:val="18"/>
              </w:rPr>
              <w:t>Existence mechanismu, který zajišťuje účinné provádění a uplatňování Úmluvy OSN o právech osob se zdravotním postižením</w:t>
            </w:r>
          </w:p>
        </w:tc>
        <w:tc>
          <w:tcPr>
            <w:tcW w:w="6378" w:type="dxa"/>
            <w:shd w:val="clear" w:color="auto" w:fill="FFFFFF" w:themeFill="background1"/>
            <w:vAlign w:val="center"/>
            <w:hideMark/>
          </w:tcPr>
          <w:p w:rsidR="00656588" w:rsidRPr="0038411F" w:rsidRDefault="00656588" w:rsidP="00712F71">
            <w:pPr>
              <w:spacing w:line="240" w:lineRule="auto"/>
              <w:jc w:val="left"/>
              <w:rPr>
                <w:rFonts w:asciiTheme="minorHAnsi" w:hAnsiTheme="minorHAnsi"/>
                <w:iCs/>
                <w:strike/>
                <w:color w:val="000000"/>
                <w:sz w:val="18"/>
                <w:szCs w:val="18"/>
              </w:rPr>
            </w:pPr>
            <w:r w:rsidRPr="0038411F">
              <w:rPr>
                <w:rFonts w:asciiTheme="minorHAnsi" w:hAnsiTheme="minorHAnsi"/>
                <w:iCs/>
                <w:strike/>
                <w:color w:val="000000"/>
                <w:sz w:val="18"/>
                <w:szCs w:val="18"/>
              </w:rPr>
              <w:t>Účinné provádění a uplatňování Úmluvy OSN o právech osob se zdravotním postižením je zajištěna prostřednictvím:</w:t>
            </w:r>
          </w:p>
          <w:p w:rsidR="00656588" w:rsidRPr="0038411F" w:rsidRDefault="00656588"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38411F">
              <w:rPr>
                <w:rFonts w:asciiTheme="minorHAnsi" w:hAnsiTheme="minorHAnsi"/>
                <w:strike/>
                <w:color w:val="000000"/>
                <w:sz w:val="18"/>
                <w:szCs w:val="18"/>
              </w:rPr>
              <w:t>realizace opatření v souladu s článkem 9 Úmluvy OSN při prevenci, zjišťování a odstraňování překážek a bariér bránících osobám se zdravotním postižením v přístupu,</w:t>
            </w:r>
          </w:p>
          <w:p w:rsidR="00656588" w:rsidRPr="0038411F" w:rsidRDefault="00656588"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38411F">
              <w:rPr>
                <w:rFonts w:asciiTheme="minorHAnsi" w:hAnsiTheme="minorHAnsi"/>
                <w:strike/>
                <w:color w:val="000000"/>
                <w:sz w:val="18"/>
                <w:szCs w:val="18"/>
              </w:rPr>
              <w:t>institucionálních opatření pro provádění a kontrolu provádění Úmluvy OSN v souladu s článkem 33 Úmluvy,</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plánu odborné přípravy a šíření informací pro zaměstnance podílející se na provádění fondů,</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i/>
                <w:iCs/>
                <w:strike/>
                <w:color w:val="000000"/>
                <w:sz w:val="18"/>
                <w:szCs w:val="18"/>
              </w:rPr>
            </w:pPr>
            <w:r w:rsidRPr="00844A83">
              <w:rPr>
                <w:rFonts w:asciiTheme="minorHAnsi" w:hAnsiTheme="minorHAnsi"/>
                <w:strike/>
                <w:color w:val="000000"/>
                <w:sz w:val="18"/>
                <w:szCs w:val="18"/>
              </w:rPr>
              <w:t>opatření k posílení správní kapacity pro provádění a uplatňování Úmluvy OSN včetně vhodných opatření k monitorování souladu s požadavky na přístup.</w:t>
            </w:r>
          </w:p>
        </w:tc>
      </w:tr>
    </w:tbl>
    <w:p w:rsidR="00656588" w:rsidRPr="00845DD6" w:rsidRDefault="00844A83" w:rsidP="00656588">
      <w:pPr>
        <w:spacing w:before="240" w:after="60"/>
        <w:jc w:val="left"/>
        <w:rPr>
          <w:rFonts w:asciiTheme="minorHAnsi" w:hAnsiTheme="minorHAnsi" w:cs="Arial"/>
          <w:strike/>
          <w:color w:val="000000"/>
          <w:u w:val="single"/>
        </w:rPr>
      </w:pPr>
      <w:r w:rsidRPr="00844A83">
        <w:rPr>
          <w:rFonts w:asciiTheme="minorHAnsi" w:hAnsiTheme="minorHAnsi" w:cs="Arial"/>
          <w:strike/>
          <w:color w:val="000000"/>
          <w:u w:val="single"/>
        </w:rPr>
        <w:t>Oblast 4: Veřejné zakázky</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704"/>
        <w:gridCol w:w="6378"/>
      </w:tblGrid>
      <w:tr w:rsidR="00656588" w:rsidRPr="0038411F" w:rsidTr="00F7737D">
        <w:trPr>
          <w:trHeight w:val="396"/>
        </w:trPr>
        <w:tc>
          <w:tcPr>
            <w:tcW w:w="2704"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Předběžná podmínka</w:t>
            </w:r>
          </w:p>
        </w:tc>
        <w:tc>
          <w:tcPr>
            <w:tcW w:w="6378"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Kritéria splnění</w:t>
            </w:r>
          </w:p>
        </w:tc>
      </w:tr>
      <w:tr w:rsidR="00656588" w:rsidRPr="0038411F" w:rsidTr="00F7737D">
        <w:trPr>
          <w:trHeight w:val="286"/>
        </w:trPr>
        <w:tc>
          <w:tcPr>
            <w:tcW w:w="2704" w:type="dxa"/>
            <w:vMerge w:val="restart"/>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Existence opatření pro účinné uplatňování právních předpisů EU týkajících se zadávání veřejných zakázek v oblasti společného strategického rámce pro fondy.</w:t>
            </w:r>
          </w:p>
        </w:tc>
        <w:tc>
          <w:tcPr>
            <w:tcW w:w="6378" w:type="dxa"/>
            <w:tcBorders>
              <w:bottom w:val="dotted" w:sz="4" w:space="0" w:color="auto"/>
            </w:tcBorders>
            <w:shd w:val="clear" w:color="auto" w:fill="FFFFFF" w:themeFill="background1"/>
            <w:vAlign w:val="center"/>
            <w:hideMark/>
          </w:tcPr>
          <w:p w:rsidR="00656588" w:rsidRPr="0038411F" w:rsidRDefault="00656588" w:rsidP="00712F71">
            <w:pPr>
              <w:spacing w:line="240" w:lineRule="auto"/>
              <w:jc w:val="left"/>
              <w:rPr>
                <w:rFonts w:asciiTheme="minorHAnsi" w:hAnsiTheme="minorHAnsi"/>
                <w:strike/>
                <w:color w:val="000000"/>
                <w:sz w:val="18"/>
                <w:szCs w:val="18"/>
              </w:rPr>
            </w:pPr>
            <w:r w:rsidRPr="0038411F">
              <w:rPr>
                <w:rFonts w:asciiTheme="minorHAnsi" w:hAnsiTheme="minorHAnsi"/>
                <w:strike/>
                <w:color w:val="000000"/>
                <w:sz w:val="18"/>
                <w:szCs w:val="18"/>
              </w:rPr>
              <w:t>Úplné provedení směrnic 2004/18/ES a 2004/17/ES,</w:t>
            </w:r>
          </w:p>
        </w:tc>
      </w:tr>
      <w:tr w:rsidR="00656588" w:rsidRPr="0038411F" w:rsidTr="00F7737D">
        <w:trPr>
          <w:trHeight w:val="540"/>
        </w:trPr>
        <w:tc>
          <w:tcPr>
            <w:tcW w:w="2704" w:type="dxa"/>
            <w:vMerge/>
            <w:shd w:val="clear" w:color="auto" w:fill="auto"/>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378" w:type="dxa"/>
            <w:tcBorders>
              <w:top w:val="dotted" w:sz="4" w:space="0" w:color="auto"/>
            </w:tcBorders>
            <w:shd w:val="clear" w:color="auto" w:fill="FFFFFF" w:themeFill="background1"/>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pro účinné uplatňování předpisů EU týkajících se zadávání veřejných zakázek prostřednictvím odpovídajících mechanismů.</w:t>
            </w:r>
          </w:p>
        </w:tc>
      </w:tr>
      <w:tr w:rsidR="00656588" w:rsidRPr="0038411F" w:rsidTr="00F7737D">
        <w:trPr>
          <w:trHeight w:val="277"/>
        </w:trPr>
        <w:tc>
          <w:tcPr>
            <w:tcW w:w="2704" w:type="dxa"/>
            <w:vMerge/>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378" w:type="dxa"/>
            <w:shd w:val="clear" w:color="auto" w:fill="auto"/>
            <w:vAlign w:val="center"/>
            <w:hideMark/>
          </w:tcPr>
          <w:p w:rsidR="00656588" w:rsidRPr="0038411F" w:rsidRDefault="00844A83" w:rsidP="00D320DA">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 xml:space="preserve">Opatření, jež zajišťují transparentní postupy </w:t>
            </w:r>
            <w:r w:rsidR="00D320DA">
              <w:rPr>
                <w:rFonts w:asciiTheme="minorHAnsi" w:hAnsiTheme="minorHAnsi"/>
                <w:strike/>
                <w:color w:val="000000"/>
                <w:sz w:val="18"/>
                <w:szCs w:val="18"/>
              </w:rPr>
              <w:t>zadávání</w:t>
            </w:r>
            <w:r w:rsidR="00D320DA" w:rsidRPr="00844A83">
              <w:rPr>
                <w:rFonts w:asciiTheme="minorHAnsi" w:hAnsiTheme="minorHAnsi"/>
                <w:strike/>
                <w:color w:val="000000"/>
                <w:sz w:val="18"/>
                <w:szCs w:val="18"/>
              </w:rPr>
              <w:t xml:space="preserve"> </w:t>
            </w:r>
            <w:r w:rsidRPr="00844A83">
              <w:rPr>
                <w:rFonts w:asciiTheme="minorHAnsi" w:hAnsiTheme="minorHAnsi"/>
                <w:strike/>
                <w:color w:val="000000"/>
                <w:sz w:val="18"/>
                <w:szCs w:val="18"/>
              </w:rPr>
              <w:t>veřejných zakázek.</w:t>
            </w:r>
          </w:p>
        </w:tc>
      </w:tr>
      <w:tr w:rsidR="00656588" w:rsidRPr="0038411F" w:rsidTr="00F7737D">
        <w:trPr>
          <w:trHeight w:val="394"/>
        </w:trPr>
        <w:tc>
          <w:tcPr>
            <w:tcW w:w="2704" w:type="dxa"/>
            <w:vMerge/>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378"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pro odbornou přípravu a šíření informací pro zaměstnance podílející se na provádění fondů.</w:t>
            </w:r>
          </w:p>
        </w:tc>
      </w:tr>
      <w:tr w:rsidR="00656588" w:rsidRPr="0038411F" w:rsidTr="00F7737D">
        <w:trPr>
          <w:trHeight w:val="500"/>
        </w:trPr>
        <w:tc>
          <w:tcPr>
            <w:tcW w:w="2704" w:type="dxa"/>
            <w:vMerge/>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378"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k zajištění správní kapacity pro provádění a uplatňování předpisů EU týkajících se zadávání veřejných zakázek.</w:t>
            </w:r>
          </w:p>
        </w:tc>
      </w:tr>
    </w:tbl>
    <w:p w:rsidR="00656588" w:rsidRPr="00845DD6" w:rsidRDefault="00844A83" w:rsidP="00656588">
      <w:pPr>
        <w:spacing w:before="240" w:after="60"/>
        <w:jc w:val="left"/>
        <w:rPr>
          <w:rFonts w:asciiTheme="minorHAnsi" w:hAnsiTheme="minorHAnsi" w:cs="Arial"/>
          <w:strike/>
          <w:color w:val="000000"/>
          <w:u w:val="single"/>
        </w:rPr>
      </w:pPr>
      <w:r w:rsidRPr="00844A83">
        <w:rPr>
          <w:rFonts w:asciiTheme="minorHAnsi" w:hAnsiTheme="minorHAnsi" w:cs="Arial"/>
          <w:strike/>
          <w:color w:val="000000"/>
          <w:u w:val="single"/>
        </w:rPr>
        <w:t xml:space="preserve">Oblast 5: </w:t>
      </w:r>
      <w:r w:rsidR="00D320DA">
        <w:rPr>
          <w:rFonts w:asciiTheme="minorHAnsi" w:hAnsiTheme="minorHAnsi" w:cs="Arial"/>
          <w:strike/>
          <w:color w:val="000000"/>
          <w:u w:val="single"/>
        </w:rPr>
        <w:t>Veřejná</w:t>
      </w:r>
      <w:r w:rsidR="00D320DA" w:rsidRPr="00844A83">
        <w:rPr>
          <w:rFonts w:asciiTheme="minorHAnsi" w:hAnsiTheme="minorHAnsi" w:cs="Arial"/>
          <w:strike/>
          <w:color w:val="000000"/>
          <w:u w:val="single"/>
        </w:rPr>
        <w:t xml:space="preserve"> </w:t>
      </w:r>
      <w:r w:rsidRPr="00844A83">
        <w:rPr>
          <w:rFonts w:asciiTheme="minorHAnsi" w:hAnsiTheme="minorHAnsi" w:cs="Arial"/>
          <w:strike/>
          <w:color w:val="000000"/>
          <w:u w:val="single"/>
        </w:rPr>
        <w:t>podpora</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9"/>
        <w:gridCol w:w="5953"/>
      </w:tblGrid>
      <w:tr w:rsidR="00656588" w:rsidRPr="0038411F" w:rsidTr="00712F71">
        <w:trPr>
          <w:trHeight w:val="396"/>
        </w:trPr>
        <w:tc>
          <w:tcPr>
            <w:tcW w:w="3129"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Předběžná podmínka</w:t>
            </w:r>
          </w:p>
        </w:tc>
        <w:tc>
          <w:tcPr>
            <w:tcW w:w="5953"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Kritéria splnění</w:t>
            </w:r>
          </w:p>
        </w:tc>
      </w:tr>
      <w:tr w:rsidR="00656588" w:rsidRPr="0038411F" w:rsidTr="00712F71">
        <w:trPr>
          <w:trHeight w:val="584"/>
        </w:trPr>
        <w:tc>
          <w:tcPr>
            <w:tcW w:w="3129" w:type="dxa"/>
            <w:vMerge w:val="restart"/>
            <w:shd w:val="clear" w:color="auto" w:fill="auto"/>
            <w:vAlign w:val="center"/>
            <w:hideMark/>
          </w:tcPr>
          <w:p w:rsidR="00656588" w:rsidRPr="0038411F" w:rsidRDefault="00844A83" w:rsidP="00D320DA">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 xml:space="preserve">Existence opatření pro účinné uplatňování právních předpisů EU týkajících se </w:t>
            </w:r>
            <w:r w:rsidR="00D320DA">
              <w:rPr>
                <w:rFonts w:asciiTheme="minorHAnsi" w:hAnsiTheme="minorHAnsi"/>
                <w:strike/>
                <w:color w:val="000000"/>
                <w:sz w:val="18"/>
                <w:szCs w:val="18"/>
              </w:rPr>
              <w:t>veřejné</w:t>
            </w:r>
            <w:r w:rsidR="00D320DA" w:rsidRPr="00844A83">
              <w:rPr>
                <w:rFonts w:asciiTheme="minorHAnsi" w:hAnsiTheme="minorHAnsi"/>
                <w:strike/>
                <w:color w:val="000000"/>
                <w:sz w:val="18"/>
                <w:szCs w:val="18"/>
              </w:rPr>
              <w:t xml:space="preserve"> </w:t>
            </w:r>
            <w:r w:rsidRPr="00844A83">
              <w:rPr>
                <w:rFonts w:asciiTheme="minorHAnsi" w:hAnsiTheme="minorHAnsi"/>
                <w:strike/>
                <w:color w:val="000000"/>
                <w:sz w:val="18"/>
                <w:szCs w:val="18"/>
              </w:rPr>
              <w:t>podpory v oblasti společného strategického rámce pro fondy.</w:t>
            </w:r>
          </w:p>
        </w:tc>
        <w:tc>
          <w:tcPr>
            <w:tcW w:w="5953" w:type="dxa"/>
            <w:shd w:val="clear" w:color="auto" w:fill="FFFFFF" w:themeFill="background1"/>
            <w:vAlign w:val="center"/>
            <w:hideMark/>
          </w:tcPr>
          <w:p w:rsidR="00656588" w:rsidRPr="0038411F" w:rsidRDefault="00844A83" w:rsidP="00712F71">
            <w:pPr>
              <w:spacing w:line="240" w:lineRule="auto"/>
              <w:jc w:val="left"/>
              <w:rPr>
                <w:rFonts w:asciiTheme="minorHAnsi" w:hAnsiTheme="minorHAnsi"/>
                <w:i/>
                <w:iCs/>
                <w:strike/>
                <w:color w:val="000000"/>
                <w:sz w:val="18"/>
                <w:szCs w:val="18"/>
              </w:rPr>
            </w:pPr>
            <w:r w:rsidRPr="00844A83">
              <w:rPr>
                <w:rFonts w:asciiTheme="minorHAnsi" w:hAnsiTheme="minorHAnsi"/>
                <w:strike/>
                <w:color w:val="000000"/>
                <w:sz w:val="18"/>
                <w:szCs w:val="18"/>
              </w:rPr>
              <w:t>Opatření pro odbornou přípravu a šíření informací pro zaměstnance podílející se na provádění fondů.</w:t>
            </w:r>
          </w:p>
        </w:tc>
      </w:tr>
      <w:tr w:rsidR="00656588" w:rsidRPr="0038411F" w:rsidTr="00712F71">
        <w:trPr>
          <w:trHeight w:val="495"/>
        </w:trPr>
        <w:tc>
          <w:tcPr>
            <w:tcW w:w="3129" w:type="dxa"/>
            <w:vMerge/>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5953" w:type="dxa"/>
            <w:shd w:val="clear" w:color="auto" w:fill="auto"/>
            <w:vAlign w:val="center"/>
            <w:hideMark/>
          </w:tcPr>
          <w:p w:rsidR="00656588" w:rsidRPr="0038411F" w:rsidRDefault="00844A83" w:rsidP="00D320DA">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 xml:space="preserve">Opatření k zajištění správní kapacity pro provádění a uplatňování pravidel EU týkajících se </w:t>
            </w:r>
            <w:r w:rsidR="00D320DA">
              <w:rPr>
                <w:rFonts w:asciiTheme="minorHAnsi" w:hAnsiTheme="minorHAnsi"/>
                <w:strike/>
                <w:color w:val="000000"/>
                <w:sz w:val="18"/>
                <w:szCs w:val="18"/>
              </w:rPr>
              <w:t>veřejné</w:t>
            </w:r>
            <w:r w:rsidR="00D320DA" w:rsidRPr="00844A83">
              <w:rPr>
                <w:rFonts w:asciiTheme="minorHAnsi" w:hAnsiTheme="minorHAnsi"/>
                <w:strike/>
                <w:color w:val="000000"/>
                <w:sz w:val="18"/>
                <w:szCs w:val="18"/>
              </w:rPr>
              <w:t xml:space="preserve"> </w:t>
            </w:r>
            <w:r w:rsidRPr="00844A83">
              <w:rPr>
                <w:rFonts w:asciiTheme="minorHAnsi" w:hAnsiTheme="minorHAnsi"/>
                <w:strike/>
                <w:color w:val="000000"/>
                <w:sz w:val="18"/>
                <w:szCs w:val="18"/>
              </w:rPr>
              <w:t>podpory.</w:t>
            </w:r>
          </w:p>
        </w:tc>
      </w:tr>
    </w:tbl>
    <w:p w:rsidR="00656588" w:rsidRPr="00845DD6" w:rsidRDefault="00844A83" w:rsidP="00656588">
      <w:pPr>
        <w:spacing w:before="240" w:after="60"/>
        <w:jc w:val="left"/>
        <w:rPr>
          <w:rFonts w:asciiTheme="minorHAnsi" w:hAnsiTheme="minorHAnsi" w:cs="Arial"/>
          <w:strike/>
          <w:color w:val="000000"/>
          <w:u w:val="single"/>
        </w:rPr>
      </w:pPr>
      <w:r w:rsidRPr="00844A83">
        <w:rPr>
          <w:rFonts w:asciiTheme="minorHAnsi" w:hAnsiTheme="minorHAnsi" w:cs="Arial"/>
          <w:strike/>
          <w:color w:val="000000"/>
          <w:u w:val="single"/>
        </w:rPr>
        <w:t>Oblast 6: Právní předpisy pro oblast životního prostředí týkající se posuzování vlivů na životní prostředí (EIA) a strategického posuzování vlivů na životní prostředí (SEA)</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656588" w:rsidRPr="0038411F" w:rsidTr="00712F71">
        <w:trPr>
          <w:trHeight w:val="396"/>
        </w:trPr>
        <w:tc>
          <w:tcPr>
            <w:tcW w:w="2562"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Předběžná podmínka</w:t>
            </w:r>
          </w:p>
        </w:tc>
        <w:tc>
          <w:tcPr>
            <w:tcW w:w="6520"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Kritéria splnění</w:t>
            </w:r>
          </w:p>
        </w:tc>
      </w:tr>
      <w:tr w:rsidR="00656588" w:rsidRPr="0038411F" w:rsidTr="00712F71">
        <w:trPr>
          <w:trHeight w:val="308"/>
        </w:trPr>
        <w:tc>
          <w:tcPr>
            <w:tcW w:w="2562" w:type="dxa"/>
            <w:vMerge w:val="restart"/>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Existence funkčního uspořádání, které zajišťuje účinné uplatňování právních předpisů EU souvisejících s EIA a SEA.</w:t>
            </w:r>
          </w:p>
        </w:tc>
        <w:tc>
          <w:tcPr>
            <w:tcW w:w="6520" w:type="dxa"/>
            <w:tcBorders>
              <w:bottom w:val="dotted" w:sz="4" w:space="0" w:color="auto"/>
            </w:tcBorders>
            <w:shd w:val="clear" w:color="auto" w:fill="FFFFFF" w:themeFill="background1"/>
            <w:vAlign w:val="center"/>
            <w:hideMark/>
          </w:tcPr>
          <w:p w:rsidR="00656588" w:rsidRPr="0038411F" w:rsidRDefault="00656588" w:rsidP="00712F71">
            <w:pPr>
              <w:spacing w:line="240" w:lineRule="auto"/>
              <w:jc w:val="left"/>
              <w:rPr>
                <w:rFonts w:asciiTheme="minorHAnsi" w:hAnsiTheme="minorHAnsi"/>
                <w:i/>
                <w:iCs/>
                <w:strike/>
                <w:color w:val="000000"/>
                <w:sz w:val="18"/>
                <w:szCs w:val="18"/>
              </w:rPr>
            </w:pPr>
            <w:r w:rsidRPr="0038411F">
              <w:rPr>
                <w:rFonts w:asciiTheme="minorHAnsi" w:hAnsiTheme="minorHAnsi"/>
                <w:strike/>
                <w:color w:val="000000"/>
                <w:sz w:val="18"/>
                <w:szCs w:val="18"/>
              </w:rPr>
              <w:t>Úplné a správné provedení směrnic o EIA a SEA</w:t>
            </w:r>
          </w:p>
        </w:tc>
      </w:tr>
      <w:tr w:rsidR="00656588" w:rsidRPr="0038411F" w:rsidTr="00712F71">
        <w:trPr>
          <w:trHeight w:val="370"/>
        </w:trPr>
        <w:tc>
          <w:tcPr>
            <w:tcW w:w="2562" w:type="dxa"/>
            <w:vMerge/>
            <w:shd w:val="clear" w:color="auto" w:fill="auto"/>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520" w:type="dxa"/>
            <w:tcBorders>
              <w:top w:val="dotted" w:sz="4" w:space="0" w:color="auto"/>
            </w:tcBorders>
            <w:shd w:val="clear" w:color="auto" w:fill="FFFFFF" w:themeFill="background1"/>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pro účinné uplatňování směrnic týkajících se EIA a SEA.</w:t>
            </w:r>
          </w:p>
        </w:tc>
      </w:tr>
      <w:tr w:rsidR="00656588" w:rsidRPr="0038411F" w:rsidTr="00712F71">
        <w:trPr>
          <w:trHeight w:val="420"/>
        </w:trPr>
        <w:tc>
          <w:tcPr>
            <w:tcW w:w="2562" w:type="dxa"/>
            <w:vMerge/>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520"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pro odbornou přípravu a šíření informací pro zaměstnance podílející se na provádění směrnic týkajících se EIA a SEA.</w:t>
            </w:r>
          </w:p>
        </w:tc>
      </w:tr>
      <w:tr w:rsidR="00656588" w:rsidRPr="0038411F" w:rsidTr="00712F71">
        <w:trPr>
          <w:trHeight w:val="256"/>
        </w:trPr>
        <w:tc>
          <w:tcPr>
            <w:tcW w:w="2562" w:type="dxa"/>
            <w:vMerge/>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520"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k zajištění dostatečné správní kapacity.</w:t>
            </w:r>
          </w:p>
        </w:tc>
      </w:tr>
    </w:tbl>
    <w:p w:rsidR="00656588" w:rsidRPr="00845DD6" w:rsidRDefault="00844A83" w:rsidP="00656588">
      <w:pPr>
        <w:spacing w:before="240" w:after="60"/>
        <w:jc w:val="left"/>
        <w:rPr>
          <w:rFonts w:asciiTheme="minorHAnsi" w:hAnsiTheme="minorHAnsi" w:cs="Arial"/>
          <w:strike/>
          <w:color w:val="000000"/>
          <w:u w:val="single"/>
        </w:rPr>
      </w:pPr>
      <w:r w:rsidRPr="00844A83">
        <w:rPr>
          <w:rFonts w:asciiTheme="minorHAnsi" w:hAnsiTheme="minorHAnsi" w:cs="Arial"/>
          <w:strike/>
          <w:color w:val="000000"/>
          <w:u w:val="single"/>
        </w:rPr>
        <w:t>Oblast 7: Statistické systémy a ukazatele výsledků</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656588" w:rsidRPr="0038411F" w:rsidTr="00712F71">
        <w:trPr>
          <w:trHeight w:val="396"/>
        </w:trPr>
        <w:tc>
          <w:tcPr>
            <w:tcW w:w="2562"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Předběžná podmínka</w:t>
            </w:r>
          </w:p>
        </w:tc>
        <w:tc>
          <w:tcPr>
            <w:tcW w:w="6520"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Kritéria splnění</w:t>
            </w:r>
          </w:p>
        </w:tc>
      </w:tr>
      <w:tr w:rsidR="00656588" w:rsidRPr="0038411F" w:rsidTr="00712F71">
        <w:trPr>
          <w:trHeight w:val="1132"/>
        </w:trPr>
        <w:tc>
          <w:tcPr>
            <w:tcW w:w="2562"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Existence statistického systému nezbytného k provádění hodnocení za účelem posouzení účinnosti a dopadu programů.</w:t>
            </w:r>
          </w:p>
        </w:tc>
        <w:tc>
          <w:tcPr>
            <w:tcW w:w="6520"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pro včasný sběr a agregaci údajů, který obsahuje tyto prvky:</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určení zdrojů a mechanismů pro zajištění statistické validace,</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opatření pro zveřejňování a zpřístupňování informací veřejnosti.</w:t>
            </w:r>
          </w:p>
        </w:tc>
      </w:tr>
      <w:tr w:rsidR="00656588" w:rsidRPr="0038411F" w:rsidTr="00712F71">
        <w:trPr>
          <w:trHeight w:val="2112"/>
        </w:trPr>
        <w:tc>
          <w:tcPr>
            <w:tcW w:w="2562"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Existence systému ukazatelů výsledků nezbytného k výběru opatření, jež budou nejúčinněji přispívat k dosahování požadovaných výsledků, k monitorování pokroku při dosahování výsledků a k provedení posouzení dopadů</w:t>
            </w:r>
          </w:p>
        </w:tc>
        <w:tc>
          <w:tcPr>
            <w:tcW w:w="6520" w:type="dxa"/>
            <w:shd w:val="clear" w:color="auto" w:fill="auto"/>
            <w:vAlign w:val="center"/>
            <w:hideMark/>
          </w:tcPr>
          <w:p w:rsidR="00656588" w:rsidRPr="0038411F" w:rsidRDefault="00844A83" w:rsidP="00712F71">
            <w:pPr>
              <w:spacing w:after="40"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Účinný systém ukazatelů výsledků, včetně:</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výběru ukazatelů výsledku pro každý program, poskytujících informace o tom, co motivuje k výběru opatření financovaných daným programem,</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vytyčení cílů pro tyto ukazatele,</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každý ukazatel musí splňovat tyto podmínky: robustnost a statistickou validaci, jasný normativní výklad, soulad s politikami, včasný sběr údajů,</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postupy zajišťující, aby všechny operace financované z programu používaly účinný systém ukazatelů.</w:t>
            </w:r>
          </w:p>
        </w:tc>
      </w:tr>
    </w:tbl>
    <w:p w:rsidR="009A03FE" w:rsidRDefault="009A03FE" w:rsidP="009A03FE">
      <w:pPr>
        <w:pStyle w:val="Nadpis11"/>
        <w:numPr>
          <w:ilvl w:val="0"/>
          <w:numId w:val="0"/>
        </w:numPr>
        <w:spacing w:after="120"/>
        <w:ind w:left="567"/>
        <w:jc w:val="right"/>
        <w:rPr>
          <w:rFonts w:asciiTheme="minorHAnsi" w:eastAsiaTheme="majorEastAsia" w:hAnsiTheme="minorHAnsi"/>
        </w:rPr>
      </w:pPr>
    </w:p>
    <w:p w:rsidR="009A03FE" w:rsidRDefault="009A03FE">
      <w:pPr>
        <w:spacing w:before="360" w:after="200" w:line="276" w:lineRule="auto"/>
        <w:ind w:left="425"/>
        <w:rPr>
          <w:rFonts w:asciiTheme="minorHAnsi" w:eastAsiaTheme="majorEastAsia" w:hAnsiTheme="minorHAnsi" w:cs="Arial"/>
          <w:b/>
          <w:bCs/>
          <w:color w:val="002060"/>
          <w:sz w:val="26"/>
          <w:szCs w:val="26"/>
        </w:rPr>
      </w:pPr>
      <w:r>
        <w:rPr>
          <w:rFonts w:asciiTheme="minorHAnsi" w:eastAsiaTheme="majorEastAsia" w:hAnsiTheme="minorHAnsi"/>
        </w:rPr>
        <w:br w:type="page"/>
      </w:r>
    </w:p>
    <w:p w:rsidR="00656588" w:rsidRPr="009A03FE" w:rsidRDefault="00656588" w:rsidP="009A03FE">
      <w:pPr>
        <w:pStyle w:val="Nadpis11"/>
        <w:numPr>
          <w:ilvl w:val="0"/>
          <w:numId w:val="0"/>
        </w:numPr>
        <w:spacing w:after="120"/>
        <w:ind w:left="567"/>
        <w:jc w:val="right"/>
        <w:rPr>
          <w:rFonts w:asciiTheme="minorHAnsi" w:eastAsiaTheme="majorEastAsia" w:hAnsiTheme="minorHAnsi"/>
        </w:rPr>
      </w:pPr>
      <w:bookmarkStart w:id="49" w:name="_Toc359587676"/>
      <w:r w:rsidRPr="009A03FE">
        <w:rPr>
          <w:rFonts w:asciiTheme="minorHAnsi" w:eastAsiaTheme="majorEastAsia" w:hAnsiTheme="minorHAnsi"/>
        </w:rPr>
        <w:t xml:space="preserve">Příloha </w:t>
      </w:r>
      <w:r w:rsidR="00F7737D" w:rsidRPr="009A03FE">
        <w:rPr>
          <w:rFonts w:asciiTheme="minorHAnsi" w:eastAsiaTheme="majorEastAsia" w:hAnsiTheme="minorHAnsi"/>
        </w:rPr>
        <w:t>1</w:t>
      </w:r>
      <w:r w:rsidRPr="009A03FE">
        <w:rPr>
          <w:rFonts w:asciiTheme="minorHAnsi" w:eastAsiaTheme="majorEastAsia" w:hAnsiTheme="minorHAnsi"/>
        </w:rPr>
        <w:t>f: Tematické předběžné podmínky pro ENRF</w:t>
      </w:r>
      <w:bookmarkEnd w:id="49"/>
    </w:p>
    <w:p w:rsidR="00656588" w:rsidRPr="00B51C36" w:rsidRDefault="00656588" w:rsidP="00F7737D">
      <w:pPr>
        <w:spacing w:after="60" w:line="240" w:lineRule="auto"/>
        <w:rPr>
          <w:rFonts w:asciiTheme="minorHAnsi" w:hAnsiTheme="minorHAnsi" w:cs="Arial"/>
          <w:strike/>
          <w:color w:val="000000"/>
          <w:u w:val="single"/>
        </w:rPr>
      </w:pPr>
      <w:r w:rsidRPr="00B51C36">
        <w:rPr>
          <w:rFonts w:asciiTheme="minorHAnsi" w:hAnsiTheme="minorHAnsi" w:cs="Arial"/>
          <w:strike/>
          <w:color w:val="000000"/>
          <w:u w:val="single"/>
        </w:rPr>
        <w:t>Priorita ENRF č. 2: Podpora inovativního a konkurenceschopného rybolovu založeného na znalostech</w:t>
      </w:r>
    </w:p>
    <w:p w:rsidR="00656588" w:rsidRPr="00B51C36" w:rsidRDefault="00656588" w:rsidP="00F7737D">
      <w:pPr>
        <w:spacing w:after="60" w:line="240" w:lineRule="auto"/>
        <w:rPr>
          <w:rFonts w:asciiTheme="minorHAnsi" w:hAnsiTheme="minorHAnsi" w:cs="Arial"/>
          <w:strike/>
          <w:color w:val="000000"/>
          <w:u w:val="single"/>
        </w:rPr>
      </w:pPr>
      <w:r w:rsidRPr="00B51C36">
        <w:rPr>
          <w:rFonts w:asciiTheme="minorHAnsi" w:hAnsiTheme="minorHAnsi" w:cs="Arial"/>
          <w:strike/>
          <w:color w:val="000000"/>
          <w:u w:val="single"/>
        </w:rPr>
        <w:t>Priorita ENRF č. 3: Podpora inovativní a konkurenceschopné akvakultury založené na znalostech</w:t>
      </w:r>
    </w:p>
    <w:p w:rsidR="00656588" w:rsidRPr="00B51C36" w:rsidRDefault="00656588" w:rsidP="00F7737D">
      <w:pPr>
        <w:spacing w:after="60" w:line="240" w:lineRule="auto"/>
        <w:rPr>
          <w:rFonts w:asciiTheme="minorHAnsi" w:hAnsiTheme="minorHAnsi" w:cs="Arial"/>
          <w:strike/>
          <w:color w:val="000000"/>
          <w:u w:val="single"/>
        </w:rPr>
      </w:pPr>
      <w:r w:rsidRPr="00B51C36">
        <w:rPr>
          <w:rFonts w:asciiTheme="minorHAnsi" w:hAnsiTheme="minorHAnsi" w:cs="Arial"/>
          <w:strike/>
          <w:color w:val="000000"/>
          <w:u w:val="single"/>
        </w:rPr>
        <w:t>Tematický cíl 3: Zvýšení konkurenceschopnosti malých a středních podniků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5953"/>
      </w:tblGrid>
      <w:tr w:rsidR="00656588" w:rsidRPr="00B51C36" w:rsidTr="00712F71">
        <w:trPr>
          <w:trHeight w:val="635"/>
        </w:trPr>
        <w:tc>
          <w:tcPr>
            <w:tcW w:w="3134" w:type="dxa"/>
            <w:shd w:val="clear" w:color="auto" w:fill="B8CCE4" w:themeFill="accent1" w:themeFillTint="66"/>
            <w:vAlign w:val="center"/>
            <w:hideMark/>
          </w:tcPr>
          <w:p w:rsidR="00656588" w:rsidRPr="00B51C36" w:rsidRDefault="00656588" w:rsidP="00712F71">
            <w:pPr>
              <w:spacing w:line="240" w:lineRule="auto"/>
              <w:jc w:val="center"/>
              <w:rPr>
                <w:rFonts w:asciiTheme="minorHAnsi" w:hAnsiTheme="minorHAnsi"/>
                <w:b/>
                <w:bCs/>
                <w:strike/>
                <w:color w:val="000000"/>
                <w:sz w:val="20"/>
                <w:szCs w:val="20"/>
              </w:rPr>
            </w:pPr>
            <w:r w:rsidRPr="00B51C36">
              <w:rPr>
                <w:rFonts w:asciiTheme="minorHAnsi" w:hAnsiTheme="minorHAnsi"/>
                <w:b/>
                <w:bCs/>
                <w:strike/>
                <w:color w:val="000000"/>
                <w:sz w:val="20"/>
                <w:szCs w:val="20"/>
              </w:rPr>
              <w:t>Předběžná podmínka</w:t>
            </w:r>
          </w:p>
        </w:tc>
        <w:tc>
          <w:tcPr>
            <w:tcW w:w="5953" w:type="dxa"/>
            <w:shd w:val="clear" w:color="auto" w:fill="B8CCE4" w:themeFill="accent1" w:themeFillTint="66"/>
            <w:vAlign w:val="center"/>
            <w:hideMark/>
          </w:tcPr>
          <w:p w:rsidR="00656588" w:rsidRPr="00B51C36" w:rsidRDefault="00656588" w:rsidP="00712F71">
            <w:pPr>
              <w:spacing w:line="240" w:lineRule="auto"/>
              <w:jc w:val="center"/>
              <w:rPr>
                <w:rFonts w:asciiTheme="minorHAnsi" w:hAnsiTheme="minorHAnsi"/>
                <w:b/>
                <w:bCs/>
                <w:strike/>
                <w:color w:val="000000"/>
                <w:sz w:val="20"/>
                <w:szCs w:val="20"/>
              </w:rPr>
            </w:pPr>
            <w:r w:rsidRPr="00B51C36">
              <w:rPr>
                <w:rFonts w:asciiTheme="minorHAnsi" w:hAnsiTheme="minorHAnsi"/>
                <w:b/>
                <w:bCs/>
                <w:strike/>
                <w:color w:val="000000"/>
                <w:sz w:val="20"/>
                <w:szCs w:val="20"/>
              </w:rPr>
              <w:t>Kritéria splnění</w:t>
            </w:r>
          </w:p>
        </w:tc>
      </w:tr>
      <w:tr w:rsidR="00656588" w:rsidRPr="00B51C36" w:rsidTr="00712F71">
        <w:trPr>
          <w:trHeight w:val="1383"/>
        </w:trPr>
        <w:tc>
          <w:tcPr>
            <w:tcW w:w="3134" w:type="dxa"/>
            <w:shd w:val="clear" w:color="auto" w:fill="auto"/>
            <w:vAlign w:val="center"/>
            <w:hideMark/>
          </w:tcPr>
          <w:p w:rsidR="00656588" w:rsidRPr="00B51C36" w:rsidRDefault="00656588" w:rsidP="00712F71">
            <w:pPr>
              <w:spacing w:line="240" w:lineRule="auto"/>
              <w:jc w:val="left"/>
              <w:rPr>
                <w:rFonts w:asciiTheme="minorHAnsi" w:hAnsiTheme="minorHAnsi"/>
                <w:bCs/>
                <w:i/>
                <w:iCs/>
                <w:strike/>
                <w:sz w:val="17"/>
                <w:szCs w:val="17"/>
              </w:rPr>
            </w:pPr>
            <w:r w:rsidRPr="00B51C36">
              <w:rPr>
                <w:rFonts w:asciiTheme="minorHAnsi" w:hAnsiTheme="minorHAnsi"/>
                <w:bCs/>
                <w:i/>
                <w:iCs/>
                <w:strike/>
                <w:sz w:val="17"/>
                <w:szCs w:val="17"/>
              </w:rPr>
              <w:t xml:space="preserve">Zakládání podniků: </w:t>
            </w:r>
            <w:r w:rsidRPr="00B51C36">
              <w:rPr>
                <w:rFonts w:asciiTheme="minorHAnsi" w:hAnsiTheme="minorHAnsi"/>
                <w:bCs/>
                <w:iCs/>
                <w:strike/>
                <w:sz w:val="17"/>
                <w:szCs w:val="17"/>
              </w:rPr>
              <w:t>Byla realizována zvláštní opatření k účinnému provádění a přezkumu iniciativy Small Business Act (SBA) ze dne 23. února 2011 včetně zásady „zelenou malým a středním podnikům“</w:t>
            </w:r>
          </w:p>
        </w:tc>
        <w:tc>
          <w:tcPr>
            <w:tcW w:w="5953" w:type="dxa"/>
            <w:shd w:val="clear" w:color="auto" w:fill="auto"/>
            <w:vAlign w:val="center"/>
            <w:hideMark/>
          </w:tcPr>
          <w:p w:rsidR="00656588" w:rsidRPr="00B51C36" w:rsidRDefault="00656588" w:rsidP="00712F71">
            <w:pPr>
              <w:pStyle w:val="ListDash1"/>
              <w:spacing w:after="0"/>
              <w:ind w:left="74" w:hanging="284"/>
              <w:jc w:val="left"/>
              <w:rPr>
                <w:rFonts w:asciiTheme="minorHAnsi" w:hAnsiTheme="minorHAnsi"/>
                <w:strike/>
                <w:sz w:val="17"/>
                <w:szCs w:val="17"/>
              </w:rPr>
            </w:pPr>
            <w:r w:rsidRPr="00B51C36">
              <w:rPr>
                <w:rFonts w:asciiTheme="minorHAnsi" w:hAnsiTheme="minorHAnsi"/>
                <w:strike/>
                <w:sz w:val="17"/>
                <w:szCs w:val="17"/>
              </w:rPr>
              <w:t>Mezi zvláštní opatření patří:</w:t>
            </w:r>
          </w:p>
          <w:p w:rsidR="00656588" w:rsidRPr="00B51C36" w:rsidRDefault="00656588" w:rsidP="00656588">
            <w:pPr>
              <w:pStyle w:val="ListDash1"/>
              <w:numPr>
                <w:ilvl w:val="0"/>
                <w:numId w:val="34"/>
              </w:numPr>
              <w:spacing w:after="0"/>
              <w:ind w:left="355" w:hanging="283"/>
              <w:jc w:val="left"/>
              <w:rPr>
                <w:rFonts w:asciiTheme="minorHAnsi" w:hAnsiTheme="minorHAnsi"/>
                <w:strike/>
                <w:sz w:val="17"/>
                <w:szCs w:val="17"/>
              </w:rPr>
            </w:pPr>
            <w:r w:rsidRPr="00B51C36">
              <w:rPr>
                <w:rFonts w:asciiTheme="minorHAnsi" w:hAnsiTheme="minorHAnsi"/>
                <w:strike/>
                <w:sz w:val="17"/>
                <w:szCs w:val="17"/>
              </w:rPr>
              <w:t>opatření ke zkrácení doby potřebné k založení firmy na tři pracovní dny a příslušných nákladů na 100 EUR,</w:t>
            </w:r>
          </w:p>
          <w:p w:rsidR="00656588" w:rsidRPr="00B51C36" w:rsidRDefault="00656588" w:rsidP="00656588">
            <w:pPr>
              <w:pStyle w:val="ListDash1"/>
              <w:numPr>
                <w:ilvl w:val="0"/>
                <w:numId w:val="34"/>
              </w:numPr>
              <w:spacing w:after="0"/>
              <w:ind w:left="355" w:hanging="283"/>
              <w:jc w:val="left"/>
              <w:rPr>
                <w:rFonts w:asciiTheme="minorHAnsi" w:hAnsiTheme="minorHAnsi"/>
                <w:strike/>
                <w:sz w:val="17"/>
                <w:szCs w:val="17"/>
              </w:rPr>
            </w:pPr>
            <w:r w:rsidRPr="00B51C36">
              <w:rPr>
                <w:rFonts w:asciiTheme="minorHAnsi" w:hAnsiTheme="minorHAnsi"/>
                <w:strike/>
                <w:sz w:val="17"/>
                <w:szCs w:val="17"/>
              </w:rPr>
              <w:t>opatření ke zkrácení doby potřebné k získání licencí a povolení k zahájení a provádění konkrétní činnosti podniku na tři měsíce,</w:t>
            </w:r>
          </w:p>
          <w:p w:rsidR="00656588" w:rsidRPr="00B51C36" w:rsidRDefault="00656588" w:rsidP="00656588">
            <w:pPr>
              <w:pStyle w:val="ListDash1"/>
              <w:numPr>
                <w:ilvl w:val="0"/>
                <w:numId w:val="34"/>
              </w:numPr>
              <w:spacing w:after="0"/>
              <w:ind w:left="355" w:hanging="283"/>
              <w:jc w:val="left"/>
              <w:rPr>
                <w:rFonts w:asciiTheme="minorHAnsi" w:hAnsiTheme="minorHAnsi"/>
                <w:bCs/>
                <w:strike/>
                <w:sz w:val="17"/>
                <w:szCs w:val="17"/>
              </w:rPr>
            </w:pPr>
            <w:r w:rsidRPr="00B51C36">
              <w:rPr>
                <w:rFonts w:asciiTheme="minorHAnsi" w:hAnsiTheme="minorHAnsi"/>
                <w:strike/>
                <w:sz w:val="17"/>
                <w:szCs w:val="17"/>
              </w:rPr>
              <w:t>mechanismus pro systematické posuzování dopadu právních předpisů na malé a střední podniky za použití „testu pro malé a střední podniky“ při případném zohlednění rozdílů ve velikosti podniků.</w:t>
            </w:r>
          </w:p>
        </w:tc>
      </w:tr>
    </w:tbl>
    <w:p w:rsidR="00656588" w:rsidRDefault="00656588" w:rsidP="00656588">
      <w:pPr>
        <w:pStyle w:val="TextNOK"/>
        <w:tabs>
          <w:tab w:val="left" w:pos="4536"/>
        </w:tabs>
        <w:rPr>
          <w:rFonts w:cs="Arial"/>
          <w:szCs w:val="20"/>
        </w:rPr>
      </w:pPr>
    </w:p>
    <w:p w:rsidR="00656588" w:rsidRPr="00646160" w:rsidRDefault="00656588" w:rsidP="00F7737D">
      <w:pPr>
        <w:spacing w:after="60" w:line="240" w:lineRule="auto"/>
        <w:rPr>
          <w:rFonts w:asciiTheme="minorHAnsi" w:hAnsiTheme="minorHAnsi" w:cs="Arial"/>
          <w:strike/>
          <w:color w:val="000000"/>
          <w:u w:val="single"/>
        </w:rPr>
      </w:pPr>
      <w:r w:rsidRPr="00646160">
        <w:rPr>
          <w:rFonts w:asciiTheme="minorHAnsi" w:hAnsiTheme="minorHAnsi" w:cs="Arial"/>
          <w:strike/>
          <w:color w:val="000000"/>
          <w:u w:val="single"/>
        </w:rPr>
        <w:t>Priorita ENRF č. 3: Podpora inovativní a konkurenceschopné akvakultury založené na znalostech</w:t>
      </w:r>
    </w:p>
    <w:p w:rsidR="00656588" w:rsidRDefault="00656588" w:rsidP="00F7737D">
      <w:pPr>
        <w:spacing w:after="60" w:line="240" w:lineRule="auto"/>
        <w:rPr>
          <w:rFonts w:asciiTheme="minorHAnsi" w:hAnsiTheme="minorHAnsi" w:cs="Arial"/>
          <w:color w:val="000000"/>
          <w:u w:val="single"/>
        </w:rPr>
      </w:pPr>
      <w:r w:rsidRPr="00646160">
        <w:rPr>
          <w:rFonts w:asciiTheme="minorHAnsi" w:hAnsiTheme="minorHAnsi" w:cs="Arial"/>
          <w:strike/>
          <w:color w:val="000000"/>
          <w:u w:val="single"/>
        </w:rPr>
        <w:t>Priorita ENRF č. 5: Podpora udržitelné a efektivní akvakultury z hlediska zdrojů</w:t>
      </w:r>
    </w:p>
    <w:p w:rsidR="00656588" w:rsidRDefault="00656588" w:rsidP="00F7737D">
      <w:pPr>
        <w:spacing w:after="60" w:line="240" w:lineRule="auto"/>
        <w:rPr>
          <w:rFonts w:asciiTheme="minorHAnsi" w:hAnsiTheme="minorHAnsi" w:cs="Arial"/>
          <w:color w:val="000000"/>
          <w:u w:val="single"/>
        </w:rPr>
      </w:pPr>
      <w:r w:rsidRPr="00A843F1">
        <w:rPr>
          <w:rFonts w:asciiTheme="minorHAnsi" w:hAnsiTheme="minorHAnsi" w:cs="Arial"/>
          <w:color w:val="000000"/>
          <w:u w:val="single"/>
        </w:rPr>
        <w:t xml:space="preserve">Priorita </w:t>
      </w:r>
      <w:r>
        <w:rPr>
          <w:rFonts w:asciiTheme="minorHAnsi" w:hAnsiTheme="minorHAnsi" w:cs="Arial"/>
          <w:color w:val="000000"/>
          <w:u w:val="single"/>
        </w:rPr>
        <w:t>ENRF</w:t>
      </w:r>
      <w:r w:rsidRPr="00A843F1">
        <w:rPr>
          <w:rFonts w:asciiTheme="minorHAnsi" w:hAnsiTheme="minorHAnsi" w:cs="Arial"/>
          <w:color w:val="000000"/>
          <w:u w:val="single"/>
        </w:rPr>
        <w:t xml:space="preserve"> č. </w:t>
      </w:r>
      <w:r>
        <w:rPr>
          <w:rFonts w:asciiTheme="minorHAnsi" w:hAnsiTheme="minorHAnsi" w:cs="Arial"/>
          <w:color w:val="000000"/>
          <w:u w:val="single"/>
        </w:rPr>
        <w:t>6</w:t>
      </w:r>
      <w:r w:rsidRPr="00A843F1">
        <w:rPr>
          <w:rFonts w:asciiTheme="minorHAnsi" w:hAnsiTheme="minorHAnsi" w:cs="Arial"/>
          <w:color w:val="000000"/>
          <w:u w:val="single"/>
        </w:rPr>
        <w:t>:</w:t>
      </w:r>
      <w:r>
        <w:rPr>
          <w:rFonts w:asciiTheme="minorHAnsi" w:hAnsiTheme="minorHAnsi" w:cs="Arial"/>
          <w:color w:val="000000"/>
          <w:u w:val="single"/>
        </w:rPr>
        <w:t xml:space="preserve"> </w:t>
      </w:r>
      <w:r w:rsidRPr="00646160">
        <w:rPr>
          <w:rFonts w:asciiTheme="minorHAnsi" w:hAnsiTheme="minorHAnsi" w:cs="Arial"/>
          <w:color w:val="000000"/>
          <w:u w:val="single"/>
        </w:rPr>
        <w:t>Podpora udržitelného rybolovu a akvakultury účinně využívajících zdroje, včetně souvisejícího zpracování.</w:t>
      </w:r>
      <w:r>
        <w:rPr>
          <w:rFonts w:asciiTheme="minorHAnsi" w:hAnsiTheme="minorHAnsi" w:cs="Arial"/>
          <w:color w:val="000000"/>
          <w:u w:val="single"/>
        </w:rPr>
        <w:t xml:space="preserve"> </w:t>
      </w:r>
      <w:r w:rsidRPr="00646160">
        <w:rPr>
          <w:rFonts w:asciiTheme="minorHAnsi" w:hAnsiTheme="minorHAnsi" w:cs="Arial"/>
          <w:color w:val="000000"/>
          <w:u w:val="single"/>
        </w:rPr>
        <w:t>Specifický cíl: c), d)</w:t>
      </w:r>
    </w:p>
    <w:p w:rsidR="00656588" w:rsidRDefault="00656588" w:rsidP="00F7737D">
      <w:pPr>
        <w:spacing w:after="60" w:line="240" w:lineRule="auto"/>
        <w:rPr>
          <w:rFonts w:asciiTheme="minorHAnsi" w:hAnsiTheme="minorHAnsi" w:cs="Arial"/>
          <w:color w:val="000000"/>
          <w:u w:val="single"/>
        </w:rPr>
      </w:pPr>
      <w:r w:rsidRPr="00A843F1">
        <w:rPr>
          <w:rFonts w:asciiTheme="minorHAnsi" w:hAnsiTheme="minorHAnsi" w:cs="Arial"/>
          <w:color w:val="000000"/>
          <w:u w:val="single"/>
        </w:rPr>
        <w:t xml:space="preserve">Priorita </w:t>
      </w:r>
      <w:r>
        <w:rPr>
          <w:rFonts w:asciiTheme="minorHAnsi" w:hAnsiTheme="minorHAnsi" w:cs="Arial"/>
          <w:color w:val="000000"/>
          <w:u w:val="single"/>
        </w:rPr>
        <w:t>ENRF</w:t>
      </w:r>
      <w:r w:rsidRPr="00A843F1">
        <w:rPr>
          <w:rFonts w:asciiTheme="minorHAnsi" w:hAnsiTheme="minorHAnsi" w:cs="Arial"/>
          <w:color w:val="000000"/>
          <w:u w:val="single"/>
        </w:rPr>
        <w:t xml:space="preserve"> č. </w:t>
      </w:r>
      <w:r>
        <w:rPr>
          <w:rFonts w:asciiTheme="minorHAnsi" w:hAnsiTheme="minorHAnsi" w:cs="Arial"/>
          <w:color w:val="000000"/>
          <w:u w:val="single"/>
        </w:rPr>
        <w:t>2</w:t>
      </w:r>
      <w:r w:rsidRPr="00A843F1">
        <w:rPr>
          <w:rFonts w:asciiTheme="minorHAnsi" w:hAnsiTheme="minorHAnsi" w:cs="Arial"/>
          <w:color w:val="000000"/>
          <w:u w:val="single"/>
        </w:rPr>
        <w:t>:</w:t>
      </w:r>
      <w:r>
        <w:rPr>
          <w:rFonts w:asciiTheme="minorHAnsi" w:hAnsiTheme="minorHAnsi" w:cs="Arial"/>
          <w:color w:val="000000"/>
          <w:u w:val="single"/>
        </w:rPr>
        <w:t xml:space="preserve"> </w:t>
      </w:r>
      <w:r w:rsidRPr="008B3A32">
        <w:rPr>
          <w:rFonts w:asciiTheme="minorHAnsi" w:hAnsiTheme="minorHAnsi" w:cs="Arial"/>
          <w:color w:val="000000"/>
          <w:u w:val="single"/>
        </w:rPr>
        <w:t>Podpora inovativního, konkurenceschopného a na znalostech založeného rybolovu a akvakultury, včetně souvisejícího zpracování</w:t>
      </w:r>
      <w:r>
        <w:rPr>
          <w:rFonts w:asciiTheme="minorHAnsi" w:hAnsiTheme="minorHAnsi" w:cs="Arial"/>
          <w:color w:val="000000"/>
          <w:u w:val="single"/>
        </w:rPr>
        <w:t>.</w:t>
      </w:r>
      <w:r w:rsidRPr="008B3A32">
        <w:rPr>
          <w:rFonts w:asciiTheme="minorHAnsi" w:hAnsiTheme="minorHAnsi" w:cs="Arial"/>
          <w:color w:val="000000"/>
          <w:u w:val="single"/>
        </w:rPr>
        <w:tab/>
        <w:t>Specifické cíle: a), b).</w:t>
      </w:r>
    </w:p>
    <w:p w:rsidR="00656588" w:rsidRDefault="00656588" w:rsidP="00F7737D">
      <w:pPr>
        <w:spacing w:after="60" w:line="240" w:lineRule="auto"/>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6</w:t>
      </w:r>
      <w:r w:rsidRPr="00F05188">
        <w:rPr>
          <w:rFonts w:asciiTheme="minorHAnsi" w:hAnsiTheme="minorHAnsi" w:cs="Arial"/>
          <w:color w:val="000000"/>
          <w:u w:val="single"/>
        </w:rPr>
        <w:t xml:space="preserve">: </w:t>
      </w:r>
      <w:r w:rsidRPr="00242B11">
        <w:rPr>
          <w:rFonts w:asciiTheme="minorHAnsi" w:hAnsiTheme="minorHAnsi" w:cs="Arial"/>
          <w:color w:val="000000"/>
          <w:u w:val="single"/>
        </w:rPr>
        <w:t>Ochrana životního prostředí a podpora účinného využívání zdrojů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3"/>
        <w:gridCol w:w="6804"/>
      </w:tblGrid>
      <w:tr w:rsidR="00656588" w:rsidRPr="00523D12" w:rsidTr="00845DD6">
        <w:trPr>
          <w:trHeight w:val="498"/>
        </w:trPr>
        <w:tc>
          <w:tcPr>
            <w:tcW w:w="228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80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845DD6">
        <w:trPr>
          <w:trHeight w:val="1093"/>
        </w:trPr>
        <w:tc>
          <w:tcPr>
            <w:tcW w:w="2283" w:type="dxa"/>
            <w:shd w:val="clear" w:color="auto" w:fill="auto"/>
            <w:vAlign w:val="center"/>
            <w:hideMark/>
          </w:tcPr>
          <w:p w:rsidR="00656588" w:rsidRPr="00FB2E40" w:rsidRDefault="00844A83" w:rsidP="00712F71">
            <w:pPr>
              <w:spacing w:line="240" w:lineRule="auto"/>
              <w:jc w:val="left"/>
              <w:rPr>
                <w:rFonts w:asciiTheme="minorHAnsi" w:hAnsiTheme="minorHAnsi"/>
                <w:bCs/>
                <w:iCs/>
                <w:sz w:val="17"/>
                <w:szCs w:val="17"/>
              </w:rPr>
            </w:pPr>
            <w:r w:rsidRPr="00844A83">
              <w:rPr>
                <w:rFonts w:asciiTheme="minorHAnsi" w:hAnsiTheme="minorHAnsi"/>
                <w:bCs/>
                <w:iCs/>
                <w:sz w:val="17"/>
                <w:szCs w:val="17"/>
              </w:rPr>
              <w:t>Zřízení víceletého národního strategického plánu o akvakultuře, uvedeného v článku 43 [nařízení o společné rybářské politice] do roku 2014.</w:t>
            </w:r>
          </w:p>
        </w:tc>
        <w:tc>
          <w:tcPr>
            <w:tcW w:w="6804" w:type="dxa"/>
            <w:shd w:val="clear" w:color="auto" w:fill="auto"/>
            <w:vAlign w:val="center"/>
            <w:hideMark/>
          </w:tcPr>
          <w:p w:rsidR="00656588" w:rsidRPr="004630C0" w:rsidRDefault="00656588" w:rsidP="00712F71">
            <w:pPr>
              <w:pStyle w:val="ListDash1"/>
              <w:numPr>
                <w:ilvl w:val="0"/>
                <w:numId w:val="0"/>
              </w:numPr>
              <w:ind w:left="74"/>
              <w:jc w:val="left"/>
              <w:rPr>
                <w:rFonts w:asciiTheme="minorHAnsi" w:hAnsiTheme="minorHAnsi"/>
                <w:sz w:val="17"/>
                <w:szCs w:val="17"/>
              </w:rPr>
            </w:pPr>
            <w:r w:rsidRPr="004630C0">
              <w:rPr>
                <w:rFonts w:asciiTheme="minorHAnsi" w:hAnsiTheme="minorHAnsi"/>
                <w:sz w:val="17"/>
                <w:szCs w:val="17"/>
              </w:rPr>
              <w:t>Víceletý strategický plán pro akvakulturu se předává Komisi nejpozději ke dni předání OP</w:t>
            </w:r>
          </w:p>
          <w:p w:rsidR="00656588" w:rsidRPr="00E420E0" w:rsidRDefault="00656588" w:rsidP="00712F71">
            <w:pPr>
              <w:pStyle w:val="ListDash1"/>
              <w:numPr>
                <w:ilvl w:val="0"/>
                <w:numId w:val="0"/>
              </w:numPr>
              <w:spacing w:after="0"/>
              <w:ind w:left="74" w:hanging="2"/>
              <w:jc w:val="left"/>
              <w:rPr>
                <w:rFonts w:asciiTheme="minorHAnsi" w:hAnsiTheme="minorHAnsi"/>
                <w:bCs/>
                <w:sz w:val="17"/>
                <w:szCs w:val="17"/>
              </w:rPr>
            </w:pPr>
            <w:r w:rsidRPr="004630C0">
              <w:rPr>
                <w:rFonts w:asciiTheme="minorHAnsi" w:hAnsiTheme="minorHAnsi"/>
                <w:sz w:val="17"/>
                <w:szCs w:val="17"/>
              </w:rPr>
              <w:t>OP obsahuje informace o doplňkovosti s víceletým národním strategickým plánem o akvakultuře</w:t>
            </w:r>
          </w:p>
        </w:tc>
      </w:tr>
    </w:tbl>
    <w:p w:rsidR="00656588" w:rsidRDefault="00656588" w:rsidP="00845DD6">
      <w:pPr>
        <w:spacing w:before="180" w:after="60" w:line="240" w:lineRule="auto"/>
        <w:jc w:val="left"/>
        <w:rPr>
          <w:rFonts w:asciiTheme="minorHAnsi" w:hAnsiTheme="minorHAnsi" w:cs="Arial"/>
          <w:color w:val="000000"/>
          <w:u w:val="single"/>
        </w:rPr>
      </w:pPr>
      <w:r w:rsidRPr="00A843F1">
        <w:rPr>
          <w:rFonts w:asciiTheme="minorHAnsi" w:hAnsiTheme="minorHAnsi" w:cs="Arial"/>
          <w:color w:val="000000"/>
          <w:u w:val="single"/>
        </w:rPr>
        <w:t xml:space="preserve">Priorita </w:t>
      </w:r>
      <w:r>
        <w:rPr>
          <w:rFonts w:asciiTheme="minorHAnsi" w:hAnsiTheme="minorHAnsi" w:cs="Arial"/>
          <w:color w:val="000000"/>
          <w:u w:val="single"/>
        </w:rPr>
        <w:t>ENRF</w:t>
      </w:r>
      <w:r w:rsidRPr="00A843F1">
        <w:rPr>
          <w:rFonts w:asciiTheme="minorHAnsi" w:hAnsiTheme="minorHAnsi" w:cs="Arial"/>
          <w:color w:val="000000"/>
          <w:u w:val="single"/>
        </w:rPr>
        <w:t xml:space="preserve"> č. </w:t>
      </w:r>
      <w:r w:rsidRPr="00845DD6">
        <w:rPr>
          <w:rFonts w:asciiTheme="minorHAnsi" w:hAnsiTheme="minorHAnsi" w:cs="Arial"/>
          <w:color w:val="000000"/>
          <w:u w:val="single"/>
        </w:rPr>
        <w:t>6</w:t>
      </w:r>
      <w:r>
        <w:rPr>
          <w:rFonts w:asciiTheme="minorHAnsi" w:hAnsiTheme="minorHAnsi" w:cs="Arial"/>
          <w:color w:val="000000"/>
          <w:u w:val="single"/>
        </w:rPr>
        <w:t xml:space="preserve"> 2</w:t>
      </w:r>
      <w:r w:rsidRPr="00A843F1">
        <w:rPr>
          <w:rFonts w:asciiTheme="minorHAnsi" w:hAnsiTheme="minorHAnsi" w:cs="Arial"/>
          <w:color w:val="000000"/>
          <w:u w:val="single"/>
        </w:rPr>
        <w:t>:</w:t>
      </w:r>
      <w:r>
        <w:rPr>
          <w:rFonts w:asciiTheme="minorHAnsi" w:hAnsiTheme="minorHAnsi" w:cs="Arial"/>
          <w:color w:val="000000"/>
          <w:u w:val="single"/>
        </w:rPr>
        <w:t xml:space="preserve"> </w:t>
      </w:r>
      <w:r w:rsidRPr="00A917DC">
        <w:rPr>
          <w:rFonts w:asciiTheme="minorHAnsi" w:hAnsiTheme="minorHAnsi" w:cs="Arial"/>
          <w:color w:val="000000"/>
          <w:u w:val="single"/>
        </w:rPr>
        <w:t>Podpora provádění společné rybářské politiky</w:t>
      </w:r>
      <w:r>
        <w:rPr>
          <w:rFonts w:asciiTheme="minorHAnsi" w:hAnsiTheme="minorHAnsi" w:cs="Arial"/>
          <w:color w:val="000000"/>
          <w:u w:val="single"/>
        </w:rPr>
        <w:t xml:space="preserve">. </w:t>
      </w:r>
      <w:r w:rsidRPr="008B3A32">
        <w:rPr>
          <w:rFonts w:asciiTheme="minorHAnsi" w:hAnsiTheme="minorHAnsi" w:cs="Arial"/>
          <w:color w:val="000000"/>
          <w:u w:val="single"/>
        </w:rPr>
        <w:t>Specifick</w:t>
      </w:r>
      <w:r>
        <w:rPr>
          <w:rFonts w:asciiTheme="minorHAnsi" w:hAnsiTheme="minorHAnsi" w:cs="Arial"/>
          <w:color w:val="000000"/>
          <w:u w:val="single"/>
        </w:rPr>
        <w:t>ý</w:t>
      </w:r>
      <w:r w:rsidRPr="008B3A32">
        <w:rPr>
          <w:rFonts w:asciiTheme="minorHAnsi" w:hAnsiTheme="minorHAnsi" w:cs="Arial"/>
          <w:color w:val="000000"/>
          <w:u w:val="single"/>
        </w:rPr>
        <w:t xml:space="preserve"> cíl: a)</w:t>
      </w:r>
    </w:p>
    <w:p w:rsidR="00656588" w:rsidRDefault="00656588" w:rsidP="00656588">
      <w:pPr>
        <w:spacing w:after="60" w:line="240" w:lineRule="auto"/>
        <w:jc w:val="left"/>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6</w:t>
      </w:r>
      <w:r w:rsidRPr="00F05188">
        <w:rPr>
          <w:rFonts w:asciiTheme="minorHAnsi" w:hAnsiTheme="minorHAnsi" w:cs="Arial"/>
          <w:color w:val="000000"/>
          <w:u w:val="single"/>
        </w:rPr>
        <w:t xml:space="preserve">: </w:t>
      </w:r>
      <w:r w:rsidRPr="00242B11">
        <w:rPr>
          <w:rFonts w:asciiTheme="minorHAnsi" w:hAnsiTheme="minorHAnsi" w:cs="Arial"/>
          <w:color w:val="000000"/>
          <w:u w:val="single"/>
        </w:rPr>
        <w:t>Ochrana životního prostředí a podpora účinného využívání zdrojů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3"/>
        <w:gridCol w:w="6804"/>
      </w:tblGrid>
      <w:tr w:rsidR="00656588" w:rsidRPr="00523D12" w:rsidTr="00845DD6">
        <w:trPr>
          <w:trHeight w:val="440"/>
        </w:trPr>
        <w:tc>
          <w:tcPr>
            <w:tcW w:w="228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80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845DD6">
        <w:trPr>
          <w:trHeight w:val="1383"/>
        </w:trPr>
        <w:tc>
          <w:tcPr>
            <w:tcW w:w="2283" w:type="dxa"/>
            <w:shd w:val="clear" w:color="auto" w:fill="auto"/>
            <w:vAlign w:val="center"/>
            <w:hideMark/>
          </w:tcPr>
          <w:p w:rsidR="00656588" w:rsidRPr="00FB2E40" w:rsidRDefault="00656588" w:rsidP="00712F71">
            <w:pPr>
              <w:spacing w:line="240" w:lineRule="auto"/>
              <w:jc w:val="left"/>
              <w:rPr>
                <w:rFonts w:asciiTheme="minorHAnsi" w:hAnsiTheme="minorHAnsi"/>
                <w:bCs/>
                <w:iCs/>
                <w:sz w:val="17"/>
                <w:szCs w:val="17"/>
              </w:rPr>
            </w:pPr>
            <w:r w:rsidRPr="00B9525A">
              <w:rPr>
                <w:rFonts w:asciiTheme="minorHAnsi" w:hAnsiTheme="minorHAnsi"/>
                <w:bCs/>
                <w:iCs/>
                <w:sz w:val="17"/>
                <w:szCs w:val="17"/>
              </w:rPr>
              <w:t>Správní kapacita: je k dispozici správní kapacita pro dosažení souladu s požadavky na údaje pro řízení rybolovu stanovené v článku 37 [nařízení o společné rybářské politice],</w:t>
            </w:r>
          </w:p>
        </w:tc>
        <w:tc>
          <w:tcPr>
            <w:tcW w:w="6804" w:type="dxa"/>
            <w:shd w:val="clear" w:color="auto" w:fill="auto"/>
            <w:vAlign w:val="center"/>
            <w:hideMark/>
          </w:tcPr>
          <w:p w:rsidR="00656588" w:rsidRPr="0017165E" w:rsidRDefault="00656588" w:rsidP="00845DD6">
            <w:pPr>
              <w:pStyle w:val="ListDash1"/>
              <w:spacing w:after="120"/>
              <w:ind w:left="74"/>
              <w:jc w:val="left"/>
              <w:rPr>
                <w:rFonts w:asciiTheme="minorHAnsi" w:hAnsiTheme="minorHAnsi"/>
                <w:sz w:val="17"/>
                <w:szCs w:val="17"/>
              </w:rPr>
            </w:pPr>
            <w:r w:rsidRPr="0017165E">
              <w:rPr>
                <w:rFonts w:asciiTheme="minorHAnsi" w:hAnsiTheme="minorHAnsi"/>
                <w:sz w:val="17"/>
                <w:szCs w:val="17"/>
              </w:rPr>
              <w:t>Popis správní kapacity pro přípravu a uplatňování víceletého programu pro shromažďování údajů, který má být přezkoumán VTHVR a přijat Komisí</w:t>
            </w:r>
          </w:p>
          <w:p w:rsidR="00656588" w:rsidRPr="0017165E" w:rsidRDefault="00656588" w:rsidP="00845DD6">
            <w:pPr>
              <w:pStyle w:val="ListDash1"/>
              <w:spacing w:after="120"/>
              <w:ind w:left="74"/>
              <w:jc w:val="left"/>
              <w:rPr>
                <w:rFonts w:asciiTheme="minorHAnsi" w:hAnsiTheme="minorHAnsi"/>
                <w:sz w:val="17"/>
                <w:szCs w:val="17"/>
              </w:rPr>
            </w:pPr>
            <w:r w:rsidRPr="0017165E">
              <w:rPr>
                <w:rFonts w:asciiTheme="minorHAnsi" w:hAnsiTheme="minorHAnsi"/>
                <w:sz w:val="17"/>
                <w:szCs w:val="17"/>
              </w:rPr>
              <w:t>Popis správní kapacity pro přípravu a uplatňování víceletého programu pro shromažďování údajů, který má být přezkoumán VTHVR a přijat Komisí</w:t>
            </w:r>
          </w:p>
          <w:p w:rsidR="00656588" w:rsidRPr="00E420E0" w:rsidRDefault="00656588" w:rsidP="00845DD6">
            <w:pPr>
              <w:pStyle w:val="ListDash1"/>
              <w:numPr>
                <w:ilvl w:val="0"/>
                <w:numId w:val="0"/>
              </w:numPr>
              <w:spacing w:after="120"/>
              <w:ind w:left="74" w:hanging="2"/>
              <w:jc w:val="left"/>
              <w:rPr>
                <w:rFonts w:asciiTheme="minorHAnsi" w:hAnsiTheme="minorHAnsi"/>
                <w:bCs/>
                <w:sz w:val="17"/>
                <w:szCs w:val="17"/>
              </w:rPr>
            </w:pPr>
            <w:r w:rsidRPr="0017165E">
              <w:rPr>
                <w:rFonts w:asciiTheme="minorHAnsi" w:hAnsiTheme="minorHAnsi"/>
                <w:sz w:val="17"/>
                <w:szCs w:val="17"/>
              </w:rPr>
              <w:t>Popis kapacity v oblasti lidských zdrojů k provádění dvoustranných nebo vícestranných dohod s ostatními členskými státy v případě sdílení práce na plnění povinnosti shromažďování údajů</w:t>
            </w:r>
          </w:p>
        </w:tc>
      </w:tr>
    </w:tbl>
    <w:p w:rsidR="00656588" w:rsidRDefault="00656588" w:rsidP="00845DD6">
      <w:pPr>
        <w:spacing w:before="180" w:after="60" w:line="240" w:lineRule="auto"/>
        <w:jc w:val="left"/>
        <w:rPr>
          <w:rFonts w:asciiTheme="minorHAnsi" w:hAnsiTheme="minorHAnsi" w:cs="Arial"/>
          <w:color w:val="000000"/>
          <w:u w:val="single"/>
        </w:rPr>
      </w:pPr>
      <w:r w:rsidRPr="00A843F1">
        <w:rPr>
          <w:rFonts w:asciiTheme="minorHAnsi" w:hAnsiTheme="minorHAnsi" w:cs="Arial"/>
          <w:color w:val="000000"/>
          <w:u w:val="single"/>
        </w:rPr>
        <w:t xml:space="preserve">Priorita </w:t>
      </w:r>
      <w:r>
        <w:rPr>
          <w:rFonts w:asciiTheme="minorHAnsi" w:hAnsiTheme="minorHAnsi" w:cs="Arial"/>
          <w:color w:val="000000"/>
          <w:u w:val="single"/>
        </w:rPr>
        <w:t>ENRF</w:t>
      </w:r>
      <w:r w:rsidRPr="00A843F1">
        <w:rPr>
          <w:rFonts w:asciiTheme="minorHAnsi" w:hAnsiTheme="minorHAnsi" w:cs="Arial"/>
          <w:color w:val="000000"/>
          <w:u w:val="single"/>
        </w:rPr>
        <w:t xml:space="preserve"> č. </w:t>
      </w:r>
      <w:r w:rsidRPr="00845DD6">
        <w:rPr>
          <w:rFonts w:asciiTheme="minorHAnsi" w:hAnsiTheme="minorHAnsi" w:cs="Arial"/>
          <w:color w:val="000000"/>
          <w:u w:val="single"/>
        </w:rPr>
        <w:t>6</w:t>
      </w:r>
      <w:r>
        <w:rPr>
          <w:rFonts w:asciiTheme="minorHAnsi" w:hAnsiTheme="minorHAnsi" w:cs="Arial"/>
          <w:color w:val="000000"/>
          <w:u w:val="single"/>
        </w:rPr>
        <w:t xml:space="preserve"> 3</w:t>
      </w:r>
      <w:r w:rsidRPr="00A843F1">
        <w:rPr>
          <w:rFonts w:asciiTheme="minorHAnsi" w:hAnsiTheme="minorHAnsi" w:cs="Arial"/>
          <w:color w:val="000000"/>
          <w:u w:val="single"/>
        </w:rPr>
        <w:t>:</w:t>
      </w:r>
      <w:r>
        <w:rPr>
          <w:rFonts w:asciiTheme="minorHAnsi" w:hAnsiTheme="minorHAnsi" w:cs="Arial"/>
          <w:color w:val="000000"/>
          <w:u w:val="single"/>
        </w:rPr>
        <w:t xml:space="preserve"> </w:t>
      </w:r>
      <w:r w:rsidRPr="00436AE8">
        <w:rPr>
          <w:rFonts w:asciiTheme="minorHAnsi" w:hAnsiTheme="minorHAnsi" w:cs="Arial"/>
          <w:color w:val="000000"/>
          <w:u w:val="single"/>
        </w:rPr>
        <w:t>Podpora provádění SRP</w:t>
      </w:r>
      <w:r>
        <w:rPr>
          <w:rFonts w:asciiTheme="minorHAnsi" w:hAnsiTheme="minorHAnsi" w:cs="Arial"/>
          <w:color w:val="000000"/>
          <w:u w:val="single"/>
        </w:rPr>
        <w:t xml:space="preserve">. </w:t>
      </w:r>
      <w:r w:rsidRPr="00436AE8">
        <w:rPr>
          <w:rFonts w:asciiTheme="minorHAnsi" w:hAnsiTheme="minorHAnsi" w:cs="Arial"/>
          <w:color w:val="000000"/>
          <w:u w:val="single"/>
        </w:rPr>
        <w:t>Specifický cíl</w:t>
      </w:r>
      <w:r>
        <w:rPr>
          <w:rFonts w:asciiTheme="minorHAnsi" w:hAnsiTheme="minorHAnsi" w:cs="Arial"/>
          <w:color w:val="000000"/>
          <w:u w:val="single"/>
        </w:rPr>
        <w:t>:</w:t>
      </w:r>
      <w:r w:rsidRPr="00436AE8">
        <w:rPr>
          <w:rFonts w:asciiTheme="minorHAnsi" w:hAnsiTheme="minorHAnsi" w:cs="Arial"/>
          <w:color w:val="000000"/>
          <w:u w:val="single"/>
        </w:rPr>
        <w:t xml:space="preserve"> a)</w:t>
      </w:r>
    </w:p>
    <w:p w:rsidR="00656588" w:rsidRDefault="00656588" w:rsidP="00656588">
      <w:pPr>
        <w:spacing w:after="60" w:line="240" w:lineRule="auto"/>
        <w:jc w:val="left"/>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6</w:t>
      </w:r>
      <w:r w:rsidRPr="00F05188">
        <w:rPr>
          <w:rFonts w:asciiTheme="minorHAnsi" w:hAnsiTheme="minorHAnsi" w:cs="Arial"/>
          <w:color w:val="000000"/>
          <w:u w:val="single"/>
        </w:rPr>
        <w:t xml:space="preserve">: </w:t>
      </w:r>
      <w:r w:rsidRPr="00242B11">
        <w:rPr>
          <w:rFonts w:asciiTheme="minorHAnsi" w:hAnsiTheme="minorHAnsi" w:cs="Arial"/>
          <w:color w:val="000000"/>
          <w:u w:val="single"/>
        </w:rPr>
        <w:t>Ochrana životního prostředí a podpora úči</w:t>
      </w:r>
      <w:r>
        <w:rPr>
          <w:rFonts w:asciiTheme="minorHAnsi" w:hAnsiTheme="minorHAnsi" w:cs="Arial"/>
          <w:color w:val="000000"/>
          <w:u w:val="single"/>
        </w:rPr>
        <w:t>ý</w:t>
      </w:r>
      <w:r w:rsidRPr="00242B11">
        <w:rPr>
          <w:rFonts w:asciiTheme="minorHAnsi" w:hAnsiTheme="minorHAnsi" w:cs="Arial"/>
          <w:color w:val="000000"/>
          <w:u w:val="single"/>
        </w:rPr>
        <w:t>nného využívání zdrojů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3"/>
        <w:gridCol w:w="6804"/>
      </w:tblGrid>
      <w:tr w:rsidR="00656588" w:rsidRPr="00523D12" w:rsidTr="00845DD6">
        <w:trPr>
          <w:trHeight w:val="444"/>
        </w:trPr>
        <w:tc>
          <w:tcPr>
            <w:tcW w:w="228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80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845DD6">
        <w:trPr>
          <w:trHeight w:val="1383"/>
        </w:trPr>
        <w:tc>
          <w:tcPr>
            <w:tcW w:w="2283" w:type="dxa"/>
            <w:shd w:val="clear" w:color="auto" w:fill="auto"/>
            <w:vAlign w:val="center"/>
            <w:hideMark/>
          </w:tcPr>
          <w:p w:rsidR="00656588" w:rsidRPr="00FB2E40" w:rsidRDefault="00656588" w:rsidP="00712F71">
            <w:pPr>
              <w:spacing w:line="240" w:lineRule="auto"/>
              <w:jc w:val="left"/>
              <w:rPr>
                <w:rFonts w:asciiTheme="minorHAnsi" w:hAnsiTheme="minorHAnsi"/>
                <w:bCs/>
                <w:iCs/>
                <w:sz w:val="17"/>
                <w:szCs w:val="17"/>
              </w:rPr>
            </w:pPr>
            <w:r w:rsidRPr="00F13FED">
              <w:rPr>
                <w:rFonts w:asciiTheme="minorHAnsi" w:hAnsiTheme="minorHAnsi"/>
                <w:bCs/>
                <w:iCs/>
                <w:sz w:val="17"/>
                <w:szCs w:val="17"/>
              </w:rPr>
              <w:t>Správní kapacita: je k dispozici správní kapacita umožňující dodržovat provádění systému Unie pro kontrolu, inspekce a vynucování stanoveného v článku 46 [nařízení o společné rybářské politice] a dále upřesněného v nařízení Rady (ES) č. 1224/2009.</w:t>
            </w:r>
          </w:p>
        </w:tc>
        <w:tc>
          <w:tcPr>
            <w:tcW w:w="6804" w:type="dxa"/>
            <w:shd w:val="clear" w:color="auto" w:fill="auto"/>
            <w:vAlign w:val="center"/>
            <w:hideMark/>
          </w:tcPr>
          <w:p w:rsidR="00656588" w:rsidRPr="004C4C86" w:rsidRDefault="00656588" w:rsidP="00712F71">
            <w:pPr>
              <w:pStyle w:val="ListDash1"/>
              <w:spacing w:after="0"/>
              <w:ind w:left="74" w:hanging="284"/>
              <w:jc w:val="left"/>
              <w:rPr>
                <w:rFonts w:asciiTheme="minorHAnsi" w:hAnsiTheme="minorHAnsi"/>
                <w:sz w:val="17"/>
                <w:szCs w:val="17"/>
              </w:rPr>
            </w:pPr>
            <w:r w:rsidRPr="004C4C86">
              <w:rPr>
                <w:rFonts w:asciiTheme="minorHAnsi" w:hAnsiTheme="minorHAnsi"/>
                <w:sz w:val="17"/>
                <w:szCs w:val="17"/>
              </w:rPr>
              <w:t>Mezi zvláštní opatření patří:</w:t>
            </w:r>
          </w:p>
          <w:p w:rsidR="00656588" w:rsidRPr="004C4C86" w:rsidRDefault="00656588" w:rsidP="00656588">
            <w:pPr>
              <w:pStyle w:val="ListDash1"/>
              <w:numPr>
                <w:ilvl w:val="0"/>
                <w:numId w:val="35"/>
              </w:numPr>
              <w:spacing w:after="0"/>
              <w:ind w:left="355" w:hanging="284"/>
              <w:jc w:val="left"/>
              <w:rPr>
                <w:rFonts w:asciiTheme="minorHAnsi" w:hAnsiTheme="minorHAnsi"/>
                <w:sz w:val="17"/>
                <w:szCs w:val="17"/>
              </w:rPr>
            </w:pPr>
            <w:r w:rsidRPr="004C4C86">
              <w:rPr>
                <w:rFonts w:asciiTheme="minorHAnsi" w:hAnsiTheme="minorHAnsi"/>
                <w:sz w:val="17"/>
                <w:szCs w:val="17"/>
              </w:rPr>
              <w:t>popis správní kapacity pro přípravu a provádění oddílu operačního programu týkajícího se národního kontrolního programu financování na období 2014–2020 podle čl. 20 odst. 1 písm. n)</w:t>
            </w:r>
          </w:p>
          <w:p w:rsidR="00656588" w:rsidRPr="004C4C86" w:rsidRDefault="00656588" w:rsidP="00656588">
            <w:pPr>
              <w:pStyle w:val="ListDash1"/>
              <w:numPr>
                <w:ilvl w:val="0"/>
                <w:numId w:val="35"/>
              </w:numPr>
              <w:spacing w:after="0"/>
              <w:ind w:left="355" w:hanging="284"/>
              <w:jc w:val="left"/>
              <w:rPr>
                <w:rFonts w:asciiTheme="minorHAnsi" w:hAnsiTheme="minorHAnsi"/>
                <w:sz w:val="17"/>
                <w:szCs w:val="17"/>
              </w:rPr>
            </w:pPr>
            <w:r w:rsidRPr="004C4C86">
              <w:rPr>
                <w:rFonts w:asciiTheme="minorHAnsi" w:hAnsiTheme="minorHAnsi"/>
                <w:sz w:val="17"/>
                <w:szCs w:val="17"/>
              </w:rPr>
              <w:t xml:space="preserve">popis správní kapacity pro přípravu a provádění národního kontrolního akčního programu pro víceleté plány (článek 46 nařízení o kontrole) </w:t>
            </w:r>
          </w:p>
          <w:p w:rsidR="00656588" w:rsidRPr="004C4C86" w:rsidRDefault="00656588" w:rsidP="00656588">
            <w:pPr>
              <w:pStyle w:val="ListDash1"/>
              <w:numPr>
                <w:ilvl w:val="0"/>
                <w:numId w:val="35"/>
              </w:numPr>
              <w:spacing w:after="0"/>
              <w:ind w:left="355" w:hanging="284"/>
              <w:jc w:val="left"/>
              <w:rPr>
                <w:rFonts w:asciiTheme="minorHAnsi" w:hAnsiTheme="minorHAnsi"/>
                <w:sz w:val="17"/>
                <w:szCs w:val="17"/>
              </w:rPr>
            </w:pPr>
            <w:r w:rsidRPr="004C4C86">
              <w:rPr>
                <w:rFonts w:asciiTheme="minorHAnsi" w:hAnsiTheme="minorHAnsi"/>
                <w:sz w:val="17"/>
                <w:szCs w:val="17"/>
              </w:rPr>
              <w:t>popis správní kapacity pro přípravu a provádění společného kontrolního programu, které může být vytvořen společně s ostatními členskými státy (článek 94 zastřešujícího nařízení)</w:t>
            </w:r>
          </w:p>
          <w:p w:rsidR="00656588" w:rsidRPr="004C4C86" w:rsidRDefault="00656588" w:rsidP="00656588">
            <w:pPr>
              <w:pStyle w:val="ListDash1"/>
              <w:numPr>
                <w:ilvl w:val="0"/>
                <w:numId w:val="35"/>
              </w:numPr>
              <w:spacing w:after="0"/>
              <w:ind w:left="355" w:hanging="284"/>
              <w:jc w:val="left"/>
              <w:rPr>
                <w:rFonts w:asciiTheme="minorHAnsi" w:hAnsiTheme="minorHAnsi"/>
                <w:sz w:val="17"/>
                <w:szCs w:val="17"/>
              </w:rPr>
            </w:pPr>
            <w:r w:rsidRPr="004C4C86">
              <w:rPr>
                <w:rFonts w:asciiTheme="minorHAnsi" w:hAnsiTheme="minorHAnsi"/>
                <w:sz w:val="17"/>
                <w:szCs w:val="17"/>
              </w:rPr>
              <w:t xml:space="preserve">popis správní kapacity pro přípravu a provádění stanovených kontrolních a inspekčních programů (článek 95 zastřešujícího nařízení) </w:t>
            </w:r>
          </w:p>
          <w:p w:rsidR="00656588" w:rsidRPr="004C4C86" w:rsidRDefault="00656588" w:rsidP="00656588">
            <w:pPr>
              <w:pStyle w:val="ListDash1"/>
              <w:numPr>
                <w:ilvl w:val="0"/>
                <w:numId w:val="35"/>
              </w:numPr>
              <w:spacing w:after="0"/>
              <w:ind w:left="355" w:hanging="284"/>
              <w:jc w:val="left"/>
              <w:rPr>
                <w:rFonts w:asciiTheme="minorHAnsi" w:hAnsiTheme="minorHAnsi"/>
                <w:sz w:val="17"/>
                <w:szCs w:val="17"/>
              </w:rPr>
            </w:pPr>
            <w:r w:rsidRPr="004C4C86">
              <w:rPr>
                <w:rFonts w:asciiTheme="minorHAnsi" w:hAnsiTheme="minorHAnsi"/>
                <w:sz w:val="17"/>
                <w:szCs w:val="17"/>
              </w:rPr>
              <w:t>popis správní kapacity pro uplatnění systému účinných, přiměřených a odrazujících sankcí za závažná porušení předpisů (článek 90 zastřešujícího nařízení)</w:t>
            </w:r>
          </w:p>
          <w:p w:rsidR="00656588" w:rsidRPr="00E420E0" w:rsidRDefault="00656588" w:rsidP="00656588">
            <w:pPr>
              <w:pStyle w:val="ListDash1"/>
              <w:numPr>
                <w:ilvl w:val="0"/>
                <w:numId w:val="35"/>
              </w:numPr>
              <w:spacing w:after="0"/>
              <w:ind w:left="355" w:hanging="284"/>
              <w:jc w:val="left"/>
              <w:rPr>
                <w:rFonts w:asciiTheme="minorHAnsi" w:hAnsiTheme="minorHAnsi"/>
                <w:bCs/>
                <w:sz w:val="17"/>
                <w:szCs w:val="17"/>
              </w:rPr>
            </w:pPr>
            <w:r w:rsidRPr="004C4C86">
              <w:rPr>
                <w:rFonts w:asciiTheme="minorHAnsi" w:hAnsiTheme="minorHAnsi"/>
                <w:sz w:val="17"/>
                <w:szCs w:val="17"/>
              </w:rPr>
              <w:t>popis správní kapacity pro uplatňování bodového systému za závažná porušení předpisů (článek 92 zastřešujícího nařízení)</w:t>
            </w:r>
          </w:p>
        </w:tc>
      </w:tr>
    </w:tbl>
    <w:p w:rsidR="00656588" w:rsidRDefault="00656588" w:rsidP="00845DD6">
      <w:pPr>
        <w:spacing w:before="180" w:after="60" w:line="240" w:lineRule="auto"/>
        <w:jc w:val="left"/>
        <w:rPr>
          <w:rFonts w:asciiTheme="minorHAnsi" w:hAnsiTheme="minorHAnsi" w:cs="Arial"/>
          <w:color w:val="000000"/>
          <w:u w:val="single"/>
        </w:rPr>
      </w:pPr>
      <w:r w:rsidRPr="00A843F1">
        <w:rPr>
          <w:rFonts w:asciiTheme="minorHAnsi" w:hAnsiTheme="minorHAnsi" w:cs="Arial"/>
          <w:color w:val="000000"/>
          <w:u w:val="single"/>
        </w:rPr>
        <w:t xml:space="preserve">Priorita </w:t>
      </w:r>
      <w:r>
        <w:rPr>
          <w:rFonts w:asciiTheme="minorHAnsi" w:hAnsiTheme="minorHAnsi" w:cs="Arial"/>
          <w:color w:val="000000"/>
          <w:u w:val="single"/>
        </w:rPr>
        <w:t>ENRF</w:t>
      </w:r>
      <w:r w:rsidRPr="00A843F1">
        <w:rPr>
          <w:rFonts w:asciiTheme="minorHAnsi" w:hAnsiTheme="minorHAnsi" w:cs="Arial"/>
          <w:color w:val="000000"/>
          <w:u w:val="single"/>
        </w:rPr>
        <w:t xml:space="preserve"> č. </w:t>
      </w:r>
      <w:r>
        <w:rPr>
          <w:rFonts w:asciiTheme="minorHAnsi" w:hAnsiTheme="minorHAnsi" w:cs="Arial"/>
          <w:color w:val="000000"/>
          <w:u w:val="single"/>
        </w:rPr>
        <w:t>1</w:t>
      </w:r>
      <w:r w:rsidRPr="00A843F1">
        <w:rPr>
          <w:rFonts w:asciiTheme="minorHAnsi" w:hAnsiTheme="minorHAnsi" w:cs="Arial"/>
          <w:color w:val="000000"/>
          <w:u w:val="single"/>
        </w:rPr>
        <w:t>:</w:t>
      </w:r>
      <w:r>
        <w:rPr>
          <w:rFonts w:asciiTheme="minorHAnsi" w:hAnsiTheme="minorHAnsi" w:cs="Arial"/>
          <w:color w:val="000000"/>
          <w:u w:val="single"/>
        </w:rPr>
        <w:t xml:space="preserve"> </w:t>
      </w:r>
      <w:r w:rsidRPr="00A27757">
        <w:rPr>
          <w:rFonts w:asciiTheme="minorHAnsi" w:hAnsiTheme="minorHAnsi" w:cs="Arial"/>
          <w:color w:val="000000"/>
          <w:u w:val="single"/>
        </w:rPr>
        <w:t>Podpora udržitelného rybolovu a akvakultury účinně využívajících zdroje</w:t>
      </w:r>
      <w:r>
        <w:rPr>
          <w:rFonts w:asciiTheme="minorHAnsi" w:hAnsiTheme="minorHAnsi" w:cs="Arial"/>
          <w:color w:val="000000"/>
          <w:u w:val="single"/>
        </w:rPr>
        <w:t xml:space="preserve">. </w:t>
      </w:r>
      <w:r w:rsidRPr="00A27757">
        <w:rPr>
          <w:rFonts w:asciiTheme="minorHAnsi" w:hAnsiTheme="minorHAnsi" w:cs="Arial"/>
          <w:color w:val="000000"/>
          <w:u w:val="single"/>
        </w:rPr>
        <w:t>Specifické cíle: a) a b)</w:t>
      </w:r>
    </w:p>
    <w:p w:rsidR="00656588" w:rsidRDefault="00656588" w:rsidP="00656588">
      <w:pPr>
        <w:spacing w:after="60" w:line="240" w:lineRule="auto"/>
        <w:jc w:val="left"/>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6</w:t>
      </w:r>
      <w:r w:rsidRPr="00F05188">
        <w:rPr>
          <w:rFonts w:asciiTheme="minorHAnsi" w:hAnsiTheme="minorHAnsi" w:cs="Arial"/>
          <w:color w:val="000000"/>
          <w:u w:val="single"/>
        </w:rPr>
        <w:t xml:space="preserve">: </w:t>
      </w:r>
      <w:r w:rsidRPr="00242B11">
        <w:rPr>
          <w:rFonts w:asciiTheme="minorHAnsi" w:hAnsiTheme="minorHAnsi" w:cs="Arial"/>
          <w:color w:val="000000"/>
          <w:u w:val="single"/>
        </w:rPr>
        <w:t>Ochrana životního prostředí a podpora úči</w:t>
      </w:r>
      <w:r>
        <w:rPr>
          <w:rFonts w:asciiTheme="minorHAnsi" w:hAnsiTheme="minorHAnsi" w:cs="Arial"/>
          <w:color w:val="000000"/>
          <w:u w:val="single"/>
        </w:rPr>
        <w:t>ý</w:t>
      </w:r>
      <w:r w:rsidRPr="00242B11">
        <w:rPr>
          <w:rFonts w:asciiTheme="minorHAnsi" w:hAnsiTheme="minorHAnsi" w:cs="Arial"/>
          <w:color w:val="000000"/>
          <w:u w:val="single"/>
        </w:rPr>
        <w:t>nného využívání zdrojů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5953"/>
      </w:tblGrid>
      <w:tr w:rsidR="00656588" w:rsidRPr="00523D12" w:rsidTr="00845DD6">
        <w:trPr>
          <w:trHeight w:val="391"/>
        </w:trPr>
        <w:tc>
          <w:tcPr>
            <w:tcW w:w="313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95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712F71">
        <w:trPr>
          <w:trHeight w:val="523"/>
        </w:trPr>
        <w:tc>
          <w:tcPr>
            <w:tcW w:w="3134" w:type="dxa"/>
            <w:shd w:val="clear" w:color="auto" w:fill="auto"/>
            <w:vAlign w:val="center"/>
            <w:hideMark/>
          </w:tcPr>
          <w:p w:rsidR="00656588" w:rsidRPr="00FB2E40" w:rsidRDefault="00656588" w:rsidP="00712F71">
            <w:pPr>
              <w:spacing w:line="240" w:lineRule="auto"/>
              <w:jc w:val="left"/>
              <w:rPr>
                <w:rFonts w:asciiTheme="minorHAnsi" w:hAnsiTheme="minorHAnsi"/>
                <w:bCs/>
                <w:iCs/>
                <w:sz w:val="17"/>
                <w:szCs w:val="17"/>
              </w:rPr>
            </w:pPr>
            <w:r w:rsidRPr="00F94D8F">
              <w:rPr>
                <w:rFonts w:asciiTheme="minorHAnsi" w:hAnsiTheme="minorHAnsi"/>
                <w:bCs/>
                <w:iCs/>
                <w:sz w:val="17"/>
                <w:szCs w:val="17"/>
              </w:rPr>
              <w:t>Zpráva o kapacitě byla předložena v souladu s článkem 35 [nařízení o SRP].</w:t>
            </w:r>
          </w:p>
        </w:tc>
        <w:tc>
          <w:tcPr>
            <w:tcW w:w="5953" w:type="dxa"/>
            <w:shd w:val="clear" w:color="auto" w:fill="auto"/>
            <w:vAlign w:val="center"/>
            <w:hideMark/>
          </w:tcPr>
          <w:p w:rsidR="00656588" w:rsidRPr="00E420E0" w:rsidRDefault="00656588" w:rsidP="00712F71">
            <w:pPr>
              <w:pStyle w:val="ListDash1"/>
              <w:numPr>
                <w:ilvl w:val="0"/>
                <w:numId w:val="0"/>
              </w:numPr>
              <w:spacing w:after="0"/>
              <w:ind w:left="355" w:hanging="283"/>
              <w:jc w:val="left"/>
              <w:rPr>
                <w:rFonts w:asciiTheme="minorHAnsi" w:hAnsiTheme="minorHAnsi"/>
                <w:bCs/>
                <w:sz w:val="17"/>
                <w:szCs w:val="17"/>
              </w:rPr>
            </w:pPr>
            <w:r w:rsidRPr="004B6609">
              <w:rPr>
                <w:rFonts w:asciiTheme="minorHAnsi" w:hAnsiTheme="minorHAnsi"/>
                <w:sz w:val="17"/>
                <w:szCs w:val="17"/>
              </w:rPr>
              <w:t>Zpráva byla vypracována v souladu se společnými pokyny vydanými Komisí.</w:t>
            </w:r>
          </w:p>
        </w:tc>
      </w:tr>
    </w:tbl>
    <w:p w:rsidR="000C0E01" w:rsidRDefault="000C0E01">
      <w:pPr>
        <w:spacing w:before="360" w:after="200" w:line="276" w:lineRule="auto"/>
        <w:ind w:left="425"/>
        <w:rPr>
          <w:rFonts w:asciiTheme="minorHAnsi" w:hAnsiTheme="minorHAnsi"/>
          <w:sz w:val="24"/>
          <w:szCs w:val="24"/>
        </w:rPr>
      </w:pPr>
    </w:p>
    <w:p w:rsidR="000C0E01" w:rsidRDefault="000C0E01">
      <w:pPr>
        <w:spacing w:before="360" w:after="200" w:line="276" w:lineRule="auto"/>
        <w:ind w:left="425"/>
        <w:rPr>
          <w:rFonts w:asciiTheme="minorHAnsi" w:hAnsiTheme="minorHAnsi"/>
          <w:sz w:val="24"/>
          <w:szCs w:val="24"/>
        </w:rPr>
      </w:pPr>
    </w:p>
    <w:p w:rsidR="00FB360B" w:rsidRPr="000C0E01" w:rsidRDefault="00FB360B" w:rsidP="000C0E01">
      <w:pPr>
        <w:spacing w:before="360" w:after="200" w:line="276" w:lineRule="auto"/>
        <w:ind w:left="425"/>
        <w:rPr>
          <w:rFonts w:asciiTheme="minorHAnsi" w:hAnsiTheme="minorHAnsi"/>
          <w:sz w:val="24"/>
          <w:szCs w:val="24"/>
        </w:rPr>
      </w:pPr>
    </w:p>
    <w:sectPr w:rsidR="00FB360B" w:rsidRPr="000C0E01" w:rsidSect="009963D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4A0" w:rsidRDefault="00A374A0" w:rsidP="00A94858">
      <w:pPr>
        <w:spacing w:line="240" w:lineRule="auto"/>
      </w:pPr>
      <w:r>
        <w:separator/>
      </w:r>
    </w:p>
  </w:endnote>
  <w:endnote w:type="continuationSeparator" w:id="1">
    <w:p w:rsidR="00A374A0" w:rsidRDefault="00A374A0" w:rsidP="00A948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6"/>
        <w:szCs w:val="16"/>
      </w:rPr>
      <w:id w:val="19373938"/>
      <w:docPartObj>
        <w:docPartGallery w:val="Page Numbers (Bottom of Page)"/>
        <w:docPartUnique/>
      </w:docPartObj>
    </w:sdtPr>
    <w:sdtContent>
      <w:p w:rsidR="002F116E" w:rsidRPr="00F86357" w:rsidRDefault="002F116E" w:rsidP="00F86357">
        <w:pPr>
          <w:pStyle w:val="Zpat"/>
          <w:jc w:val="right"/>
          <w:rPr>
            <w:rFonts w:asciiTheme="minorHAnsi" w:hAnsiTheme="minorHAnsi"/>
            <w:sz w:val="16"/>
            <w:szCs w:val="16"/>
          </w:rPr>
        </w:pPr>
        <w:r w:rsidRPr="00F86357">
          <w:rPr>
            <w:rFonts w:asciiTheme="minorHAnsi" w:hAnsiTheme="minorHAnsi"/>
            <w:sz w:val="16"/>
            <w:szCs w:val="16"/>
          </w:rPr>
          <w:fldChar w:fldCharType="begin"/>
        </w:r>
        <w:r w:rsidRPr="00F86357">
          <w:rPr>
            <w:rFonts w:asciiTheme="minorHAnsi" w:hAnsiTheme="minorHAnsi"/>
            <w:sz w:val="16"/>
            <w:szCs w:val="16"/>
          </w:rPr>
          <w:instrText xml:space="preserve"> PAGE   \* MERGEFORMAT </w:instrText>
        </w:r>
        <w:r w:rsidRPr="00F86357">
          <w:rPr>
            <w:rFonts w:asciiTheme="minorHAnsi" w:hAnsiTheme="minorHAnsi"/>
            <w:sz w:val="16"/>
            <w:szCs w:val="16"/>
          </w:rPr>
          <w:fldChar w:fldCharType="separate"/>
        </w:r>
        <w:r w:rsidR="00B42125">
          <w:rPr>
            <w:rFonts w:asciiTheme="minorHAnsi" w:hAnsiTheme="minorHAnsi"/>
            <w:noProof/>
            <w:sz w:val="16"/>
            <w:szCs w:val="16"/>
          </w:rPr>
          <w:t>24</w:t>
        </w:r>
        <w:r w:rsidRPr="00F86357">
          <w:rPr>
            <w:rFonts w:asciiTheme="minorHAnsi" w:hAnsiTheme="minorHAnsi"/>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4A0" w:rsidRDefault="00A374A0" w:rsidP="00A94858">
      <w:pPr>
        <w:spacing w:line="240" w:lineRule="auto"/>
      </w:pPr>
      <w:r>
        <w:separator/>
      </w:r>
    </w:p>
  </w:footnote>
  <w:footnote w:type="continuationSeparator" w:id="1">
    <w:p w:rsidR="00A374A0" w:rsidRDefault="00A374A0" w:rsidP="00A94858">
      <w:pPr>
        <w:spacing w:line="240" w:lineRule="auto"/>
      </w:pPr>
      <w:r>
        <w:continuationSeparator/>
      </w:r>
    </w:p>
  </w:footnote>
  <w:footnote w:id="2">
    <w:p w:rsidR="002F116E" w:rsidRPr="000C0E01" w:rsidRDefault="002F116E" w:rsidP="009A03FE">
      <w:pPr>
        <w:pStyle w:val="Textpoznpodarou"/>
        <w:ind w:left="0"/>
        <w:rPr>
          <w:sz w:val="16"/>
          <w:szCs w:val="16"/>
        </w:rPr>
      </w:pPr>
      <w:r w:rsidRPr="000C0E01">
        <w:rPr>
          <w:rStyle w:val="Znakapoznpodarou"/>
          <w:sz w:val="16"/>
          <w:szCs w:val="16"/>
        </w:rPr>
        <w:footnoteRef/>
      </w:r>
      <w:r w:rsidRPr="000C0E01">
        <w:rPr>
          <w:sz w:val="16"/>
          <w:szCs w:val="16"/>
        </w:rPr>
        <w:t xml:space="preserve"> </w:t>
      </w:r>
      <w:r>
        <w:rPr>
          <w:sz w:val="16"/>
          <w:szCs w:val="16"/>
        </w:rPr>
        <w:t>Číslo u</w:t>
      </w:r>
      <w:r w:rsidRPr="000C0E01">
        <w:rPr>
          <w:sz w:val="16"/>
          <w:szCs w:val="16"/>
        </w:rPr>
        <w:t>snesení vlády</w:t>
      </w:r>
      <w:r>
        <w:rPr>
          <w:sz w:val="16"/>
          <w:szCs w:val="16"/>
        </w:rPr>
        <w:t xml:space="preserve"> ze dne 12. června 2013, bod programu 17, kterým vzala vláda na vědomí Dohodu o partnerství,</w:t>
      </w:r>
      <w:r w:rsidRPr="000C0E01">
        <w:rPr>
          <w:sz w:val="16"/>
          <w:szCs w:val="16"/>
        </w:rPr>
        <w:t xml:space="preserve"> bude doplněno.</w:t>
      </w:r>
    </w:p>
  </w:footnote>
  <w:footnote w:id="3">
    <w:p w:rsidR="002F116E" w:rsidRDefault="002F116E" w:rsidP="00074F2B">
      <w:pPr>
        <w:pStyle w:val="Textpoznpodarou"/>
        <w:ind w:left="0"/>
      </w:pPr>
      <w:r>
        <w:rPr>
          <w:rStyle w:val="Znakapoznpodarou"/>
        </w:rPr>
        <w:footnoteRef/>
      </w:r>
      <w:r>
        <w:t xml:space="preserve"> </w:t>
      </w:r>
      <w:r w:rsidRPr="00BE00B1">
        <w:rPr>
          <w:sz w:val="18"/>
          <w:szCs w:val="18"/>
        </w:rPr>
        <w:t>Odkazy na strategie, legisla</w:t>
      </w:r>
      <w:r>
        <w:rPr>
          <w:sz w:val="18"/>
          <w:szCs w:val="18"/>
        </w:rPr>
        <w:t>tivní akty nebo další relevantní dokumenty obsahující odkazy na relevantní sekce, články nebo paragrafy, spolu s uvedením hypertextového odkazu nebo jiné možnosti přístupu k plnému textu</w:t>
      </w:r>
      <w:r w:rsidRPr="0018412C">
        <w:rPr>
          <w:sz w:val="18"/>
          <w:szCs w:val="18"/>
        </w:rPr>
        <w:t>)</w:t>
      </w:r>
      <w:r>
        <w:rPr>
          <w:sz w:val="18"/>
          <w:szCs w:val="18"/>
        </w:rPr>
        <w:t>.</w:t>
      </w:r>
    </w:p>
  </w:footnote>
  <w:footnote w:id="4">
    <w:p w:rsidR="002F116E" w:rsidRDefault="002F116E" w:rsidP="00074F2B">
      <w:pPr>
        <w:pStyle w:val="Textpoznpodarou"/>
        <w:ind w:left="0"/>
      </w:pPr>
      <w:r>
        <w:rPr>
          <w:rStyle w:val="Znakapoznpodarou"/>
        </w:rPr>
        <w:footnoteRef/>
      </w:r>
      <w:r>
        <w:t xml:space="preserve"> </w:t>
      </w:r>
      <w:r w:rsidRPr="00BE00B1">
        <w:rPr>
          <w:sz w:val="18"/>
          <w:szCs w:val="18"/>
        </w:rPr>
        <w:t>Odkazy na strategie, legisla</w:t>
      </w:r>
      <w:r>
        <w:rPr>
          <w:sz w:val="18"/>
          <w:szCs w:val="18"/>
        </w:rPr>
        <w:t>tivní akty nebo další relevantní dokumenty, a informace, kde mohou být nalezeny.</w:t>
      </w:r>
    </w:p>
  </w:footnote>
  <w:footnote w:id="5">
    <w:p w:rsidR="002F116E" w:rsidRPr="009A03FE" w:rsidRDefault="002F116E" w:rsidP="009A03FE">
      <w:pPr>
        <w:pStyle w:val="Textpoznpodarou"/>
        <w:ind w:left="0"/>
        <w:rPr>
          <w:sz w:val="16"/>
          <w:szCs w:val="16"/>
        </w:rPr>
      </w:pPr>
      <w:r w:rsidRPr="009A03FE">
        <w:rPr>
          <w:rStyle w:val="Znakapoznpodarou"/>
          <w:sz w:val="16"/>
          <w:szCs w:val="16"/>
        </w:rPr>
        <w:footnoteRef/>
      </w:r>
      <w:r w:rsidRPr="009A03FE">
        <w:rPr>
          <w:sz w:val="16"/>
          <w:szCs w:val="16"/>
        </w:rPr>
        <w:t xml:space="preserve"> Bude doplněno gestorem MP</w:t>
      </w:r>
      <w:r>
        <w:rPr>
          <w:sz w:val="16"/>
          <w:szCs w:val="16"/>
        </w:rPr>
        <w:t>SV</w:t>
      </w:r>
      <w:r w:rsidRPr="009A03FE">
        <w:rPr>
          <w:sz w:val="16"/>
          <w:szCs w:val="16"/>
        </w:rPr>
        <w:t>.</w:t>
      </w:r>
    </w:p>
  </w:footnote>
  <w:footnote w:id="6">
    <w:p w:rsidR="002F116E" w:rsidRDefault="002F116E" w:rsidP="009A03FE">
      <w:pPr>
        <w:pStyle w:val="Textpoznpodarou"/>
        <w:ind w:left="0"/>
      </w:pPr>
      <w:r>
        <w:rPr>
          <w:rStyle w:val="Znakapoznpodarou"/>
        </w:rPr>
        <w:footnoteRef/>
      </w:r>
      <w:r w:rsidRPr="009A03FE">
        <w:rPr>
          <w:sz w:val="16"/>
          <w:szCs w:val="16"/>
        </w:rPr>
        <w:t>Bude doplněno gestorem MPO.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AA1"/>
    <w:multiLevelType w:val="multilevel"/>
    <w:tmpl w:val="A7D0783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0612223E"/>
    <w:multiLevelType w:val="hybridMultilevel"/>
    <w:tmpl w:val="CA885EA6"/>
    <w:lvl w:ilvl="0" w:tplc="0405000F">
      <w:start w:val="1"/>
      <w:numFmt w:val="bullet"/>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AA6004"/>
    <w:multiLevelType w:val="hybridMultilevel"/>
    <w:tmpl w:val="729C5C12"/>
    <w:lvl w:ilvl="0" w:tplc="0405000F">
      <w:start w:val="1"/>
      <w:numFmt w:val="bullet"/>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836F19"/>
    <w:multiLevelType w:val="hybridMultilevel"/>
    <w:tmpl w:val="C3B44970"/>
    <w:lvl w:ilvl="0" w:tplc="4A9E03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3E5F6A"/>
    <w:multiLevelType w:val="hybridMultilevel"/>
    <w:tmpl w:val="B028A4F2"/>
    <w:lvl w:ilvl="0" w:tplc="03BA625A">
      <w:start w:val="1"/>
      <w:numFmt w:val="decimal"/>
      <w:lvlText w:val="%1."/>
      <w:lvlJc w:val="left"/>
      <w:pPr>
        <w:ind w:left="1209" w:hanging="360"/>
      </w:pPr>
      <w:rPr>
        <w:rFonts w:hint="default"/>
      </w:rPr>
    </w:lvl>
    <w:lvl w:ilvl="1" w:tplc="04050019">
      <w:start w:val="1"/>
      <w:numFmt w:val="lowerLetter"/>
      <w:lvlText w:val="%2."/>
      <w:lvlJc w:val="left"/>
      <w:pPr>
        <w:ind w:left="1929" w:hanging="360"/>
      </w:pPr>
    </w:lvl>
    <w:lvl w:ilvl="2" w:tplc="67886A3A">
      <w:numFmt w:val="bullet"/>
      <w:lvlText w:val="-"/>
      <w:lvlJc w:val="left"/>
      <w:pPr>
        <w:ind w:left="2829" w:hanging="360"/>
      </w:pPr>
      <w:rPr>
        <w:rFonts w:ascii="Calibri" w:eastAsia="Arial Unicode MS" w:hAnsi="Calibri" w:cs="Times New Roman" w:hint="default"/>
      </w:rPr>
    </w:lvl>
    <w:lvl w:ilvl="3" w:tplc="0405000F" w:tentative="1">
      <w:start w:val="1"/>
      <w:numFmt w:val="decimal"/>
      <w:lvlText w:val="%4."/>
      <w:lvlJc w:val="left"/>
      <w:pPr>
        <w:ind w:left="3369" w:hanging="360"/>
      </w:pPr>
    </w:lvl>
    <w:lvl w:ilvl="4" w:tplc="04050019" w:tentative="1">
      <w:start w:val="1"/>
      <w:numFmt w:val="lowerLetter"/>
      <w:lvlText w:val="%5."/>
      <w:lvlJc w:val="left"/>
      <w:pPr>
        <w:ind w:left="4089" w:hanging="360"/>
      </w:pPr>
    </w:lvl>
    <w:lvl w:ilvl="5" w:tplc="0405001B" w:tentative="1">
      <w:start w:val="1"/>
      <w:numFmt w:val="lowerRoman"/>
      <w:lvlText w:val="%6."/>
      <w:lvlJc w:val="right"/>
      <w:pPr>
        <w:ind w:left="4809" w:hanging="180"/>
      </w:pPr>
    </w:lvl>
    <w:lvl w:ilvl="6" w:tplc="0405000F" w:tentative="1">
      <w:start w:val="1"/>
      <w:numFmt w:val="decimal"/>
      <w:lvlText w:val="%7."/>
      <w:lvlJc w:val="left"/>
      <w:pPr>
        <w:ind w:left="5529" w:hanging="360"/>
      </w:pPr>
    </w:lvl>
    <w:lvl w:ilvl="7" w:tplc="04050019" w:tentative="1">
      <w:start w:val="1"/>
      <w:numFmt w:val="lowerLetter"/>
      <w:lvlText w:val="%8."/>
      <w:lvlJc w:val="left"/>
      <w:pPr>
        <w:ind w:left="6249" w:hanging="360"/>
      </w:pPr>
    </w:lvl>
    <w:lvl w:ilvl="8" w:tplc="0405001B" w:tentative="1">
      <w:start w:val="1"/>
      <w:numFmt w:val="lowerRoman"/>
      <w:lvlText w:val="%9."/>
      <w:lvlJc w:val="right"/>
      <w:pPr>
        <w:ind w:left="6969" w:hanging="180"/>
      </w:pPr>
    </w:lvl>
  </w:abstractNum>
  <w:abstractNum w:abstractNumId="5">
    <w:nsid w:val="14246506"/>
    <w:multiLevelType w:val="multilevel"/>
    <w:tmpl w:val="47505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8CB5EBC"/>
    <w:multiLevelType w:val="hybridMultilevel"/>
    <w:tmpl w:val="47620188"/>
    <w:lvl w:ilvl="0" w:tplc="A6F23B68">
      <w:start w:val="1"/>
      <w:numFmt w:val="bullet"/>
      <w:lvlText w:val=""/>
      <w:lvlJc w:val="left"/>
      <w:pPr>
        <w:ind w:left="720" w:hanging="360"/>
      </w:pPr>
      <w:rPr>
        <w:rFonts w:ascii="Symbol" w:hAnsi="Symbol" w:hint="default"/>
        <w:sz w:val="12"/>
        <w:szCs w:val="12"/>
      </w:rPr>
    </w:lvl>
    <w:lvl w:ilvl="1" w:tplc="7AFA661E" w:tentative="1">
      <w:start w:val="1"/>
      <w:numFmt w:val="bullet"/>
      <w:lvlText w:val="o"/>
      <w:lvlJc w:val="left"/>
      <w:pPr>
        <w:ind w:left="1440" w:hanging="360"/>
      </w:pPr>
      <w:rPr>
        <w:rFonts w:ascii="Courier New" w:hAnsi="Courier New" w:cs="Courier New" w:hint="default"/>
      </w:rPr>
    </w:lvl>
    <w:lvl w:ilvl="2" w:tplc="E7809BE6" w:tentative="1">
      <w:start w:val="1"/>
      <w:numFmt w:val="bullet"/>
      <w:lvlText w:val=""/>
      <w:lvlJc w:val="left"/>
      <w:pPr>
        <w:ind w:left="2160" w:hanging="360"/>
      </w:pPr>
      <w:rPr>
        <w:rFonts w:ascii="Wingdings" w:hAnsi="Wingdings" w:hint="default"/>
      </w:rPr>
    </w:lvl>
    <w:lvl w:ilvl="3" w:tplc="4CEE985C" w:tentative="1">
      <w:start w:val="1"/>
      <w:numFmt w:val="bullet"/>
      <w:lvlText w:val=""/>
      <w:lvlJc w:val="left"/>
      <w:pPr>
        <w:ind w:left="2880" w:hanging="360"/>
      </w:pPr>
      <w:rPr>
        <w:rFonts w:ascii="Symbol" w:hAnsi="Symbol" w:hint="default"/>
      </w:rPr>
    </w:lvl>
    <w:lvl w:ilvl="4" w:tplc="7B76E9BE" w:tentative="1">
      <w:start w:val="1"/>
      <w:numFmt w:val="bullet"/>
      <w:lvlText w:val="o"/>
      <w:lvlJc w:val="left"/>
      <w:pPr>
        <w:ind w:left="3600" w:hanging="360"/>
      </w:pPr>
      <w:rPr>
        <w:rFonts w:ascii="Courier New" w:hAnsi="Courier New" w:cs="Courier New" w:hint="default"/>
      </w:rPr>
    </w:lvl>
    <w:lvl w:ilvl="5" w:tplc="D4DA2988" w:tentative="1">
      <w:start w:val="1"/>
      <w:numFmt w:val="bullet"/>
      <w:lvlText w:val=""/>
      <w:lvlJc w:val="left"/>
      <w:pPr>
        <w:ind w:left="4320" w:hanging="360"/>
      </w:pPr>
      <w:rPr>
        <w:rFonts w:ascii="Wingdings" w:hAnsi="Wingdings" w:hint="default"/>
      </w:rPr>
    </w:lvl>
    <w:lvl w:ilvl="6" w:tplc="BDF84658" w:tentative="1">
      <w:start w:val="1"/>
      <w:numFmt w:val="bullet"/>
      <w:lvlText w:val=""/>
      <w:lvlJc w:val="left"/>
      <w:pPr>
        <w:ind w:left="5040" w:hanging="360"/>
      </w:pPr>
      <w:rPr>
        <w:rFonts w:ascii="Symbol" w:hAnsi="Symbol" w:hint="default"/>
      </w:rPr>
    </w:lvl>
    <w:lvl w:ilvl="7" w:tplc="33C68376" w:tentative="1">
      <w:start w:val="1"/>
      <w:numFmt w:val="bullet"/>
      <w:lvlText w:val="o"/>
      <w:lvlJc w:val="left"/>
      <w:pPr>
        <w:ind w:left="5760" w:hanging="360"/>
      </w:pPr>
      <w:rPr>
        <w:rFonts w:ascii="Courier New" w:hAnsi="Courier New" w:cs="Courier New" w:hint="default"/>
      </w:rPr>
    </w:lvl>
    <w:lvl w:ilvl="8" w:tplc="EB407E3A" w:tentative="1">
      <w:start w:val="1"/>
      <w:numFmt w:val="bullet"/>
      <w:lvlText w:val=""/>
      <w:lvlJc w:val="left"/>
      <w:pPr>
        <w:ind w:left="6480" w:hanging="360"/>
      </w:pPr>
      <w:rPr>
        <w:rFonts w:ascii="Wingdings" w:hAnsi="Wingdings" w:hint="default"/>
      </w:rPr>
    </w:lvl>
  </w:abstractNum>
  <w:abstractNum w:abstractNumId="7">
    <w:nsid w:val="1A0039CC"/>
    <w:multiLevelType w:val="hybridMultilevel"/>
    <w:tmpl w:val="E8767B7C"/>
    <w:lvl w:ilvl="0" w:tplc="062AE486">
      <w:start w:val="1"/>
      <w:numFmt w:val="bullet"/>
      <w:lvlText w:val=""/>
      <w:lvlJc w:val="left"/>
      <w:pPr>
        <w:ind w:left="720" w:hanging="360"/>
      </w:pPr>
      <w:rPr>
        <w:rFonts w:ascii="Symbol" w:hAnsi="Symbol"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BA7CEE"/>
    <w:multiLevelType w:val="hybridMultilevel"/>
    <w:tmpl w:val="7F2C1C16"/>
    <w:lvl w:ilvl="0" w:tplc="B9F80F5C">
      <w:start w:val="1"/>
      <w:numFmt w:val="bullet"/>
      <w:lvlText w:val=""/>
      <w:lvlJc w:val="left"/>
      <w:pPr>
        <w:ind w:left="720" w:hanging="360"/>
      </w:pPr>
      <w:rPr>
        <w:rFonts w:ascii="Symbol" w:hAnsi="Symbol" w:hint="default"/>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CC55B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635271"/>
    <w:multiLevelType w:val="hybridMultilevel"/>
    <w:tmpl w:val="E29878E2"/>
    <w:lvl w:ilvl="0" w:tplc="0405000F">
      <w:start w:val="1"/>
      <w:numFmt w:val="bullet"/>
      <w:lvlText w:val=""/>
      <w:lvlJc w:val="left"/>
      <w:pPr>
        <w:ind w:left="792" w:hanging="360"/>
      </w:pPr>
      <w:rPr>
        <w:rFonts w:ascii="Symbol" w:hAnsi="Symbol" w:cs="Symbol" w:hint="default"/>
        <w:color w:val="auto"/>
        <w:sz w:val="14"/>
        <w:szCs w:val="14"/>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1">
    <w:nsid w:val="24AD36CC"/>
    <w:multiLevelType w:val="hybridMultilevel"/>
    <w:tmpl w:val="DDC8EEC6"/>
    <w:lvl w:ilvl="0" w:tplc="04050019">
      <w:start w:val="1"/>
      <w:numFmt w:val="lowerLetter"/>
      <w:lvlText w:val="%1."/>
      <w:lvlJc w:val="left"/>
      <w:pPr>
        <w:ind w:left="1929" w:hanging="360"/>
      </w:pPr>
    </w:lvl>
    <w:lvl w:ilvl="1" w:tplc="04050019" w:tentative="1">
      <w:start w:val="1"/>
      <w:numFmt w:val="lowerLetter"/>
      <w:lvlText w:val="%2."/>
      <w:lvlJc w:val="left"/>
      <w:pPr>
        <w:ind w:left="2649" w:hanging="360"/>
      </w:pPr>
    </w:lvl>
    <w:lvl w:ilvl="2" w:tplc="0405001B" w:tentative="1">
      <w:start w:val="1"/>
      <w:numFmt w:val="lowerRoman"/>
      <w:lvlText w:val="%3."/>
      <w:lvlJc w:val="right"/>
      <w:pPr>
        <w:ind w:left="3369" w:hanging="180"/>
      </w:pPr>
    </w:lvl>
    <w:lvl w:ilvl="3" w:tplc="0405000F" w:tentative="1">
      <w:start w:val="1"/>
      <w:numFmt w:val="decimal"/>
      <w:lvlText w:val="%4."/>
      <w:lvlJc w:val="left"/>
      <w:pPr>
        <w:ind w:left="4089" w:hanging="360"/>
      </w:pPr>
    </w:lvl>
    <w:lvl w:ilvl="4" w:tplc="04050019" w:tentative="1">
      <w:start w:val="1"/>
      <w:numFmt w:val="lowerLetter"/>
      <w:lvlText w:val="%5."/>
      <w:lvlJc w:val="left"/>
      <w:pPr>
        <w:ind w:left="4809" w:hanging="360"/>
      </w:pPr>
    </w:lvl>
    <w:lvl w:ilvl="5" w:tplc="0405001B" w:tentative="1">
      <w:start w:val="1"/>
      <w:numFmt w:val="lowerRoman"/>
      <w:lvlText w:val="%6."/>
      <w:lvlJc w:val="right"/>
      <w:pPr>
        <w:ind w:left="5529" w:hanging="180"/>
      </w:pPr>
    </w:lvl>
    <w:lvl w:ilvl="6" w:tplc="0405000F" w:tentative="1">
      <w:start w:val="1"/>
      <w:numFmt w:val="decimal"/>
      <w:lvlText w:val="%7."/>
      <w:lvlJc w:val="left"/>
      <w:pPr>
        <w:ind w:left="6249" w:hanging="360"/>
      </w:pPr>
    </w:lvl>
    <w:lvl w:ilvl="7" w:tplc="04050019" w:tentative="1">
      <w:start w:val="1"/>
      <w:numFmt w:val="lowerLetter"/>
      <w:lvlText w:val="%8."/>
      <w:lvlJc w:val="left"/>
      <w:pPr>
        <w:ind w:left="6969" w:hanging="360"/>
      </w:pPr>
    </w:lvl>
    <w:lvl w:ilvl="8" w:tplc="0405001B" w:tentative="1">
      <w:start w:val="1"/>
      <w:numFmt w:val="lowerRoman"/>
      <w:lvlText w:val="%9."/>
      <w:lvlJc w:val="right"/>
      <w:pPr>
        <w:ind w:left="7689" w:hanging="180"/>
      </w:pPr>
    </w:lvl>
  </w:abstractNum>
  <w:abstractNum w:abstractNumId="12">
    <w:nsid w:val="2AF70A4F"/>
    <w:multiLevelType w:val="hybridMultilevel"/>
    <w:tmpl w:val="45927540"/>
    <w:lvl w:ilvl="0" w:tplc="0405000F">
      <w:start w:val="1"/>
      <w:numFmt w:val="bullet"/>
      <w:lvlText w:val=""/>
      <w:lvlJc w:val="left"/>
      <w:pPr>
        <w:ind w:left="842" w:hanging="360"/>
      </w:pPr>
      <w:rPr>
        <w:rFonts w:ascii="Symbol" w:hAnsi="Symbol" w:cs="Symbol" w:hint="default"/>
        <w:color w:val="auto"/>
        <w:sz w:val="14"/>
        <w:szCs w:val="14"/>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13">
    <w:nsid w:val="31304484"/>
    <w:multiLevelType w:val="hybridMultilevel"/>
    <w:tmpl w:val="9B92D522"/>
    <w:lvl w:ilvl="0" w:tplc="062AE486">
      <w:start w:val="1"/>
      <w:numFmt w:val="bullet"/>
      <w:lvlText w:val=""/>
      <w:lvlJc w:val="left"/>
      <w:pPr>
        <w:tabs>
          <w:tab w:val="num" w:pos="720"/>
        </w:tabs>
        <w:ind w:left="720" w:hanging="360"/>
      </w:pPr>
      <w:rPr>
        <w:rFonts w:ascii="Symbol" w:hAnsi="Symbol" w:hint="default"/>
        <w:color w:val="365F91" w:themeColor="accent1" w:themeShade="BF"/>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3417590"/>
    <w:multiLevelType w:val="hybridMultilevel"/>
    <w:tmpl w:val="C6ECD8D6"/>
    <w:lvl w:ilvl="0" w:tplc="0405000F">
      <w:start w:val="1"/>
      <w:numFmt w:val="bullet"/>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A736C9"/>
    <w:multiLevelType w:val="singleLevel"/>
    <w:tmpl w:val="9BD81856"/>
    <w:lvl w:ilvl="0">
      <w:start w:val="1"/>
      <w:numFmt w:val="bullet"/>
      <w:lvlRestart w:val="0"/>
      <w:pStyle w:val="Tiret0"/>
      <w:lvlText w:val="–"/>
      <w:lvlJc w:val="left"/>
      <w:pPr>
        <w:tabs>
          <w:tab w:val="num" w:pos="850"/>
        </w:tabs>
        <w:ind w:left="850" w:hanging="850"/>
      </w:pPr>
    </w:lvl>
  </w:abstractNum>
  <w:abstractNum w:abstractNumId="16">
    <w:nsid w:val="4E321ECA"/>
    <w:multiLevelType w:val="hybridMultilevel"/>
    <w:tmpl w:val="B0C4F156"/>
    <w:lvl w:ilvl="0" w:tplc="2E8CFD14">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FAF4101"/>
    <w:multiLevelType w:val="multilevel"/>
    <w:tmpl w:val="47505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B5C33CB"/>
    <w:multiLevelType w:val="hybridMultilevel"/>
    <w:tmpl w:val="5D480E04"/>
    <w:lvl w:ilvl="0" w:tplc="6BBA3BA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1B65C7B"/>
    <w:multiLevelType w:val="hybridMultilevel"/>
    <w:tmpl w:val="2D48A09A"/>
    <w:lvl w:ilvl="0" w:tplc="0405000F">
      <w:start w:val="1"/>
      <w:numFmt w:val="bullet"/>
      <w:lvlText w:val=""/>
      <w:lvlJc w:val="left"/>
      <w:pPr>
        <w:ind w:left="842" w:hanging="360"/>
      </w:pPr>
      <w:rPr>
        <w:rFonts w:ascii="Symbol" w:hAnsi="Symbol" w:cs="Symbol" w:hint="default"/>
        <w:color w:val="auto"/>
        <w:sz w:val="14"/>
        <w:szCs w:val="14"/>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20">
    <w:nsid w:val="63033B44"/>
    <w:multiLevelType w:val="hybridMultilevel"/>
    <w:tmpl w:val="35488302"/>
    <w:lvl w:ilvl="0" w:tplc="7C3471B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2">
    <w:nsid w:val="679C2865"/>
    <w:multiLevelType w:val="hybridMultilevel"/>
    <w:tmpl w:val="AA7002A2"/>
    <w:lvl w:ilvl="0" w:tplc="0405000F">
      <w:start w:val="1"/>
      <w:numFmt w:val="bullet"/>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AC8554A"/>
    <w:multiLevelType w:val="hybridMultilevel"/>
    <w:tmpl w:val="691E0614"/>
    <w:lvl w:ilvl="0" w:tplc="2E8CFD14">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A48694F"/>
    <w:multiLevelType w:val="hybridMultilevel"/>
    <w:tmpl w:val="76505314"/>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63CAAD5C"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5">
    <w:nsid w:val="7B9259C0"/>
    <w:multiLevelType w:val="hybridMultilevel"/>
    <w:tmpl w:val="C2BC5084"/>
    <w:lvl w:ilvl="0" w:tplc="0405000F">
      <w:start w:val="1"/>
      <w:numFmt w:val="bullet"/>
      <w:lvlText w:val=""/>
      <w:lvlJc w:val="left"/>
      <w:pPr>
        <w:ind w:left="842" w:hanging="360"/>
      </w:pPr>
      <w:rPr>
        <w:rFonts w:ascii="Symbol" w:hAnsi="Symbol" w:cs="Symbol" w:hint="default"/>
        <w:color w:val="auto"/>
        <w:sz w:val="14"/>
        <w:szCs w:val="14"/>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26">
    <w:nsid w:val="7ED16867"/>
    <w:multiLevelType w:val="hybridMultilevel"/>
    <w:tmpl w:val="07E061C8"/>
    <w:lvl w:ilvl="0" w:tplc="4A9E03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F8734FD"/>
    <w:multiLevelType w:val="hybridMultilevel"/>
    <w:tmpl w:val="ECECC972"/>
    <w:lvl w:ilvl="0" w:tplc="A9FCAFFE">
      <w:start w:val="1"/>
      <w:numFmt w:val="bullet"/>
      <w:lvlText w:val=""/>
      <w:lvlJc w:val="left"/>
      <w:pPr>
        <w:ind w:left="720" w:hanging="360"/>
      </w:pPr>
      <w:rPr>
        <w:rFonts w:ascii="Symbol" w:hAnsi="Symbol" w:hint="default"/>
      </w:rPr>
    </w:lvl>
    <w:lvl w:ilvl="1" w:tplc="04050003">
      <w:start w:val="1"/>
      <w:numFmt w:val="bullet"/>
      <w:pStyle w:val="Nadpis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6"/>
  </w:num>
  <w:num w:numId="4">
    <w:abstractNumId w:val="13"/>
  </w:num>
  <w:num w:numId="5">
    <w:abstractNumId w:val="27"/>
  </w:num>
  <w:num w:numId="6">
    <w:abstractNumId w:val="27"/>
  </w:num>
  <w:num w:numId="7">
    <w:abstractNumId w:val="27"/>
  </w:num>
  <w:num w:numId="8">
    <w:abstractNumId w:val="27"/>
  </w:num>
  <w:num w:numId="9">
    <w:abstractNumId w:val="18"/>
  </w:num>
  <w:num w:numId="10">
    <w:abstractNumId w:val="6"/>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7"/>
  </w:num>
  <w:num w:numId="14">
    <w:abstractNumId w:val="27"/>
  </w:num>
  <w:num w:numId="15">
    <w:abstractNumId w:val="27"/>
  </w:num>
  <w:num w:numId="16">
    <w:abstractNumId w:val="27"/>
  </w:num>
  <w:num w:numId="17">
    <w:abstractNumId w:val="27"/>
  </w:num>
  <w:num w:numId="18">
    <w:abstractNumId w:val="17"/>
  </w:num>
  <w:num w:numId="19">
    <w:abstractNumId w:val="27"/>
  </w:num>
  <w:num w:numId="20">
    <w:abstractNumId w:val="27"/>
  </w:num>
  <w:num w:numId="21">
    <w:abstractNumId w:val="27"/>
  </w:num>
  <w:num w:numId="22">
    <w:abstractNumId w:val="27"/>
  </w:num>
  <w:num w:numId="23">
    <w:abstractNumId w:val="0"/>
  </w:num>
  <w:num w:numId="24">
    <w:abstractNumId w:val="3"/>
  </w:num>
  <w:num w:numId="25">
    <w:abstractNumId w:val="23"/>
  </w:num>
  <w:num w:numId="26">
    <w:abstractNumId w:val="15"/>
  </w:num>
  <w:num w:numId="27">
    <w:abstractNumId w:val="21"/>
  </w:num>
  <w:num w:numId="28">
    <w:abstractNumId w:val="2"/>
  </w:num>
  <w:num w:numId="29">
    <w:abstractNumId w:val="10"/>
  </w:num>
  <w:num w:numId="30">
    <w:abstractNumId w:val="14"/>
  </w:num>
  <w:num w:numId="31">
    <w:abstractNumId w:val="12"/>
  </w:num>
  <w:num w:numId="32">
    <w:abstractNumId w:val="19"/>
  </w:num>
  <w:num w:numId="33">
    <w:abstractNumId w:val="1"/>
  </w:num>
  <w:num w:numId="34">
    <w:abstractNumId w:val="25"/>
  </w:num>
  <w:num w:numId="35">
    <w:abstractNumId w:val="22"/>
  </w:num>
  <w:num w:numId="36">
    <w:abstractNumId w:val="24"/>
  </w:num>
  <w:num w:numId="37">
    <w:abstractNumId w:val="4"/>
  </w:num>
  <w:num w:numId="38">
    <w:abstractNumId w:val="11"/>
  </w:num>
  <w:num w:numId="39">
    <w:abstractNumId w:val="9"/>
  </w:num>
  <w:num w:numId="40">
    <w:abstractNumId w:val="27"/>
  </w:num>
  <w:num w:numId="41">
    <w:abstractNumId w:val="8"/>
  </w:num>
  <w:num w:numId="42">
    <w:abstractNumId w:val="26"/>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A94858"/>
    <w:rsid w:val="00000379"/>
    <w:rsid w:val="000014E6"/>
    <w:rsid w:val="00005659"/>
    <w:rsid w:val="00005AF5"/>
    <w:rsid w:val="00006F03"/>
    <w:rsid w:val="00011C79"/>
    <w:rsid w:val="000121F0"/>
    <w:rsid w:val="00013F69"/>
    <w:rsid w:val="0001494C"/>
    <w:rsid w:val="0002088C"/>
    <w:rsid w:val="00020E9B"/>
    <w:rsid w:val="00022972"/>
    <w:rsid w:val="000269A2"/>
    <w:rsid w:val="0002704D"/>
    <w:rsid w:val="000324A2"/>
    <w:rsid w:val="0003320D"/>
    <w:rsid w:val="00034512"/>
    <w:rsid w:val="00042A5D"/>
    <w:rsid w:val="00043A4C"/>
    <w:rsid w:val="000451C5"/>
    <w:rsid w:val="0004536D"/>
    <w:rsid w:val="000455AC"/>
    <w:rsid w:val="000456C0"/>
    <w:rsid w:val="000465AB"/>
    <w:rsid w:val="000500D2"/>
    <w:rsid w:val="00050D20"/>
    <w:rsid w:val="00051672"/>
    <w:rsid w:val="00052FA2"/>
    <w:rsid w:val="00055255"/>
    <w:rsid w:val="00057A7D"/>
    <w:rsid w:val="00057F77"/>
    <w:rsid w:val="00061F67"/>
    <w:rsid w:val="00065994"/>
    <w:rsid w:val="000724A9"/>
    <w:rsid w:val="0007305B"/>
    <w:rsid w:val="00073DFA"/>
    <w:rsid w:val="000740FE"/>
    <w:rsid w:val="00074A2E"/>
    <w:rsid w:val="00074F2B"/>
    <w:rsid w:val="00075F1B"/>
    <w:rsid w:val="0007648A"/>
    <w:rsid w:val="00080A8D"/>
    <w:rsid w:val="000813C2"/>
    <w:rsid w:val="00083302"/>
    <w:rsid w:val="0008335A"/>
    <w:rsid w:val="00091BCC"/>
    <w:rsid w:val="0009569B"/>
    <w:rsid w:val="000965A2"/>
    <w:rsid w:val="000973D4"/>
    <w:rsid w:val="000A0CD4"/>
    <w:rsid w:val="000A5743"/>
    <w:rsid w:val="000A66AB"/>
    <w:rsid w:val="000B1776"/>
    <w:rsid w:val="000B48AD"/>
    <w:rsid w:val="000B71C1"/>
    <w:rsid w:val="000C0E01"/>
    <w:rsid w:val="000C1628"/>
    <w:rsid w:val="000C1B6D"/>
    <w:rsid w:val="000C306F"/>
    <w:rsid w:val="000C40A8"/>
    <w:rsid w:val="000C6E46"/>
    <w:rsid w:val="000C7D94"/>
    <w:rsid w:val="000D0073"/>
    <w:rsid w:val="000D22E5"/>
    <w:rsid w:val="000D2C50"/>
    <w:rsid w:val="000E4789"/>
    <w:rsid w:val="000E626C"/>
    <w:rsid w:val="000E7929"/>
    <w:rsid w:val="000F161F"/>
    <w:rsid w:val="000F62DB"/>
    <w:rsid w:val="00100DB1"/>
    <w:rsid w:val="00103FF4"/>
    <w:rsid w:val="0010577F"/>
    <w:rsid w:val="00105C33"/>
    <w:rsid w:val="00106F89"/>
    <w:rsid w:val="0011149A"/>
    <w:rsid w:val="00115517"/>
    <w:rsid w:val="00117C43"/>
    <w:rsid w:val="0012172B"/>
    <w:rsid w:val="00124EA1"/>
    <w:rsid w:val="00126397"/>
    <w:rsid w:val="00126F26"/>
    <w:rsid w:val="00126FFD"/>
    <w:rsid w:val="00130577"/>
    <w:rsid w:val="00130B4B"/>
    <w:rsid w:val="001329F8"/>
    <w:rsid w:val="00133784"/>
    <w:rsid w:val="001359A8"/>
    <w:rsid w:val="0013794C"/>
    <w:rsid w:val="00137A98"/>
    <w:rsid w:val="00137D07"/>
    <w:rsid w:val="001415AB"/>
    <w:rsid w:val="0014162D"/>
    <w:rsid w:val="00141CBB"/>
    <w:rsid w:val="00144A3B"/>
    <w:rsid w:val="001476EF"/>
    <w:rsid w:val="00150586"/>
    <w:rsid w:val="00150BCE"/>
    <w:rsid w:val="00151EA7"/>
    <w:rsid w:val="00153CE3"/>
    <w:rsid w:val="00155A15"/>
    <w:rsid w:val="00155EC5"/>
    <w:rsid w:val="00155F31"/>
    <w:rsid w:val="00157A27"/>
    <w:rsid w:val="00162ECA"/>
    <w:rsid w:val="00166E2F"/>
    <w:rsid w:val="001703EB"/>
    <w:rsid w:val="00171191"/>
    <w:rsid w:val="00172F6C"/>
    <w:rsid w:val="00175A0E"/>
    <w:rsid w:val="00175FC4"/>
    <w:rsid w:val="001768A6"/>
    <w:rsid w:val="0017715A"/>
    <w:rsid w:val="001774CB"/>
    <w:rsid w:val="001805D3"/>
    <w:rsid w:val="00181EEE"/>
    <w:rsid w:val="001823DF"/>
    <w:rsid w:val="0018306D"/>
    <w:rsid w:val="00183B61"/>
    <w:rsid w:val="00183D91"/>
    <w:rsid w:val="0018747C"/>
    <w:rsid w:val="00191EF1"/>
    <w:rsid w:val="00194866"/>
    <w:rsid w:val="00195FA2"/>
    <w:rsid w:val="001A1225"/>
    <w:rsid w:val="001A5A8E"/>
    <w:rsid w:val="001A626E"/>
    <w:rsid w:val="001B1863"/>
    <w:rsid w:val="001B3099"/>
    <w:rsid w:val="001B44A5"/>
    <w:rsid w:val="001B60E6"/>
    <w:rsid w:val="001B6420"/>
    <w:rsid w:val="001C11D4"/>
    <w:rsid w:val="001C1366"/>
    <w:rsid w:val="001C19AC"/>
    <w:rsid w:val="001C1DBD"/>
    <w:rsid w:val="001C3B24"/>
    <w:rsid w:val="001C49EC"/>
    <w:rsid w:val="001C4B97"/>
    <w:rsid w:val="001C5D05"/>
    <w:rsid w:val="001C5F6D"/>
    <w:rsid w:val="001D368B"/>
    <w:rsid w:val="001D37F1"/>
    <w:rsid w:val="001D4B4E"/>
    <w:rsid w:val="001D4BAC"/>
    <w:rsid w:val="001D5C31"/>
    <w:rsid w:val="001D70B5"/>
    <w:rsid w:val="001D7473"/>
    <w:rsid w:val="001D7C47"/>
    <w:rsid w:val="001E05B9"/>
    <w:rsid w:val="001E1BFC"/>
    <w:rsid w:val="001E2448"/>
    <w:rsid w:val="001E2507"/>
    <w:rsid w:val="001E3896"/>
    <w:rsid w:val="001E4C13"/>
    <w:rsid w:val="001E5BFE"/>
    <w:rsid w:val="001E6243"/>
    <w:rsid w:val="001E6B47"/>
    <w:rsid w:val="001F1711"/>
    <w:rsid w:val="001F48FF"/>
    <w:rsid w:val="001F51C9"/>
    <w:rsid w:val="001F5857"/>
    <w:rsid w:val="001F6306"/>
    <w:rsid w:val="00200BDC"/>
    <w:rsid w:val="0020212E"/>
    <w:rsid w:val="002040B2"/>
    <w:rsid w:val="00204438"/>
    <w:rsid w:val="00205251"/>
    <w:rsid w:val="0020701F"/>
    <w:rsid w:val="00210E8F"/>
    <w:rsid w:val="0021450C"/>
    <w:rsid w:val="002146F4"/>
    <w:rsid w:val="00214C70"/>
    <w:rsid w:val="0022029A"/>
    <w:rsid w:val="00224E0B"/>
    <w:rsid w:val="00226450"/>
    <w:rsid w:val="00227DDC"/>
    <w:rsid w:val="002308D9"/>
    <w:rsid w:val="002309C5"/>
    <w:rsid w:val="00234158"/>
    <w:rsid w:val="002400F4"/>
    <w:rsid w:val="0024078F"/>
    <w:rsid w:val="0024120E"/>
    <w:rsid w:val="002428F3"/>
    <w:rsid w:val="0024630A"/>
    <w:rsid w:val="002466B4"/>
    <w:rsid w:val="002503D5"/>
    <w:rsid w:val="00250C23"/>
    <w:rsid w:val="00252353"/>
    <w:rsid w:val="002525BF"/>
    <w:rsid w:val="002532C7"/>
    <w:rsid w:val="002534B3"/>
    <w:rsid w:val="00253F6A"/>
    <w:rsid w:val="002549DF"/>
    <w:rsid w:val="00255967"/>
    <w:rsid w:val="00262A7E"/>
    <w:rsid w:val="00262CEC"/>
    <w:rsid w:val="002652EE"/>
    <w:rsid w:val="002656F3"/>
    <w:rsid w:val="002701D7"/>
    <w:rsid w:val="0027316C"/>
    <w:rsid w:val="0027460F"/>
    <w:rsid w:val="00274996"/>
    <w:rsid w:val="00274ADD"/>
    <w:rsid w:val="0027669E"/>
    <w:rsid w:val="0028137B"/>
    <w:rsid w:val="002821AE"/>
    <w:rsid w:val="00282CAF"/>
    <w:rsid w:val="00282FFB"/>
    <w:rsid w:val="002831A4"/>
    <w:rsid w:val="00283308"/>
    <w:rsid w:val="0029077A"/>
    <w:rsid w:val="00291D0D"/>
    <w:rsid w:val="00292B79"/>
    <w:rsid w:val="00294AB5"/>
    <w:rsid w:val="0029532C"/>
    <w:rsid w:val="00296C40"/>
    <w:rsid w:val="00297B33"/>
    <w:rsid w:val="00297CC1"/>
    <w:rsid w:val="002A0950"/>
    <w:rsid w:val="002A0E13"/>
    <w:rsid w:val="002A3BED"/>
    <w:rsid w:val="002A488B"/>
    <w:rsid w:val="002A4BC3"/>
    <w:rsid w:val="002A5117"/>
    <w:rsid w:val="002A54A5"/>
    <w:rsid w:val="002A644A"/>
    <w:rsid w:val="002A7C1C"/>
    <w:rsid w:val="002B036A"/>
    <w:rsid w:val="002B06DC"/>
    <w:rsid w:val="002B18DC"/>
    <w:rsid w:val="002B2570"/>
    <w:rsid w:val="002B6821"/>
    <w:rsid w:val="002B7FF4"/>
    <w:rsid w:val="002C0397"/>
    <w:rsid w:val="002C4123"/>
    <w:rsid w:val="002C44B9"/>
    <w:rsid w:val="002C5926"/>
    <w:rsid w:val="002C731C"/>
    <w:rsid w:val="002D1381"/>
    <w:rsid w:val="002D3794"/>
    <w:rsid w:val="002D3A98"/>
    <w:rsid w:val="002D4006"/>
    <w:rsid w:val="002D6E8B"/>
    <w:rsid w:val="002E1936"/>
    <w:rsid w:val="002E2F52"/>
    <w:rsid w:val="002E32C1"/>
    <w:rsid w:val="002E34DE"/>
    <w:rsid w:val="002E39AA"/>
    <w:rsid w:val="002E3AA6"/>
    <w:rsid w:val="002E4C3B"/>
    <w:rsid w:val="002F00FB"/>
    <w:rsid w:val="002F0995"/>
    <w:rsid w:val="002F116E"/>
    <w:rsid w:val="002F23EF"/>
    <w:rsid w:val="002F3F6C"/>
    <w:rsid w:val="002F4715"/>
    <w:rsid w:val="002F474E"/>
    <w:rsid w:val="002F5237"/>
    <w:rsid w:val="002F7622"/>
    <w:rsid w:val="002F7F6A"/>
    <w:rsid w:val="00300BC6"/>
    <w:rsid w:val="0030428A"/>
    <w:rsid w:val="00306EB5"/>
    <w:rsid w:val="00307756"/>
    <w:rsid w:val="00307E91"/>
    <w:rsid w:val="00310BC6"/>
    <w:rsid w:val="00311372"/>
    <w:rsid w:val="0031300C"/>
    <w:rsid w:val="00320FB3"/>
    <w:rsid w:val="00322801"/>
    <w:rsid w:val="003229DC"/>
    <w:rsid w:val="00325037"/>
    <w:rsid w:val="0032518E"/>
    <w:rsid w:val="003257AA"/>
    <w:rsid w:val="00326725"/>
    <w:rsid w:val="00327CE9"/>
    <w:rsid w:val="00336DF6"/>
    <w:rsid w:val="003415BE"/>
    <w:rsid w:val="003428C0"/>
    <w:rsid w:val="00342F8D"/>
    <w:rsid w:val="0034465C"/>
    <w:rsid w:val="0034679F"/>
    <w:rsid w:val="00350B0B"/>
    <w:rsid w:val="00350C72"/>
    <w:rsid w:val="003523ED"/>
    <w:rsid w:val="00352965"/>
    <w:rsid w:val="003556B1"/>
    <w:rsid w:val="00355A61"/>
    <w:rsid w:val="003617B8"/>
    <w:rsid w:val="00361F02"/>
    <w:rsid w:val="00363080"/>
    <w:rsid w:val="0036433B"/>
    <w:rsid w:val="00366C05"/>
    <w:rsid w:val="00370449"/>
    <w:rsid w:val="00373DD0"/>
    <w:rsid w:val="003746A0"/>
    <w:rsid w:val="0037582F"/>
    <w:rsid w:val="00375DCE"/>
    <w:rsid w:val="00375EB5"/>
    <w:rsid w:val="00376150"/>
    <w:rsid w:val="00380FD7"/>
    <w:rsid w:val="003820CF"/>
    <w:rsid w:val="003824A7"/>
    <w:rsid w:val="003860C3"/>
    <w:rsid w:val="00387146"/>
    <w:rsid w:val="00390755"/>
    <w:rsid w:val="0039141D"/>
    <w:rsid w:val="00391561"/>
    <w:rsid w:val="0039468A"/>
    <w:rsid w:val="0039527E"/>
    <w:rsid w:val="0039758C"/>
    <w:rsid w:val="00397A4A"/>
    <w:rsid w:val="003A37E2"/>
    <w:rsid w:val="003A382C"/>
    <w:rsid w:val="003A3B6D"/>
    <w:rsid w:val="003A745E"/>
    <w:rsid w:val="003A7A83"/>
    <w:rsid w:val="003B017C"/>
    <w:rsid w:val="003B2B4C"/>
    <w:rsid w:val="003B76EC"/>
    <w:rsid w:val="003C0634"/>
    <w:rsid w:val="003C2BC9"/>
    <w:rsid w:val="003C2F29"/>
    <w:rsid w:val="003C55E3"/>
    <w:rsid w:val="003C7C5C"/>
    <w:rsid w:val="003D0F31"/>
    <w:rsid w:val="003D3C90"/>
    <w:rsid w:val="003D4E03"/>
    <w:rsid w:val="003D59C5"/>
    <w:rsid w:val="003D7994"/>
    <w:rsid w:val="003D7FBE"/>
    <w:rsid w:val="003E0C56"/>
    <w:rsid w:val="003E2761"/>
    <w:rsid w:val="003E5B63"/>
    <w:rsid w:val="003E7608"/>
    <w:rsid w:val="003E785E"/>
    <w:rsid w:val="003F2452"/>
    <w:rsid w:val="003F541A"/>
    <w:rsid w:val="00402BC0"/>
    <w:rsid w:val="004056C6"/>
    <w:rsid w:val="004107D4"/>
    <w:rsid w:val="00410A0C"/>
    <w:rsid w:val="00415CD0"/>
    <w:rsid w:val="004176DC"/>
    <w:rsid w:val="004231D1"/>
    <w:rsid w:val="004236BA"/>
    <w:rsid w:val="00426434"/>
    <w:rsid w:val="00426A4D"/>
    <w:rsid w:val="00433A7F"/>
    <w:rsid w:val="00435BC0"/>
    <w:rsid w:val="00440AD6"/>
    <w:rsid w:val="0044100B"/>
    <w:rsid w:val="00442B21"/>
    <w:rsid w:val="00443857"/>
    <w:rsid w:val="00444AD8"/>
    <w:rsid w:val="00452452"/>
    <w:rsid w:val="00452610"/>
    <w:rsid w:val="00453EEB"/>
    <w:rsid w:val="004556B9"/>
    <w:rsid w:val="00456DB7"/>
    <w:rsid w:val="00457624"/>
    <w:rsid w:val="00464741"/>
    <w:rsid w:val="00475141"/>
    <w:rsid w:val="0048144E"/>
    <w:rsid w:val="00482960"/>
    <w:rsid w:val="004829DA"/>
    <w:rsid w:val="00482F4B"/>
    <w:rsid w:val="004844E2"/>
    <w:rsid w:val="00484B1F"/>
    <w:rsid w:val="0048600E"/>
    <w:rsid w:val="004871EE"/>
    <w:rsid w:val="00487538"/>
    <w:rsid w:val="00491B14"/>
    <w:rsid w:val="004A2EDE"/>
    <w:rsid w:val="004A4163"/>
    <w:rsid w:val="004A481C"/>
    <w:rsid w:val="004A732B"/>
    <w:rsid w:val="004B0D4D"/>
    <w:rsid w:val="004B0EAD"/>
    <w:rsid w:val="004B1F1F"/>
    <w:rsid w:val="004B2B04"/>
    <w:rsid w:val="004B5E8D"/>
    <w:rsid w:val="004B7667"/>
    <w:rsid w:val="004C0C16"/>
    <w:rsid w:val="004C15A8"/>
    <w:rsid w:val="004C3684"/>
    <w:rsid w:val="004C4560"/>
    <w:rsid w:val="004C5E11"/>
    <w:rsid w:val="004C7161"/>
    <w:rsid w:val="004C7A9E"/>
    <w:rsid w:val="004C7AE7"/>
    <w:rsid w:val="004D155B"/>
    <w:rsid w:val="004D1A26"/>
    <w:rsid w:val="004D309D"/>
    <w:rsid w:val="004D3422"/>
    <w:rsid w:val="004D3C3B"/>
    <w:rsid w:val="004D4B67"/>
    <w:rsid w:val="004D56C7"/>
    <w:rsid w:val="004E2564"/>
    <w:rsid w:val="004E3890"/>
    <w:rsid w:val="004E5CA3"/>
    <w:rsid w:val="004E78E7"/>
    <w:rsid w:val="004F209E"/>
    <w:rsid w:val="004F22DF"/>
    <w:rsid w:val="004F273E"/>
    <w:rsid w:val="005007C1"/>
    <w:rsid w:val="00500E43"/>
    <w:rsid w:val="00501FD8"/>
    <w:rsid w:val="0050314D"/>
    <w:rsid w:val="00504377"/>
    <w:rsid w:val="00504417"/>
    <w:rsid w:val="005068A5"/>
    <w:rsid w:val="005068AD"/>
    <w:rsid w:val="0051076E"/>
    <w:rsid w:val="00512F77"/>
    <w:rsid w:val="00514DD2"/>
    <w:rsid w:val="005151DA"/>
    <w:rsid w:val="00516A34"/>
    <w:rsid w:val="0051764B"/>
    <w:rsid w:val="00521146"/>
    <w:rsid w:val="0052157A"/>
    <w:rsid w:val="00521C20"/>
    <w:rsid w:val="005223F2"/>
    <w:rsid w:val="00523D12"/>
    <w:rsid w:val="00527353"/>
    <w:rsid w:val="00527715"/>
    <w:rsid w:val="0053001D"/>
    <w:rsid w:val="00532997"/>
    <w:rsid w:val="00535567"/>
    <w:rsid w:val="005369BB"/>
    <w:rsid w:val="00536DBB"/>
    <w:rsid w:val="00537010"/>
    <w:rsid w:val="00542BCA"/>
    <w:rsid w:val="00547123"/>
    <w:rsid w:val="005521B7"/>
    <w:rsid w:val="00552405"/>
    <w:rsid w:val="00553CC6"/>
    <w:rsid w:val="00554460"/>
    <w:rsid w:val="005626B1"/>
    <w:rsid w:val="00565B48"/>
    <w:rsid w:val="00565B92"/>
    <w:rsid w:val="0056728B"/>
    <w:rsid w:val="005712F4"/>
    <w:rsid w:val="00571BBC"/>
    <w:rsid w:val="005748A0"/>
    <w:rsid w:val="00576302"/>
    <w:rsid w:val="0058614B"/>
    <w:rsid w:val="00586495"/>
    <w:rsid w:val="0058759A"/>
    <w:rsid w:val="00591D06"/>
    <w:rsid w:val="0059272A"/>
    <w:rsid w:val="00593A52"/>
    <w:rsid w:val="005A0B36"/>
    <w:rsid w:val="005A16A6"/>
    <w:rsid w:val="005A3199"/>
    <w:rsid w:val="005A3E0F"/>
    <w:rsid w:val="005B0A95"/>
    <w:rsid w:val="005B2D91"/>
    <w:rsid w:val="005B6548"/>
    <w:rsid w:val="005B7102"/>
    <w:rsid w:val="005C0F80"/>
    <w:rsid w:val="005C1379"/>
    <w:rsid w:val="005C332A"/>
    <w:rsid w:val="005C3EE1"/>
    <w:rsid w:val="005C4305"/>
    <w:rsid w:val="005C4EBE"/>
    <w:rsid w:val="005D2FBB"/>
    <w:rsid w:val="005D55CA"/>
    <w:rsid w:val="005D57CE"/>
    <w:rsid w:val="005D6824"/>
    <w:rsid w:val="005E049A"/>
    <w:rsid w:val="005E3007"/>
    <w:rsid w:val="005E611F"/>
    <w:rsid w:val="005F26D8"/>
    <w:rsid w:val="005F4881"/>
    <w:rsid w:val="005F6C7F"/>
    <w:rsid w:val="005F6D46"/>
    <w:rsid w:val="005F72E5"/>
    <w:rsid w:val="006026CA"/>
    <w:rsid w:val="00602E1B"/>
    <w:rsid w:val="00604E3E"/>
    <w:rsid w:val="00606398"/>
    <w:rsid w:val="00610D1D"/>
    <w:rsid w:val="00611FFF"/>
    <w:rsid w:val="00614D93"/>
    <w:rsid w:val="00615163"/>
    <w:rsid w:val="00615448"/>
    <w:rsid w:val="00620AE8"/>
    <w:rsid w:val="00621DC2"/>
    <w:rsid w:val="0062259C"/>
    <w:rsid w:val="0062372F"/>
    <w:rsid w:val="006266BF"/>
    <w:rsid w:val="006311BE"/>
    <w:rsid w:val="006338E8"/>
    <w:rsid w:val="00634E54"/>
    <w:rsid w:val="0063689B"/>
    <w:rsid w:val="006368BF"/>
    <w:rsid w:val="00637F3C"/>
    <w:rsid w:val="00641339"/>
    <w:rsid w:val="006423D1"/>
    <w:rsid w:val="006462E3"/>
    <w:rsid w:val="006464AA"/>
    <w:rsid w:val="006505BC"/>
    <w:rsid w:val="00651445"/>
    <w:rsid w:val="00652A0C"/>
    <w:rsid w:val="0065521B"/>
    <w:rsid w:val="00655990"/>
    <w:rsid w:val="00656588"/>
    <w:rsid w:val="00657B76"/>
    <w:rsid w:val="00661035"/>
    <w:rsid w:val="00661611"/>
    <w:rsid w:val="0067002A"/>
    <w:rsid w:val="006718A6"/>
    <w:rsid w:val="00675F11"/>
    <w:rsid w:val="00680743"/>
    <w:rsid w:val="00680E36"/>
    <w:rsid w:val="00685100"/>
    <w:rsid w:val="006946AA"/>
    <w:rsid w:val="00696245"/>
    <w:rsid w:val="00696293"/>
    <w:rsid w:val="006A3117"/>
    <w:rsid w:val="006A562C"/>
    <w:rsid w:val="006A588A"/>
    <w:rsid w:val="006A7746"/>
    <w:rsid w:val="006B4816"/>
    <w:rsid w:val="006B4A5D"/>
    <w:rsid w:val="006B6391"/>
    <w:rsid w:val="006C29B2"/>
    <w:rsid w:val="006C4479"/>
    <w:rsid w:val="006D2C94"/>
    <w:rsid w:val="006D3EC6"/>
    <w:rsid w:val="006D59D7"/>
    <w:rsid w:val="006E128F"/>
    <w:rsid w:val="006E289D"/>
    <w:rsid w:val="006E39F5"/>
    <w:rsid w:val="006E3A18"/>
    <w:rsid w:val="006F3368"/>
    <w:rsid w:val="00706123"/>
    <w:rsid w:val="00706906"/>
    <w:rsid w:val="007109BC"/>
    <w:rsid w:val="00711711"/>
    <w:rsid w:val="00712F71"/>
    <w:rsid w:val="0071343E"/>
    <w:rsid w:val="0071566D"/>
    <w:rsid w:val="00715D98"/>
    <w:rsid w:val="00716471"/>
    <w:rsid w:val="0072726C"/>
    <w:rsid w:val="007341E6"/>
    <w:rsid w:val="007343C6"/>
    <w:rsid w:val="00736615"/>
    <w:rsid w:val="00736698"/>
    <w:rsid w:val="007415BD"/>
    <w:rsid w:val="007422E7"/>
    <w:rsid w:val="007429E7"/>
    <w:rsid w:val="007431E3"/>
    <w:rsid w:val="007440D7"/>
    <w:rsid w:val="00746ACE"/>
    <w:rsid w:val="007470A6"/>
    <w:rsid w:val="00747BDC"/>
    <w:rsid w:val="00750F6E"/>
    <w:rsid w:val="00753315"/>
    <w:rsid w:val="00753D06"/>
    <w:rsid w:val="00756091"/>
    <w:rsid w:val="00756240"/>
    <w:rsid w:val="00762DD7"/>
    <w:rsid w:val="00764716"/>
    <w:rsid w:val="00764767"/>
    <w:rsid w:val="0076509F"/>
    <w:rsid w:val="00766F0E"/>
    <w:rsid w:val="007678B0"/>
    <w:rsid w:val="00770531"/>
    <w:rsid w:val="00772B01"/>
    <w:rsid w:val="00773491"/>
    <w:rsid w:val="0077483B"/>
    <w:rsid w:val="00777AD3"/>
    <w:rsid w:val="007845A6"/>
    <w:rsid w:val="007849AD"/>
    <w:rsid w:val="00786465"/>
    <w:rsid w:val="00790221"/>
    <w:rsid w:val="00790E9D"/>
    <w:rsid w:val="007913E3"/>
    <w:rsid w:val="00792187"/>
    <w:rsid w:val="0079442F"/>
    <w:rsid w:val="007A3833"/>
    <w:rsid w:val="007A5630"/>
    <w:rsid w:val="007A6B6F"/>
    <w:rsid w:val="007B0140"/>
    <w:rsid w:val="007B1623"/>
    <w:rsid w:val="007B21C6"/>
    <w:rsid w:val="007B2AA0"/>
    <w:rsid w:val="007C3B6D"/>
    <w:rsid w:val="007C5F35"/>
    <w:rsid w:val="007C7778"/>
    <w:rsid w:val="007D0106"/>
    <w:rsid w:val="007D0919"/>
    <w:rsid w:val="007D5738"/>
    <w:rsid w:val="007E3222"/>
    <w:rsid w:val="007E3A09"/>
    <w:rsid w:val="007E51B0"/>
    <w:rsid w:val="007E5F42"/>
    <w:rsid w:val="007E78AB"/>
    <w:rsid w:val="007F26DC"/>
    <w:rsid w:val="007F279B"/>
    <w:rsid w:val="007F4A92"/>
    <w:rsid w:val="007F5FB2"/>
    <w:rsid w:val="00801B82"/>
    <w:rsid w:val="00804B92"/>
    <w:rsid w:val="00807E55"/>
    <w:rsid w:val="008102CB"/>
    <w:rsid w:val="00812E29"/>
    <w:rsid w:val="00815CB5"/>
    <w:rsid w:val="0081789F"/>
    <w:rsid w:val="008202E4"/>
    <w:rsid w:val="0082206C"/>
    <w:rsid w:val="00823D21"/>
    <w:rsid w:val="00824817"/>
    <w:rsid w:val="00824E28"/>
    <w:rsid w:val="00834CEB"/>
    <w:rsid w:val="00836BB7"/>
    <w:rsid w:val="00842045"/>
    <w:rsid w:val="00843C8F"/>
    <w:rsid w:val="008446E4"/>
    <w:rsid w:val="00844A83"/>
    <w:rsid w:val="00844FE6"/>
    <w:rsid w:val="00845AFF"/>
    <w:rsid w:val="00845DD6"/>
    <w:rsid w:val="00845F44"/>
    <w:rsid w:val="00846A08"/>
    <w:rsid w:val="00847188"/>
    <w:rsid w:val="0085018A"/>
    <w:rsid w:val="00854F6D"/>
    <w:rsid w:val="0085766B"/>
    <w:rsid w:val="00857F0A"/>
    <w:rsid w:val="0086068A"/>
    <w:rsid w:val="00860A38"/>
    <w:rsid w:val="0086102F"/>
    <w:rsid w:val="00861477"/>
    <w:rsid w:val="008631F4"/>
    <w:rsid w:val="008637EA"/>
    <w:rsid w:val="008647A9"/>
    <w:rsid w:val="00865894"/>
    <w:rsid w:val="00867FF6"/>
    <w:rsid w:val="0087121B"/>
    <w:rsid w:val="00873A25"/>
    <w:rsid w:val="008751EC"/>
    <w:rsid w:val="00875B33"/>
    <w:rsid w:val="00875C97"/>
    <w:rsid w:val="00880E17"/>
    <w:rsid w:val="00884643"/>
    <w:rsid w:val="00885B82"/>
    <w:rsid w:val="00886142"/>
    <w:rsid w:val="008908AD"/>
    <w:rsid w:val="00895C14"/>
    <w:rsid w:val="00897F33"/>
    <w:rsid w:val="008A0942"/>
    <w:rsid w:val="008A3304"/>
    <w:rsid w:val="008A6A53"/>
    <w:rsid w:val="008A6B61"/>
    <w:rsid w:val="008B0321"/>
    <w:rsid w:val="008B03F8"/>
    <w:rsid w:val="008B06E9"/>
    <w:rsid w:val="008B0A16"/>
    <w:rsid w:val="008B2052"/>
    <w:rsid w:val="008B6653"/>
    <w:rsid w:val="008B6667"/>
    <w:rsid w:val="008B77A4"/>
    <w:rsid w:val="008C2CEF"/>
    <w:rsid w:val="008C3774"/>
    <w:rsid w:val="008C3B22"/>
    <w:rsid w:val="008C6EDC"/>
    <w:rsid w:val="008D2820"/>
    <w:rsid w:val="008D48A2"/>
    <w:rsid w:val="008D6502"/>
    <w:rsid w:val="008D7FBF"/>
    <w:rsid w:val="008E21FB"/>
    <w:rsid w:val="008E7864"/>
    <w:rsid w:val="008E7C04"/>
    <w:rsid w:val="008F0328"/>
    <w:rsid w:val="008F0957"/>
    <w:rsid w:val="008F11DD"/>
    <w:rsid w:val="008F1F98"/>
    <w:rsid w:val="008F248E"/>
    <w:rsid w:val="008F2634"/>
    <w:rsid w:val="008F2784"/>
    <w:rsid w:val="008F50A5"/>
    <w:rsid w:val="009017CC"/>
    <w:rsid w:val="00904BC0"/>
    <w:rsid w:val="00907645"/>
    <w:rsid w:val="009201CB"/>
    <w:rsid w:val="00923160"/>
    <w:rsid w:val="009247FE"/>
    <w:rsid w:val="00925120"/>
    <w:rsid w:val="0092644D"/>
    <w:rsid w:val="00927F8E"/>
    <w:rsid w:val="009351A2"/>
    <w:rsid w:val="009359EE"/>
    <w:rsid w:val="00936F77"/>
    <w:rsid w:val="00940BEE"/>
    <w:rsid w:val="00942A90"/>
    <w:rsid w:val="0094429D"/>
    <w:rsid w:val="009469E5"/>
    <w:rsid w:val="009474F6"/>
    <w:rsid w:val="00952632"/>
    <w:rsid w:val="00953C4F"/>
    <w:rsid w:val="00955C14"/>
    <w:rsid w:val="00957D05"/>
    <w:rsid w:val="00960320"/>
    <w:rsid w:val="00961FF4"/>
    <w:rsid w:val="0096356B"/>
    <w:rsid w:val="0096450D"/>
    <w:rsid w:val="009702A5"/>
    <w:rsid w:val="00971556"/>
    <w:rsid w:val="00971F54"/>
    <w:rsid w:val="009720DC"/>
    <w:rsid w:val="0097490E"/>
    <w:rsid w:val="0097598B"/>
    <w:rsid w:val="00975AC3"/>
    <w:rsid w:val="00994E2F"/>
    <w:rsid w:val="009956BC"/>
    <w:rsid w:val="009963D0"/>
    <w:rsid w:val="0099650F"/>
    <w:rsid w:val="009A03FE"/>
    <w:rsid w:val="009A13A2"/>
    <w:rsid w:val="009A1EBA"/>
    <w:rsid w:val="009A3DD5"/>
    <w:rsid w:val="009A7A05"/>
    <w:rsid w:val="009B22E0"/>
    <w:rsid w:val="009B44D9"/>
    <w:rsid w:val="009B6D8D"/>
    <w:rsid w:val="009B79A8"/>
    <w:rsid w:val="009C212D"/>
    <w:rsid w:val="009C58EC"/>
    <w:rsid w:val="009D1D2F"/>
    <w:rsid w:val="009D2199"/>
    <w:rsid w:val="009D2682"/>
    <w:rsid w:val="009D5532"/>
    <w:rsid w:val="009E58A1"/>
    <w:rsid w:val="009E6471"/>
    <w:rsid w:val="009E72B0"/>
    <w:rsid w:val="009E7E98"/>
    <w:rsid w:val="009F0824"/>
    <w:rsid w:val="009F46C2"/>
    <w:rsid w:val="009F74B1"/>
    <w:rsid w:val="00A01A72"/>
    <w:rsid w:val="00A0304C"/>
    <w:rsid w:val="00A0628E"/>
    <w:rsid w:val="00A0706D"/>
    <w:rsid w:val="00A128E7"/>
    <w:rsid w:val="00A152FB"/>
    <w:rsid w:val="00A269A4"/>
    <w:rsid w:val="00A27000"/>
    <w:rsid w:val="00A313F0"/>
    <w:rsid w:val="00A339E3"/>
    <w:rsid w:val="00A3635F"/>
    <w:rsid w:val="00A374A0"/>
    <w:rsid w:val="00A37950"/>
    <w:rsid w:val="00A40567"/>
    <w:rsid w:val="00A43D50"/>
    <w:rsid w:val="00A447D9"/>
    <w:rsid w:val="00A4555A"/>
    <w:rsid w:val="00A50D19"/>
    <w:rsid w:val="00A53103"/>
    <w:rsid w:val="00A5524A"/>
    <w:rsid w:val="00A564AD"/>
    <w:rsid w:val="00A57BF5"/>
    <w:rsid w:val="00A64574"/>
    <w:rsid w:val="00A732F0"/>
    <w:rsid w:val="00A73897"/>
    <w:rsid w:val="00A74784"/>
    <w:rsid w:val="00A8079A"/>
    <w:rsid w:val="00A80B42"/>
    <w:rsid w:val="00A81135"/>
    <w:rsid w:val="00A8478F"/>
    <w:rsid w:val="00A84D04"/>
    <w:rsid w:val="00A86BBC"/>
    <w:rsid w:val="00A907DA"/>
    <w:rsid w:val="00A92B47"/>
    <w:rsid w:val="00A93EB2"/>
    <w:rsid w:val="00A94858"/>
    <w:rsid w:val="00A949D4"/>
    <w:rsid w:val="00A972B3"/>
    <w:rsid w:val="00AA276F"/>
    <w:rsid w:val="00AA3675"/>
    <w:rsid w:val="00AA4A18"/>
    <w:rsid w:val="00AA7D73"/>
    <w:rsid w:val="00AB669B"/>
    <w:rsid w:val="00AC0164"/>
    <w:rsid w:val="00AC1206"/>
    <w:rsid w:val="00AC31E5"/>
    <w:rsid w:val="00AC4C42"/>
    <w:rsid w:val="00AC6B94"/>
    <w:rsid w:val="00AD0480"/>
    <w:rsid w:val="00AD1540"/>
    <w:rsid w:val="00AD2EB8"/>
    <w:rsid w:val="00AD5043"/>
    <w:rsid w:val="00AD60F6"/>
    <w:rsid w:val="00AD6842"/>
    <w:rsid w:val="00AE3137"/>
    <w:rsid w:val="00AE4E4D"/>
    <w:rsid w:val="00AF13DF"/>
    <w:rsid w:val="00AF50EA"/>
    <w:rsid w:val="00B029B6"/>
    <w:rsid w:val="00B04250"/>
    <w:rsid w:val="00B06804"/>
    <w:rsid w:val="00B106C9"/>
    <w:rsid w:val="00B13C38"/>
    <w:rsid w:val="00B17A5B"/>
    <w:rsid w:val="00B20975"/>
    <w:rsid w:val="00B22003"/>
    <w:rsid w:val="00B22196"/>
    <w:rsid w:val="00B224E4"/>
    <w:rsid w:val="00B22766"/>
    <w:rsid w:val="00B2326C"/>
    <w:rsid w:val="00B240CB"/>
    <w:rsid w:val="00B2754D"/>
    <w:rsid w:val="00B27CEA"/>
    <w:rsid w:val="00B27F7F"/>
    <w:rsid w:val="00B308C0"/>
    <w:rsid w:val="00B31DDF"/>
    <w:rsid w:val="00B35BCB"/>
    <w:rsid w:val="00B370D1"/>
    <w:rsid w:val="00B3720E"/>
    <w:rsid w:val="00B40612"/>
    <w:rsid w:val="00B42125"/>
    <w:rsid w:val="00B42211"/>
    <w:rsid w:val="00B4388D"/>
    <w:rsid w:val="00B46B64"/>
    <w:rsid w:val="00B47527"/>
    <w:rsid w:val="00B5010A"/>
    <w:rsid w:val="00B50B54"/>
    <w:rsid w:val="00B51822"/>
    <w:rsid w:val="00B52D17"/>
    <w:rsid w:val="00B5472F"/>
    <w:rsid w:val="00B60EFD"/>
    <w:rsid w:val="00B61473"/>
    <w:rsid w:val="00B61728"/>
    <w:rsid w:val="00B63F7D"/>
    <w:rsid w:val="00B64484"/>
    <w:rsid w:val="00B651FF"/>
    <w:rsid w:val="00B67D86"/>
    <w:rsid w:val="00B73AB2"/>
    <w:rsid w:val="00B744EC"/>
    <w:rsid w:val="00B77B02"/>
    <w:rsid w:val="00B80892"/>
    <w:rsid w:val="00B83C9B"/>
    <w:rsid w:val="00B93ADF"/>
    <w:rsid w:val="00B957CB"/>
    <w:rsid w:val="00B957E7"/>
    <w:rsid w:val="00B95B24"/>
    <w:rsid w:val="00B97479"/>
    <w:rsid w:val="00B97A14"/>
    <w:rsid w:val="00BA0730"/>
    <w:rsid w:val="00BA150F"/>
    <w:rsid w:val="00BA24D9"/>
    <w:rsid w:val="00BA71A3"/>
    <w:rsid w:val="00BB032C"/>
    <w:rsid w:val="00BB0CD2"/>
    <w:rsid w:val="00BB1822"/>
    <w:rsid w:val="00BB5139"/>
    <w:rsid w:val="00BB77A7"/>
    <w:rsid w:val="00BC2C55"/>
    <w:rsid w:val="00BC40F6"/>
    <w:rsid w:val="00BC5F8C"/>
    <w:rsid w:val="00BD13A6"/>
    <w:rsid w:val="00BD1FFA"/>
    <w:rsid w:val="00BD31F7"/>
    <w:rsid w:val="00BD5121"/>
    <w:rsid w:val="00BD6374"/>
    <w:rsid w:val="00BD6950"/>
    <w:rsid w:val="00BE4642"/>
    <w:rsid w:val="00BE4703"/>
    <w:rsid w:val="00BE4ED8"/>
    <w:rsid w:val="00BF06A7"/>
    <w:rsid w:val="00BF1D6C"/>
    <w:rsid w:val="00BF1F32"/>
    <w:rsid w:val="00BF3037"/>
    <w:rsid w:val="00BF33C8"/>
    <w:rsid w:val="00BF539B"/>
    <w:rsid w:val="00BF5B77"/>
    <w:rsid w:val="00BF6D13"/>
    <w:rsid w:val="00BF6D33"/>
    <w:rsid w:val="00BF7D7B"/>
    <w:rsid w:val="00C02F58"/>
    <w:rsid w:val="00C04C12"/>
    <w:rsid w:val="00C04D4D"/>
    <w:rsid w:val="00C07EED"/>
    <w:rsid w:val="00C11397"/>
    <w:rsid w:val="00C1200A"/>
    <w:rsid w:val="00C124F2"/>
    <w:rsid w:val="00C132E8"/>
    <w:rsid w:val="00C161F1"/>
    <w:rsid w:val="00C23CC1"/>
    <w:rsid w:val="00C300E8"/>
    <w:rsid w:val="00C31886"/>
    <w:rsid w:val="00C343EE"/>
    <w:rsid w:val="00C36136"/>
    <w:rsid w:val="00C4157E"/>
    <w:rsid w:val="00C45B9C"/>
    <w:rsid w:val="00C46A9E"/>
    <w:rsid w:val="00C46DC4"/>
    <w:rsid w:val="00C51E42"/>
    <w:rsid w:val="00C523DF"/>
    <w:rsid w:val="00C52C70"/>
    <w:rsid w:val="00C54AF6"/>
    <w:rsid w:val="00C607FE"/>
    <w:rsid w:val="00C60C74"/>
    <w:rsid w:val="00C626C3"/>
    <w:rsid w:val="00C628BD"/>
    <w:rsid w:val="00C67C6E"/>
    <w:rsid w:val="00C73768"/>
    <w:rsid w:val="00C7389E"/>
    <w:rsid w:val="00C80B66"/>
    <w:rsid w:val="00C81175"/>
    <w:rsid w:val="00C8334A"/>
    <w:rsid w:val="00C85170"/>
    <w:rsid w:val="00C87511"/>
    <w:rsid w:val="00C909EF"/>
    <w:rsid w:val="00C92459"/>
    <w:rsid w:val="00C930C2"/>
    <w:rsid w:val="00C93A83"/>
    <w:rsid w:val="00C946CB"/>
    <w:rsid w:val="00C97084"/>
    <w:rsid w:val="00CA2AB2"/>
    <w:rsid w:val="00CA33A3"/>
    <w:rsid w:val="00CA44BA"/>
    <w:rsid w:val="00CA4C26"/>
    <w:rsid w:val="00CA4EBC"/>
    <w:rsid w:val="00CA52E0"/>
    <w:rsid w:val="00CA6872"/>
    <w:rsid w:val="00CB2798"/>
    <w:rsid w:val="00CB6A0F"/>
    <w:rsid w:val="00CB7BF1"/>
    <w:rsid w:val="00CC0CF6"/>
    <w:rsid w:val="00CC336C"/>
    <w:rsid w:val="00CC59D6"/>
    <w:rsid w:val="00CC75C0"/>
    <w:rsid w:val="00CD22E5"/>
    <w:rsid w:val="00CD2835"/>
    <w:rsid w:val="00CD5736"/>
    <w:rsid w:val="00CD5CFF"/>
    <w:rsid w:val="00CD643D"/>
    <w:rsid w:val="00CD7EB7"/>
    <w:rsid w:val="00CE0198"/>
    <w:rsid w:val="00CE0A7C"/>
    <w:rsid w:val="00CE0DA1"/>
    <w:rsid w:val="00CE1491"/>
    <w:rsid w:val="00CE16CE"/>
    <w:rsid w:val="00CE263B"/>
    <w:rsid w:val="00CE33FB"/>
    <w:rsid w:val="00CE54EB"/>
    <w:rsid w:val="00CE5550"/>
    <w:rsid w:val="00CE5EDC"/>
    <w:rsid w:val="00CE5EEE"/>
    <w:rsid w:val="00CE64CF"/>
    <w:rsid w:val="00CE7362"/>
    <w:rsid w:val="00CE76B0"/>
    <w:rsid w:val="00CF1D11"/>
    <w:rsid w:val="00CF2082"/>
    <w:rsid w:val="00CF4C8C"/>
    <w:rsid w:val="00CF5AE6"/>
    <w:rsid w:val="00D02208"/>
    <w:rsid w:val="00D040E8"/>
    <w:rsid w:val="00D04957"/>
    <w:rsid w:val="00D07251"/>
    <w:rsid w:val="00D07D39"/>
    <w:rsid w:val="00D1012F"/>
    <w:rsid w:val="00D10FF2"/>
    <w:rsid w:val="00D117BB"/>
    <w:rsid w:val="00D20116"/>
    <w:rsid w:val="00D20CE0"/>
    <w:rsid w:val="00D21B51"/>
    <w:rsid w:val="00D2363F"/>
    <w:rsid w:val="00D257DE"/>
    <w:rsid w:val="00D30E49"/>
    <w:rsid w:val="00D320DA"/>
    <w:rsid w:val="00D32DE0"/>
    <w:rsid w:val="00D32ED6"/>
    <w:rsid w:val="00D40861"/>
    <w:rsid w:val="00D50217"/>
    <w:rsid w:val="00D5165F"/>
    <w:rsid w:val="00D52C2C"/>
    <w:rsid w:val="00D56055"/>
    <w:rsid w:val="00D57665"/>
    <w:rsid w:val="00D57F02"/>
    <w:rsid w:val="00D61C95"/>
    <w:rsid w:val="00D6216C"/>
    <w:rsid w:val="00D65958"/>
    <w:rsid w:val="00D70926"/>
    <w:rsid w:val="00D70982"/>
    <w:rsid w:val="00D710E3"/>
    <w:rsid w:val="00D75057"/>
    <w:rsid w:val="00D81A4C"/>
    <w:rsid w:val="00D825CB"/>
    <w:rsid w:val="00D83220"/>
    <w:rsid w:val="00D85053"/>
    <w:rsid w:val="00D8742E"/>
    <w:rsid w:val="00D87AFF"/>
    <w:rsid w:val="00D87B97"/>
    <w:rsid w:val="00D902CA"/>
    <w:rsid w:val="00D916AA"/>
    <w:rsid w:val="00D9242D"/>
    <w:rsid w:val="00D94BE0"/>
    <w:rsid w:val="00D960A7"/>
    <w:rsid w:val="00D968C5"/>
    <w:rsid w:val="00D96B08"/>
    <w:rsid w:val="00DA0310"/>
    <w:rsid w:val="00DA1441"/>
    <w:rsid w:val="00DA1909"/>
    <w:rsid w:val="00DA1AF9"/>
    <w:rsid w:val="00DA2243"/>
    <w:rsid w:val="00DA6E06"/>
    <w:rsid w:val="00DB0B80"/>
    <w:rsid w:val="00DB1B6A"/>
    <w:rsid w:val="00DB2912"/>
    <w:rsid w:val="00DB3A5E"/>
    <w:rsid w:val="00DB3AF2"/>
    <w:rsid w:val="00DB447F"/>
    <w:rsid w:val="00DC2FC5"/>
    <w:rsid w:val="00DC3CE8"/>
    <w:rsid w:val="00DD023C"/>
    <w:rsid w:val="00DD131E"/>
    <w:rsid w:val="00DD3D6B"/>
    <w:rsid w:val="00DD490C"/>
    <w:rsid w:val="00DD5041"/>
    <w:rsid w:val="00DD5A93"/>
    <w:rsid w:val="00DD70E4"/>
    <w:rsid w:val="00DE26AB"/>
    <w:rsid w:val="00DE294A"/>
    <w:rsid w:val="00DE69B0"/>
    <w:rsid w:val="00DF3F48"/>
    <w:rsid w:val="00DF5905"/>
    <w:rsid w:val="00DF612C"/>
    <w:rsid w:val="00DF640B"/>
    <w:rsid w:val="00DF75A8"/>
    <w:rsid w:val="00E007F8"/>
    <w:rsid w:val="00E00F74"/>
    <w:rsid w:val="00E04448"/>
    <w:rsid w:val="00E0778C"/>
    <w:rsid w:val="00E104C4"/>
    <w:rsid w:val="00E1366B"/>
    <w:rsid w:val="00E14F50"/>
    <w:rsid w:val="00E157FF"/>
    <w:rsid w:val="00E214B4"/>
    <w:rsid w:val="00E2167C"/>
    <w:rsid w:val="00E2191E"/>
    <w:rsid w:val="00E21EA9"/>
    <w:rsid w:val="00E23702"/>
    <w:rsid w:val="00E23AAA"/>
    <w:rsid w:val="00E24A61"/>
    <w:rsid w:val="00E30F63"/>
    <w:rsid w:val="00E33AF8"/>
    <w:rsid w:val="00E34480"/>
    <w:rsid w:val="00E34ACD"/>
    <w:rsid w:val="00E35631"/>
    <w:rsid w:val="00E409B9"/>
    <w:rsid w:val="00E4121F"/>
    <w:rsid w:val="00E420E0"/>
    <w:rsid w:val="00E427D3"/>
    <w:rsid w:val="00E43539"/>
    <w:rsid w:val="00E47E12"/>
    <w:rsid w:val="00E51EEB"/>
    <w:rsid w:val="00E5248A"/>
    <w:rsid w:val="00E53831"/>
    <w:rsid w:val="00E54E58"/>
    <w:rsid w:val="00E55303"/>
    <w:rsid w:val="00E55E97"/>
    <w:rsid w:val="00E568EC"/>
    <w:rsid w:val="00E63628"/>
    <w:rsid w:val="00E64AD4"/>
    <w:rsid w:val="00E66228"/>
    <w:rsid w:val="00E67FAB"/>
    <w:rsid w:val="00E71A5F"/>
    <w:rsid w:val="00E745C4"/>
    <w:rsid w:val="00E76B70"/>
    <w:rsid w:val="00E8165E"/>
    <w:rsid w:val="00E85C17"/>
    <w:rsid w:val="00E86578"/>
    <w:rsid w:val="00E8661F"/>
    <w:rsid w:val="00E90255"/>
    <w:rsid w:val="00E92821"/>
    <w:rsid w:val="00E94689"/>
    <w:rsid w:val="00E9508C"/>
    <w:rsid w:val="00E962E5"/>
    <w:rsid w:val="00E96B27"/>
    <w:rsid w:val="00E97CDF"/>
    <w:rsid w:val="00EA0A9E"/>
    <w:rsid w:val="00EA302B"/>
    <w:rsid w:val="00EA44A0"/>
    <w:rsid w:val="00EA4827"/>
    <w:rsid w:val="00EA6327"/>
    <w:rsid w:val="00EB0201"/>
    <w:rsid w:val="00EB3250"/>
    <w:rsid w:val="00EB4B77"/>
    <w:rsid w:val="00EB591F"/>
    <w:rsid w:val="00EB6F68"/>
    <w:rsid w:val="00EC0020"/>
    <w:rsid w:val="00EC0841"/>
    <w:rsid w:val="00EC4828"/>
    <w:rsid w:val="00EC4972"/>
    <w:rsid w:val="00EC57BA"/>
    <w:rsid w:val="00EC667C"/>
    <w:rsid w:val="00ED027D"/>
    <w:rsid w:val="00ED4F90"/>
    <w:rsid w:val="00ED5419"/>
    <w:rsid w:val="00EE0A06"/>
    <w:rsid w:val="00EE1A64"/>
    <w:rsid w:val="00EE1B5A"/>
    <w:rsid w:val="00EE20DA"/>
    <w:rsid w:val="00EE23F6"/>
    <w:rsid w:val="00EE4D47"/>
    <w:rsid w:val="00EE4D6B"/>
    <w:rsid w:val="00EE5BFD"/>
    <w:rsid w:val="00EE7C89"/>
    <w:rsid w:val="00EF0B07"/>
    <w:rsid w:val="00EF2A3C"/>
    <w:rsid w:val="00EF2E34"/>
    <w:rsid w:val="00F0026E"/>
    <w:rsid w:val="00F0088B"/>
    <w:rsid w:val="00F00AD9"/>
    <w:rsid w:val="00F016D6"/>
    <w:rsid w:val="00F01DCD"/>
    <w:rsid w:val="00F05188"/>
    <w:rsid w:val="00F05F3C"/>
    <w:rsid w:val="00F079B1"/>
    <w:rsid w:val="00F11FEB"/>
    <w:rsid w:val="00F12826"/>
    <w:rsid w:val="00F13632"/>
    <w:rsid w:val="00F13ED3"/>
    <w:rsid w:val="00F2255C"/>
    <w:rsid w:val="00F250B2"/>
    <w:rsid w:val="00F255E3"/>
    <w:rsid w:val="00F30D14"/>
    <w:rsid w:val="00F30E85"/>
    <w:rsid w:val="00F33457"/>
    <w:rsid w:val="00F35251"/>
    <w:rsid w:val="00F36700"/>
    <w:rsid w:val="00F36D59"/>
    <w:rsid w:val="00F37830"/>
    <w:rsid w:val="00F40812"/>
    <w:rsid w:val="00F4124C"/>
    <w:rsid w:val="00F413E5"/>
    <w:rsid w:val="00F4275E"/>
    <w:rsid w:val="00F45398"/>
    <w:rsid w:val="00F50775"/>
    <w:rsid w:val="00F52763"/>
    <w:rsid w:val="00F5367D"/>
    <w:rsid w:val="00F53844"/>
    <w:rsid w:val="00F53C6B"/>
    <w:rsid w:val="00F54259"/>
    <w:rsid w:val="00F542A4"/>
    <w:rsid w:val="00F544B3"/>
    <w:rsid w:val="00F556B7"/>
    <w:rsid w:val="00F57C85"/>
    <w:rsid w:val="00F60814"/>
    <w:rsid w:val="00F62CAC"/>
    <w:rsid w:val="00F6356D"/>
    <w:rsid w:val="00F66A08"/>
    <w:rsid w:val="00F67F99"/>
    <w:rsid w:val="00F705CC"/>
    <w:rsid w:val="00F74308"/>
    <w:rsid w:val="00F7737D"/>
    <w:rsid w:val="00F834AC"/>
    <w:rsid w:val="00F84B5D"/>
    <w:rsid w:val="00F86357"/>
    <w:rsid w:val="00F932A4"/>
    <w:rsid w:val="00F94792"/>
    <w:rsid w:val="00F95534"/>
    <w:rsid w:val="00F96BFD"/>
    <w:rsid w:val="00FA0166"/>
    <w:rsid w:val="00FB249D"/>
    <w:rsid w:val="00FB2A8F"/>
    <w:rsid w:val="00FB2E75"/>
    <w:rsid w:val="00FB3184"/>
    <w:rsid w:val="00FB360B"/>
    <w:rsid w:val="00FB3F3F"/>
    <w:rsid w:val="00FB4215"/>
    <w:rsid w:val="00FB5B08"/>
    <w:rsid w:val="00FB6B3D"/>
    <w:rsid w:val="00FB6D8F"/>
    <w:rsid w:val="00FC0BDC"/>
    <w:rsid w:val="00FC1DA7"/>
    <w:rsid w:val="00FC2FA5"/>
    <w:rsid w:val="00FC4509"/>
    <w:rsid w:val="00FC60C4"/>
    <w:rsid w:val="00FD20B8"/>
    <w:rsid w:val="00FD3CF6"/>
    <w:rsid w:val="00FD6DAD"/>
    <w:rsid w:val="00FD792C"/>
    <w:rsid w:val="00FD7FBD"/>
    <w:rsid w:val="00FE4007"/>
    <w:rsid w:val="00FE67DD"/>
    <w:rsid w:val="00FF22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360" w:after="200" w:line="276"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6667"/>
    <w:pPr>
      <w:spacing w:before="0" w:after="0" w:line="312" w:lineRule="auto"/>
      <w:ind w:left="0"/>
    </w:pPr>
    <w:rPr>
      <w:rFonts w:ascii="Times New Roman" w:eastAsia="Times New Roman" w:hAnsi="Times New Roman" w:cs="Times New Roman"/>
      <w:lang w:eastAsia="cs-CZ"/>
    </w:rPr>
  </w:style>
  <w:style w:type="paragraph" w:styleId="Nadpis1">
    <w:name w:val="heading 1"/>
    <w:aliases w:val="Nadpis NOK 1"/>
    <w:basedOn w:val="Normln"/>
    <w:next w:val="Normln"/>
    <w:link w:val="Nadpis1Char"/>
    <w:uiPriority w:val="99"/>
    <w:qFormat/>
    <w:rsid w:val="00A94858"/>
    <w:pPr>
      <w:keepNext/>
      <w:spacing w:before="120" w:after="120" w:line="240" w:lineRule="auto"/>
      <w:outlineLvl w:val="0"/>
    </w:pPr>
    <w:rPr>
      <w:rFonts w:ascii="Arial" w:hAnsi="Arial" w:cs="Arial"/>
      <w:b/>
      <w:bCs/>
      <w:caps/>
      <w:color w:val="000000"/>
      <w:kern w:val="32"/>
      <w:sz w:val="36"/>
      <w:szCs w:val="36"/>
    </w:rPr>
  </w:style>
  <w:style w:type="paragraph" w:styleId="Nadpis2">
    <w:name w:val="heading 2"/>
    <w:basedOn w:val="Normln"/>
    <w:next w:val="Normln"/>
    <w:link w:val="Nadpis2Char"/>
    <w:uiPriority w:val="99"/>
    <w:qFormat/>
    <w:rsid w:val="001F5857"/>
    <w:pPr>
      <w:keepNext/>
      <w:keepLines/>
      <w:tabs>
        <w:tab w:val="num" w:pos="576"/>
      </w:tabs>
      <w:spacing w:before="200" w:line="240" w:lineRule="auto"/>
      <w:ind w:left="576" w:hanging="576"/>
      <w:outlineLvl w:val="1"/>
    </w:pPr>
    <w:rPr>
      <w:rFonts w:ascii="Cambria" w:hAnsi="Cambria" w:cs="Cambria"/>
      <w:b/>
      <w:bCs/>
      <w:color w:val="4F81BD"/>
      <w:sz w:val="26"/>
      <w:szCs w:val="26"/>
    </w:rPr>
  </w:style>
  <w:style w:type="paragraph" w:styleId="Nadpis3">
    <w:name w:val="heading 3"/>
    <w:basedOn w:val="Normln"/>
    <w:next w:val="Normln"/>
    <w:link w:val="Nadpis3Char"/>
    <w:uiPriority w:val="99"/>
    <w:qFormat/>
    <w:rsid w:val="001F5857"/>
    <w:pPr>
      <w:keepNext/>
      <w:tabs>
        <w:tab w:val="num" w:pos="720"/>
      </w:tabs>
      <w:spacing w:before="240" w:after="60" w:line="240" w:lineRule="auto"/>
      <w:ind w:left="720" w:hanging="720"/>
      <w:outlineLvl w:val="2"/>
    </w:pPr>
    <w:rPr>
      <w:rFonts w:ascii="Arial" w:hAnsi="Arial" w:cs="Arial"/>
      <w:b/>
      <w:bCs/>
      <w:sz w:val="26"/>
      <w:szCs w:val="26"/>
    </w:rPr>
  </w:style>
  <w:style w:type="paragraph" w:styleId="Nadpis4">
    <w:name w:val="heading 4"/>
    <w:basedOn w:val="Normln"/>
    <w:next w:val="Normln"/>
    <w:link w:val="Nadpis4Char"/>
    <w:uiPriority w:val="99"/>
    <w:qFormat/>
    <w:rsid w:val="001F5857"/>
    <w:pPr>
      <w:keepNext/>
      <w:tabs>
        <w:tab w:val="num" w:pos="864"/>
      </w:tabs>
      <w:spacing w:before="240" w:after="60" w:line="240" w:lineRule="auto"/>
      <w:ind w:left="864" w:hanging="864"/>
      <w:outlineLvl w:val="3"/>
    </w:pPr>
    <w:rPr>
      <w:rFonts w:ascii="Arial" w:hAnsi="Arial" w:cs="Arial"/>
      <w:b/>
      <w:bCs/>
      <w:i/>
      <w:iCs/>
    </w:rPr>
  </w:style>
  <w:style w:type="paragraph" w:styleId="Nadpis5">
    <w:name w:val="heading 5"/>
    <w:basedOn w:val="Normln"/>
    <w:next w:val="Normln"/>
    <w:link w:val="Nadpis5Char"/>
    <w:uiPriority w:val="99"/>
    <w:qFormat/>
    <w:rsid w:val="001F5857"/>
    <w:pPr>
      <w:tabs>
        <w:tab w:val="num" w:pos="1008"/>
      </w:tabs>
      <w:spacing w:before="240" w:after="60" w:line="240" w:lineRule="auto"/>
      <w:ind w:left="1008" w:hanging="1008"/>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1F5857"/>
    <w:pPr>
      <w:keepNext/>
      <w:keepLines/>
      <w:tabs>
        <w:tab w:val="num" w:pos="1152"/>
      </w:tabs>
      <w:spacing w:before="200" w:line="240" w:lineRule="auto"/>
      <w:ind w:left="1152" w:hanging="1152"/>
      <w:outlineLvl w:val="5"/>
    </w:pPr>
    <w:rPr>
      <w:rFonts w:ascii="Cambria" w:hAnsi="Cambria" w:cs="Cambria"/>
      <w:i/>
      <w:iCs/>
      <w:color w:val="243F60"/>
    </w:rPr>
  </w:style>
  <w:style w:type="paragraph" w:styleId="Nadpis7">
    <w:name w:val="heading 7"/>
    <w:basedOn w:val="Normln"/>
    <w:next w:val="Normln"/>
    <w:link w:val="Nadpis7Char"/>
    <w:uiPriority w:val="99"/>
    <w:qFormat/>
    <w:rsid w:val="001F5857"/>
    <w:pPr>
      <w:tabs>
        <w:tab w:val="num" w:pos="1296"/>
      </w:tabs>
      <w:spacing w:before="240" w:after="60" w:line="240" w:lineRule="auto"/>
      <w:ind w:left="1296" w:hanging="1296"/>
      <w:outlineLvl w:val="6"/>
    </w:pPr>
    <w:rPr>
      <w:sz w:val="24"/>
      <w:szCs w:val="24"/>
    </w:rPr>
  </w:style>
  <w:style w:type="paragraph" w:styleId="Nadpis8">
    <w:name w:val="heading 8"/>
    <w:basedOn w:val="Normln"/>
    <w:next w:val="Normln"/>
    <w:link w:val="Nadpis8Char"/>
    <w:uiPriority w:val="99"/>
    <w:qFormat/>
    <w:rsid w:val="001F5857"/>
    <w:pPr>
      <w:tabs>
        <w:tab w:val="num" w:pos="1440"/>
      </w:tabs>
      <w:spacing w:before="240" w:after="60" w:line="240" w:lineRule="auto"/>
      <w:ind w:left="1440" w:hanging="1440"/>
      <w:outlineLvl w:val="7"/>
    </w:pPr>
    <w:rPr>
      <w:i/>
      <w:iCs/>
      <w:sz w:val="24"/>
      <w:szCs w:val="24"/>
    </w:rPr>
  </w:style>
  <w:style w:type="paragraph" w:styleId="Nadpis9">
    <w:name w:val="heading 9"/>
    <w:basedOn w:val="Normln"/>
    <w:next w:val="Normln"/>
    <w:link w:val="Nadpis9Char"/>
    <w:uiPriority w:val="99"/>
    <w:qFormat/>
    <w:rsid w:val="001F5857"/>
    <w:pPr>
      <w:tabs>
        <w:tab w:val="num" w:pos="1584"/>
      </w:tabs>
      <w:spacing w:before="240" w:after="60" w:line="240" w:lineRule="auto"/>
      <w:ind w:left="1584" w:hanging="1584"/>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AVA">
    <w:name w:val="DAVA"/>
    <w:basedOn w:val="Normln"/>
    <w:link w:val="DAVAChar"/>
    <w:qFormat/>
    <w:rsid w:val="0008335A"/>
    <w:pPr>
      <w:spacing w:before="120" w:line="240" w:lineRule="auto"/>
    </w:pPr>
    <w:rPr>
      <w:sz w:val="24"/>
      <w:szCs w:val="24"/>
    </w:rPr>
  </w:style>
  <w:style w:type="character" w:customStyle="1" w:styleId="DAVAChar">
    <w:name w:val="DAVA Char"/>
    <w:basedOn w:val="Standardnpsmoodstavce"/>
    <w:link w:val="DAVA"/>
    <w:rsid w:val="0008335A"/>
    <w:rPr>
      <w:sz w:val="24"/>
      <w:szCs w:val="24"/>
    </w:rPr>
  </w:style>
  <w:style w:type="character" w:customStyle="1" w:styleId="Nadpis1Char">
    <w:name w:val="Nadpis 1 Char"/>
    <w:aliases w:val="Nadpis NOK 1 Char"/>
    <w:basedOn w:val="Standardnpsmoodstavce"/>
    <w:link w:val="Nadpis1"/>
    <w:rsid w:val="00A94858"/>
    <w:rPr>
      <w:rFonts w:ascii="Arial" w:eastAsia="Times New Roman" w:hAnsi="Arial" w:cs="Arial"/>
      <w:b/>
      <w:bCs/>
      <w:caps/>
      <w:color w:val="000000"/>
      <w:kern w:val="32"/>
      <w:sz w:val="36"/>
      <w:szCs w:val="36"/>
      <w:lang w:eastAsia="cs-CZ"/>
    </w:rPr>
  </w:style>
  <w:style w:type="paragraph" w:customStyle="1" w:styleId="TextNOK">
    <w:name w:val="Text NOK"/>
    <w:basedOn w:val="Normln"/>
    <w:link w:val="TextNOKChar"/>
    <w:qFormat/>
    <w:rsid w:val="00A94858"/>
  </w:style>
  <w:style w:type="character" w:customStyle="1" w:styleId="TextNOKChar">
    <w:name w:val="Text NOK Char"/>
    <w:basedOn w:val="Standardnpsmoodstavce"/>
    <w:link w:val="TextNOK"/>
    <w:rsid w:val="00A94858"/>
    <w:rPr>
      <w:rFonts w:ascii="Times New Roman" w:eastAsia="Times New Roman" w:hAnsi="Times New Roman" w:cs="Times New Roman"/>
      <w:lang w:eastAsia="cs-CZ"/>
    </w:rPr>
  </w:style>
  <w:style w:type="table" w:styleId="Mkatabulky">
    <w:name w:val="Table Grid"/>
    <w:basedOn w:val="Normlntabulka"/>
    <w:uiPriority w:val="59"/>
    <w:rsid w:val="00A94858"/>
    <w:pPr>
      <w:spacing w:before="0" w:after="0" w:line="240" w:lineRule="auto"/>
      <w:ind w:left="0"/>
      <w:jc w:val="left"/>
    </w:pPr>
    <w:rPr>
      <w:rFonts w:ascii="Times New Roman" w:eastAsia="Times New Roman" w:hAnsi="Times New Roman" w:cs="Times New Roman"/>
      <w:sz w:val="20"/>
      <w:szCs w:val="20"/>
      <w:lang w:eastAsia="cs-CZ"/>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3F3F3"/>
    </w:tcPr>
  </w:style>
  <w:style w:type="character" w:styleId="Hypertextovodkaz">
    <w:name w:val="Hyperlink"/>
    <w:basedOn w:val="Standardnpsmoodstavce"/>
    <w:uiPriority w:val="99"/>
    <w:rsid w:val="00A94858"/>
    <w:rPr>
      <w:rFonts w:cs="Times New Roman"/>
      <w:color w:val="0000FF"/>
      <w:u w:val="single"/>
    </w:rPr>
  </w:style>
  <w:style w:type="paragraph" w:styleId="Obsah1">
    <w:name w:val="toc 1"/>
    <w:basedOn w:val="Normln"/>
    <w:next w:val="Normln"/>
    <w:autoRedefine/>
    <w:uiPriority w:val="39"/>
    <w:rsid w:val="00A94858"/>
    <w:pPr>
      <w:spacing w:before="120" w:after="120"/>
      <w:jc w:val="left"/>
    </w:pPr>
    <w:rPr>
      <w:rFonts w:ascii="Arial" w:hAnsi="Arial"/>
      <w:b/>
      <w:bCs/>
      <w:caps/>
      <w:sz w:val="20"/>
      <w:szCs w:val="20"/>
    </w:rPr>
  </w:style>
  <w:style w:type="paragraph" w:styleId="Obsah2">
    <w:name w:val="toc 2"/>
    <w:basedOn w:val="Normln"/>
    <w:next w:val="Normln"/>
    <w:autoRedefine/>
    <w:uiPriority w:val="39"/>
    <w:rsid w:val="00EB0201"/>
    <w:pPr>
      <w:tabs>
        <w:tab w:val="left" w:pos="880"/>
        <w:tab w:val="right" w:leader="dot" w:pos="9062"/>
      </w:tabs>
      <w:ind w:left="426" w:hanging="206"/>
      <w:jc w:val="left"/>
    </w:pPr>
    <w:rPr>
      <w:rFonts w:ascii="Arial" w:hAnsi="Arial"/>
      <w:smallCaps/>
      <w:sz w:val="20"/>
      <w:szCs w:val="20"/>
    </w:rPr>
  </w:style>
  <w:style w:type="paragraph" w:customStyle="1" w:styleId="Text1">
    <w:name w:val="Text 1"/>
    <w:basedOn w:val="Normln"/>
    <w:link w:val="Text1Char"/>
    <w:rsid w:val="00A94858"/>
    <w:pPr>
      <w:spacing w:after="240" w:line="240" w:lineRule="auto"/>
      <w:ind w:left="482"/>
    </w:pPr>
    <w:rPr>
      <w:sz w:val="24"/>
      <w:lang w:val="en-GB" w:eastAsia="en-US"/>
    </w:rPr>
  </w:style>
  <w:style w:type="character" w:customStyle="1" w:styleId="Text1Char">
    <w:name w:val="Text 1 Char"/>
    <w:basedOn w:val="Standardnpsmoodstavce"/>
    <w:link w:val="Text1"/>
    <w:locked/>
    <w:rsid w:val="00A94858"/>
    <w:rPr>
      <w:rFonts w:ascii="Times New Roman" w:eastAsia="Times New Roman" w:hAnsi="Times New Roman" w:cs="Times New Roman"/>
      <w:sz w:val="24"/>
      <w:lang w:val="en-GB"/>
    </w:rPr>
  </w:style>
  <w:style w:type="paragraph" w:styleId="Odstavecseseznamem">
    <w:name w:val="List Paragraph"/>
    <w:basedOn w:val="Normln"/>
    <w:link w:val="OdstavecseseznamemChar"/>
    <w:uiPriority w:val="34"/>
    <w:qFormat/>
    <w:rsid w:val="00A94858"/>
    <w:pPr>
      <w:spacing w:line="240" w:lineRule="auto"/>
      <w:ind w:left="720"/>
      <w:contextualSpacing/>
    </w:pPr>
    <w:rPr>
      <w:sz w:val="24"/>
      <w:szCs w:val="24"/>
    </w:rPr>
  </w:style>
  <w:style w:type="character" w:customStyle="1" w:styleId="OdstavecseseznamemChar">
    <w:name w:val="Odstavec se seznamem Char"/>
    <w:basedOn w:val="Standardnpsmoodstavce"/>
    <w:link w:val="Odstavecseseznamem"/>
    <w:uiPriority w:val="34"/>
    <w:rsid w:val="00A94858"/>
    <w:rPr>
      <w:rFonts w:ascii="Times New Roman" w:eastAsia="Times New Roman" w:hAnsi="Times New Roman" w:cs="Times New Roman"/>
      <w:sz w:val="24"/>
      <w:szCs w:val="24"/>
      <w:lang w:eastAsia="cs-CZ"/>
    </w:rPr>
  </w:style>
  <w:style w:type="paragraph" w:customStyle="1" w:styleId="Styl1">
    <w:name w:val="Styl1"/>
    <w:basedOn w:val="Normln"/>
    <w:qFormat/>
    <w:rsid w:val="00A94858"/>
    <w:pPr>
      <w:spacing w:before="60" w:after="60" w:line="288" w:lineRule="auto"/>
    </w:pPr>
    <w:rPr>
      <w:rFonts w:ascii="Arial" w:eastAsia="Arial Unicode MS" w:hAnsi="Arial"/>
      <w:sz w:val="20"/>
    </w:rPr>
  </w:style>
  <w:style w:type="paragraph" w:customStyle="1" w:styleId="Styl2">
    <w:name w:val="Styl2"/>
    <w:basedOn w:val="Normln"/>
    <w:qFormat/>
    <w:rsid w:val="00A94858"/>
    <w:pPr>
      <w:spacing w:before="60" w:after="60" w:line="288" w:lineRule="auto"/>
    </w:pPr>
    <w:rPr>
      <w:rFonts w:ascii="Arial" w:eastAsia="Arial Unicode MS" w:hAnsi="Arial"/>
      <w:sz w:val="20"/>
    </w:rPr>
  </w:style>
  <w:style w:type="paragraph" w:customStyle="1" w:styleId="Nadpis11">
    <w:name w:val="Nadpis 1.1"/>
    <w:basedOn w:val="Odstavecseseznamem"/>
    <w:qFormat/>
    <w:rsid w:val="00A94858"/>
    <w:pPr>
      <w:keepNext/>
      <w:numPr>
        <w:ilvl w:val="1"/>
        <w:numId w:val="1"/>
      </w:numPr>
      <w:spacing w:before="360" w:after="240"/>
    </w:pPr>
    <w:rPr>
      <w:rFonts w:ascii="Arial" w:hAnsi="Arial" w:cs="Arial"/>
      <w:b/>
      <w:bCs/>
      <w:color w:val="002060"/>
      <w:sz w:val="26"/>
      <w:szCs w:val="26"/>
    </w:rPr>
  </w:style>
  <w:style w:type="paragraph" w:styleId="Textbubliny">
    <w:name w:val="Balloon Text"/>
    <w:basedOn w:val="Normln"/>
    <w:link w:val="TextbublinyChar"/>
    <w:uiPriority w:val="99"/>
    <w:semiHidden/>
    <w:unhideWhenUsed/>
    <w:rsid w:val="00005AF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5AF5"/>
    <w:rPr>
      <w:rFonts w:ascii="Tahoma" w:eastAsia="Times New Roman" w:hAnsi="Tahoma" w:cs="Tahoma"/>
      <w:sz w:val="16"/>
      <w:szCs w:val="16"/>
      <w:lang w:eastAsia="cs-CZ"/>
    </w:rPr>
  </w:style>
  <w:style w:type="paragraph" w:styleId="Prosttext">
    <w:name w:val="Plain Text"/>
    <w:basedOn w:val="Normln"/>
    <w:link w:val="ProsttextChar"/>
    <w:uiPriority w:val="99"/>
    <w:semiHidden/>
    <w:unhideWhenUsed/>
    <w:rsid w:val="00523D12"/>
    <w:pPr>
      <w:spacing w:line="240" w:lineRule="auto"/>
      <w:jc w:val="left"/>
    </w:pPr>
    <w:rPr>
      <w:rFonts w:ascii="Calibri" w:eastAsiaTheme="minorHAnsi" w:hAnsi="Calibri"/>
      <w:sz w:val="24"/>
      <w:szCs w:val="24"/>
    </w:rPr>
  </w:style>
  <w:style w:type="character" w:customStyle="1" w:styleId="ProsttextChar">
    <w:name w:val="Prostý text Char"/>
    <w:basedOn w:val="Standardnpsmoodstavce"/>
    <w:link w:val="Prosttext"/>
    <w:uiPriority w:val="99"/>
    <w:semiHidden/>
    <w:rsid w:val="00523D12"/>
    <w:rPr>
      <w:rFonts w:ascii="Calibri" w:hAnsi="Calibri" w:cs="Times New Roman"/>
      <w:sz w:val="24"/>
      <w:szCs w:val="24"/>
      <w:lang w:eastAsia="cs-CZ"/>
    </w:rPr>
  </w:style>
  <w:style w:type="character" w:customStyle="1" w:styleId="Nadpis2Char">
    <w:name w:val="Nadpis 2 Char"/>
    <w:basedOn w:val="Standardnpsmoodstavce"/>
    <w:link w:val="Nadpis2"/>
    <w:uiPriority w:val="99"/>
    <w:rsid w:val="001F5857"/>
    <w:rPr>
      <w:rFonts w:ascii="Cambria" w:eastAsia="Times New Roman" w:hAnsi="Cambria" w:cs="Cambria"/>
      <w:b/>
      <w:bCs/>
      <w:color w:val="4F81BD"/>
      <w:sz w:val="26"/>
      <w:szCs w:val="26"/>
      <w:lang w:eastAsia="cs-CZ"/>
    </w:rPr>
  </w:style>
  <w:style w:type="character" w:customStyle="1" w:styleId="Nadpis3Char">
    <w:name w:val="Nadpis 3 Char"/>
    <w:basedOn w:val="Standardnpsmoodstavce"/>
    <w:link w:val="Nadpis3"/>
    <w:uiPriority w:val="99"/>
    <w:rsid w:val="001F5857"/>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1F5857"/>
    <w:rPr>
      <w:rFonts w:ascii="Arial" w:eastAsia="Times New Roman" w:hAnsi="Arial" w:cs="Arial"/>
      <w:b/>
      <w:bCs/>
      <w:i/>
      <w:iCs/>
      <w:lang w:eastAsia="cs-CZ"/>
    </w:rPr>
  </w:style>
  <w:style w:type="character" w:customStyle="1" w:styleId="Nadpis5Char">
    <w:name w:val="Nadpis 5 Char"/>
    <w:basedOn w:val="Standardnpsmoodstavce"/>
    <w:link w:val="Nadpis5"/>
    <w:uiPriority w:val="99"/>
    <w:rsid w:val="001F5857"/>
    <w:rPr>
      <w:rFonts w:ascii="Calibri" w:eastAsia="Times New Roman" w:hAnsi="Calibri" w:cs="Calibri"/>
      <w:b/>
      <w:bCs/>
      <w:i/>
      <w:iCs/>
      <w:sz w:val="26"/>
      <w:szCs w:val="26"/>
      <w:lang w:eastAsia="cs-CZ"/>
    </w:rPr>
  </w:style>
  <w:style w:type="character" w:customStyle="1" w:styleId="Nadpis6Char">
    <w:name w:val="Nadpis 6 Char"/>
    <w:basedOn w:val="Standardnpsmoodstavce"/>
    <w:link w:val="Nadpis6"/>
    <w:uiPriority w:val="99"/>
    <w:rsid w:val="001F5857"/>
    <w:rPr>
      <w:rFonts w:ascii="Cambria" w:eastAsia="Times New Roman" w:hAnsi="Cambria" w:cs="Cambria"/>
      <w:i/>
      <w:iCs/>
      <w:color w:val="243F60"/>
      <w:lang w:eastAsia="cs-CZ"/>
    </w:rPr>
  </w:style>
  <w:style w:type="character" w:customStyle="1" w:styleId="Nadpis7Char">
    <w:name w:val="Nadpis 7 Char"/>
    <w:basedOn w:val="Standardnpsmoodstavce"/>
    <w:link w:val="Nadpis7"/>
    <w:uiPriority w:val="99"/>
    <w:rsid w:val="001F585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1F585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1F5857"/>
    <w:rPr>
      <w:rFonts w:ascii="Arial" w:eastAsia="Times New Roman" w:hAnsi="Arial" w:cs="Arial"/>
      <w:lang w:eastAsia="cs-CZ"/>
    </w:rPr>
  </w:style>
  <w:style w:type="paragraph" w:customStyle="1" w:styleId="Point0number">
    <w:name w:val="Point 0 (number)"/>
    <w:basedOn w:val="Normln"/>
    <w:rsid w:val="007849AD"/>
    <w:pPr>
      <w:numPr>
        <w:numId w:val="23"/>
      </w:numPr>
      <w:spacing w:before="120" w:after="120" w:line="240" w:lineRule="auto"/>
    </w:pPr>
    <w:rPr>
      <w:sz w:val="24"/>
      <w:szCs w:val="24"/>
      <w:lang w:eastAsia="en-US"/>
    </w:rPr>
  </w:style>
  <w:style w:type="paragraph" w:customStyle="1" w:styleId="Point1number">
    <w:name w:val="Point 1 (number)"/>
    <w:basedOn w:val="Normln"/>
    <w:rsid w:val="007849AD"/>
    <w:pPr>
      <w:numPr>
        <w:ilvl w:val="2"/>
        <w:numId w:val="23"/>
      </w:numPr>
      <w:spacing w:before="120" w:after="120" w:line="240" w:lineRule="auto"/>
    </w:pPr>
    <w:rPr>
      <w:sz w:val="24"/>
      <w:szCs w:val="24"/>
      <w:lang w:eastAsia="en-US"/>
    </w:rPr>
  </w:style>
  <w:style w:type="paragraph" w:customStyle="1" w:styleId="Point2number">
    <w:name w:val="Point 2 (number)"/>
    <w:basedOn w:val="Normln"/>
    <w:rsid w:val="007849AD"/>
    <w:pPr>
      <w:numPr>
        <w:ilvl w:val="4"/>
        <w:numId w:val="23"/>
      </w:numPr>
      <w:spacing w:before="120" w:after="120" w:line="240" w:lineRule="auto"/>
    </w:pPr>
    <w:rPr>
      <w:sz w:val="24"/>
      <w:szCs w:val="24"/>
      <w:lang w:eastAsia="en-US"/>
    </w:rPr>
  </w:style>
  <w:style w:type="paragraph" w:customStyle="1" w:styleId="Point3number">
    <w:name w:val="Point 3 (number)"/>
    <w:basedOn w:val="Normln"/>
    <w:rsid w:val="007849AD"/>
    <w:pPr>
      <w:numPr>
        <w:ilvl w:val="6"/>
        <w:numId w:val="23"/>
      </w:numPr>
      <w:spacing w:before="120" w:after="120" w:line="240" w:lineRule="auto"/>
    </w:pPr>
    <w:rPr>
      <w:sz w:val="24"/>
      <w:szCs w:val="24"/>
      <w:lang w:eastAsia="en-US"/>
    </w:rPr>
  </w:style>
  <w:style w:type="paragraph" w:customStyle="1" w:styleId="Point0letter">
    <w:name w:val="Point 0 (letter)"/>
    <w:basedOn w:val="Normln"/>
    <w:rsid w:val="007849AD"/>
    <w:pPr>
      <w:numPr>
        <w:ilvl w:val="1"/>
        <w:numId w:val="23"/>
      </w:numPr>
      <w:spacing w:before="120" w:after="120" w:line="240" w:lineRule="auto"/>
    </w:pPr>
    <w:rPr>
      <w:sz w:val="24"/>
      <w:szCs w:val="24"/>
      <w:lang w:eastAsia="en-US"/>
    </w:rPr>
  </w:style>
  <w:style w:type="paragraph" w:customStyle="1" w:styleId="Point1letter">
    <w:name w:val="Point 1 (letter)"/>
    <w:basedOn w:val="Normln"/>
    <w:rsid w:val="007849AD"/>
    <w:pPr>
      <w:numPr>
        <w:ilvl w:val="3"/>
        <w:numId w:val="23"/>
      </w:numPr>
      <w:spacing w:before="120" w:after="120" w:line="240" w:lineRule="auto"/>
    </w:pPr>
    <w:rPr>
      <w:sz w:val="24"/>
      <w:szCs w:val="24"/>
      <w:lang w:eastAsia="en-US"/>
    </w:rPr>
  </w:style>
  <w:style w:type="paragraph" w:customStyle="1" w:styleId="Point2letter">
    <w:name w:val="Point 2 (letter)"/>
    <w:basedOn w:val="Normln"/>
    <w:rsid w:val="007849AD"/>
    <w:pPr>
      <w:numPr>
        <w:ilvl w:val="5"/>
        <w:numId w:val="23"/>
      </w:numPr>
      <w:spacing w:before="120" w:after="120" w:line="240" w:lineRule="auto"/>
    </w:pPr>
    <w:rPr>
      <w:sz w:val="24"/>
      <w:szCs w:val="24"/>
      <w:lang w:eastAsia="en-US"/>
    </w:rPr>
  </w:style>
  <w:style w:type="paragraph" w:customStyle="1" w:styleId="Point3letter">
    <w:name w:val="Point 3 (letter)"/>
    <w:basedOn w:val="Normln"/>
    <w:rsid w:val="007849AD"/>
    <w:pPr>
      <w:numPr>
        <w:ilvl w:val="7"/>
        <w:numId w:val="23"/>
      </w:numPr>
      <w:spacing w:before="120" w:after="120" w:line="240" w:lineRule="auto"/>
    </w:pPr>
    <w:rPr>
      <w:sz w:val="24"/>
      <w:szCs w:val="24"/>
      <w:lang w:eastAsia="en-US"/>
    </w:rPr>
  </w:style>
  <w:style w:type="paragraph" w:customStyle="1" w:styleId="Point4letter">
    <w:name w:val="Point 4 (letter)"/>
    <w:basedOn w:val="Normln"/>
    <w:rsid w:val="007849AD"/>
    <w:pPr>
      <w:numPr>
        <w:ilvl w:val="8"/>
        <w:numId w:val="23"/>
      </w:numPr>
      <w:spacing w:before="120" w:after="120" w:line="240" w:lineRule="auto"/>
    </w:pPr>
    <w:rPr>
      <w:sz w:val="24"/>
      <w:szCs w:val="24"/>
      <w:lang w:eastAsia="en-US"/>
    </w:rPr>
  </w:style>
  <w:style w:type="paragraph" w:styleId="Zhlav">
    <w:name w:val="header"/>
    <w:basedOn w:val="Normln"/>
    <w:link w:val="ZhlavChar"/>
    <w:uiPriority w:val="99"/>
    <w:semiHidden/>
    <w:unhideWhenUsed/>
    <w:rsid w:val="00F86357"/>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F86357"/>
    <w:rPr>
      <w:rFonts w:ascii="Times New Roman" w:eastAsia="Times New Roman" w:hAnsi="Times New Roman" w:cs="Times New Roman"/>
      <w:lang w:eastAsia="cs-CZ"/>
    </w:rPr>
  </w:style>
  <w:style w:type="paragraph" w:styleId="Zpat">
    <w:name w:val="footer"/>
    <w:basedOn w:val="Normln"/>
    <w:link w:val="ZpatChar"/>
    <w:uiPriority w:val="99"/>
    <w:unhideWhenUsed/>
    <w:rsid w:val="00F86357"/>
    <w:pPr>
      <w:tabs>
        <w:tab w:val="center" w:pos="4536"/>
        <w:tab w:val="right" w:pos="9072"/>
      </w:tabs>
      <w:spacing w:line="240" w:lineRule="auto"/>
    </w:pPr>
  </w:style>
  <w:style w:type="character" w:customStyle="1" w:styleId="ZpatChar">
    <w:name w:val="Zápatí Char"/>
    <w:basedOn w:val="Standardnpsmoodstavce"/>
    <w:link w:val="Zpat"/>
    <w:uiPriority w:val="99"/>
    <w:rsid w:val="00F86357"/>
    <w:rPr>
      <w:rFonts w:ascii="Times New Roman" w:eastAsia="Times New Roman" w:hAnsi="Times New Roman" w:cs="Times New Roman"/>
      <w:lang w:eastAsia="cs-CZ"/>
    </w:rPr>
  </w:style>
  <w:style w:type="paragraph" w:styleId="Normlnweb">
    <w:name w:val="Normal (Web)"/>
    <w:basedOn w:val="Normln"/>
    <w:uiPriority w:val="99"/>
    <w:unhideWhenUsed/>
    <w:rsid w:val="00875C97"/>
    <w:pPr>
      <w:spacing w:before="100" w:beforeAutospacing="1" w:after="100" w:afterAutospacing="1" w:line="240" w:lineRule="auto"/>
      <w:jc w:val="left"/>
    </w:pPr>
    <w:rPr>
      <w:sz w:val="24"/>
      <w:szCs w:val="24"/>
    </w:rPr>
  </w:style>
  <w:style w:type="character" w:styleId="Odkaznakoment">
    <w:name w:val="annotation reference"/>
    <w:basedOn w:val="Standardnpsmoodstavce"/>
    <w:uiPriority w:val="99"/>
    <w:semiHidden/>
    <w:unhideWhenUsed/>
    <w:rsid w:val="000D22E5"/>
    <w:rPr>
      <w:sz w:val="16"/>
      <w:szCs w:val="16"/>
    </w:rPr>
  </w:style>
  <w:style w:type="paragraph" w:styleId="Textkomente">
    <w:name w:val="annotation text"/>
    <w:basedOn w:val="Normln"/>
    <w:link w:val="TextkomenteChar"/>
    <w:uiPriority w:val="99"/>
    <w:semiHidden/>
    <w:unhideWhenUsed/>
    <w:rsid w:val="000D22E5"/>
    <w:pPr>
      <w:spacing w:line="240" w:lineRule="auto"/>
    </w:pPr>
    <w:rPr>
      <w:sz w:val="20"/>
      <w:szCs w:val="20"/>
    </w:rPr>
  </w:style>
  <w:style w:type="character" w:customStyle="1" w:styleId="TextkomenteChar">
    <w:name w:val="Text komentáře Char"/>
    <w:basedOn w:val="Standardnpsmoodstavce"/>
    <w:link w:val="Textkomente"/>
    <w:uiPriority w:val="99"/>
    <w:semiHidden/>
    <w:rsid w:val="000D22E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22E5"/>
    <w:rPr>
      <w:b/>
      <w:bCs/>
    </w:rPr>
  </w:style>
  <w:style w:type="character" w:customStyle="1" w:styleId="PedmtkomenteChar">
    <w:name w:val="Předmět komentáře Char"/>
    <w:basedOn w:val="TextkomenteChar"/>
    <w:link w:val="Pedmtkomente"/>
    <w:uiPriority w:val="99"/>
    <w:semiHidden/>
    <w:rsid w:val="000D22E5"/>
    <w:rPr>
      <w:b/>
      <w:bCs/>
    </w:rPr>
  </w:style>
  <w:style w:type="paragraph" w:customStyle="1" w:styleId="Default">
    <w:name w:val="Default"/>
    <w:rsid w:val="007E51B0"/>
    <w:pPr>
      <w:autoSpaceDE w:val="0"/>
      <w:autoSpaceDN w:val="0"/>
      <w:adjustRightInd w:val="0"/>
      <w:spacing w:before="0" w:after="0" w:line="240" w:lineRule="auto"/>
      <w:ind w:left="0"/>
      <w:jc w:val="left"/>
    </w:pPr>
    <w:rPr>
      <w:rFonts w:ascii="Times New Roman" w:hAnsi="Times New Roman" w:cs="Times New Roman"/>
      <w:color w:val="000000"/>
      <w:sz w:val="24"/>
      <w:szCs w:val="24"/>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unhideWhenUsed/>
    <w:qFormat/>
    <w:rsid w:val="007E51B0"/>
    <w:pPr>
      <w:spacing w:line="240" w:lineRule="auto"/>
      <w:ind w:left="425"/>
    </w:pPr>
    <w:rPr>
      <w:rFonts w:asciiTheme="minorHAnsi" w:eastAsiaTheme="minorHAnsi" w:hAnsiTheme="minorHAnsi" w:cstheme="minorBidi"/>
      <w:sz w:val="20"/>
      <w:szCs w:val="20"/>
      <w:lang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7E51B0"/>
    <w:rPr>
      <w:sz w:val="20"/>
      <w:szCs w:val="20"/>
    </w:rPr>
  </w:style>
  <w:style w:type="character" w:styleId="Znakapoznpodarou">
    <w:name w:val="footnote reference"/>
    <w:basedOn w:val="Standardnpsmoodstavce"/>
    <w:uiPriority w:val="99"/>
    <w:semiHidden/>
    <w:unhideWhenUsed/>
    <w:rsid w:val="007E51B0"/>
    <w:rPr>
      <w:vertAlign w:val="superscript"/>
    </w:rPr>
  </w:style>
  <w:style w:type="paragraph" w:customStyle="1" w:styleId="Tiret0">
    <w:name w:val="Tiret 0"/>
    <w:basedOn w:val="Normln"/>
    <w:rsid w:val="00A972B3"/>
    <w:pPr>
      <w:numPr>
        <w:numId w:val="26"/>
      </w:numPr>
      <w:spacing w:before="120" w:after="120" w:line="240" w:lineRule="auto"/>
    </w:pPr>
    <w:rPr>
      <w:sz w:val="24"/>
      <w:szCs w:val="24"/>
      <w:lang w:eastAsia="en-US"/>
    </w:rPr>
  </w:style>
  <w:style w:type="paragraph" w:customStyle="1" w:styleId="ListDash1">
    <w:name w:val="List Dash 1"/>
    <w:basedOn w:val="Normln"/>
    <w:rsid w:val="00656588"/>
    <w:pPr>
      <w:numPr>
        <w:numId w:val="27"/>
      </w:numPr>
      <w:spacing w:after="240" w:line="240" w:lineRule="auto"/>
    </w:pPr>
    <w:rPr>
      <w:sz w:val="24"/>
      <w:szCs w:val="24"/>
      <w:lang w:val="en-GB" w:eastAsia="en-US"/>
    </w:rPr>
  </w:style>
  <w:style w:type="paragraph" w:styleId="Revize">
    <w:name w:val="Revision"/>
    <w:hidden/>
    <w:uiPriority w:val="99"/>
    <w:semiHidden/>
    <w:rsid w:val="00006F03"/>
    <w:pPr>
      <w:spacing w:before="0" w:after="0" w:line="240" w:lineRule="auto"/>
      <w:ind w:left="0"/>
      <w:jc w:val="left"/>
    </w:pPr>
    <w:rPr>
      <w:rFonts w:ascii="Times New Roman" w:eastAsia="Times New Roman" w:hAnsi="Times New Roman" w:cs="Times New Roman"/>
      <w:lang w:eastAsia="cs-CZ"/>
    </w:rPr>
  </w:style>
</w:styles>
</file>

<file path=word/webSettings.xml><?xml version="1.0" encoding="utf-8"?>
<w:webSettings xmlns:r="http://schemas.openxmlformats.org/officeDocument/2006/relationships" xmlns:w="http://schemas.openxmlformats.org/wordprocessingml/2006/main">
  <w:divs>
    <w:div w:id="166408932">
      <w:bodyDiv w:val="1"/>
      <w:marLeft w:val="0"/>
      <w:marRight w:val="0"/>
      <w:marTop w:val="0"/>
      <w:marBottom w:val="0"/>
      <w:divBdr>
        <w:top w:val="none" w:sz="0" w:space="0" w:color="auto"/>
        <w:left w:val="none" w:sz="0" w:space="0" w:color="auto"/>
        <w:bottom w:val="none" w:sz="0" w:space="0" w:color="auto"/>
        <w:right w:val="none" w:sz="0" w:space="0" w:color="auto"/>
      </w:divBdr>
    </w:div>
    <w:div w:id="201406757">
      <w:bodyDiv w:val="1"/>
      <w:marLeft w:val="0"/>
      <w:marRight w:val="0"/>
      <w:marTop w:val="0"/>
      <w:marBottom w:val="0"/>
      <w:divBdr>
        <w:top w:val="none" w:sz="0" w:space="0" w:color="auto"/>
        <w:left w:val="none" w:sz="0" w:space="0" w:color="auto"/>
        <w:bottom w:val="none" w:sz="0" w:space="0" w:color="auto"/>
        <w:right w:val="none" w:sz="0" w:space="0" w:color="auto"/>
      </w:divBdr>
    </w:div>
    <w:div w:id="675885894">
      <w:bodyDiv w:val="1"/>
      <w:marLeft w:val="0"/>
      <w:marRight w:val="0"/>
      <w:marTop w:val="0"/>
      <w:marBottom w:val="0"/>
      <w:divBdr>
        <w:top w:val="none" w:sz="0" w:space="0" w:color="auto"/>
        <w:left w:val="none" w:sz="0" w:space="0" w:color="auto"/>
        <w:bottom w:val="none" w:sz="0" w:space="0" w:color="auto"/>
        <w:right w:val="none" w:sz="0" w:space="0" w:color="auto"/>
      </w:divBdr>
    </w:div>
    <w:div w:id="805899355">
      <w:bodyDiv w:val="1"/>
      <w:marLeft w:val="0"/>
      <w:marRight w:val="0"/>
      <w:marTop w:val="0"/>
      <w:marBottom w:val="0"/>
      <w:divBdr>
        <w:top w:val="none" w:sz="0" w:space="0" w:color="auto"/>
        <w:left w:val="none" w:sz="0" w:space="0" w:color="auto"/>
        <w:bottom w:val="none" w:sz="0" w:space="0" w:color="auto"/>
        <w:right w:val="none" w:sz="0" w:space="0" w:color="auto"/>
      </w:divBdr>
    </w:div>
    <w:div w:id="961570777">
      <w:bodyDiv w:val="1"/>
      <w:marLeft w:val="0"/>
      <w:marRight w:val="0"/>
      <w:marTop w:val="0"/>
      <w:marBottom w:val="0"/>
      <w:divBdr>
        <w:top w:val="none" w:sz="0" w:space="0" w:color="auto"/>
        <w:left w:val="none" w:sz="0" w:space="0" w:color="auto"/>
        <w:bottom w:val="none" w:sz="0" w:space="0" w:color="auto"/>
        <w:right w:val="none" w:sz="0" w:space="0" w:color="auto"/>
      </w:divBdr>
    </w:div>
    <w:div w:id="1056929521">
      <w:bodyDiv w:val="1"/>
      <w:marLeft w:val="0"/>
      <w:marRight w:val="0"/>
      <w:marTop w:val="0"/>
      <w:marBottom w:val="0"/>
      <w:divBdr>
        <w:top w:val="none" w:sz="0" w:space="0" w:color="auto"/>
        <w:left w:val="none" w:sz="0" w:space="0" w:color="auto"/>
        <w:bottom w:val="none" w:sz="0" w:space="0" w:color="auto"/>
        <w:right w:val="none" w:sz="0" w:space="0" w:color="auto"/>
      </w:divBdr>
    </w:div>
    <w:div w:id="1173302881">
      <w:bodyDiv w:val="1"/>
      <w:marLeft w:val="0"/>
      <w:marRight w:val="0"/>
      <w:marTop w:val="0"/>
      <w:marBottom w:val="0"/>
      <w:divBdr>
        <w:top w:val="none" w:sz="0" w:space="0" w:color="auto"/>
        <w:left w:val="none" w:sz="0" w:space="0" w:color="auto"/>
        <w:bottom w:val="none" w:sz="0" w:space="0" w:color="auto"/>
        <w:right w:val="none" w:sz="0" w:space="0" w:color="auto"/>
      </w:divBdr>
    </w:div>
    <w:div w:id="1191071860">
      <w:bodyDiv w:val="1"/>
      <w:marLeft w:val="0"/>
      <w:marRight w:val="0"/>
      <w:marTop w:val="0"/>
      <w:marBottom w:val="0"/>
      <w:divBdr>
        <w:top w:val="none" w:sz="0" w:space="0" w:color="auto"/>
        <w:left w:val="none" w:sz="0" w:space="0" w:color="auto"/>
        <w:bottom w:val="none" w:sz="0" w:space="0" w:color="auto"/>
        <w:right w:val="none" w:sz="0" w:space="0" w:color="auto"/>
      </w:divBdr>
    </w:div>
    <w:div w:id="1422411755">
      <w:bodyDiv w:val="1"/>
      <w:marLeft w:val="0"/>
      <w:marRight w:val="0"/>
      <w:marTop w:val="0"/>
      <w:marBottom w:val="0"/>
      <w:divBdr>
        <w:top w:val="none" w:sz="0" w:space="0" w:color="auto"/>
        <w:left w:val="none" w:sz="0" w:space="0" w:color="auto"/>
        <w:bottom w:val="none" w:sz="0" w:space="0" w:color="auto"/>
        <w:right w:val="none" w:sz="0" w:space="0" w:color="auto"/>
      </w:divBdr>
    </w:div>
    <w:div w:id="1454329800">
      <w:bodyDiv w:val="1"/>
      <w:marLeft w:val="0"/>
      <w:marRight w:val="0"/>
      <w:marTop w:val="0"/>
      <w:marBottom w:val="0"/>
      <w:divBdr>
        <w:top w:val="none" w:sz="0" w:space="0" w:color="auto"/>
        <w:left w:val="none" w:sz="0" w:space="0" w:color="auto"/>
        <w:bottom w:val="none" w:sz="0" w:space="0" w:color="auto"/>
        <w:right w:val="none" w:sz="0" w:space="0" w:color="auto"/>
      </w:divBdr>
    </w:div>
    <w:div w:id="1828278873">
      <w:bodyDiv w:val="1"/>
      <w:marLeft w:val="0"/>
      <w:marRight w:val="0"/>
      <w:marTop w:val="0"/>
      <w:marBottom w:val="0"/>
      <w:divBdr>
        <w:top w:val="none" w:sz="0" w:space="0" w:color="auto"/>
        <w:left w:val="none" w:sz="0" w:space="0" w:color="auto"/>
        <w:bottom w:val="none" w:sz="0" w:space="0" w:color="auto"/>
        <w:right w:val="none" w:sz="0" w:space="0" w:color="auto"/>
      </w:divBdr>
    </w:div>
    <w:div w:id="1934437919">
      <w:bodyDiv w:val="1"/>
      <w:marLeft w:val="0"/>
      <w:marRight w:val="0"/>
      <w:marTop w:val="0"/>
      <w:marBottom w:val="0"/>
      <w:divBdr>
        <w:top w:val="none" w:sz="0" w:space="0" w:color="auto"/>
        <w:left w:val="none" w:sz="0" w:space="0" w:color="auto"/>
        <w:bottom w:val="none" w:sz="0" w:space="0" w:color="auto"/>
        <w:right w:val="none" w:sz="0" w:space="0" w:color="auto"/>
      </w:divBdr>
    </w:div>
    <w:div w:id="1942251040">
      <w:bodyDiv w:val="1"/>
      <w:marLeft w:val="0"/>
      <w:marRight w:val="0"/>
      <w:marTop w:val="0"/>
      <w:marBottom w:val="0"/>
      <w:divBdr>
        <w:top w:val="none" w:sz="0" w:space="0" w:color="auto"/>
        <w:left w:val="none" w:sz="0" w:space="0" w:color="auto"/>
        <w:bottom w:val="none" w:sz="0" w:space="0" w:color="auto"/>
        <w:right w:val="none" w:sz="0" w:space="0" w:color="auto"/>
      </w:divBdr>
    </w:div>
    <w:div w:id="2024935621">
      <w:bodyDiv w:val="1"/>
      <w:marLeft w:val="0"/>
      <w:marRight w:val="0"/>
      <w:marTop w:val="0"/>
      <w:marBottom w:val="0"/>
      <w:divBdr>
        <w:top w:val="none" w:sz="0" w:space="0" w:color="auto"/>
        <w:left w:val="none" w:sz="0" w:space="0" w:color="auto"/>
        <w:bottom w:val="none" w:sz="0" w:space="0" w:color="auto"/>
        <w:right w:val="none" w:sz="0" w:space="0" w:color="auto"/>
      </w:divBdr>
    </w:div>
    <w:div w:id="2098091522">
      <w:bodyDiv w:val="1"/>
      <w:marLeft w:val="0"/>
      <w:marRight w:val="0"/>
      <w:marTop w:val="0"/>
      <w:marBottom w:val="0"/>
      <w:divBdr>
        <w:top w:val="none" w:sz="0" w:space="0" w:color="auto"/>
        <w:left w:val="none" w:sz="0" w:space="0" w:color="auto"/>
        <w:bottom w:val="none" w:sz="0" w:space="0" w:color="auto"/>
        <w:right w:val="none" w:sz="0" w:space="0" w:color="auto"/>
      </w:divBdr>
    </w:div>
    <w:div w:id="21081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KP%202014-2020.%20Priprava\1.DUBEN%202012.VLADA.material%20k%20usneseni%20vlady\Kondicionality.Analyza.Podklad\MV.Tabulka%20kondicionality.xlsx" TargetMode="External"/><Relationship Id="rId13" Type="http://schemas.openxmlformats.org/officeDocument/2006/relationships/hyperlink" Target="file:///D:\!!%20KP%202014-2020.%20Priprava\1.DUBEN%202012.VLADA.material%20k%20usneseni%20vlady\Kondicionality.Analyza.Podklad\MV.Tabulka%20kondicionality.xlsx" TargetMode="External"/><Relationship Id="rId18" Type="http://schemas.openxmlformats.org/officeDocument/2006/relationships/hyperlink" Target="file:///C:\Documents%20and%20Settings\skodav2\Plocha\MV%20vyj&#225;d&#345;en&#237;.Tabulka%20kondicionalit.xlsx" TargetMode="External"/><Relationship Id="rId3" Type="http://schemas.openxmlformats.org/officeDocument/2006/relationships/styles" Target="styles.xml"/><Relationship Id="rId21" Type="http://schemas.openxmlformats.org/officeDocument/2006/relationships/hyperlink" Target="file:///C:\Documents%20and%20Settings\skodav2\Plocha\MV%20vyj&#225;d&#345;en&#237;.Tabulka%20kondicionalit.xlsx" TargetMode="External"/><Relationship Id="rId7" Type="http://schemas.openxmlformats.org/officeDocument/2006/relationships/endnotes" Target="endnotes.xml"/><Relationship Id="rId12" Type="http://schemas.openxmlformats.org/officeDocument/2006/relationships/hyperlink" Target="file:///D:\!!%20KP%202014-2020.%20Priprava\1.DUBEN%202012.VLADA.material%20k%20usneseni%20vlady\Kondicionality.Analyza.Podklad\MV.Tabulka%20kondicionality.xlsx" TargetMode="External"/><Relationship Id="rId17" Type="http://schemas.openxmlformats.org/officeDocument/2006/relationships/hyperlink" Target="file:///C:\Documents%20and%20Settings\skodav2\Plocha\MV%20vyj&#225;d&#345;en&#237;.Tabulka%20kondicionalit.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Documents%20and%20Settings\skodav2\Plocha\MV%20vyj&#225;d&#345;en&#237;.Tabulka%20kondicionalit.xlsx" TargetMode="External"/><Relationship Id="rId20" Type="http://schemas.openxmlformats.org/officeDocument/2006/relationships/hyperlink" Target="file:///C:\Documents%20and%20Settings\skodav2\Plocha\MV%20vyj&#225;d&#345;en&#237;.Tabulka%20kondicionalit.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KP%202014-2020.%20Priprava\1.DUBEN%202012.VLADA.material%20k%20usneseni%20vlady\Kondicionality.Analyza.Podklad\MV.Tabulka%20kondicionality.xls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20KP%202014-2020.%20Priprava\1.DUBEN%202012.VLADA.material%20k%20usneseni%20vlady\Kondicionality.Analyza.Podklad\MV.Tabulka%20kondicionality.xlsx" TargetMode="External"/><Relationship Id="rId23" Type="http://schemas.openxmlformats.org/officeDocument/2006/relationships/footer" Target="footer1.xml"/><Relationship Id="rId10" Type="http://schemas.openxmlformats.org/officeDocument/2006/relationships/hyperlink" Target="file:///D:\!!%20KP%202014-2020.%20Priprava\1.DUBEN%202012.VLADA.material%20k%20usneseni%20vlady\Kondicionality.Analyza.Podklad\MV.Tabulka%20kondicionality.xlsx" TargetMode="External"/><Relationship Id="rId19" Type="http://schemas.openxmlformats.org/officeDocument/2006/relationships/hyperlink" Target="file:///C:\Documents%20and%20Settings\skodav2\Plocha\MV%20vyj&#225;d&#345;en&#237;.Tabulka%20kondicionalit.xlsx" TargetMode="External"/><Relationship Id="rId4" Type="http://schemas.openxmlformats.org/officeDocument/2006/relationships/settings" Target="settings.xml"/><Relationship Id="rId9" Type="http://schemas.openxmlformats.org/officeDocument/2006/relationships/hyperlink" Target="file:///D:\!!%20KP%202014-2020.%20Priprava\1.DUBEN%202012.VLADA.material%20k%20usneseni%20vlady\Kondicionality.Analyza.Podklad\MV.Tabulka%20kondicionality.xlsx" TargetMode="External"/><Relationship Id="rId14" Type="http://schemas.openxmlformats.org/officeDocument/2006/relationships/hyperlink" Target="file:///D:\!!%20KP%202014-2020.%20Priprava\1.DUBEN%202012.VLADA.material%20k%20usneseni%20vlady\Kondicionality.Analyza.Podklad\MV.Tabulka%20kondicionality.xlsx" TargetMode="External"/><Relationship Id="rId22" Type="http://schemas.openxmlformats.org/officeDocument/2006/relationships/hyperlink" Target="file:///C:\Documents%20and%20Settings\skodav2\Plocha\Tabulka%20kondicionalit.Bez%20MV.xls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527D9-729F-4F9B-B2D4-86635C22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22092</Words>
  <Characters>130349</Characters>
  <Application>Microsoft Office Word</Application>
  <DocSecurity>0</DocSecurity>
  <Lines>1086</Lines>
  <Paragraphs>304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152137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Škorňa</dc:creator>
  <cp:keywords/>
  <dc:description/>
  <cp:lastModifiedBy>David Škorňa</cp:lastModifiedBy>
  <cp:revision>17</cp:revision>
  <cp:lastPrinted>2013-06-14T07:16:00Z</cp:lastPrinted>
  <dcterms:created xsi:type="dcterms:W3CDTF">2013-06-21T09:36:00Z</dcterms:created>
  <dcterms:modified xsi:type="dcterms:W3CDTF">2013-06-21T12:21:00Z</dcterms:modified>
</cp:coreProperties>
</file>