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B8" w:rsidRPr="001F1E30" w:rsidRDefault="00DB7525" w:rsidP="003F5005">
      <w:pPr>
        <w:jc w:val="both"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1F1E30"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5686425" cy="800100"/>
            <wp:effectExtent l="19050" t="0" r="9525" b="0"/>
            <wp:docPr id="1" name="obrázek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40FB8" w:rsidRPr="001F1E30" w:rsidRDefault="00940FB8" w:rsidP="003F5005">
      <w:pPr>
        <w:jc w:val="both"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:rsidR="00C059DD" w:rsidRPr="001F1E30" w:rsidRDefault="00C059DD" w:rsidP="003F5005">
      <w:pPr>
        <w:jc w:val="both"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:rsidR="0070108D" w:rsidRPr="001F1E30" w:rsidRDefault="0070108D" w:rsidP="003F5005">
      <w:pPr>
        <w:jc w:val="both"/>
        <w:outlineLvl w:val="0"/>
        <w:rPr>
          <w:rFonts w:ascii="Arial" w:eastAsia="Arial Unicode MS" w:hAnsi="Arial" w:cs="Arial"/>
          <w:b/>
          <w:color w:val="000000"/>
          <w:sz w:val="20"/>
          <w:szCs w:val="20"/>
          <w:u w:color="000000"/>
        </w:rPr>
      </w:pPr>
    </w:p>
    <w:p w:rsidR="002F0A03" w:rsidRPr="001F1E30" w:rsidRDefault="002F0A03" w:rsidP="003F5005">
      <w:pPr>
        <w:jc w:val="both"/>
        <w:outlineLvl w:val="0"/>
        <w:rPr>
          <w:rFonts w:ascii="Arial" w:eastAsia="Arial Unicode MS" w:hAnsi="Arial" w:cs="Arial"/>
          <w:b/>
          <w:color w:val="000000"/>
          <w:sz w:val="20"/>
          <w:szCs w:val="20"/>
          <w:u w:color="000000"/>
        </w:rPr>
      </w:pPr>
    </w:p>
    <w:p w:rsidR="00254458" w:rsidRPr="00642746" w:rsidRDefault="00254458" w:rsidP="00254458">
      <w:pPr>
        <w:jc w:val="center"/>
        <w:rPr>
          <w:b/>
          <w:u w:val="single"/>
        </w:rPr>
      </w:pPr>
      <w:r>
        <w:rPr>
          <w:b/>
          <w:u w:val="single"/>
        </w:rPr>
        <w:t>Zá</w:t>
      </w:r>
      <w:r w:rsidR="00BD322A">
        <w:rPr>
          <w:b/>
          <w:u w:val="single"/>
        </w:rPr>
        <w:t>pis</w:t>
      </w:r>
      <w:r>
        <w:rPr>
          <w:b/>
          <w:u w:val="single"/>
        </w:rPr>
        <w:t xml:space="preserve"> z</w:t>
      </w:r>
      <w:r w:rsidR="00BD322A">
        <w:rPr>
          <w:b/>
          <w:u w:val="single"/>
        </w:rPr>
        <w:t xml:space="preserve"> koordinačního setkání s </w:t>
      </w:r>
      <w:proofErr w:type="gramStart"/>
      <w:r w:rsidR="00BD322A">
        <w:rPr>
          <w:b/>
          <w:u w:val="single"/>
        </w:rPr>
        <w:t xml:space="preserve">ŘO a </w:t>
      </w:r>
      <w:r w:rsidRPr="00642746">
        <w:rPr>
          <w:b/>
          <w:u w:val="single"/>
        </w:rPr>
        <w:t xml:space="preserve"> </w:t>
      </w:r>
      <w:r w:rsidR="00BD322A">
        <w:rPr>
          <w:b/>
          <w:u w:val="single"/>
        </w:rPr>
        <w:t>SEA</w:t>
      </w:r>
      <w:proofErr w:type="gramEnd"/>
      <w:r w:rsidR="00BD322A">
        <w:rPr>
          <w:b/>
          <w:u w:val="single"/>
        </w:rPr>
        <w:t xml:space="preserve"> hodnotiteli </w:t>
      </w:r>
      <w:r w:rsidRPr="00642746">
        <w:rPr>
          <w:b/>
          <w:u w:val="single"/>
        </w:rPr>
        <w:t xml:space="preserve">Dohody o partnerství </w:t>
      </w:r>
      <w:r w:rsidR="00BD322A">
        <w:rPr>
          <w:b/>
          <w:u w:val="single"/>
        </w:rPr>
        <w:t>a programů</w:t>
      </w:r>
    </w:p>
    <w:p w:rsidR="00254458" w:rsidRPr="00642746" w:rsidRDefault="00254458" w:rsidP="00254458">
      <w:pPr>
        <w:jc w:val="both"/>
      </w:pPr>
    </w:p>
    <w:p w:rsidR="00254458" w:rsidRDefault="00254458" w:rsidP="00254458">
      <w:pPr>
        <w:jc w:val="both"/>
      </w:pPr>
    </w:p>
    <w:p w:rsidR="00F66C36" w:rsidRDefault="00F66C36" w:rsidP="00254458">
      <w:pPr>
        <w:jc w:val="both"/>
      </w:pPr>
    </w:p>
    <w:p w:rsidR="00254458" w:rsidRDefault="00254458" w:rsidP="00F66C36">
      <w:pPr>
        <w:jc w:val="both"/>
      </w:pPr>
      <w:r w:rsidRPr="00DF57B1">
        <w:rPr>
          <w:b/>
        </w:rPr>
        <w:t>Termín:</w:t>
      </w:r>
      <w:r>
        <w:t xml:space="preserve"> </w:t>
      </w:r>
      <w:r w:rsidR="00BD322A">
        <w:t>14</w:t>
      </w:r>
      <w:r>
        <w:t xml:space="preserve">. </w:t>
      </w:r>
      <w:r w:rsidR="00BD322A">
        <w:t>2</w:t>
      </w:r>
      <w:r>
        <w:t>. 2014</w:t>
      </w:r>
    </w:p>
    <w:p w:rsidR="00254458" w:rsidRDefault="00254458" w:rsidP="00F66C36">
      <w:pPr>
        <w:jc w:val="both"/>
      </w:pPr>
      <w:r w:rsidRPr="00DF57B1">
        <w:rPr>
          <w:b/>
        </w:rPr>
        <w:t>Místo:</w:t>
      </w:r>
      <w:r>
        <w:t xml:space="preserve"> Praha, MMR, Staroměstské nám. 6, VZM</w:t>
      </w:r>
    </w:p>
    <w:p w:rsidR="00254458" w:rsidRDefault="00254458" w:rsidP="00F66C36">
      <w:pPr>
        <w:jc w:val="both"/>
      </w:pPr>
      <w:r w:rsidRPr="00DF57B1">
        <w:rPr>
          <w:b/>
        </w:rPr>
        <w:t>Účastníci:</w:t>
      </w:r>
      <w:r>
        <w:t xml:space="preserve"> viz prezenční listina v příloze</w:t>
      </w:r>
    </w:p>
    <w:p w:rsidR="00254458" w:rsidRDefault="00254458" w:rsidP="00F66C36">
      <w:pPr>
        <w:jc w:val="both"/>
      </w:pPr>
    </w:p>
    <w:p w:rsidR="00254458" w:rsidRDefault="00254458" w:rsidP="00F66C36">
      <w:pPr>
        <w:jc w:val="both"/>
      </w:pPr>
    </w:p>
    <w:p w:rsidR="00254458" w:rsidRPr="002B66DA" w:rsidRDefault="00254458" w:rsidP="00F66C36">
      <w:pPr>
        <w:jc w:val="both"/>
        <w:rPr>
          <w:b/>
          <w:u w:val="single"/>
        </w:rPr>
      </w:pPr>
      <w:r w:rsidRPr="002B66DA">
        <w:rPr>
          <w:b/>
          <w:u w:val="single"/>
        </w:rPr>
        <w:t>Cíl a průběh jednání:</w:t>
      </w:r>
    </w:p>
    <w:p w:rsidR="00254458" w:rsidRDefault="00254458" w:rsidP="00F66C36">
      <w:pPr>
        <w:jc w:val="both"/>
      </w:pPr>
    </w:p>
    <w:p w:rsidR="003B5B6D" w:rsidRDefault="003B5B6D" w:rsidP="00F66C36">
      <w:pPr>
        <w:jc w:val="both"/>
      </w:pPr>
    </w:p>
    <w:p w:rsidR="00D23B42" w:rsidRDefault="00254458" w:rsidP="00F66C36">
      <w:pPr>
        <w:jc w:val="both"/>
      </w:pPr>
      <w:r>
        <w:t xml:space="preserve">Cílem jednání bylo </w:t>
      </w:r>
      <w:r w:rsidR="00D23B42">
        <w:t xml:space="preserve">poskytnutí komplexních informací a zejména upozornění na možná rizika a termíny spojené s procesem SEA hodnocení programů, a to i ve vazbě na SEA hodnocení </w:t>
      </w:r>
      <w:r w:rsidR="00327830">
        <w:t xml:space="preserve">Dohody o partnerství (dále </w:t>
      </w:r>
      <w:r w:rsidR="00D23B42">
        <w:t>DoP</w:t>
      </w:r>
      <w:r w:rsidR="00327830">
        <w:t>)</w:t>
      </w:r>
      <w:r w:rsidR="00D23B42">
        <w:t>, schválení DoP vládou ČR a zaslání DoP</w:t>
      </w:r>
      <w:r w:rsidR="00944506">
        <w:t xml:space="preserve"> a programů</w:t>
      </w:r>
      <w:r w:rsidR="00D23B42">
        <w:t xml:space="preserve"> na EK. Tyto informace byly poskytnuty řídicím orgánům programů a zpracovatelům SEA hodnocení programů ze strany MMR-NOK</w:t>
      </w:r>
      <w:r w:rsidR="004E1C96">
        <w:t xml:space="preserve">, zástupců zpracovatele SEA hodnocení </w:t>
      </w:r>
      <w:proofErr w:type="spellStart"/>
      <w:r w:rsidR="004E1C96">
        <w:t>DoP</w:t>
      </w:r>
      <w:proofErr w:type="spellEnd"/>
      <w:r w:rsidR="00D23B42">
        <w:t xml:space="preserve"> a </w:t>
      </w:r>
      <w:r w:rsidR="004A093A">
        <w:t>zástupců</w:t>
      </w:r>
      <w:r w:rsidR="00D23B42">
        <w:t xml:space="preserve"> MŽP</w:t>
      </w:r>
      <w:r w:rsidR="00944506">
        <w:t>, odboru posuzování vlivů na životní prostředí a integrované prevence</w:t>
      </w:r>
      <w:r w:rsidR="00E62331">
        <w:t xml:space="preserve"> (OPVIP)</w:t>
      </w:r>
      <w:r w:rsidR="00D23B42">
        <w:t>.</w:t>
      </w:r>
      <w:r w:rsidR="00FE7690">
        <w:t xml:space="preserve"> </w:t>
      </w:r>
    </w:p>
    <w:p w:rsidR="00FE7690" w:rsidRDefault="00FE7690" w:rsidP="00F66C36">
      <w:pPr>
        <w:jc w:val="both"/>
      </w:pPr>
      <w:r>
        <w:t xml:space="preserve">Jednání vedla L. Sekyrová, zástupkyně ředitelky </w:t>
      </w:r>
      <w:r w:rsidR="00D64394">
        <w:t>o</w:t>
      </w:r>
      <w:r>
        <w:t>dboru přípravy programového období 2014–2020</w:t>
      </w:r>
      <w:r w:rsidR="00327830">
        <w:t xml:space="preserve"> MMR</w:t>
      </w:r>
      <w:r>
        <w:t>.</w:t>
      </w:r>
    </w:p>
    <w:p w:rsidR="00D23B42" w:rsidRDefault="00D23B42" w:rsidP="00F66C36">
      <w:pPr>
        <w:jc w:val="both"/>
      </w:pPr>
    </w:p>
    <w:p w:rsidR="003B5B6D" w:rsidRDefault="003B5B6D" w:rsidP="00F66C36">
      <w:pPr>
        <w:jc w:val="both"/>
      </w:pPr>
    </w:p>
    <w:p w:rsidR="002B66DA" w:rsidRPr="002B66DA" w:rsidRDefault="00FE7690" w:rsidP="003224AF">
      <w:pPr>
        <w:pStyle w:val="Odstavecseseznamem"/>
        <w:numPr>
          <w:ilvl w:val="0"/>
          <w:numId w:val="2"/>
        </w:numPr>
        <w:ind w:left="357" w:hanging="357"/>
        <w:jc w:val="both"/>
        <w:rPr>
          <w:b/>
        </w:rPr>
      </w:pPr>
      <w:r w:rsidRPr="002B66DA">
        <w:rPr>
          <w:b/>
        </w:rPr>
        <w:t xml:space="preserve">L. Sekyrová </w:t>
      </w:r>
      <w:r w:rsidR="00AD57A7">
        <w:rPr>
          <w:b/>
        </w:rPr>
        <w:t xml:space="preserve">(MMR) </w:t>
      </w:r>
      <w:r w:rsidR="00D23B42" w:rsidRPr="002B66DA">
        <w:rPr>
          <w:b/>
        </w:rPr>
        <w:t>informoval</w:t>
      </w:r>
      <w:r w:rsidR="00AD57A7">
        <w:rPr>
          <w:b/>
        </w:rPr>
        <w:t xml:space="preserve">a </w:t>
      </w:r>
      <w:r w:rsidR="00D23B42" w:rsidRPr="002B66DA">
        <w:rPr>
          <w:b/>
        </w:rPr>
        <w:t xml:space="preserve">o aktuálním stavu </w:t>
      </w:r>
      <w:proofErr w:type="spellStart"/>
      <w:r w:rsidR="00D23B42" w:rsidRPr="002B66DA">
        <w:rPr>
          <w:b/>
        </w:rPr>
        <w:t>DoP</w:t>
      </w:r>
      <w:proofErr w:type="spellEnd"/>
    </w:p>
    <w:p w:rsidR="00D626AB" w:rsidRDefault="002B66DA" w:rsidP="00AD57A7">
      <w:pPr>
        <w:pStyle w:val="Odstavecseseznamem"/>
        <w:numPr>
          <w:ilvl w:val="0"/>
          <w:numId w:val="9"/>
        </w:numPr>
        <w:ind w:left="1134" w:hanging="425"/>
        <w:jc w:val="both"/>
      </w:pPr>
      <w:r>
        <w:t>P</w:t>
      </w:r>
      <w:r w:rsidR="00D23B42" w:rsidRPr="00F07746">
        <w:t xml:space="preserve">ředání </w:t>
      </w:r>
      <w:proofErr w:type="spellStart"/>
      <w:r w:rsidR="00D23B42">
        <w:t>DoP</w:t>
      </w:r>
      <w:proofErr w:type="spellEnd"/>
      <w:r w:rsidR="00D23B42">
        <w:t xml:space="preserve"> a </w:t>
      </w:r>
      <w:r w:rsidR="00385F5E">
        <w:t xml:space="preserve">vyhodnocení </w:t>
      </w:r>
      <w:r w:rsidR="00D23B42">
        <w:t xml:space="preserve">SEA </w:t>
      </w:r>
      <w:proofErr w:type="spellStart"/>
      <w:r w:rsidR="00D23B42">
        <w:t>DoP</w:t>
      </w:r>
      <w:proofErr w:type="spellEnd"/>
      <w:r w:rsidR="00D23B42">
        <w:t xml:space="preserve"> </w:t>
      </w:r>
      <w:r w:rsidR="00D23B42" w:rsidRPr="00F07746">
        <w:t>na MŽP</w:t>
      </w:r>
      <w:r w:rsidR="00D23B42">
        <w:t xml:space="preserve"> </w:t>
      </w:r>
      <w:r w:rsidR="00694BF4">
        <w:t xml:space="preserve">se uskutečnilo </w:t>
      </w:r>
      <w:r w:rsidR="00D23B42">
        <w:t>6. 2. 2014</w:t>
      </w:r>
      <w:r w:rsidR="00D626AB">
        <w:t>.</w:t>
      </w:r>
    </w:p>
    <w:p w:rsidR="00D626AB" w:rsidRDefault="00D626AB" w:rsidP="00AD57A7">
      <w:pPr>
        <w:pStyle w:val="Odstavecseseznamem"/>
        <w:numPr>
          <w:ilvl w:val="0"/>
          <w:numId w:val="9"/>
        </w:numPr>
        <w:ind w:left="1134" w:hanging="425"/>
        <w:jc w:val="both"/>
      </w:pPr>
      <w:r>
        <w:t>Z</w:t>
      </w:r>
      <w:r w:rsidR="002C681E">
        <w:t>veřejnění</w:t>
      </w:r>
      <w:r w:rsidR="00D23B42" w:rsidRPr="00F07746">
        <w:t xml:space="preserve"> v info</w:t>
      </w:r>
      <w:r w:rsidR="00A361A1">
        <w:t>rmačním</w:t>
      </w:r>
      <w:r w:rsidR="00D23B42" w:rsidRPr="00F07746">
        <w:t xml:space="preserve"> systému SEA</w:t>
      </w:r>
      <w:r w:rsidR="003129AC">
        <w:t xml:space="preserve"> </w:t>
      </w:r>
      <w:r w:rsidR="00A361A1">
        <w:t>ze strany MŽP</w:t>
      </w:r>
      <w:r w:rsidR="00694BF4">
        <w:t xml:space="preserve"> bylo zajištěno</w:t>
      </w:r>
      <w:r w:rsidR="00A361A1">
        <w:t xml:space="preserve"> </w:t>
      </w:r>
      <w:r w:rsidR="003129AC">
        <w:t>téhož dne</w:t>
      </w:r>
      <w:r>
        <w:t>.</w:t>
      </w:r>
    </w:p>
    <w:p w:rsidR="00D626AB" w:rsidRDefault="00D626AB" w:rsidP="00AD57A7">
      <w:pPr>
        <w:pStyle w:val="Odstavecseseznamem"/>
        <w:numPr>
          <w:ilvl w:val="0"/>
          <w:numId w:val="9"/>
        </w:numPr>
        <w:ind w:left="1134" w:hanging="425"/>
        <w:jc w:val="both"/>
      </w:pPr>
      <w:r>
        <w:t>V</w:t>
      </w:r>
      <w:r w:rsidR="00D23B42" w:rsidRPr="00F07746">
        <w:t>yvě</w:t>
      </w:r>
      <w:r w:rsidR="003129AC">
        <w:t xml:space="preserve">šení na úředních deskách dotčených správních úřadů a územních samosprávných celků </w:t>
      </w:r>
      <w:r w:rsidR="00694BF4">
        <w:t xml:space="preserve">bylo provedeno </w:t>
      </w:r>
      <w:r w:rsidR="003129AC">
        <w:t>do 13. 2. 2014</w:t>
      </w:r>
      <w:r>
        <w:t>.</w:t>
      </w:r>
    </w:p>
    <w:p w:rsidR="00D626AB" w:rsidRDefault="00D626AB" w:rsidP="00AD57A7">
      <w:pPr>
        <w:pStyle w:val="Odstavecseseznamem"/>
        <w:numPr>
          <w:ilvl w:val="0"/>
          <w:numId w:val="9"/>
        </w:numPr>
        <w:ind w:left="1134" w:hanging="425"/>
        <w:jc w:val="both"/>
      </w:pPr>
      <w:r>
        <w:t>V</w:t>
      </w:r>
      <w:r w:rsidR="00D23B42" w:rsidRPr="00F07746">
        <w:t>eřejné projednání</w:t>
      </w:r>
      <w:r w:rsidR="003129AC">
        <w:t xml:space="preserve"> se uskuteční v</w:t>
      </w:r>
      <w:r w:rsidR="00D23B42" w:rsidRPr="00F07746">
        <w:t xml:space="preserve"> 2. týdn</w:t>
      </w:r>
      <w:r w:rsidR="003129AC">
        <w:t>u</w:t>
      </w:r>
      <w:r w:rsidR="00D23B42" w:rsidRPr="00F07746">
        <w:t xml:space="preserve"> v</w:t>
      </w:r>
      <w:r w:rsidR="003129AC">
        <w:t> </w:t>
      </w:r>
      <w:r w:rsidR="00D23B42" w:rsidRPr="00F07746">
        <w:t>březnu</w:t>
      </w:r>
      <w:r w:rsidR="003129AC">
        <w:t xml:space="preserve"> 2014</w:t>
      </w:r>
      <w:r>
        <w:t>.</w:t>
      </w:r>
    </w:p>
    <w:p w:rsidR="00D23B42" w:rsidRDefault="00D23B42" w:rsidP="00AD57A7">
      <w:pPr>
        <w:pStyle w:val="Odstavecseseznamem"/>
        <w:numPr>
          <w:ilvl w:val="0"/>
          <w:numId w:val="9"/>
        </w:numPr>
        <w:ind w:left="1134" w:hanging="425"/>
        <w:jc w:val="both"/>
      </w:pPr>
      <w:proofErr w:type="spellStart"/>
      <w:r w:rsidRPr="00F07746">
        <w:t>DoP</w:t>
      </w:r>
      <w:proofErr w:type="spellEnd"/>
      <w:r w:rsidRPr="00F07746">
        <w:t xml:space="preserve"> </w:t>
      </w:r>
      <w:r w:rsidR="00694BF4">
        <w:t xml:space="preserve">(verze pro MŽP) byla předána </w:t>
      </w:r>
      <w:r w:rsidRPr="00F07746">
        <w:t xml:space="preserve">EK </w:t>
      </w:r>
      <w:r w:rsidR="003129AC">
        <w:t xml:space="preserve">12. 2. 2014, </w:t>
      </w:r>
      <w:r w:rsidR="003129AC" w:rsidRPr="00F07746">
        <w:t xml:space="preserve">termín </w:t>
      </w:r>
      <w:r w:rsidR="003129AC">
        <w:t>další</w:t>
      </w:r>
      <w:r w:rsidR="00D626AB">
        <w:t>ho</w:t>
      </w:r>
      <w:r w:rsidR="00327830">
        <w:t xml:space="preserve"> </w:t>
      </w:r>
      <w:r w:rsidR="00D626AB">
        <w:t>jednání</w:t>
      </w:r>
      <w:r w:rsidR="003129AC" w:rsidRPr="00F07746">
        <w:t xml:space="preserve"> </w:t>
      </w:r>
      <w:r w:rsidR="003129AC">
        <w:t>k </w:t>
      </w:r>
      <w:proofErr w:type="spellStart"/>
      <w:proofErr w:type="gramStart"/>
      <w:r w:rsidR="003129AC">
        <w:t>DoP</w:t>
      </w:r>
      <w:proofErr w:type="spellEnd"/>
      <w:proofErr w:type="gramEnd"/>
      <w:r w:rsidR="003129AC">
        <w:t xml:space="preserve"> </w:t>
      </w:r>
      <w:r w:rsidR="003129AC" w:rsidRPr="00F07746">
        <w:t>s</w:t>
      </w:r>
      <w:r w:rsidR="003129AC">
        <w:t> </w:t>
      </w:r>
      <w:r w:rsidR="003129AC" w:rsidRPr="00F07746">
        <w:t>EK</w:t>
      </w:r>
      <w:r w:rsidR="003129AC">
        <w:t xml:space="preserve"> </w:t>
      </w:r>
      <w:r w:rsidR="00694BF4">
        <w:t xml:space="preserve">je </w:t>
      </w:r>
      <w:r w:rsidR="003129AC">
        <w:t>v jednání.</w:t>
      </w:r>
    </w:p>
    <w:p w:rsidR="00FC45D4" w:rsidRDefault="00FC45D4" w:rsidP="00F66C36">
      <w:pPr>
        <w:pStyle w:val="Odstavecseseznamem"/>
        <w:ind w:left="357"/>
        <w:jc w:val="both"/>
      </w:pPr>
    </w:p>
    <w:p w:rsidR="003B5B6D" w:rsidRDefault="003B5B6D" w:rsidP="00F66C36">
      <w:pPr>
        <w:pStyle w:val="Odstavecseseznamem"/>
        <w:ind w:left="357"/>
        <w:jc w:val="both"/>
      </w:pPr>
    </w:p>
    <w:p w:rsidR="00F66C36" w:rsidRPr="002B66DA" w:rsidRDefault="00FC45D4" w:rsidP="00AD57A7">
      <w:pPr>
        <w:pStyle w:val="Odstavecseseznamem"/>
        <w:numPr>
          <w:ilvl w:val="0"/>
          <w:numId w:val="2"/>
        </w:numPr>
        <w:ind w:left="357" w:hanging="357"/>
        <w:jc w:val="both"/>
      </w:pPr>
      <w:r w:rsidRPr="00AD57A7">
        <w:rPr>
          <w:b/>
        </w:rPr>
        <w:t>Zástupkyně MŽP (Z. Plešková, V. Šímová) prezentovaly kroky a lhůty procesu SEA</w:t>
      </w:r>
      <w:r w:rsidR="00AD57FE" w:rsidRPr="00AD57A7">
        <w:rPr>
          <w:b/>
        </w:rPr>
        <w:t xml:space="preserve"> jak </w:t>
      </w:r>
      <w:proofErr w:type="spellStart"/>
      <w:r w:rsidR="00AD57FE" w:rsidRPr="00AD57A7">
        <w:rPr>
          <w:b/>
        </w:rPr>
        <w:t>DoP</w:t>
      </w:r>
      <w:proofErr w:type="spellEnd"/>
      <w:r w:rsidR="00AD57FE" w:rsidRPr="00AD57A7">
        <w:rPr>
          <w:b/>
        </w:rPr>
        <w:t>, tak i programů</w:t>
      </w:r>
      <w:r w:rsidR="0086406C" w:rsidRPr="00AD57A7">
        <w:rPr>
          <w:b/>
        </w:rPr>
        <w:t xml:space="preserve"> – viz prezentace</w:t>
      </w:r>
      <w:r w:rsidR="00AD57FE" w:rsidRPr="00AD57A7">
        <w:rPr>
          <w:b/>
        </w:rPr>
        <w:t>.</w:t>
      </w:r>
      <w:r w:rsidR="00AD57A7" w:rsidRPr="00AD57A7">
        <w:rPr>
          <w:b/>
        </w:rPr>
        <w:t xml:space="preserve"> </w:t>
      </w:r>
      <w:r w:rsidR="00AD57A7" w:rsidRPr="00AD57A7">
        <w:t>Informovaly, že p</w:t>
      </w:r>
      <w:r w:rsidR="00F66C36" w:rsidRPr="00AD57A7">
        <w:t>ro všechny programy na národní úrovni již MŽP vydalo závěry zjišťovacího řízení, v současnosti se nachází ve fázi zpracování vyhodnocení SEA</w:t>
      </w:r>
      <w:r w:rsidR="006B1A06" w:rsidRPr="00AD57A7">
        <w:t>.</w:t>
      </w:r>
    </w:p>
    <w:p w:rsidR="002B66DA" w:rsidRDefault="002B66DA" w:rsidP="00F66C36">
      <w:pPr>
        <w:jc w:val="both"/>
      </w:pPr>
    </w:p>
    <w:p w:rsidR="00FC45D4" w:rsidRPr="00F66C36" w:rsidRDefault="00FC45D4" w:rsidP="00F66C36">
      <w:pPr>
        <w:ind w:left="357"/>
        <w:jc w:val="both"/>
        <w:rPr>
          <w:b/>
        </w:rPr>
      </w:pPr>
      <w:r w:rsidRPr="00F66C36">
        <w:rPr>
          <w:b/>
        </w:rPr>
        <w:t xml:space="preserve">Dále </w:t>
      </w:r>
      <w:r w:rsidR="00F66C36" w:rsidRPr="00F66C36">
        <w:rPr>
          <w:b/>
        </w:rPr>
        <w:t xml:space="preserve">zástupkyně MŽP </w:t>
      </w:r>
      <w:r w:rsidRPr="00F66C36">
        <w:rPr>
          <w:b/>
        </w:rPr>
        <w:t>představily hlavní možná rizika</w:t>
      </w:r>
      <w:r w:rsidR="00F66C36">
        <w:rPr>
          <w:b/>
        </w:rPr>
        <w:t xml:space="preserve"> spojená s procesem SEA</w:t>
      </w:r>
      <w:r w:rsidRPr="00F66C36">
        <w:rPr>
          <w:b/>
        </w:rPr>
        <w:t>:</w:t>
      </w:r>
    </w:p>
    <w:p w:rsidR="002B66DA" w:rsidRDefault="002B66DA" w:rsidP="00F66C36">
      <w:pPr>
        <w:pStyle w:val="Odstavecseseznamem"/>
        <w:ind w:left="714"/>
        <w:contextualSpacing w:val="0"/>
        <w:jc w:val="both"/>
        <w:rPr>
          <w:bCs/>
        </w:rPr>
      </w:pPr>
    </w:p>
    <w:p w:rsidR="002B66DA" w:rsidRPr="00C60281" w:rsidRDefault="002B66DA" w:rsidP="003224AF">
      <w:pPr>
        <w:numPr>
          <w:ilvl w:val="1"/>
          <w:numId w:val="8"/>
        </w:numPr>
        <w:ind w:left="714" w:hanging="357"/>
        <w:jc w:val="both"/>
        <w:rPr>
          <w:b/>
        </w:rPr>
      </w:pPr>
      <w:r w:rsidRPr="00C60281">
        <w:rPr>
          <w:b/>
          <w:bCs/>
        </w:rPr>
        <w:t>Včasné nedodání návrhu programů a vyhodnocení SEA ze strany řídících orgánů jednotlivých programů</w:t>
      </w:r>
    </w:p>
    <w:p w:rsidR="002B66DA" w:rsidRPr="00565A56" w:rsidRDefault="002B66DA" w:rsidP="003224AF">
      <w:pPr>
        <w:pStyle w:val="Odstavecseseznamem"/>
        <w:numPr>
          <w:ilvl w:val="0"/>
          <w:numId w:val="7"/>
        </w:numPr>
        <w:ind w:left="1071" w:hanging="357"/>
        <w:jc w:val="both"/>
      </w:pPr>
      <w:r>
        <w:lastRenderedPageBreak/>
        <w:t>Je nutné počítat s</w:t>
      </w:r>
      <w:r w:rsidRPr="00C60281">
        <w:t xml:space="preserve"> lhůtou </w:t>
      </w:r>
      <w:r w:rsidRPr="00C60281">
        <w:rPr>
          <w:b/>
          <w:bCs/>
        </w:rPr>
        <w:t xml:space="preserve">minimálně 2,5 měsíce </w:t>
      </w:r>
      <w:r w:rsidRPr="00C60281">
        <w:t>od předložení programu SEA</w:t>
      </w:r>
      <w:r>
        <w:t xml:space="preserve"> </w:t>
      </w:r>
      <w:r w:rsidR="00FC4AAF">
        <w:t>hodnotiteli</w:t>
      </w:r>
      <w:r w:rsidRPr="00C60281">
        <w:t xml:space="preserve"> do vydání stanoviska SEA. </w:t>
      </w:r>
      <w:r>
        <w:t xml:space="preserve">Jedná se však o lhůtu </w:t>
      </w:r>
      <w:r w:rsidRPr="00C60281">
        <w:t xml:space="preserve">při </w:t>
      </w:r>
      <w:r w:rsidRPr="00C60281">
        <w:rPr>
          <w:bCs/>
        </w:rPr>
        <w:t xml:space="preserve">optimálním průběhu procesu SEA a za </w:t>
      </w:r>
      <w:r>
        <w:rPr>
          <w:bCs/>
        </w:rPr>
        <w:t>určitého možného</w:t>
      </w:r>
      <w:r w:rsidRPr="00C60281">
        <w:rPr>
          <w:bCs/>
        </w:rPr>
        <w:t xml:space="preserve"> zkracování lhůt daných pro MŽP</w:t>
      </w:r>
      <w:r>
        <w:rPr>
          <w:bCs/>
        </w:rPr>
        <w:t xml:space="preserve">. Ze strany </w:t>
      </w:r>
      <w:r w:rsidRPr="00565A56">
        <w:rPr>
          <w:bCs/>
        </w:rPr>
        <w:t xml:space="preserve">MŽP </w:t>
      </w:r>
      <w:r>
        <w:rPr>
          <w:bCs/>
        </w:rPr>
        <w:t>bylo přislíbeno maximální úsilí</w:t>
      </w:r>
      <w:r w:rsidRPr="00565A56">
        <w:rPr>
          <w:bCs/>
        </w:rPr>
        <w:t xml:space="preserve"> v</w:t>
      </w:r>
      <w:r>
        <w:rPr>
          <w:bCs/>
        </w:rPr>
        <w:t>e</w:t>
      </w:r>
      <w:r w:rsidRPr="00565A56">
        <w:rPr>
          <w:bCs/>
        </w:rPr>
        <w:t xml:space="preserve"> zkracování lhůt, které jsou na jejich straně, při nahromadění programů </w:t>
      </w:r>
      <w:r>
        <w:rPr>
          <w:bCs/>
        </w:rPr>
        <w:t xml:space="preserve">však </w:t>
      </w:r>
      <w:r w:rsidRPr="00565A56">
        <w:rPr>
          <w:bCs/>
        </w:rPr>
        <w:t>nejsou schopni garantovat</w:t>
      </w:r>
      <w:r w:rsidR="00FC4AAF">
        <w:rPr>
          <w:bCs/>
        </w:rPr>
        <w:t xml:space="preserve"> stejnou rychlost postupu jako</w:t>
      </w:r>
      <w:r w:rsidRPr="00565A56">
        <w:rPr>
          <w:bCs/>
        </w:rPr>
        <w:t xml:space="preserve"> </w:t>
      </w:r>
      <w:r>
        <w:rPr>
          <w:bCs/>
        </w:rPr>
        <w:t>v případě</w:t>
      </w:r>
      <w:r w:rsidRPr="00565A56">
        <w:rPr>
          <w:bCs/>
        </w:rPr>
        <w:t xml:space="preserve"> </w:t>
      </w:r>
      <w:proofErr w:type="spellStart"/>
      <w:r w:rsidRPr="00565A56">
        <w:rPr>
          <w:bCs/>
        </w:rPr>
        <w:t>DoP</w:t>
      </w:r>
      <w:r>
        <w:rPr>
          <w:bCs/>
        </w:rPr>
        <w:t>.</w:t>
      </w:r>
      <w:proofErr w:type="spellEnd"/>
    </w:p>
    <w:p w:rsidR="002B66DA" w:rsidRPr="00C60281" w:rsidRDefault="002B66DA" w:rsidP="003224AF">
      <w:pPr>
        <w:pStyle w:val="Odstavecseseznamem"/>
        <w:numPr>
          <w:ilvl w:val="0"/>
          <w:numId w:val="7"/>
        </w:numPr>
        <w:ind w:left="1071" w:hanging="357"/>
        <w:jc w:val="both"/>
      </w:pPr>
      <w:r w:rsidRPr="00C60281">
        <w:rPr>
          <w:b/>
          <w:bCs/>
        </w:rPr>
        <w:t>Proto je nutné návrhy programů a jejich vyhodnocení SEA předložit MŽP s dostatečným časovým předstihem před termínem pro zaslání programu E</w:t>
      </w:r>
      <w:r>
        <w:rPr>
          <w:b/>
          <w:bCs/>
        </w:rPr>
        <w:t>K</w:t>
      </w:r>
      <w:r w:rsidRPr="00C60281">
        <w:rPr>
          <w:b/>
          <w:bCs/>
        </w:rPr>
        <w:t>.</w:t>
      </w:r>
    </w:p>
    <w:p w:rsidR="002B66DA" w:rsidRDefault="002B66DA" w:rsidP="00F66C36">
      <w:pPr>
        <w:jc w:val="both"/>
        <w:rPr>
          <w:b/>
          <w:bCs/>
        </w:rPr>
      </w:pPr>
    </w:p>
    <w:p w:rsidR="002B66DA" w:rsidRPr="00C60281" w:rsidRDefault="002B66DA" w:rsidP="003224AF">
      <w:pPr>
        <w:numPr>
          <w:ilvl w:val="1"/>
          <w:numId w:val="8"/>
        </w:numPr>
        <w:ind w:left="714" w:hanging="357"/>
        <w:jc w:val="both"/>
        <w:rPr>
          <w:b/>
          <w:bCs/>
        </w:rPr>
      </w:pPr>
      <w:r w:rsidRPr="00C60281">
        <w:rPr>
          <w:b/>
          <w:bCs/>
        </w:rPr>
        <w:t xml:space="preserve">Významné změny </w:t>
      </w:r>
      <w:proofErr w:type="spellStart"/>
      <w:r w:rsidRPr="00C60281">
        <w:rPr>
          <w:b/>
          <w:bCs/>
        </w:rPr>
        <w:t>Do</w:t>
      </w:r>
      <w:r w:rsidR="00A31C27">
        <w:rPr>
          <w:b/>
          <w:bCs/>
        </w:rPr>
        <w:t>P</w:t>
      </w:r>
      <w:proofErr w:type="spellEnd"/>
      <w:r w:rsidRPr="00C60281">
        <w:rPr>
          <w:b/>
          <w:bCs/>
        </w:rPr>
        <w:t xml:space="preserve"> nebo programů v průběhu procesu SEA</w:t>
      </w:r>
    </w:p>
    <w:p w:rsidR="002B66DA" w:rsidRPr="00C60281" w:rsidRDefault="002B66DA" w:rsidP="00A31C27">
      <w:pPr>
        <w:pStyle w:val="Odstavecseseznamem"/>
        <w:numPr>
          <w:ilvl w:val="0"/>
          <w:numId w:val="7"/>
        </w:numPr>
        <w:ind w:left="1071" w:hanging="357"/>
        <w:jc w:val="both"/>
      </w:pPr>
      <w:r>
        <w:t>Významn</w:t>
      </w:r>
      <w:r w:rsidR="00A31C27">
        <w:t>é</w:t>
      </w:r>
      <w:r>
        <w:t xml:space="preserve"> změn</w:t>
      </w:r>
      <w:r w:rsidR="00A31C27">
        <w:t>y</w:t>
      </w:r>
      <w:r>
        <w:t xml:space="preserve"> </w:t>
      </w:r>
      <w:proofErr w:type="spellStart"/>
      <w:r>
        <w:t>Do</w:t>
      </w:r>
      <w:r w:rsidR="00A31C27">
        <w:t>P</w:t>
      </w:r>
      <w:proofErr w:type="spellEnd"/>
      <w:r w:rsidR="00A31C27">
        <w:t xml:space="preserve"> i programů</w:t>
      </w:r>
      <w:r>
        <w:t xml:space="preserve"> –</w:t>
      </w:r>
      <w:r w:rsidRPr="00C60281">
        <w:t xml:space="preserve"> </w:t>
      </w:r>
      <w:r>
        <w:t xml:space="preserve">je </w:t>
      </w:r>
      <w:r w:rsidRPr="00C60281">
        <w:t>nezbytné</w:t>
      </w:r>
      <w:r>
        <w:t xml:space="preserve"> konzultovat </w:t>
      </w:r>
      <w:r w:rsidRPr="00C60281">
        <w:t>se zpracovatelem vyhodnocení SEA</w:t>
      </w:r>
      <w:r>
        <w:t xml:space="preserve"> </w:t>
      </w:r>
      <w:proofErr w:type="spellStart"/>
      <w:r>
        <w:t>DoP</w:t>
      </w:r>
      <w:proofErr w:type="spellEnd"/>
      <w:r w:rsidR="00A31C27">
        <w:t>, resp. programů a s </w:t>
      </w:r>
      <w:r w:rsidR="00A31C27" w:rsidRPr="00C60281">
        <w:t>MŽP</w:t>
      </w:r>
      <w:r w:rsidR="00A31C27">
        <w:t>,</w:t>
      </w:r>
      <w:r>
        <w:t xml:space="preserve"> aby ti ve vzájemné spolupráci</w:t>
      </w:r>
      <w:r w:rsidRPr="00C60281">
        <w:t xml:space="preserve"> zhodnotil</w:t>
      </w:r>
      <w:r>
        <w:t>i</w:t>
      </w:r>
      <w:r w:rsidRPr="00C60281">
        <w:t xml:space="preserve"> významnost provedených úprav ve vztahu k vyhodnocení vlivů na ŽP</w:t>
      </w:r>
      <w:r>
        <w:t>.</w:t>
      </w:r>
      <w:r w:rsidR="00A31C27">
        <w:t xml:space="preserve"> </w:t>
      </w:r>
      <w:r w:rsidRPr="00C60281">
        <w:t xml:space="preserve">V případě nutnosti </w:t>
      </w:r>
      <w:r w:rsidR="00A31C27">
        <w:t>může vyvstat potřeba op</w:t>
      </w:r>
      <w:r w:rsidRPr="00C60281">
        <w:t xml:space="preserve">akovat některé již provedené kroky procesu SEA (např. veřejné projednání) </w:t>
      </w:r>
      <w:r>
        <w:t>–</w:t>
      </w:r>
      <w:r w:rsidRPr="00C60281">
        <w:t xml:space="preserve"> </w:t>
      </w:r>
      <w:r>
        <w:t xml:space="preserve">z toho vyplývá </w:t>
      </w:r>
      <w:r w:rsidRPr="00C60281">
        <w:t xml:space="preserve">významné posunutí termínu vydání stanoviska SEA a ohrožení dodržení termínu </w:t>
      </w:r>
      <w:r w:rsidR="00A31C27">
        <w:t xml:space="preserve">zaslání </w:t>
      </w:r>
      <w:r w:rsidRPr="00C60281">
        <w:t>Evropsk</w:t>
      </w:r>
      <w:r w:rsidR="00A31C27">
        <w:t>é</w:t>
      </w:r>
      <w:r w:rsidRPr="00C60281">
        <w:t xml:space="preserve"> komis</w:t>
      </w:r>
      <w:r w:rsidR="00A31C27">
        <w:t>i</w:t>
      </w:r>
      <w:r w:rsidRPr="00C60281">
        <w:t>.</w:t>
      </w:r>
    </w:p>
    <w:p w:rsidR="002B66DA" w:rsidRPr="00C60281" w:rsidRDefault="002B66DA" w:rsidP="003224AF">
      <w:pPr>
        <w:pStyle w:val="Odstavecseseznamem"/>
        <w:numPr>
          <w:ilvl w:val="0"/>
          <w:numId w:val="7"/>
        </w:numPr>
        <w:ind w:left="1071" w:hanging="357"/>
        <w:jc w:val="both"/>
        <w:rPr>
          <w:b/>
        </w:rPr>
      </w:pPr>
      <w:r w:rsidRPr="00C60281">
        <w:rPr>
          <w:b/>
        </w:rPr>
        <w:t xml:space="preserve">Z toho důvodu je </w:t>
      </w:r>
      <w:r w:rsidR="00E9564F">
        <w:rPr>
          <w:b/>
        </w:rPr>
        <w:t>doporučováno</w:t>
      </w:r>
      <w:r w:rsidRPr="00C60281">
        <w:rPr>
          <w:b/>
        </w:rPr>
        <w:t>, aby byly programy předloženy MŽP pro vyhodnocení SEA až po uzavření meziresortních připomínkových řízení.</w:t>
      </w:r>
    </w:p>
    <w:p w:rsidR="002C489D" w:rsidRDefault="002C489D" w:rsidP="00F66C36">
      <w:pPr>
        <w:jc w:val="both"/>
      </w:pPr>
    </w:p>
    <w:p w:rsidR="002B66DA" w:rsidRDefault="002C489D" w:rsidP="002C489D">
      <w:pPr>
        <w:ind w:left="357"/>
        <w:jc w:val="both"/>
      </w:pPr>
      <w:r>
        <w:t>Navazující diskuse iniciovaná ze strany ŘO:</w:t>
      </w:r>
    </w:p>
    <w:p w:rsidR="002C489D" w:rsidRPr="002C489D" w:rsidRDefault="00E9564F" w:rsidP="003224AF">
      <w:pPr>
        <w:pStyle w:val="Odstavecseseznamem"/>
        <w:numPr>
          <w:ilvl w:val="0"/>
          <w:numId w:val="3"/>
        </w:numPr>
        <w:ind w:left="1071" w:hanging="357"/>
        <w:jc w:val="both"/>
      </w:pPr>
      <w:r>
        <w:t xml:space="preserve">Zástupci </w:t>
      </w:r>
      <w:r w:rsidR="002C489D" w:rsidRPr="002C489D">
        <w:t>ŘO IROP</w:t>
      </w:r>
      <w:r>
        <w:t xml:space="preserve"> a OP D se dotázali</w:t>
      </w:r>
      <w:r w:rsidR="002C489D" w:rsidRPr="002C489D">
        <w:t xml:space="preserve">, jak načasovat SEA programů vůči </w:t>
      </w:r>
      <w:proofErr w:type="gramStart"/>
      <w:r w:rsidR="002C489D" w:rsidRPr="002C489D">
        <w:t>DoP</w:t>
      </w:r>
      <w:proofErr w:type="gramEnd"/>
      <w:r w:rsidR="002C489D" w:rsidRPr="002C489D">
        <w:t xml:space="preserve"> – otázka spuštění SEA programů před schválením </w:t>
      </w:r>
      <w:proofErr w:type="spellStart"/>
      <w:r w:rsidR="002C489D" w:rsidRPr="002C489D">
        <w:t>DoP</w:t>
      </w:r>
      <w:r w:rsidR="00A006D2">
        <w:t>.</w:t>
      </w:r>
      <w:proofErr w:type="spellEnd"/>
      <w:r w:rsidR="002C489D" w:rsidRPr="002C489D">
        <w:t xml:space="preserve"> </w:t>
      </w:r>
      <w:r w:rsidR="00A006D2">
        <w:t xml:space="preserve">Zástupci </w:t>
      </w:r>
      <w:r w:rsidR="002C489D">
        <w:t xml:space="preserve">MMR </w:t>
      </w:r>
      <w:r w:rsidR="002C489D" w:rsidRPr="002C489D">
        <w:t>spol</w:t>
      </w:r>
      <w:r w:rsidR="00A006D2">
        <w:t xml:space="preserve">ečně se zástupci </w:t>
      </w:r>
      <w:r w:rsidR="002C489D" w:rsidRPr="002C489D">
        <w:t>MŽP reagoval</w:t>
      </w:r>
      <w:r w:rsidR="00A006D2">
        <w:t>i</w:t>
      </w:r>
      <w:r w:rsidR="002C489D" w:rsidRPr="002C489D">
        <w:t xml:space="preserve">, že </w:t>
      </w:r>
      <w:r w:rsidR="002C489D" w:rsidRPr="0029222C">
        <w:rPr>
          <w:b/>
        </w:rPr>
        <w:t>klíčovým rizikem jsou v tomto případě změny DoP s dopadem na změny programů, nicméně MMR udržuje s ŘO intenzivní spolupráci a koordinaci</w:t>
      </w:r>
      <w:r w:rsidR="00A006D2" w:rsidRPr="0029222C">
        <w:rPr>
          <w:b/>
        </w:rPr>
        <w:t xml:space="preserve"> při dopracování DoP a programů</w:t>
      </w:r>
      <w:r w:rsidR="00A006D2">
        <w:t>.</w:t>
      </w:r>
      <w:r w:rsidR="002C489D" w:rsidRPr="002C489D">
        <w:t xml:space="preserve"> MŽP nebude blokovat zahájení SEA proce</w:t>
      </w:r>
      <w:r w:rsidR="00A006D2">
        <w:t xml:space="preserve">su programů před schválením </w:t>
      </w:r>
      <w:proofErr w:type="spellStart"/>
      <w:r w:rsidR="00A006D2">
        <w:t>DoP</w:t>
      </w:r>
      <w:proofErr w:type="spellEnd"/>
      <w:r w:rsidR="00A006D2">
        <w:t xml:space="preserve">, jakékoliv změny </w:t>
      </w:r>
      <w:proofErr w:type="spellStart"/>
      <w:r w:rsidR="00A006D2">
        <w:t>DoP</w:t>
      </w:r>
      <w:proofErr w:type="spellEnd"/>
      <w:r w:rsidR="00A006D2">
        <w:t xml:space="preserve"> i programů však musí být neprodleně konzultovány (viz výše) a mohou mít dopad na zpo</w:t>
      </w:r>
      <w:r w:rsidR="00030F90">
        <w:t>ž</w:t>
      </w:r>
      <w:r w:rsidR="00A006D2">
        <w:t xml:space="preserve">dění. </w:t>
      </w:r>
    </w:p>
    <w:p w:rsidR="002C489D" w:rsidRPr="002C489D" w:rsidRDefault="002C489D" w:rsidP="003224AF">
      <w:pPr>
        <w:pStyle w:val="Odstavecseseznamem"/>
        <w:numPr>
          <w:ilvl w:val="0"/>
          <w:numId w:val="3"/>
        </w:numPr>
        <w:ind w:left="1071" w:hanging="357"/>
        <w:jc w:val="both"/>
      </w:pPr>
      <w:r w:rsidRPr="002C489D">
        <w:t xml:space="preserve">MD se dotázalo, kdy MMR plánuje </w:t>
      </w:r>
      <w:r w:rsidR="00030F90">
        <w:t xml:space="preserve">formálně </w:t>
      </w:r>
      <w:r w:rsidRPr="002C489D">
        <w:t xml:space="preserve">zaslat </w:t>
      </w:r>
      <w:proofErr w:type="spellStart"/>
      <w:r w:rsidRPr="002C489D">
        <w:t>DoP</w:t>
      </w:r>
      <w:proofErr w:type="spellEnd"/>
      <w:r w:rsidRPr="002C489D">
        <w:t xml:space="preserve"> EK</w:t>
      </w:r>
      <w:r w:rsidR="00030F90">
        <w:t>.</w:t>
      </w:r>
      <w:r w:rsidRPr="002C489D">
        <w:t xml:space="preserve"> MMR reagovalo, že 22. 4. 2014</w:t>
      </w:r>
      <w:r w:rsidR="00030F90">
        <w:t xml:space="preserve"> (termín dle obecného nařízení)</w:t>
      </w:r>
      <w:r w:rsidRPr="002C489D">
        <w:t xml:space="preserve"> je nejzazší termín a MMR vše směřuje k tomu, aby DoP </w:t>
      </w:r>
      <w:proofErr w:type="gramStart"/>
      <w:r w:rsidRPr="002C489D">
        <w:t>byla zaslána</w:t>
      </w:r>
      <w:proofErr w:type="gramEnd"/>
      <w:r w:rsidRPr="002C489D">
        <w:t xml:space="preserve"> s časovou rezervou pro případ problémů se SFC</w:t>
      </w:r>
      <w:r>
        <w:t xml:space="preserve">. </w:t>
      </w:r>
      <w:r w:rsidR="00030F90">
        <w:t>Zástupci</w:t>
      </w:r>
      <w:r w:rsidRPr="002C489D">
        <w:t xml:space="preserve"> </w:t>
      </w:r>
      <w:r w:rsidRPr="0029222C">
        <w:rPr>
          <w:bCs/>
        </w:rPr>
        <w:t xml:space="preserve">ŘO IROP a </w:t>
      </w:r>
      <w:r w:rsidR="00030F90" w:rsidRPr="0029222C">
        <w:rPr>
          <w:bCs/>
        </w:rPr>
        <w:t>OP D</w:t>
      </w:r>
      <w:r w:rsidRPr="0029222C">
        <w:rPr>
          <w:bCs/>
        </w:rPr>
        <w:t xml:space="preserve"> reagovali, že se tím zkracuje termín pro</w:t>
      </w:r>
      <w:r w:rsidR="00030F90" w:rsidRPr="0029222C">
        <w:rPr>
          <w:bCs/>
        </w:rPr>
        <w:t xml:space="preserve"> ŘO k </w:t>
      </w:r>
      <w:r w:rsidRPr="0029222C">
        <w:rPr>
          <w:bCs/>
        </w:rPr>
        <w:t xml:space="preserve"> odeslání programů na EK (3 měsíce po </w:t>
      </w:r>
      <w:proofErr w:type="gramStart"/>
      <w:r w:rsidRPr="0029222C">
        <w:rPr>
          <w:bCs/>
        </w:rPr>
        <w:t>DoP</w:t>
      </w:r>
      <w:proofErr w:type="gramEnd"/>
      <w:r w:rsidRPr="0029222C">
        <w:rPr>
          <w:bCs/>
        </w:rPr>
        <w:t>) a že může ve výsledku „jít o dny“, aby dodrželi tento termín.</w:t>
      </w:r>
      <w:r w:rsidRPr="002C489D">
        <w:rPr>
          <w:b/>
          <w:bCs/>
        </w:rPr>
        <w:t xml:space="preserve">  </w:t>
      </w:r>
      <w:r w:rsidRPr="0029222C">
        <w:rPr>
          <w:b/>
          <w:bCs/>
        </w:rPr>
        <w:t xml:space="preserve">Apelovali na to, aby rezerva </w:t>
      </w:r>
      <w:r w:rsidR="00030F90" w:rsidRPr="0029222C">
        <w:rPr>
          <w:b/>
          <w:bCs/>
        </w:rPr>
        <w:t xml:space="preserve">zaslání </w:t>
      </w:r>
      <w:proofErr w:type="spellStart"/>
      <w:r w:rsidR="00030F90" w:rsidRPr="0029222C">
        <w:rPr>
          <w:b/>
          <w:bCs/>
        </w:rPr>
        <w:t>DoP</w:t>
      </w:r>
      <w:proofErr w:type="spellEnd"/>
      <w:r w:rsidR="00030F90" w:rsidRPr="0029222C">
        <w:rPr>
          <w:b/>
          <w:bCs/>
        </w:rPr>
        <w:t xml:space="preserve"> na EK před termínem </w:t>
      </w:r>
      <w:r w:rsidRPr="0029222C">
        <w:rPr>
          <w:b/>
          <w:bCs/>
        </w:rPr>
        <w:t>nebyla moc velká</w:t>
      </w:r>
      <w:r w:rsidRPr="0029222C">
        <w:rPr>
          <w:b/>
        </w:rPr>
        <w:t xml:space="preserve">, </w:t>
      </w:r>
      <w:r w:rsidR="0029222C" w:rsidRPr="0029222C">
        <w:rPr>
          <w:b/>
        </w:rPr>
        <w:t>tj.</w:t>
      </w:r>
      <w:r w:rsidRPr="0029222C">
        <w:rPr>
          <w:b/>
        </w:rPr>
        <w:t xml:space="preserve"> aby MMR </w:t>
      </w:r>
      <w:proofErr w:type="gramStart"/>
      <w:r w:rsidR="00665C87" w:rsidRPr="0029222C">
        <w:rPr>
          <w:b/>
        </w:rPr>
        <w:t>za</w:t>
      </w:r>
      <w:r w:rsidRPr="0029222C">
        <w:rPr>
          <w:b/>
        </w:rPr>
        <w:t>slalo</w:t>
      </w:r>
      <w:proofErr w:type="gramEnd"/>
      <w:r w:rsidR="009D4857" w:rsidRPr="0029222C">
        <w:rPr>
          <w:b/>
        </w:rPr>
        <w:t xml:space="preserve"> </w:t>
      </w:r>
      <w:proofErr w:type="spellStart"/>
      <w:r w:rsidRPr="0029222C">
        <w:rPr>
          <w:b/>
        </w:rPr>
        <w:t>DoP</w:t>
      </w:r>
      <w:proofErr w:type="spellEnd"/>
      <w:r w:rsidRPr="0029222C">
        <w:rPr>
          <w:b/>
        </w:rPr>
        <w:t xml:space="preserve"> na EK </w:t>
      </w:r>
      <w:r w:rsidR="00491105" w:rsidRPr="0029222C">
        <w:rPr>
          <w:b/>
        </w:rPr>
        <w:t xml:space="preserve">v rámci daného termínu </w:t>
      </w:r>
      <w:r w:rsidRPr="0029222C">
        <w:rPr>
          <w:b/>
        </w:rPr>
        <w:t>co nejpozději.</w:t>
      </w:r>
    </w:p>
    <w:p w:rsidR="002C489D" w:rsidRPr="002C489D" w:rsidRDefault="002727B4" w:rsidP="003224AF">
      <w:pPr>
        <w:pStyle w:val="Odstavecseseznamem"/>
        <w:numPr>
          <w:ilvl w:val="0"/>
          <w:numId w:val="3"/>
        </w:numPr>
        <w:ind w:left="1071" w:hanging="357"/>
        <w:jc w:val="both"/>
      </w:pPr>
      <w:r>
        <w:t>N</w:t>
      </w:r>
      <w:r w:rsidR="002C489D" w:rsidRPr="002C489D">
        <w:t>ásledně padl podnět</w:t>
      </w:r>
      <w:r>
        <w:t xml:space="preserve"> ze strany ŘO</w:t>
      </w:r>
      <w:r w:rsidR="002C489D" w:rsidRPr="002C489D">
        <w:t xml:space="preserve">, že lze </w:t>
      </w:r>
      <w:r w:rsidR="00491105">
        <w:t xml:space="preserve">částečně </w:t>
      </w:r>
      <w:r w:rsidR="002C489D" w:rsidRPr="002C489D">
        <w:t>ušetřit čas tím,</w:t>
      </w:r>
      <w:r w:rsidR="002C489D" w:rsidRPr="0029222C">
        <w:t xml:space="preserve"> </w:t>
      </w:r>
      <w:r w:rsidR="002C489D" w:rsidRPr="0029222C">
        <w:rPr>
          <w:bCs/>
        </w:rPr>
        <w:t xml:space="preserve">že poběží vypořádání </w:t>
      </w:r>
      <w:r w:rsidR="00491105" w:rsidRPr="0029222C">
        <w:rPr>
          <w:bCs/>
        </w:rPr>
        <w:t>meziresortního připomínkového řízení (</w:t>
      </w:r>
      <w:r w:rsidR="002C489D" w:rsidRPr="0029222C">
        <w:rPr>
          <w:bCs/>
        </w:rPr>
        <w:t>MPŘ</w:t>
      </w:r>
      <w:r w:rsidR="00491105" w:rsidRPr="0029222C">
        <w:rPr>
          <w:bCs/>
        </w:rPr>
        <w:t>)</w:t>
      </w:r>
      <w:r w:rsidR="002C489D" w:rsidRPr="0029222C">
        <w:rPr>
          <w:bCs/>
        </w:rPr>
        <w:t xml:space="preserve"> společně se zpracováním </w:t>
      </w:r>
      <w:r w:rsidR="00491105" w:rsidRPr="0029222C">
        <w:rPr>
          <w:bCs/>
        </w:rPr>
        <w:t xml:space="preserve">vyhodnocení </w:t>
      </w:r>
      <w:r w:rsidR="002C489D" w:rsidRPr="0029222C">
        <w:rPr>
          <w:bCs/>
        </w:rPr>
        <w:t>SEA programů hodnotitelem, přičemž změny programu vyplývající z MP</w:t>
      </w:r>
      <w:r w:rsidRPr="0029222C">
        <w:rPr>
          <w:bCs/>
        </w:rPr>
        <w:t>Ř</w:t>
      </w:r>
      <w:r w:rsidR="002C489D" w:rsidRPr="0029222C">
        <w:rPr>
          <w:bCs/>
        </w:rPr>
        <w:t xml:space="preserve"> by musely být konzultovány se SEA hodnotitelem</w:t>
      </w:r>
      <w:r w:rsidRPr="0029222C">
        <w:rPr>
          <w:bCs/>
        </w:rPr>
        <w:t>.</w:t>
      </w:r>
      <w:r>
        <w:rPr>
          <w:b/>
          <w:bCs/>
        </w:rPr>
        <w:t xml:space="preserve"> </w:t>
      </w:r>
      <w:r>
        <w:t>P</w:t>
      </w:r>
      <w:r w:rsidR="002C489D" w:rsidRPr="002C489D">
        <w:t>o uzavření MPŘ by pak program i s vyhodnocením SEA byly předloženy MŽP</w:t>
      </w:r>
      <w:r w:rsidR="00491105">
        <w:t>.</w:t>
      </w:r>
      <w:r w:rsidR="002C489D" w:rsidRPr="002C489D">
        <w:t xml:space="preserve"> </w:t>
      </w:r>
      <w:r w:rsidR="0067632E">
        <w:t>S tímto postupem MŽP souhlasí.</w:t>
      </w:r>
    </w:p>
    <w:p w:rsidR="002C489D" w:rsidRDefault="002C489D" w:rsidP="00F66C36">
      <w:pPr>
        <w:jc w:val="both"/>
      </w:pPr>
    </w:p>
    <w:p w:rsidR="002B66DA" w:rsidRPr="00C60281" w:rsidRDefault="002B66DA" w:rsidP="003224AF">
      <w:pPr>
        <w:numPr>
          <w:ilvl w:val="1"/>
          <w:numId w:val="8"/>
        </w:numPr>
        <w:ind w:left="714" w:hanging="357"/>
        <w:jc w:val="both"/>
        <w:rPr>
          <w:b/>
          <w:bCs/>
        </w:rPr>
      </w:pPr>
      <w:r w:rsidRPr="00C60281">
        <w:rPr>
          <w:b/>
          <w:bCs/>
        </w:rPr>
        <w:t>Potřeba mezistátního posuzování SEA</w:t>
      </w:r>
    </w:p>
    <w:p w:rsidR="002B66DA" w:rsidRPr="00C60281" w:rsidRDefault="002B66DA" w:rsidP="003224AF">
      <w:pPr>
        <w:pStyle w:val="Odstavecseseznamem"/>
        <w:numPr>
          <w:ilvl w:val="0"/>
          <w:numId w:val="7"/>
        </w:numPr>
        <w:ind w:left="1071" w:hanging="357"/>
        <w:jc w:val="both"/>
      </w:pPr>
      <w:r w:rsidRPr="00C60281">
        <w:t>V případě, kdy není v rámci vyhodnocení SEA vyloučen možný negativní vliv na území sousedního státu, má ČR povinnost oslovit sousední stát s nabídkou mezistátních konzultací.</w:t>
      </w:r>
      <w:r w:rsidR="00665C87">
        <w:t xml:space="preserve"> Zhodnocení, zd</w:t>
      </w:r>
      <w:r w:rsidR="00245D0E">
        <w:t>a</w:t>
      </w:r>
      <w:r w:rsidR="00665C87">
        <w:t xml:space="preserve"> </w:t>
      </w:r>
      <w:r w:rsidR="00245D0E">
        <w:t>má dokument přeshraniční vlivy je povinnou součástí vyhodnocení SEA.</w:t>
      </w:r>
    </w:p>
    <w:p w:rsidR="002727B4" w:rsidRDefault="002727B4" w:rsidP="002727B4">
      <w:pPr>
        <w:ind w:left="357"/>
        <w:jc w:val="both"/>
      </w:pPr>
    </w:p>
    <w:p w:rsidR="002727B4" w:rsidRDefault="002727B4" w:rsidP="002727B4">
      <w:pPr>
        <w:ind w:left="357"/>
        <w:jc w:val="both"/>
      </w:pPr>
      <w:r>
        <w:lastRenderedPageBreak/>
        <w:t>Navazující diskuse iniciovaná ze strany ŘO:</w:t>
      </w:r>
    </w:p>
    <w:p w:rsidR="00245D0E" w:rsidRPr="00C60281" w:rsidRDefault="00245D0E" w:rsidP="00245D0E">
      <w:pPr>
        <w:pStyle w:val="Odstavecseseznamem"/>
        <w:numPr>
          <w:ilvl w:val="0"/>
          <w:numId w:val="7"/>
        </w:numPr>
        <w:ind w:left="1071" w:hanging="357"/>
        <w:jc w:val="both"/>
      </w:pPr>
      <w:r w:rsidRPr="00C60281">
        <w:t>Zároveň má jakýkoliv sousední stát právo z vlastní iniciativy požadovat zaslání návrhu programu a vyhodnocení SEA k vyjádření, zda požaduje mezistátní konzultace.</w:t>
      </w:r>
    </w:p>
    <w:p w:rsidR="00245D0E" w:rsidRPr="0029222C" w:rsidRDefault="00245D0E" w:rsidP="00245D0E">
      <w:pPr>
        <w:pStyle w:val="Odstavecseseznamem"/>
        <w:numPr>
          <w:ilvl w:val="0"/>
          <w:numId w:val="7"/>
        </w:numPr>
        <w:ind w:left="1071" w:hanging="357"/>
        <w:jc w:val="both"/>
        <w:rPr>
          <w:b/>
        </w:rPr>
      </w:pPr>
      <w:r w:rsidRPr="0029222C">
        <w:rPr>
          <w:b/>
        </w:rPr>
        <w:t>Proces mezistátního posuzování SEA může včasné vydání stanoviska SEA významně ohrozit (prodloužení celého procesu minimálně o několik měsíců</w:t>
      </w:r>
      <w:r w:rsidR="00E62331" w:rsidRPr="0029222C">
        <w:rPr>
          <w:b/>
        </w:rPr>
        <w:t xml:space="preserve"> – až </w:t>
      </w:r>
      <w:r w:rsidR="0067632E">
        <w:rPr>
          <w:b/>
        </w:rPr>
        <w:t xml:space="preserve">cca </w:t>
      </w:r>
      <w:r w:rsidR="00E62331" w:rsidRPr="0029222C">
        <w:rPr>
          <w:b/>
        </w:rPr>
        <w:t xml:space="preserve">o </w:t>
      </w:r>
      <w:r w:rsidR="0067632E">
        <w:rPr>
          <w:b/>
        </w:rPr>
        <w:t>6</w:t>
      </w:r>
      <w:bookmarkStart w:id="0" w:name="_GoBack"/>
      <w:bookmarkEnd w:id="0"/>
      <w:r w:rsidR="00E62331" w:rsidRPr="0029222C">
        <w:rPr>
          <w:b/>
        </w:rPr>
        <w:t xml:space="preserve"> měsíců</w:t>
      </w:r>
      <w:r w:rsidRPr="0029222C">
        <w:rPr>
          <w:b/>
        </w:rPr>
        <w:t xml:space="preserve">). </w:t>
      </w:r>
    </w:p>
    <w:p w:rsidR="002727B4" w:rsidRPr="002727B4" w:rsidRDefault="00245D0E" w:rsidP="003224AF">
      <w:pPr>
        <w:pStyle w:val="Odstavecseseznamem"/>
        <w:numPr>
          <w:ilvl w:val="0"/>
          <w:numId w:val="7"/>
        </w:numPr>
        <w:ind w:left="1071" w:hanging="357"/>
        <w:jc w:val="both"/>
      </w:pPr>
      <w:r>
        <w:t>Mezistátní posuzování m</w:t>
      </w:r>
      <w:r w:rsidR="002727B4" w:rsidRPr="002727B4">
        <w:t xml:space="preserve">ůže </w:t>
      </w:r>
      <w:r w:rsidR="002727B4">
        <w:t xml:space="preserve">hrozit </w:t>
      </w:r>
      <w:r w:rsidR="002727B4" w:rsidRPr="002727B4">
        <w:t>i u programů cíle Investice pro růst a zaměstnanost</w:t>
      </w:r>
      <w:r>
        <w:t xml:space="preserve">, nejen programů </w:t>
      </w:r>
      <w:r w:rsidR="00E62331">
        <w:t>EÚS</w:t>
      </w:r>
      <w:r w:rsidR="002727B4" w:rsidRPr="002727B4">
        <w:t>.</w:t>
      </w:r>
    </w:p>
    <w:p w:rsidR="002B66DA" w:rsidRDefault="002B66DA" w:rsidP="00F66C36">
      <w:pPr>
        <w:pStyle w:val="Odstavecseseznamem"/>
        <w:ind w:left="714"/>
        <w:jc w:val="both"/>
      </w:pPr>
    </w:p>
    <w:p w:rsidR="002B66DA" w:rsidRPr="00C60281" w:rsidRDefault="002B66DA" w:rsidP="003224AF">
      <w:pPr>
        <w:numPr>
          <w:ilvl w:val="1"/>
          <w:numId w:val="8"/>
        </w:numPr>
        <w:ind w:left="714" w:hanging="357"/>
        <w:jc w:val="both"/>
        <w:rPr>
          <w:b/>
          <w:bCs/>
        </w:rPr>
      </w:pPr>
      <w:r w:rsidRPr="00C60281">
        <w:rPr>
          <w:b/>
          <w:bCs/>
        </w:rPr>
        <w:t>Problematika realokací</w:t>
      </w:r>
    </w:p>
    <w:p w:rsidR="002B66DA" w:rsidRPr="00C60281" w:rsidRDefault="002B66DA" w:rsidP="003224AF">
      <w:pPr>
        <w:pStyle w:val="Odstavecseseznamem"/>
        <w:numPr>
          <w:ilvl w:val="0"/>
          <w:numId w:val="7"/>
        </w:numPr>
        <w:ind w:left="1071" w:hanging="357"/>
        <w:jc w:val="both"/>
      </w:pPr>
      <w:r w:rsidRPr="00C60281">
        <w:t xml:space="preserve">V případě, že dojde v průběhu procesu SEA či po jeho ukončení k realokacím v rámci jednoho programu mezi jednotlivými prioritními osami, apod. či mezi dvěma a více programy, </w:t>
      </w:r>
      <w:r w:rsidRPr="00565A56">
        <w:rPr>
          <w:b/>
        </w:rPr>
        <w:t>vždy je nutné zaslat MŽP, OPVIP, žádost o vyjádření, zda se jedná o takovou změnu, kterou je nutné v souladu s požadavky zákona o posuzování vlivů na ŽP vyhodnotit.</w:t>
      </w:r>
      <w:r w:rsidRPr="00C60281">
        <w:t xml:space="preserve"> </w:t>
      </w:r>
    </w:p>
    <w:p w:rsidR="002B66DA" w:rsidRPr="0029222C" w:rsidRDefault="002B66DA" w:rsidP="003224AF">
      <w:pPr>
        <w:pStyle w:val="Odstavecseseznamem"/>
        <w:numPr>
          <w:ilvl w:val="0"/>
          <w:numId w:val="7"/>
        </w:numPr>
        <w:ind w:left="1071" w:hanging="357"/>
        <w:jc w:val="both"/>
      </w:pPr>
      <w:r w:rsidRPr="0029222C">
        <w:t>V případě probíhajícího procesu SEA by to v případě významných změn s potenciálně významným negativním vlivem na životní prostředí mohlo znamenat nutnost vrátit se o krok zpět (např. dovyhodnotit uvedenou změnu v rámci vyhodnocení SEA a provést opakované veřejné projednání)</w:t>
      </w:r>
      <w:r w:rsidR="003B5B6D" w:rsidRPr="0029222C">
        <w:t>.</w:t>
      </w:r>
    </w:p>
    <w:p w:rsidR="002B66DA" w:rsidRPr="00C60281" w:rsidRDefault="002B66DA" w:rsidP="003224AF">
      <w:pPr>
        <w:pStyle w:val="Odstavecseseznamem"/>
        <w:numPr>
          <w:ilvl w:val="0"/>
          <w:numId w:val="7"/>
        </w:numPr>
        <w:ind w:left="1071" w:hanging="357"/>
        <w:jc w:val="both"/>
      </w:pPr>
      <w:r w:rsidRPr="0029222C">
        <w:t>V případě ukončeného procesu SEA by to</w:t>
      </w:r>
      <w:r w:rsidRPr="00C60281">
        <w:t xml:space="preserve"> mohlo znamenat potřebu provedení nového zjišťovacího řízení, v jehož závěru by MŽP, OPVIP, uvedlo, zda je nutné uvedenou změnu dále posuzovat podle zákona o posuzování vlivů na ŽP nebo MŽP proces SEA závěrem zjišťovacího řízení ukončí.</w:t>
      </w:r>
    </w:p>
    <w:p w:rsidR="002B66DA" w:rsidRDefault="002B66DA" w:rsidP="00F66C36">
      <w:pPr>
        <w:pStyle w:val="Odstavecseseznamem"/>
        <w:ind w:left="714"/>
        <w:contextualSpacing w:val="0"/>
        <w:jc w:val="both"/>
        <w:rPr>
          <w:bCs/>
        </w:rPr>
      </w:pPr>
    </w:p>
    <w:p w:rsidR="003B5B6D" w:rsidRDefault="003B5B6D" w:rsidP="00F66C36">
      <w:pPr>
        <w:pStyle w:val="Odstavecseseznamem"/>
        <w:ind w:left="714"/>
        <w:contextualSpacing w:val="0"/>
        <w:jc w:val="both"/>
        <w:rPr>
          <w:bCs/>
        </w:rPr>
      </w:pPr>
    </w:p>
    <w:p w:rsidR="003B5B6D" w:rsidRPr="003B5B6D" w:rsidRDefault="003B5B6D" w:rsidP="003224AF">
      <w:pPr>
        <w:pStyle w:val="Odstavecseseznamem"/>
        <w:numPr>
          <w:ilvl w:val="0"/>
          <w:numId w:val="2"/>
        </w:numPr>
        <w:ind w:left="357" w:hanging="357"/>
        <w:jc w:val="both"/>
        <w:rPr>
          <w:b/>
        </w:rPr>
      </w:pPr>
      <w:r w:rsidRPr="003B5B6D">
        <w:rPr>
          <w:b/>
        </w:rPr>
        <w:t xml:space="preserve">Zástupkyně zpracovatele SEA hodnocení DoP (K. Ambrožová, Integra Consulting s.r.o.) prezentovala hlavní body ze SEA hodnocení </w:t>
      </w:r>
      <w:proofErr w:type="spellStart"/>
      <w:r w:rsidRPr="003B5B6D">
        <w:rPr>
          <w:b/>
        </w:rPr>
        <w:t>DoP</w:t>
      </w:r>
      <w:proofErr w:type="spellEnd"/>
      <w:r w:rsidR="00EB2A29">
        <w:rPr>
          <w:b/>
        </w:rPr>
        <w:t xml:space="preserve"> (viz prezentace)</w:t>
      </w:r>
      <w:r w:rsidRPr="003B5B6D">
        <w:rPr>
          <w:b/>
        </w:rPr>
        <w:t>:</w:t>
      </w:r>
    </w:p>
    <w:p w:rsidR="003B5B6D" w:rsidRPr="0029222C" w:rsidRDefault="003B5B6D" w:rsidP="003224AF">
      <w:pPr>
        <w:pStyle w:val="Odstavecseseznamem"/>
        <w:numPr>
          <w:ilvl w:val="0"/>
          <w:numId w:val="4"/>
        </w:numPr>
        <w:ind w:left="1071" w:hanging="357"/>
        <w:jc w:val="both"/>
        <w:rPr>
          <w:b/>
        </w:rPr>
      </w:pPr>
      <w:r w:rsidRPr="0029222C">
        <w:rPr>
          <w:b/>
        </w:rPr>
        <w:t>Zdůrazn</w:t>
      </w:r>
      <w:r w:rsidR="00EB2A29" w:rsidRPr="0029222C">
        <w:rPr>
          <w:b/>
        </w:rPr>
        <w:t>ila</w:t>
      </w:r>
      <w:r w:rsidRPr="0029222C">
        <w:rPr>
          <w:b/>
        </w:rPr>
        <w:t>, že vůči programům a projektům ne</w:t>
      </w:r>
      <w:r w:rsidR="00EB2A29" w:rsidRPr="0029222C">
        <w:rPr>
          <w:b/>
        </w:rPr>
        <w:t>jsou uvedená doporučení</w:t>
      </w:r>
      <w:r w:rsidRPr="0029222C">
        <w:rPr>
          <w:b/>
        </w:rPr>
        <w:t xml:space="preserve"> závazn</w:t>
      </w:r>
      <w:r w:rsidR="00EB2A29" w:rsidRPr="0029222C">
        <w:rPr>
          <w:b/>
        </w:rPr>
        <w:t>á</w:t>
      </w:r>
      <w:r w:rsidRPr="0029222C">
        <w:rPr>
          <w:b/>
        </w:rPr>
        <w:t xml:space="preserve"> a identifikovaná rizika a doporučení mohou být přehodnocena či identifikována jinak v rámci SEA </w:t>
      </w:r>
      <w:r w:rsidR="00245D84">
        <w:rPr>
          <w:b/>
        </w:rPr>
        <w:t xml:space="preserve">hodnocení jednotlivých </w:t>
      </w:r>
      <w:r w:rsidRPr="0029222C">
        <w:rPr>
          <w:b/>
        </w:rPr>
        <w:t>programu</w:t>
      </w:r>
      <w:r w:rsidR="00245D84">
        <w:rPr>
          <w:b/>
        </w:rPr>
        <w:t xml:space="preserve"> na základě větší podrobnosti informací o obsahu jednotlivých programů</w:t>
      </w:r>
      <w:r w:rsidRPr="0029222C">
        <w:rPr>
          <w:b/>
        </w:rPr>
        <w:t>.</w:t>
      </w:r>
    </w:p>
    <w:p w:rsidR="003B5B6D" w:rsidRDefault="003B5B6D" w:rsidP="003B5B6D">
      <w:pPr>
        <w:ind w:firstLine="357"/>
        <w:jc w:val="both"/>
      </w:pPr>
    </w:p>
    <w:p w:rsidR="003B5B6D" w:rsidRPr="003B5B6D" w:rsidRDefault="003B5B6D" w:rsidP="003224AF">
      <w:pPr>
        <w:pStyle w:val="Odstavecseseznamem"/>
        <w:numPr>
          <w:ilvl w:val="0"/>
          <w:numId w:val="2"/>
        </w:numPr>
        <w:ind w:left="357" w:hanging="357"/>
        <w:jc w:val="both"/>
        <w:rPr>
          <w:b/>
        </w:rPr>
      </w:pPr>
      <w:r w:rsidRPr="003B5B6D">
        <w:rPr>
          <w:b/>
        </w:rPr>
        <w:t xml:space="preserve">Zástupkyně MMR (J. Chladná) </w:t>
      </w:r>
      <w:r w:rsidR="003C09D4">
        <w:rPr>
          <w:b/>
        </w:rPr>
        <w:t>doplnila</w:t>
      </w:r>
      <w:r w:rsidRPr="003B5B6D">
        <w:rPr>
          <w:b/>
        </w:rPr>
        <w:t xml:space="preserve"> informac</w:t>
      </w:r>
      <w:r w:rsidR="003C09D4">
        <w:rPr>
          <w:b/>
        </w:rPr>
        <w:t>e</w:t>
      </w:r>
      <w:r w:rsidRPr="003B5B6D">
        <w:rPr>
          <w:b/>
        </w:rPr>
        <w:t xml:space="preserve"> k environmentálním indikátorům (ENVI indikátory), které mají vazbu na SEA hodnocení DoP i SEA hodnocení programů.</w:t>
      </w:r>
    </w:p>
    <w:p w:rsidR="003B5B6D" w:rsidRPr="0029222C" w:rsidRDefault="003C09D4" w:rsidP="003224AF">
      <w:pPr>
        <w:pStyle w:val="Odstavecseseznamem"/>
        <w:numPr>
          <w:ilvl w:val="0"/>
          <w:numId w:val="4"/>
        </w:numPr>
        <w:ind w:left="1071" w:hanging="357"/>
        <w:jc w:val="both"/>
        <w:rPr>
          <w:b/>
        </w:rPr>
      </w:pPr>
      <w:r w:rsidRPr="0029222C">
        <w:rPr>
          <w:b/>
        </w:rPr>
        <w:t>V</w:t>
      </w:r>
      <w:r w:rsidR="003B5B6D" w:rsidRPr="0029222C">
        <w:rPr>
          <w:b/>
        </w:rPr>
        <w:t xml:space="preserve"> rámci </w:t>
      </w:r>
      <w:r w:rsidRPr="0029222C">
        <w:rPr>
          <w:b/>
        </w:rPr>
        <w:t xml:space="preserve">vyhodnocení </w:t>
      </w:r>
      <w:r w:rsidR="003B5B6D" w:rsidRPr="0029222C">
        <w:rPr>
          <w:b/>
        </w:rPr>
        <w:t xml:space="preserve">SEA </w:t>
      </w:r>
      <w:proofErr w:type="spellStart"/>
      <w:r w:rsidR="003B5B6D" w:rsidRPr="0029222C">
        <w:rPr>
          <w:b/>
        </w:rPr>
        <w:t>DoP</w:t>
      </w:r>
      <w:proofErr w:type="spellEnd"/>
      <w:r w:rsidR="003B5B6D" w:rsidRPr="0029222C">
        <w:rPr>
          <w:b/>
        </w:rPr>
        <w:t xml:space="preserve"> byl zpracován rámcový návrh ENVI indikátorů</w:t>
      </w:r>
      <w:r w:rsidRPr="0029222C">
        <w:rPr>
          <w:b/>
        </w:rPr>
        <w:t>.</w:t>
      </w:r>
      <w:r w:rsidR="003B5B6D" w:rsidRPr="0029222C">
        <w:rPr>
          <w:b/>
        </w:rPr>
        <w:t xml:space="preserve"> </w:t>
      </w:r>
      <w:r w:rsidRPr="0029222C">
        <w:rPr>
          <w:b/>
        </w:rPr>
        <w:t>Soubor ENVI indikátorů bude dále doplněn dle návrhů ŘO.</w:t>
      </w:r>
    </w:p>
    <w:p w:rsidR="003B5B6D" w:rsidRDefault="003C09D4" w:rsidP="003224AF">
      <w:pPr>
        <w:pStyle w:val="Odstavecseseznamem"/>
        <w:numPr>
          <w:ilvl w:val="0"/>
          <w:numId w:val="4"/>
        </w:numPr>
        <w:ind w:left="1071" w:hanging="357"/>
        <w:jc w:val="both"/>
      </w:pPr>
      <w:r>
        <w:t xml:space="preserve">J. Chladná dále prezentovala rámcové připomínky MMR k </w:t>
      </w:r>
      <w:r w:rsidR="003B5B6D" w:rsidRPr="002D1A77">
        <w:t>návrh</w:t>
      </w:r>
      <w:r>
        <w:t>ům</w:t>
      </w:r>
      <w:r w:rsidR="003B5B6D" w:rsidRPr="002D1A77">
        <w:t xml:space="preserve"> ENVI indikátorů </w:t>
      </w:r>
      <w:r>
        <w:t xml:space="preserve">obdržených </w:t>
      </w:r>
      <w:r w:rsidR="003B5B6D" w:rsidRPr="002D1A77">
        <w:t>od ŘO</w:t>
      </w:r>
      <w:r>
        <w:t xml:space="preserve"> k 7. 2. 2014</w:t>
      </w:r>
      <w:r w:rsidR="00FB3F07">
        <w:t>. Jednotlivé ŘO zaujaly k identifikaci ENVI indikátorů r</w:t>
      </w:r>
      <w:r w:rsidR="003B5B6D" w:rsidRPr="002D1A77">
        <w:t>ozdílný přístup</w:t>
      </w:r>
      <w:r w:rsidR="00FB3F07">
        <w:t>. MMR nepovažuje za vhodné</w:t>
      </w:r>
      <w:r w:rsidR="003B5B6D" w:rsidRPr="002D1A77">
        <w:t>, že OP ŽP považuje všechny své indikátory za ENVI</w:t>
      </w:r>
      <w:r w:rsidR="00FB3F07">
        <w:t xml:space="preserve"> indikátory</w:t>
      </w:r>
      <w:r w:rsidR="003D64F4">
        <w:t>, tento přístup bude konzultován se SEA hodnotitelem Dohody</w:t>
      </w:r>
      <w:r w:rsidR="00FB3F07">
        <w:t xml:space="preserve">. Dále vyjádřilo </w:t>
      </w:r>
      <w:r w:rsidR="003B5B6D" w:rsidRPr="002D1A77">
        <w:t xml:space="preserve">nesouhlas s tím, že OP D navrhlo jen </w:t>
      </w:r>
      <w:r w:rsidR="003D64F4">
        <w:t xml:space="preserve">environmentální návodné </w:t>
      </w:r>
      <w:r w:rsidR="003B5B6D" w:rsidRPr="002D1A77">
        <w:t>otázky, n</w:t>
      </w:r>
      <w:r w:rsidR="003B5B6D">
        <w:t>ikoliv</w:t>
      </w:r>
      <w:r w:rsidR="003B5B6D" w:rsidRPr="002D1A77">
        <w:t xml:space="preserve"> indikátory</w:t>
      </w:r>
      <w:r w:rsidR="00FB3F07">
        <w:t>.</w:t>
      </w:r>
    </w:p>
    <w:p w:rsidR="003B5B6D" w:rsidRPr="002D1A77" w:rsidRDefault="00FB3F07" w:rsidP="003224AF">
      <w:pPr>
        <w:pStyle w:val="Odstavecseseznamem"/>
        <w:numPr>
          <w:ilvl w:val="0"/>
          <w:numId w:val="4"/>
        </w:numPr>
        <w:ind w:left="1071" w:hanging="357"/>
        <w:jc w:val="both"/>
      </w:pPr>
      <w:r>
        <w:t>S</w:t>
      </w:r>
      <w:r w:rsidR="003B5B6D">
        <w:t xml:space="preserve"> ohledem na to, že ENVI indikátory budou měřeny z úrovně projektů, nemůže se dle MMR jednat o kontextové indikátory, s tímto vyjádřil nesouhlas zástupce ŘO IROP (jako příklad uváděl </w:t>
      </w:r>
      <w:r w:rsidR="006655E7">
        <w:t xml:space="preserve">indikátory pro sledování </w:t>
      </w:r>
      <w:r w:rsidR="003B5B6D">
        <w:t>emis</w:t>
      </w:r>
      <w:r w:rsidR="006655E7">
        <w:t>í</w:t>
      </w:r>
      <w:r w:rsidR="003B5B6D">
        <w:t xml:space="preserve"> v ovzduší)</w:t>
      </w:r>
      <w:r>
        <w:t>.</w:t>
      </w:r>
      <w:r w:rsidR="006655E7">
        <w:t xml:space="preserve"> Zástupce SEA hodnotitele </w:t>
      </w:r>
      <w:proofErr w:type="spellStart"/>
      <w:r w:rsidR="006655E7">
        <w:t>DoP</w:t>
      </w:r>
      <w:proofErr w:type="spellEnd"/>
      <w:r w:rsidR="006655E7">
        <w:t xml:space="preserve"> L. </w:t>
      </w:r>
      <w:proofErr w:type="spellStart"/>
      <w:r w:rsidR="006655E7">
        <w:t>Nondek</w:t>
      </w:r>
      <w:proofErr w:type="spellEnd"/>
      <w:r w:rsidR="006655E7">
        <w:t xml:space="preserve"> vyjádřil souhlas s názorem MMR.</w:t>
      </w:r>
    </w:p>
    <w:p w:rsidR="003B5B6D" w:rsidRDefault="003B5B6D" w:rsidP="003224AF">
      <w:pPr>
        <w:pStyle w:val="Odstavecseseznamem"/>
        <w:numPr>
          <w:ilvl w:val="0"/>
          <w:numId w:val="4"/>
        </w:numPr>
        <w:ind w:left="1071" w:hanging="357"/>
        <w:jc w:val="both"/>
      </w:pPr>
      <w:r>
        <w:t>MMR požaduje</w:t>
      </w:r>
      <w:r w:rsidR="008D138E">
        <w:t xml:space="preserve">, aby ENVI indikátory byly ze strany ŘO vydefinovány ve vazbě na specifické cíle programu a na identifikaci jejich vlivu na ŽP, která probíhala od </w:t>
      </w:r>
      <w:r w:rsidR="008D138E">
        <w:lastRenderedPageBreak/>
        <w:t xml:space="preserve">podzimu 2013 (viz </w:t>
      </w:r>
      <w:r w:rsidR="00785BCA">
        <w:t>minulé koordinační setkání)</w:t>
      </w:r>
      <w:r w:rsidR="003D64F4">
        <w:t>, tzn. ENVI indikátory budou využívány pouze u těch specifických cílů, kde je to vhodné a vliv na ŽP je dostatečně průkazný.</w:t>
      </w:r>
    </w:p>
    <w:p w:rsidR="003B5B6D" w:rsidRPr="00F07746" w:rsidRDefault="008D138E" w:rsidP="003224AF">
      <w:pPr>
        <w:pStyle w:val="Odstavecseseznamem"/>
        <w:numPr>
          <w:ilvl w:val="0"/>
          <w:numId w:val="4"/>
        </w:numPr>
        <w:ind w:left="1071" w:hanging="357"/>
        <w:jc w:val="both"/>
      </w:pPr>
      <w:r w:rsidRPr="0029222C">
        <w:rPr>
          <w:b/>
        </w:rPr>
        <w:t>N</w:t>
      </w:r>
      <w:r w:rsidR="003B5B6D" w:rsidRPr="0029222C">
        <w:rPr>
          <w:b/>
        </w:rPr>
        <w:t xml:space="preserve">ávrhy ŘO </w:t>
      </w:r>
      <w:r w:rsidR="00785BCA" w:rsidRPr="0029222C">
        <w:rPr>
          <w:b/>
        </w:rPr>
        <w:t xml:space="preserve">nyní </w:t>
      </w:r>
      <w:r w:rsidR="003B5B6D" w:rsidRPr="0029222C">
        <w:rPr>
          <w:b/>
        </w:rPr>
        <w:t>pos</w:t>
      </w:r>
      <w:r w:rsidR="00785BCA" w:rsidRPr="0029222C">
        <w:rPr>
          <w:b/>
        </w:rPr>
        <w:t>uzuje</w:t>
      </w:r>
      <w:r w:rsidR="003B5B6D" w:rsidRPr="0029222C">
        <w:rPr>
          <w:b/>
        </w:rPr>
        <w:t xml:space="preserve"> rovněž SEA hodnotitel </w:t>
      </w:r>
      <w:proofErr w:type="spellStart"/>
      <w:r w:rsidR="003B5B6D" w:rsidRPr="0029222C">
        <w:rPr>
          <w:b/>
        </w:rPr>
        <w:t>DoP</w:t>
      </w:r>
      <w:proofErr w:type="spellEnd"/>
      <w:r w:rsidR="003B5B6D" w:rsidRPr="0029222C">
        <w:rPr>
          <w:b/>
        </w:rPr>
        <w:t>,</w:t>
      </w:r>
      <w:r w:rsidR="00785BCA" w:rsidRPr="0029222C">
        <w:rPr>
          <w:b/>
        </w:rPr>
        <w:t xml:space="preserve"> </w:t>
      </w:r>
      <w:r w:rsidR="003B5B6D" w:rsidRPr="0029222C">
        <w:rPr>
          <w:b/>
        </w:rPr>
        <w:t xml:space="preserve">následně </w:t>
      </w:r>
      <w:r w:rsidR="00785BCA" w:rsidRPr="0029222C">
        <w:rPr>
          <w:b/>
        </w:rPr>
        <w:t xml:space="preserve">MMR zorganizuje </w:t>
      </w:r>
      <w:r w:rsidR="003B5B6D" w:rsidRPr="0029222C">
        <w:rPr>
          <w:b/>
        </w:rPr>
        <w:t>kulatý stůl k ENVI indikátorům</w:t>
      </w:r>
      <w:r w:rsidR="003B5B6D" w:rsidRPr="00F07746">
        <w:t xml:space="preserve"> </w:t>
      </w:r>
      <w:r w:rsidR="003B5B6D">
        <w:t xml:space="preserve">za účasti ŘO </w:t>
      </w:r>
      <w:r w:rsidR="00785BCA">
        <w:t>(</w:t>
      </w:r>
      <w:r w:rsidR="003B5B6D" w:rsidRPr="00F07746">
        <w:t xml:space="preserve">předběžně </w:t>
      </w:r>
      <w:r w:rsidR="00785BCA">
        <w:t>v</w:t>
      </w:r>
      <w:r w:rsidR="003B5B6D" w:rsidRPr="00F07746">
        <w:t xml:space="preserve"> poslední</w:t>
      </w:r>
      <w:r w:rsidR="00785BCA">
        <w:t>m</w:t>
      </w:r>
      <w:r w:rsidR="003B5B6D" w:rsidRPr="00F07746">
        <w:t xml:space="preserve"> týdn</w:t>
      </w:r>
      <w:r w:rsidR="00785BCA">
        <w:t>u</w:t>
      </w:r>
      <w:r w:rsidR="003B5B6D" w:rsidRPr="00F07746">
        <w:t xml:space="preserve"> v</w:t>
      </w:r>
      <w:r w:rsidR="00785BCA">
        <w:t> </w:t>
      </w:r>
      <w:r w:rsidR="003B5B6D" w:rsidRPr="00F07746">
        <w:t>únoru</w:t>
      </w:r>
      <w:r w:rsidR="00785BCA">
        <w:t>)</w:t>
      </w:r>
      <w:r w:rsidR="003B5B6D">
        <w:t>.</w:t>
      </w:r>
    </w:p>
    <w:p w:rsidR="003B5B6D" w:rsidRDefault="003B5B6D" w:rsidP="003B5B6D">
      <w:pPr>
        <w:jc w:val="both"/>
      </w:pPr>
    </w:p>
    <w:p w:rsidR="003B5B6D" w:rsidRDefault="003B5B6D" w:rsidP="003B5B6D">
      <w:pPr>
        <w:jc w:val="both"/>
      </w:pPr>
    </w:p>
    <w:p w:rsidR="003B5B6D" w:rsidRPr="002B66DA" w:rsidRDefault="003B5B6D" w:rsidP="003B5B6D">
      <w:pPr>
        <w:jc w:val="both"/>
        <w:rPr>
          <w:b/>
          <w:u w:val="single"/>
        </w:rPr>
      </w:pPr>
      <w:r w:rsidRPr="002B66DA">
        <w:rPr>
          <w:b/>
          <w:u w:val="single"/>
        </w:rPr>
        <w:t>Závěry z jednání:</w:t>
      </w:r>
    </w:p>
    <w:p w:rsidR="003B5B6D" w:rsidRPr="00716103" w:rsidRDefault="003B5B6D" w:rsidP="003B5B6D">
      <w:pPr>
        <w:jc w:val="both"/>
        <w:rPr>
          <w:b/>
        </w:rPr>
      </w:pPr>
    </w:p>
    <w:p w:rsidR="00936212" w:rsidRDefault="00936212" w:rsidP="00165752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</w:pPr>
      <w:r>
        <w:t>N</w:t>
      </w:r>
      <w:r w:rsidRPr="00936212">
        <w:t xml:space="preserve">ávrhy programů a jejich vyhodnocení SEA </w:t>
      </w:r>
      <w:r>
        <w:t xml:space="preserve">musí být MŽP </w:t>
      </w:r>
      <w:r w:rsidRPr="00936212">
        <w:t>předlož</w:t>
      </w:r>
      <w:r>
        <w:t>eny</w:t>
      </w:r>
      <w:r w:rsidRPr="00936212">
        <w:t xml:space="preserve"> s dostatečným časovým předstihem před termínem pro zaslání programu EK.</w:t>
      </w:r>
    </w:p>
    <w:p w:rsidR="00936212" w:rsidRDefault="00936212" w:rsidP="00165752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</w:pPr>
      <w:r>
        <w:t xml:space="preserve">Jakékoliv prováděné změny </w:t>
      </w:r>
      <w:proofErr w:type="spellStart"/>
      <w:r>
        <w:t>DoP</w:t>
      </w:r>
      <w:proofErr w:type="spellEnd"/>
      <w:r>
        <w:t xml:space="preserve"> i programů v rámci procesu SEA hodnocení i po něm musí být konzultovány se SEA hodnotitelem a MŽP, které vyhodnotí, zda </w:t>
      </w:r>
      <w:r w:rsidRPr="00936212">
        <w:t>se jedná o takovou změnu, kterou je nutné v souladu s požadavky zákona o posuzování vlivů na ŽP vyhodnotit.</w:t>
      </w:r>
    </w:p>
    <w:p w:rsidR="00A56B62" w:rsidRDefault="00A56B62" w:rsidP="00165752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</w:pPr>
      <w:r>
        <w:t>Zástupci některých ŘO a</w:t>
      </w:r>
      <w:r w:rsidRPr="00A56B62">
        <w:t xml:space="preserve">pelovali na to, aby rezerva zaslání </w:t>
      </w:r>
      <w:proofErr w:type="spellStart"/>
      <w:r w:rsidRPr="00A56B62">
        <w:t>DoP</w:t>
      </w:r>
      <w:proofErr w:type="spellEnd"/>
      <w:r w:rsidRPr="00A56B62">
        <w:t xml:space="preserve"> na EK před termínem </w:t>
      </w:r>
      <w:r>
        <w:t xml:space="preserve">22. 4. 2014 </w:t>
      </w:r>
      <w:r w:rsidRPr="00A56B62">
        <w:t xml:space="preserve">nebyla </w:t>
      </w:r>
      <w:r>
        <w:t>příliš</w:t>
      </w:r>
      <w:r w:rsidRPr="00A56B62">
        <w:t xml:space="preserve"> velká, tj. aby MMR </w:t>
      </w:r>
      <w:proofErr w:type="gramStart"/>
      <w:r w:rsidRPr="00A56B62">
        <w:t>zaslalo</w:t>
      </w:r>
      <w:proofErr w:type="gramEnd"/>
      <w:r w:rsidRPr="00A56B62">
        <w:t xml:space="preserve"> </w:t>
      </w:r>
      <w:proofErr w:type="spellStart"/>
      <w:r w:rsidRPr="00A56B62">
        <w:t>DoP</w:t>
      </w:r>
      <w:proofErr w:type="spellEnd"/>
      <w:r w:rsidRPr="00A56B62">
        <w:t xml:space="preserve"> na EK v rámci daného termínu co nejpozději.</w:t>
      </w:r>
      <w:r>
        <w:t xml:space="preserve"> Dřívějším zasláním </w:t>
      </w:r>
      <w:proofErr w:type="spellStart"/>
      <w:r>
        <w:t>DoP</w:t>
      </w:r>
      <w:proofErr w:type="spellEnd"/>
      <w:r>
        <w:t xml:space="preserve"> se zkracuje i termín pro zaslání programů EK.</w:t>
      </w:r>
    </w:p>
    <w:p w:rsidR="00A56B62" w:rsidRDefault="00A56B62" w:rsidP="00165752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</w:pPr>
      <w:r>
        <w:t>MM</w:t>
      </w:r>
      <w:r w:rsidR="00165752">
        <w:t>R vyjádřilo předběžné rámcové stanovisko k návrhům ENVI indikátorů ze strany ŘO. K problematice uspořádá MMR kulatý stůl s ŘO.</w:t>
      </w:r>
    </w:p>
    <w:p w:rsidR="002B66DA" w:rsidRDefault="002B66DA" w:rsidP="00F66C36">
      <w:pPr>
        <w:pStyle w:val="Odstavecseseznamem"/>
        <w:ind w:left="714"/>
        <w:contextualSpacing w:val="0"/>
        <w:jc w:val="both"/>
        <w:rPr>
          <w:bCs/>
        </w:rPr>
      </w:pPr>
    </w:p>
    <w:sectPr w:rsidR="002B66DA" w:rsidSect="005A47B4">
      <w:footerReference w:type="default" r:id="rId10"/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882" w:rsidRDefault="00D62882" w:rsidP="003E7F0F">
      <w:r>
        <w:separator/>
      </w:r>
    </w:p>
  </w:endnote>
  <w:endnote w:type="continuationSeparator" w:id="0">
    <w:p w:rsidR="00D62882" w:rsidRDefault="00D62882" w:rsidP="003E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6765439"/>
      <w:docPartObj>
        <w:docPartGallery w:val="Page Numbers (Bottom of Page)"/>
        <w:docPartUnique/>
      </w:docPartObj>
    </w:sdtPr>
    <w:sdtEndPr/>
    <w:sdtContent>
      <w:p w:rsidR="00A56B62" w:rsidRDefault="00DD5F4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3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6B62" w:rsidRDefault="00A56B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882" w:rsidRDefault="00D62882" w:rsidP="003E7F0F">
      <w:r>
        <w:separator/>
      </w:r>
    </w:p>
  </w:footnote>
  <w:footnote w:type="continuationSeparator" w:id="0">
    <w:p w:rsidR="00D62882" w:rsidRDefault="00D62882" w:rsidP="003E7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5DD"/>
    <w:multiLevelType w:val="hybridMultilevel"/>
    <w:tmpl w:val="813C6CC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8491B51"/>
    <w:multiLevelType w:val="hybridMultilevel"/>
    <w:tmpl w:val="42344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54229"/>
    <w:multiLevelType w:val="hybridMultilevel"/>
    <w:tmpl w:val="B380A23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6A54B88"/>
    <w:multiLevelType w:val="hybridMultilevel"/>
    <w:tmpl w:val="CF3003D8"/>
    <w:lvl w:ilvl="0" w:tplc="EBB62DE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D46E9"/>
    <w:multiLevelType w:val="hybridMultilevel"/>
    <w:tmpl w:val="43C0910E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DB85809"/>
    <w:multiLevelType w:val="hybridMultilevel"/>
    <w:tmpl w:val="45842D2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BE7E19"/>
    <w:multiLevelType w:val="hybridMultilevel"/>
    <w:tmpl w:val="C046E1EC"/>
    <w:lvl w:ilvl="0" w:tplc="11C89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0704F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7AB3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56D0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EEA7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3A4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42CC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BE54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45E17"/>
    <w:multiLevelType w:val="hybridMultilevel"/>
    <w:tmpl w:val="E9F893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02749"/>
    <w:multiLevelType w:val="hybridMultilevel"/>
    <w:tmpl w:val="8E5E4082"/>
    <w:lvl w:ilvl="0" w:tplc="B45E303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  <w:sz w:val="22"/>
        <w:szCs w:val="14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DE"/>
    <w:rsid w:val="000076B9"/>
    <w:rsid w:val="00007A98"/>
    <w:rsid w:val="00011277"/>
    <w:rsid w:val="0001471E"/>
    <w:rsid w:val="00016CDD"/>
    <w:rsid w:val="00024179"/>
    <w:rsid w:val="000245D6"/>
    <w:rsid w:val="00030F90"/>
    <w:rsid w:val="000362B6"/>
    <w:rsid w:val="000377A7"/>
    <w:rsid w:val="00043071"/>
    <w:rsid w:val="0004362E"/>
    <w:rsid w:val="0006128E"/>
    <w:rsid w:val="0006516F"/>
    <w:rsid w:val="00070D5A"/>
    <w:rsid w:val="0007354C"/>
    <w:rsid w:val="000749E3"/>
    <w:rsid w:val="00076719"/>
    <w:rsid w:val="000917B0"/>
    <w:rsid w:val="000926CC"/>
    <w:rsid w:val="00093A2E"/>
    <w:rsid w:val="000A296A"/>
    <w:rsid w:val="000A39DD"/>
    <w:rsid w:val="000A4FA8"/>
    <w:rsid w:val="000A77A4"/>
    <w:rsid w:val="000B0A78"/>
    <w:rsid w:val="000C4AAB"/>
    <w:rsid w:val="000C5975"/>
    <w:rsid w:val="000E3238"/>
    <w:rsid w:val="000E48B3"/>
    <w:rsid w:val="000F20E4"/>
    <w:rsid w:val="000F3931"/>
    <w:rsid w:val="000F423E"/>
    <w:rsid w:val="00100843"/>
    <w:rsid w:val="0010390A"/>
    <w:rsid w:val="001054A4"/>
    <w:rsid w:val="00117ED3"/>
    <w:rsid w:val="0012069C"/>
    <w:rsid w:val="001441CE"/>
    <w:rsid w:val="00144E68"/>
    <w:rsid w:val="00146213"/>
    <w:rsid w:val="00153C49"/>
    <w:rsid w:val="001542C9"/>
    <w:rsid w:val="00160C8E"/>
    <w:rsid w:val="00165752"/>
    <w:rsid w:val="00166655"/>
    <w:rsid w:val="00177349"/>
    <w:rsid w:val="00187153"/>
    <w:rsid w:val="00192DFD"/>
    <w:rsid w:val="001A0D8C"/>
    <w:rsid w:val="001B498F"/>
    <w:rsid w:val="001C08A9"/>
    <w:rsid w:val="001D2033"/>
    <w:rsid w:val="001D333B"/>
    <w:rsid w:val="001D745D"/>
    <w:rsid w:val="001D7FF6"/>
    <w:rsid w:val="001E030E"/>
    <w:rsid w:val="001E3018"/>
    <w:rsid w:val="001E7370"/>
    <w:rsid w:val="001F0B14"/>
    <w:rsid w:val="001F1E30"/>
    <w:rsid w:val="001F4D87"/>
    <w:rsid w:val="00202A88"/>
    <w:rsid w:val="002040EB"/>
    <w:rsid w:val="00211EEC"/>
    <w:rsid w:val="002121D0"/>
    <w:rsid w:val="0021769B"/>
    <w:rsid w:val="0022134D"/>
    <w:rsid w:val="00222E75"/>
    <w:rsid w:val="00226E18"/>
    <w:rsid w:val="002301FE"/>
    <w:rsid w:val="0023022E"/>
    <w:rsid w:val="00232FE2"/>
    <w:rsid w:val="00235B31"/>
    <w:rsid w:val="00243713"/>
    <w:rsid w:val="00243A1C"/>
    <w:rsid w:val="00244573"/>
    <w:rsid w:val="00244840"/>
    <w:rsid w:val="00245D0E"/>
    <w:rsid w:val="00245D84"/>
    <w:rsid w:val="00251098"/>
    <w:rsid w:val="00254458"/>
    <w:rsid w:val="00261E84"/>
    <w:rsid w:val="00270250"/>
    <w:rsid w:val="002727B4"/>
    <w:rsid w:val="00277125"/>
    <w:rsid w:val="00277D4B"/>
    <w:rsid w:val="00286DEB"/>
    <w:rsid w:val="00291116"/>
    <w:rsid w:val="0029222C"/>
    <w:rsid w:val="0029448C"/>
    <w:rsid w:val="002954AC"/>
    <w:rsid w:val="0029748B"/>
    <w:rsid w:val="00297746"/>
    <w:rsid w:val="002A000D"/>
    <w:rsid w:val="002A2169"/>
    <w:rsid w:val="002B100F"/>
    <w:rsid w:val="002B54B2"/>
    <w:rsid w:val="002B66DA"/>
    <w:rsid w:val="002C1382"/>
    <w:rsid w:val="002C2C53"/>
    <w:rsid w:val="002C489D"/>
    <w:rsid w:val="002C681E"/>
    <w:rsid w:val="002D1A77"/>
    <w:rsid w:val="002D3171"/>
    <w:rsid w:val="002D3440"/>
    <w:rsid w:val="002D392B"/>
    <w:rsid w:val="002D5A97"/>
    <w:rsid w:val="002D6196"/>
    <w:rsid w:val="002D6A65"/>
    <w:rsid w:val="002E4A3B"/>
    <w:rsid w:val="002E5E73"/>
    <w:rsid w:val="002E627F"/>
    <w:rsid w:val="002E78B8"/>
    <w:rsid w:val="002F0A03"/>
    <w:rsid w:val="002F29C8"/>
    <w:rsid w:val="002F77D5"/>
    <w:rsid w:val="00301CCC"/>
    <w:rsid w:val="00302244"/>
    <w:rsid w:val="003042D3"/>
    <w:rsid w:val="003052CA"/>
    <w:rsid w:val="0031224F"/>
    <w:rsid w:val="003129AC"/>
    <w:rsid w:val="00313A07"/>
    <w:rsid w:val="003224AF"/>
    <w:rsid w:val="003231D9"/>
    <w:rsid w:val="00326CE2"/>
    <w:rsid w:val="00327830"/>
    <w:rsid w:val="00327B5A"/>
    <w:rsid w:val="00335CD7"/>
    <w:rsid w:val="0034490B"/>
    <w:rsid w:val="0036291F"/>
    <w:rsid w:val="00364B28"/>
    <w:rsid w:val="003666A2"/>
    <w:rsid w:val="003819EC"/>
    <w:rsid w:val="003830DE"/>
    <w:rsid w:val="00383902"/>
    <w:rsid w:val="00385F5E"/>
    <w:rsid w:val="003867F3"/>
    <w:rsid w:val="003948DE"/>
    <w:rsid w:val="00394F20"/>
    <w:rsid w:val="003A227C"/>
    <w:rsid w:val="003A42AC"/>
    <w:rsid w:val="003A4BB8"/>
    <w:rsid w:val="003A6DE6"/>
    <w:rsid w:val="003B3D43"/>
    <w:rsid w:val="003B5B6D"/>
    <w:rsid w:val="003C09D4"/>
    <w:rsid w:val="003C361E"/>
    <w:rsid w:val="003C580B"/>
    <w:rsid w:val="003D42F4"/>
    <w:rsid w:val="003D440A"/>
    <w:rsid w:val="003D64F4"/>
    <w:rsid w:val="003E1DB1"/>
    <w:rsid w:val="003E487B"/>
    <w:rsid w:val="003E7F0F"/>
    <w:rsid w:val="003F5005"/>
    <w:rsid w:val="003F57FC"/>
    <w:rsid w:val="003F7829"/>
    <w:rsid w:val="00413A48"/>
    <w:rsid w:val="00416063"/>
    <w:rsid w:val="004264F2"/>
    <w:rsid w:val="00426E31"/>
    <w:rsid w:val="0043314E"/>
    <w:rsid w:val="00433EAC"/>
    <w:rsid w:val="00441DB4"/>
    <w:rsid w:val="004670D4"/>
    <w:rsid w:val="00473D71"/>
    <w:rsid w:val="004777CC"/>
    <w:rsid w:val="00491105"/>
    <w:rsid w:val="00493E4A"/>
    <w:rsid w:val="004A093A"/>
    <w:rsid w:val="004A6C8F"/>
    <w:rsid w:val="004B1340"/>
    <w:rsid w:val="004B1C96"/>
    <w:rsid w:val="004B7781"/>
    <w:rsid w:val="004D5BFF"/>
    <w:rsid w:val="004E07F6"/>
    <w:rsid w:val="004E1C96"/>
    <w:rsid w:val="004E1F4C"/>
    <w:rsid w:val="004E413F"/>
    <w:rsid w:val="004E49F8"/>
    <w:rsid w:val="004F5FAE"/>
    <w:rsid w:val="0050056F"/>
    <w:rsid w:val="00503633"/>
    <w:rsid w:val="00506511"/>
    <w:rsid w:val="00515BC3"/>
    <w:rsid w:val="00516E50"/>
    <w:rsid w:val="00526678"/>
    <w:rsid w:val="005312C0"/>
    <w:rsid w:val="00532164"/>
    <w:rsid w:val="00532DEF"/>
    <w:rsid w:val="00535DA5"/>
    <w:rsid w:val="0053701B"/>
    <w:rsid w:val="00540A65"/>
    <w:rsid w:val="00540C23"/>
    <w:rsid w:val="00540D99"/>
    <w:rsid w:val="00546600"/>
    <w:rsid w:val="0055629E"/>
    <w:rsid w:val="005603E9"/>
    <w:rsid w:val="00565A9A"/>
    <w:rsid w:val="00567345"/>
    <w:rsid w:val="00573F32"/>
    <w:rsid w:val="00575210"/>
    <w:rsid w:val="005766D5"/>
    <w:rsid w:val="00593312"/>
    <w:rsid w:val="005A47B4"/>
    <w:rsid w:val="005A765F"/>
    <w:rsid w:val="005B3550"/>
    <w:rsid w:val="005B3A6C"/>
    <w:rsid w:val="005C03F7"/>
    <w:rsid w:val="005C2348"/>
    <w:rsid w:val="005C5E98"/>
    <w:rsid w:val="005D1D52"/>
    <w:rsid w:val="005D41DF"/>
    <w:rsid w:val="005D5BCC"/>
    <w:rsid w:val="005E019B"/>
    <w:rsid w:val="005F404F"/>
    <w:rsid w:val="00627A6E"/>
    <w:rsid w:val="0063000B"/>
    <w:rsid w:val="0063167A"/>
    <w:rsid w:val="006326BE"/>
    <w:rsid w:val="00645CA8"/>
    <w:rsid w:val="00651EED"/>
    <w:rsid w:val="00661A79"/>
    <w:rsid w:val="006655E7"/>
    <w:rsid w:val="00665C87"/>
    <w:rsid w:val="00666D71"/>
    <w:rsid w:val="00673540"/>
    <w:rsid w:val="00673E6F"/>
    <w:rsid w:val="0067632E"/>
    <w:rsid w:val="00684991"/>
    <w:rsid w:val="00694BF4"/>
    <w:rsid w:val="00696279"/>
    <w:rsid w:val="006A26DC"/>
    <w:rsid w:val="006B1A06"/>
    <w:rsid w:val="006B3248"/>
    <w:rsid w:val="006B65EB"/>
    <w:rsid w:val="006B7361"/>
    <w:rsid w:val="006C3524"/>
    <w:rsid w:val="006C4ECA"/>
    <w:rsid w:val="006D0A7A"/>
    <w:rsid w:val="006D1661"/>
    <w:rsid w:val="006D2E85"/>
    <w:rsid w:val="006D58FE"/>
    <w:rsid w:val="006E66C8"/>
    <w:rsid w:val="006F2340"/>
    <w:rsid w:val="006F2631"/>
    <w:rsid w:val="0070108D"/>
    <w:rsid w:val="00701ED4"/>
    <w:rsid w:val="00706551"/>
    <w:rsid w:val="0070753A"/>
    <w:rsid w:val="00710A5D"/>
    <w:rsid w:val="007178AF"/>
    <w:rsid w:val="00726318"/>
    <w:rsid w:val="00727AD5"/>
    <w:rsid w:val="00733242"/>
    <w:rsid w:val="007511F7"/>
    <w:rsid w:val="007531C9"/>
    <w:rsid w:val="00756F8C"/>
    <w:rsid w:val="00757D8B"/>
    <w:rsid w:val="007825C3"/>
    <w:rsid w:val="00785BCA"/>
    <w:rsid w:val="00787239"/>
    <w:rsid w:val="007A05B0"/>
    <w:rsid w:val="007B20EF"/>
    <w:rsid w:val="007C0ED3"/>
    <w:rsid w:val="007F7712"/>
    <w:rsid w:val="0080162C"/>
    <w:rsid w:val="00804717"/>
    <w:rsid w:val="0080640E"/>
    <w:rsid w:val="0081339D"/>
    <w:rsid w:val="00820102"/>
    <w:rsid w:val="0082195B"/>
    <w:rsid w:val="0082527B"/>
    <w:rsid w:val="008267F4"/>
    <w:rsid w:val="00827332"/>
    <w:rsid w:val="00844655"/>
    <w:rsid w:val="008529A8"/>
    <w:rsid w:val="00857B63"/>
    <w:rsid w:val="0086406C"/>
    <w:rsid w:val="00866D23"/>
    <w:rsid w:val="008711C6"/>
    <w:rsid w:val="0087145B"/>
    <w:rsid w:val="00874BF4"/>
    <w:rsid w:val="00880B3F"/>
    <w:rsid w:val="00882D27"/>
    <w:rsid w:val="008838F5"/>
    <w:rsid w:val="0088617C"/>
    <w:rsid w:val="008879AB"/>
    <w:rsid w:val="008A33CD"/>
    <w:rsid w:val="008B31AB"/>
    <w:rsid w:val="008B3997"/>
    <w:rsid w:val="008B3B5F"/>
    <w:rsid w:val="008B4443"/>
    <w:rsid w:val="008B623F"/>
    <w:rsid w:val="008C0EC0"/>
    <w:rsid w:val="008C360F"/>
    <w:rsid w:val="008C3CE3"/>
    <w:rsid w:val="008C6824"/>
    <w:rsid w:val="008C7360"/>
    <w:rsid w:val="008D138E"/>
    <w:rsid w:val="008D6126"/>
    <w:rsid w:val="008E14E1"/>
    <w:rsid w:val="008E1C13"/>
    <w:rsid w:val="008E61E2"/>
    <w:rsid w:val="008F0135"/>
    <w:rsid w:val="008F5BE6"/>
    <w:rsid w:val="0090141F"/>
    <w:rsid w:val="00906551"/>
    <w:rsid w:val="00911B1A"/>
    <w:rsid w:val="00916EF4"/>
    <w:rsid w:val="0092335C"/>
    <w:rsid w:val="009318B3"/>
    <w:rsid w:val="00936212"/>
    <w:rsid w:val="00940FB8"/>
    <w:rsid w:val="00944506"/>
    <w:rsid w:val="00946C80"/>
    <w:rsid w:val="009620E3"/>
    <w:rsid w:val="009654DB"/>
    <w:rsid w:val="009700D7"/>
    <w:rsid w:val="00970D39"/>
    <w:rsid w:val="009765BE"/>
    <w:rsid w:val="0098430B"/>
    <w:rsid w:val="00985299"/>
    <w:rsid w:val="0099124D"/>
    <w:rsid w:val="009934FB"/>
    <w:rsid w:val="00994596"/>
    <w:rsid w:val="009947B9"/>
    <w:rsid w:val="00996AA8"/>
    <w:rsid w:val="009B1F70"/>
    <w:rsid w:val="009B21EF"/>
    <w:rsid w:val="009B373E"/>
    <w:rsid w:val="009C03F5"/>
    <w:rsid w:val="009C07CE"/>
    <w:rsid w:val="009C1E41"/>
    <w:rsid w:val="009C264B"/>
    <w:rsid w:val="009D071E"/>
    <w:rsid w:val="009D4857"/>
    <w:rsid w:val="009D68D4"/>
    <w:rsid w:val="009D6AC5"/>
    <w:rsid w:val="009F1CF5"/>
    <w:rsid w:val="009F46C6"/>
    <w:rsid w:val="009F5C75"/>
    <w:rsid w:val="009F7FE6"/>
    <w:rsid w:val="00A006D2"/>
    <w:rsid w:val="00A0126A"/>
    <w:rsid w:val="00A03FC2"/>
    <w:rsid w:val="00A1762C"/>
    <w:rsid w:val="00A178DF"/>
    <w:rsid w:val="00A27C88"/>
    <w:rsid w:val="00A31C27"/>
    <w:rsid w:val="00A361A1"/>
    <w:rsid w:val="00A3630C"/>
    <w:rsid w:val="00A4077A"/>
    <w:rsid w:val="00A43236"/>
    <w:rsid w:val="00A50771"/>
    <w:rsid w:val="00A51EED"/>
    <w:rsid w:val="00A56B62"/>
    <w:rsid w:val="00A57555"/>
    <w:rsid w:val="00A61A0F"/>
    <w:rsid w:val="00A6268D"/>
    <w:rsid w:val="00A816C6"/>
    <w:rsid w:val="00A862EE"/>
    <w:rsid w:val="00A87E5D"/>
    <w:rsid w:val="00A91B64"/>
    <w:rsid w:val="00A928FD"/>
    <w:rsid w:val="00A97666"/>
    <w:rsid w:val="00AA473A"/>
    <w:rsid w:val="00AA5F51"/>
    <w:rsid w:val="00AC409B"/>
    <w:rsid w:val="00AC6266"/>
    <w:rsid w:val="00AD0298"/>
    <w:rsid w:val="00AD0B1D"/>
    <w:rsid w:val="00AD259C"/>
    <w:rsid w:val="00AD57A7"/>
    <w:rsid w:val="00AD57FE"/>
    <w:rsid w:val="00AE316B"/>
    <w:rsid w:val="00AE5EF8"/>
    <w:rsid w:val="00AE6C19"/>
    <w:rsid w:val="00AF4D86"/>
    <w:rsid w:val="00B002A0"/>
    <w:rsid w:val="00B015C7"/>
    <w:rsid w:val="00B042F9"/>
    <w:rsid w:val="00B1288E"/>
    <w:rsid w:val="00B14F40"/>
    <w:rsid w:val="00B16EF1"/>
    <w:rsid w:val="00B22373"/>
    <w:rsid w:val="00B2743A"/>
    <w:rsid w:val="00B51D54"/>
    <w:rsid w:val="00B54902"/>
    <w:rsid w:val="00B54D24"/>
    <w:rsid w:val="00B6516E"/>
    <w:rsid w:val="00B70FE7"/>
    <w:rsid w:val="00B779DA"/>
    <w:rsid w:val="00B977FA"/>
    <w:rsid w:val="00BA162F"/>
    <w:rsid w:val="00BA5919"/>
    <w:rsid w:val="00BA79AF"/>
    <w:rsid w:val="00BB2A95"/>
    <w:rsid w:val="00BB37B8"/>
    <w:rsid w:val="00BC133A"/>
    <w:rsid w:val="00BC1396"/>
    <w:rsid w:val="00BC69AA"/>
    <w:rsid w:val="00BD1251"/>
    <w:rsid w:val="00BD22DA"/>
    <w:rsid w:val="00BD322A"/>
    <w:rsid w:val="00BE067D"/>
    <w:rsid w:val="00BE38CD"/>
    <w:rsid w:val="00BE43AA"/>
    <w:rsid w:val="00BF14BC"/>
    <w:rsid w:val="00C0432E"/>
    <w:rsid w:val="00C05514"/>
    <w:rsid w:val="00C059DD"/>
    <w:rsid w:val="00C05DD8"/>
    <w:rsid w:val="00C20EDA"/>
    <w:rsid w:val="00C25C21"/>
    <w:rsid w:val="00C301E4"/>
    <w:rsid w:val="00C31FD1"/>
    <w:rsid w:val="00C3514B"/>
    <w:rsid w:val="00C453E0"/>
    <w:rsid w:val="00C46630"/>
    <w:rsid w:val="00C5742B"/>
    <w:rsid w:val="00C6188B"/>
    <w:rsid w:val="00C64ECF"/>
    <w:rsid w:val="00C6570B"/>
    <w:rsid w:val="00C66D45"/>
    <w:rsid w:val="00C70EB2"/>
    <w:rsid w:val="00C73EE6"/>
    <w:rsid w:val="00C77E52"/>
    <w:rsid w:val="00C8323A"/>
    <w:rsid w:val="00C86756"/>
    <w:rsid w:val="00C90AC5"/>
    <w:rsid w:val="00C9217D"/>
    <w:rsid w:val="00CA3EF3"/>
    <w:rsid w:val="00CA69D0"/>
    <w:rsid w:val="00CA79CF"/>
    <w:rsid w:val="00CB3A5F"/>
    <w:rsid w:val="00CC48E5"/>
    <w:rsid w:val="00CC4F28"/>
    <w:rsid w:val="00CC71B6"/>
    <w:rsid w:val="00CC7D9A"/>
    <w:rsid w:val="00CD20D5"/>
    <w:rsid w:val="00CD6000"/>
    <w:rsid w:val="00CD79FB"/>
    <w:rsid w:val="00CF357A"/>
    <w:rsid w:val="00CF3629"/>
    <w:rsid w:val="00CF74A2"/>
    <w:rsid w:val="00D00AF0"/>
    <w:rsid w:val="00D0278C"/>
    <w:rsid w:val="00D02CE8"/>
    <w:rsid w:val="00D04A4D"/>
    <w:rsid w:val="00D124F8"/>
    <w:rsid w:val="00D128DD"/>
    <w:rsid w:val="00D13419"/>
    <w:rsid w:val="00D1507D"/>
    <w:rsid w:val="00D21C34"/>
    <w:rsid w:val="00D22DAD"/>
    <w:rsid w:val="00D238C9"/>
    <w:rsid w:val="00D23B42"/>
    <w:rsid w:val="00D27312"/>
    <w:rsid w:val="00D31E9E"/>
    <w:rsid w:val="00D33D01"/>
    <w:rsid w:val="00D37A84"/>
    <w:rsid w:val="00D40360"/>
    <w:rsid w:val="00D40E1E"/>
    <w:rsid w:val="00D41AA4"/>
    <w:rsid w:val="00D41DA4"/>
    <w:rsid w:val="00D42FF6"/>
    <w:rsid w:val="00D539F7"/>
    <w:rsid w:val="00D53F7B"/>
    <w:rsid w:val="00D55737"/>
    <w:rsid w:val="00D56EF6"/>
    <w:rsid w:val="00D626AB"/>
    <w:rsid w:val="00D62882"/>
    <w:rsid w:val="00D64394"/>
    <w:rsid w:val="00D678B9"/>
    <w:rsid w:val="00D7062A"/>
    <w:rsid w:val="00D72064"/>
    <w:rsid w:val="00D72F91"/>
    <w:rsid w:val="00D749EB"/>
    <w:rsid w:val="00D86270"/>
    <w:rsid w:val="00DA3BEB"/>
    <w:rsid w:val="00DA4E27"/>
    <w:rsid w:val="00DB4396"/>
    <w:rsid w:val="00DB6E88"/>
    <w:rsid w:val="00DB7525"/>
    <w:rsid w:val="00DC17D5"/>
    <w:rsid w:val="00DC182C"/>
    <w:rsid w:val="00DC653A"/>
    <w:rsid w:val="00DC74B0"/>
    <w:rsid w:val="00DD5F40"/>
    <w:rsid w:val="00DD6EFB"/>
    <w:rsid w:val="00DE1FFF"/>
    <w:rsid w:val="00DE6ED2"/>
    <w:rsid w:val="00DF0EB1"/>
    <w:rsid w:val="00DF70EC"/>
    <w:rsid w:val="00E10F0F"/>
    <w:rsid w:val="00E16CCB"/>
    <w:rsid w:val="00E3047D"/>
    <w:rsid w:val="00E308D3"/>
    <w:rsid w:val="00E33AB0"/>
    <w:rsid w:val="00E40AEA"/>
    <w:rsid w:val="00E45051"/>
    <w:rsid w:val="00E511BE"/>
    <w:rsid w:val="00E51387"/>
    <w:rsid w:val="00E62331"/>
    <w:rsid w:val="00E77D57"/>
    <w:rsid w:val="00E818A7"/>
    <w:rsid w:val="00E94935"/>
    <w:rsid w:val="00E9564F"/>
    <w:rsid w:val="00E96AFD"/>
    <w:rsid w:val="00EA68F4"/>
    <w:rsid w:val="00EB02D9"/>
    <w:rsid w:val="00EB2A29"/>
    <w:rsid w:val="00EB36F0"/>
    <w:rsid w:val="00EC2DAF"/>
    <w:rsid w:val="00EC4651"/>
    <w:rsid w:val="00ED3D26"/>
    <w:rsid w:val="00ED5B0E"/>
    <w:rsid w:val="00EE1AC0"/>
    <w:rsid w:val="00EE5E26"/>
    <w:rsid w:val="00EE5E40"/>
    <w:rsid w:val="00EE5EE9"/>
    <w:rsid w:val="00EF6184"/>
    <w:rsid w:val="00F037CA"/>
    <w:rsid w:val="00F07746"/>
    <w:rsid w:val="00F16904"/>
    <w:rsid w:val="00F178B6"/>
    <w:rsid w:val="00F22E4C"/>
    <w:rsid w:val="00F24B7C"/>
    <w:rsid w:val="00F302B7"/>
    <w:rsid w:val="00F33644"/>
    <w:rsid w:val="00F3484E"/>
    <w:rsid w:val="00F52416"/>
    <w:rsid w:val="00F536B4"/>
    <w:rsid w:val="00F56126"/>
    <w:rsid w:val="00F62384"/>
    <w:rsid w:val="00F6435F"/>
    <w:rsid w:val="00F64F96"/>
    <w:rsid w:val="00F66C36"/>
    <w:rsid w:val="00F751C3"/>
    <w:rsid w:val="00F80F8C"/>
    <w:rsid w:val="00F84891"/>
    <w:rsid w:val="00F921B6"/>
    <w:rsid w:val="00F951F8"/>
    <w:rsid w:val="00F956CF"/>
    <w:rsid w:val="00FA232B"/>
    <w:rsid w:val="00FB3F07"/>
    <w:rsid w:val="00FB5C05"/>
    <w:rsid w:val="00FB5CD8"/>
    <w:rsid w:val="00FC45D4"/>
    <w:rsid w:val="00FC4AAF"/>
    <w:rsid w:val="00FC591C"/>
    <w:rsid w:val="00FC5AE9"/>
    <w:rsid w:val="00FD5436"/>
    <w:rsid w:val="00FE7690"/>
    <w:rsid w:val="00FF0A34"/>
    <w:rsid w:val="00FF1530"/>
    <w:rsid w:val="00FF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ln">
    <w:name w:val="Normal"/>
    <w:qFormat/>
    <w:rsid w:val="008529A8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0">
    <w:name w:val="List 0"/>
    <w:basedOn w:val="ImportWordListStyleDefinition0"/>
    <w:semiHidden/>
    <w:rsid w:val="008529A8"/>
    <w:pPr>
      <w:tabs>
        <w:tab w:val="clear" w:pos="360"/>
        <w:tab w:val="num" w:pos="348"/>
      </w:tabs>
      <w:ind w:left="348"/>
    </w:pPr>
  </w:style>
  <w:style w:type="paragraph" w:customStyle="1" w:styleId="ImportWordListStyleDefinition0">
    <w:name w:val="Import Word List Style Definition 0"/>
    <w:rsid w:val="008529A8"/>
    <w:pPr>
      <w:tabs>
        <w:tab w:val="num" w:pos="360"/>
      </w:tabs>
      <w:ind w:left="360" w:firstLine="360"/>
    </w:pPr>
  </w:style>
  <w:style w:type="character" w:styleId="Odkaznakoment">
    <w:name w:val="annotation reference"/>
    <w:locked/>
    <w:rsid w:val="00261E84"/>
    <w:rPr>
      <w:sz w:val="16"/>
      <w:szCs w:val="16"/>
    </w:rPr>
  </w:style>
  <w:style w:type="paragraph" w:styleId="Textkomente">
    <w:name w:val="annotation text"/>
    <w:basedOn w:val="Normln"/>
    <w:link w:val="TextkomenteChar"/>
    <w:locked/>
    <w:rsid w:val="00261E84"/>
    <w:rPr>
      <w:sz w:val="20"/>
      <w:szCs w:val="20"/>
    </w:rPr>
  </w:style>
  <w:style w:type="character" w:customStyle="1" w:styleId="TextkomenteChar">
    <w:name w:val="Text komentáře Char"/>
    <w:link w:val="Textkomente"/>
    <w:rsid w:val="00261E84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locked/>
    <w:rsid w:val="00261E84"/>
    <w:rPr>
      <w:b/>
      <w:bCs/>
    </w:rPr>
  </w:style>
  <w:style w:type="character" w:customStyle="1" w:styleId="PedmtkomenteChar">
    <w:name w:val="Předmět komentáře Char"/>
    <w:link w:val="Pedmtkomente"/>
    <w:rsid w:val="00261E84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locked/>
    <w:rsid w:val="00261E8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61E84"/>
    <w:rPr>
      <w:rFonts w:ascii="Tahoma" w:hAnsi="Tahoma" w:cs="Tahoma"/>
      <w:sz w:val="16"/>
      <w:szCs w:val="16"/>
      <w:lang w:val="en-US" w:eastAsia="en-US"/>
    </w:rPr>
  </w:style>
  <w:style w:type="character" w:styleId="Hypertextovodkaz">
    <w:name w:val="Hyperlink"/>
    <w:locked/>
    <w:rsid w:val="00673E6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35B31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locked/>
    <w:rsid w:val="002B100F"/>
    <w:rPr>
      <w:rFonts w:ascii="Calibri" w:eastAsia="Calibri" w:hAnsi="Calibri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2B100F"/>
    <w:rPr>
      <w:rFonts w:ascii="Calibri" w:eastAsia="Calibri" w:hAnsi="Calibri"/>
      <w:sz w:val="22"/>
      <w:szCs w:val="22"/>
    </w:rPr>
  </w:style>
  <w:style w:type="paragraph" w:styleId="Zhlav">
    <w:name w:val="header"/>
    <w:basedOn w:val="Normln"/>
    <w:link w:val="ZhlavChar"/>
    <w:locked/>
    <w:rsid w:val="003E7F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E7F0F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locked/>
    <w:rsid w:val="003E7F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7F0F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ln">
    <w:name w:val="Normal"/>
    <w:qFormat/>
    <w:rsid w:val="008529A8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0">
    <w:name w:val="List 0"/>
    <w:basedOn w:val="ImportWordListStyleDefinition0"/>
    <w:semiHidden/>
    <w:rsid w:val="008529A8"/>
    <w:pPr>
      <w:tabs>
        <w:tab w:val="clear" w:pos="360"/>
        <w:tab w:val="num" w:pos="348"/>
      </w:tabs>
      <w:ind w:left="348"/>
    </w:pPr>
  </w:style>
  <w:style w:type="paragraph" w:customStyle="1" w:styleId="ImportWordListStyleDefinition0">
    <w:name w:val="Import Word List Style Definition 0"/>
    <w:rsid w:val="008529A8"/>
    <w:pPr>
      <w:tabs>
        <w:tab w:val="num" w:pos="360"/>
      </w:tabs>
      <w:ind w:left="360" w:firstLine="360"/>
    </w:pPr>
  </w:style>
  <w:style w:type="character" w:styleId="Odkaznakoment">
    <w:name w:val="annotation reference"/>
    <w:locked/>
    <w:rsid w:val="00261E84"/>
    <w:rPr>
      <w:sz w:val="16"/>
      <w:szCs w:val="16"/>
    </w:rPr>
  </w:style>
  <w:style w:type="paragraph" w:styleId="Textkomente">
    <w:name w:val="annotation text"/>
    <w:basedOn w:val="Normln"/>
    <w:link w:val="TextkomenteChar"/>
    <w:locked/>
    <w:rsid w:val="00261E84"/>
    <w:rPr>
      <w:sz w:val="20"/>
      <w:szCs w:val="20"/>
    </w:rPr>
  </w:style>
  <w:style w:type="character" w:customStyle="1" w:styleId="TextkomenteChar">
    <w:name w:val="Text komentáře Char"/>
    <w:link w:val="Textkomente"/>
    <w:rsid w:val="00261E84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locked/>
    <w:rsid w:val="00261E84"/>
    <w:rPr>
      <w:b/>
      <w:bCs/>
    </w:rPr>
  </w:style>
  <w:style w:type="character" w:customStyle="1" w:styleId="PedmtkomenteChar">
    <w:name w:val="Předmět komentáře Char"/>
    <w:link w:val="Pedmtkomente"/>
    <w:rsid w:val="00261E84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locked/>
    <w:rsid w:val="00261E8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61E84"/>
    <w:rPr>
      <w:rFonts w:ascii="Tahoma" w:hAnsi="Tahoma" w:cs="Tahoma"/>
      <w:sz w:val="16"/>
      <w:szCs w:val="16"/>
      <w:lang w:val="en-US" w:eastAsia="en-US"/>
    </w:rPr>
  </w:style>
  <w:style w:type="character" w:styleId="Hypertextovodkaz">
    <w:name w:val="Hyperlink"/>
    <w:locked/>
    <w:rsid w:val="00673E6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35B31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locked/>
    <w:rsid w:val="002B100F"/>
    <w:rPr>
      <w:rFonts w:ascii="Calibri" w:eastAsia="Calibri" w:hAnsi="Calibri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2B100F"/>
    <w:rPr>
      <w:rFonts w:ascii="Calibri" w:eastAsia="Calibri" w:hAnsi="Calibri"/>
      <w:sz w:val="22"/>
      <w:szCs w:val="22"/>
    </w:rPr>
  </w:style>
  <w:style w:type="paragraph" w:styleId="Zhlav">
    <w:name w:val="header"/>
    <w:basedOn w:val="Normln"/>
    <w:link w:val="ZhlavChar"/>
    <w:locked/>
    <w:rsid w:val="003E7F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E7F0F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locked/>
    <w:rsid w:val="003E7F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7F0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1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0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9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5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5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4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2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2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79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8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DA9EE-6EC1-4F47-939E-9BB9253AD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1292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Vaštylová</dc:creator>
  <cp:lastModifiedBy>Robert Veselý</cp:lastModifiedBy>
  <cp:revision>5</cp:revision>
  <cp:lastPrinted>2014-02-18T10:02:00Z</cp:lastPrinted>
  <dcterms:created xsi:type="dcterms:W3CDTF">2014-02-18T13:48:00Z</dcterms:created>
  <dcterms:modified xsi:type="dcterms:W3CDTF">2014-02-18T16:16:00Z</dcterms:modified>
</cp:coreProperties>
</file>