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B9" w:rsidRDefault="0004527F">
      <w:pPr>
        <w:jc w:val="center"/>
        <w:outlineLvl w:val="0"/>
        <w:rPr>
          <w:rFonts w:eastAsia="Arial Unicode MS"/>
          <w:b/>
          <w:caps/>
          <w:color w:val="000000"/>
          <w:sz w:val="26"/>
          <w:u w:color="000000"/>
          <w:lang w:val="cs-CZ"/>
        </w:rPr>
      </w:pPr>
      <w:r w:rsidRPr="008C25BF">
        <w:rPr>
          <w:rFonts w:eastAsia="Arial Unicode MS"/>
          <w:b/>
          <w:caps/>
          <w:color w:val="000000"/>
          <w:sz w:val="26"/>
          <w:u w:color="000000"/>
          <w:lang w:val="cs-CZ"/>
        </w:rPr>
        <w:t>HLAVNÍ ZÁVĚRY Z</w:t>
      </w:r>
      <w:r w:rsidR="005457EC" w:rsidRPr="008C25BF">
        <w:rPr>
          <w:rFonts w:eastAsia="Arial Unicode MS"/>
          <w:b/>
          <w:caps/>
          <w:color w:val="000000"/>
          <w:sz w:val="26"/>
          <w:u w:color="000000"/>
          <w:lang w:val="cs-CZ"/>
        </w:rPr>
        <w:t xml:space="preserve"> jednání </w:t>
      </w:r>
    </w:p>
    <w:p w:rsidR="0004527F" w:rsidRPr="008C25BF" w:rsidRDefault="008C25BF">
      <w:pPr>
        <w:jc w:val="center"/>
        <w:outlineLvl w:val="0"/>
        <w:rPr>
          <w:rFonts w:eastAsia="Arial Unicode MS"/>
          <w:b/>
          <w:caps/>
          <w:color w:val="000000"/>
          <w:sz w:val="26"/>
          <w:u w:color="000000"/>
          <w:lang w:val="cs-CZ"/>
        </w:rPr>
      </w:pPr>
      <w:r w:rsidRPr="008C25BF">
        <w:rPr>
          <w:rFonts w:eastAsia="Arial Unicode MS"/>
          <w:b/>
          <w:caps/>
          <w:color w:val="000000"/>
          <w:sz w:val="26"/>
          <w:u w:color="000000"/>
          <w:lang w:val="cs-CZ"/>
        </w:rPr>
        <w:t>k rozpracování programů 2014-2020 dne</w:t>
      </w:r>
      <w:r w:rsidR="008029FF" w:rsidRPr="008C25BF">
        <w:rPr>
          <w:rFonts w:eastAsia="Arial Unicode MS"/>
          <w:b/>
          <w:caps/>
          <w:color w:val="000000"/>
          <w:sz w:val="26"/>
          <w:u w:color="000000"/>
          <w:lang w:val="cs-CZ"/>
        </w:rPr>
        <w:t xml:space="preserve"> </w:t>
      </w:r>
      <w:r w:rsidRPr="008C25BF">
        <w:rPr>
          <w:rFonts w:eastAsia="Arial Unicode MS"/>
          <w:b/>
          <w:caps/>
          <w:color w:val="000000"/>
          <w:sz w:val="26"/>
          <w:u w:color="000000"/>
          <w:lang w:val="cs-CZ"/>
        </w:rPr>
        <w:t>18</w:t>
      </w:r>
      <w:r w:rsidR="008029FF" w:rsidRPr="008C25BF">
        <w:rPr>
          <w:rFonts w:eastAsia="Arial Unicode MS"/>
          <w:b/>
          <w:caps/>
          <w:color w:val="000000"/>
          <w:sz w:val="26"/>
          <w:u w:color="000000"/>
          <w:lang w:val="cs-CZ"/>
        </w:rPr>
        <w:t>. 1</w:t>
      </w:r>
      <w:r w:rsidRPr="008C25BF">
        <w:rPr>
          <w:rFonts w:eastAsia="Arial Unicode MS"/>
          <w:b/>
          <w:caps/>
          <w:color w:val="000000"/>
          <w:sz w:val="26"/>
          <w:u w:color="000000"/>
          <w:lang w:val="cs-CZ"/>
        </w:rPr>
        <w:t>2</w:t>
      </w:r>
      <w:r w:rsidR="008029FF" w:rsidRPr="008C25BF">
        <w:rPr>
          <w:rFonts w:eastAsia="Arial Unicode MS"/>
          <w:b/>
          <w:caps/>
          <w:color w:val="000000"/>
          <w:sz w:val="26"/>
          <w:u w:color="000000"/>
          <w:lang w:val="cs-CZ"/>
        </w:rPr>
        <w:t>. 2012</w:t>
      </w:r>
    </w:p>
    <w:p w:rsidR="0004527F" w:rsidRPr="00A138CD" w:rsidRDefault="0004527F">
      <w:pPr>
        <w:outlineLvl w:val="0"/>
        <w:rPr>
          <w:rFonts w:eastAsia="Arial Unicode MS"/>
          <w:b/>
          <w:color w:val="000000"/>
          <w:sz w:val="26"/>
          <w:u w:color="000000"/>
          <w:lang w:val="cs-CZ"/>
        </w:rPr>
      </w:pPr>
    </w:p>
    <w:p w:rsidR="0004527F" w:rsidRPr="00A138CD" w:rsidRDefault="0004527F">
      <w:pPr>
        <w:outlineLvl w:val="0"/>
        <w:rPr>
          <w:rFonts w:eastAsia="Arial Unicode MS"/>
          <w:b/>
          <w:color w:val="000000"/>
          <w:sz w:val="26"/>
          <w:u w:color="000000"/>
          <w:lang w:val="cs-CZ"/>
        </w:rPr>
      </w:pPr>
    </w:p>
    <w:p w:rsidR="0004527F" w:rsidRPr="00A138CD" w:rsidRDefault="0004527F" w:rsidP="009A3662">
      <w:pPr>
        <w:spacing w:before="120"/>
        <w:jc w:val="both"/>
        <w:outlineLvl w:val="0"/>
        <w:rPr>
          <w:rFonts w:eastAsia="Arial Unicode MS"/>
          <w:color w:val="000000"/>
          <w:sz w:val="20"/>
          <w:u w:color="000000"/>
          <w:lang w:val="cs-CZ"/>
        </w:rPr>
      </w:pPr>
      <w:r w:rsidRPr="00A138CD">
        <w:rPr>
          <w:rFonts w:eastAsia="Arial Unicode MS"/>
          <w:b/>
          <w:color w:val="000000"/>
          <w:sz w:val="22"/>
          <w:u w:color="000000"/>
          <w:lang w:val="cs-CZ"/>
        </w:rPr>
        <w:t xml:space="preserve">Ministerstvo pro místní rozvoj uspořádalo </w:t>
      </w:r>
      <w:r w:rsidR="005A1688" w:rsidRPr="00A138CD">
        <w:rPr>
          <w:rFonts w:eastAsia="Arial Unicode MS"/>
          <w:b/>
          <w:color w:val="000000"/>
          <w:sz w:val="22"/>
          <w:u w:color="000000"/>
          <w:lang w:val="cs-CZ"/>
        </w:rPr>
        <w:t>dne</w:t>
      </w:r>
      <w:r w:rsidR="005A1688">
        <w:rPr>
          <w:rFonts w:eastAsia="Arial Unicode MS"/>
          <w:b/>
          <w:color w:val="000000"/>
          <w:sz w:val="22"/>
          <w:u w:color="000000"/>
          <w:lang w:val="cs-CZ"/>
        </w:rPr>
        <w:t xml:space="preserve"> </w:t>
      </w:r>
      <w:r w:rsidR="008C25BF">
        <w:rPr>
          <w:rFonts w:eastAsia="Arial Unicode MS"/>
          <w:b/>
          <w:color w:val="000000"/>
          <w:sz w:val="22"/>
          <w:u w:color="000000"/>
          <w:lang w:val="cs-CZ"/>
        </w:rPr>
        <w:t>18</w:t>
      </w:r>
      <w:r w:rsidR="005A1688">
        <w:rPr>
          <w:rFonts w:eastAsia="Arial Unicode MS"/>
          <w:b/>
          <w:color w:val="000000"/>
          <w:sz w:val="22"/>
          <w:u w:color="000000"/>
          <w:lang w:val="cs-CZ"/>
        </w:rPr>
        <w:t xml:space="preserve">. </w:t>
      </w:r>
      <w:r w:rsidR="008C25BF">
        <w:rPr>
          <w:rFonts w:eastAsia="Arial Unicode MS"/>
          <w:b/>
          <w:color w:val="000000"/>
          <w:sz w:val="22"/>
          <w:u w:color="000000"/>
          <w:lang w:val="cs-CZ"/>
        </w:rPr>
        <w:t>prosince</w:t>
      </w:r>
      <w:r w:rsidR="005A1688">
        <w:rPr>
          <w:rFonts w:eastAsia="Arial Unicode MS"/>
          <w:b/>
          <w:color w:val="000000"/>
          <w:sz w:val="22"/>
          <w:u w:color="000000"/>
          <w:lang w:val="cs-CZ"/>
        </w:rPr>
        <w:t xml:space="preserve"> 2012 </w:t>
      </w:r>
      <w:r w:rsidR="008C25BF">
        <w:rPr>
          <w:rFonts w:eastAsia="Arial Unicode MS"/>
          <w:b/>
          <w:color w:val="000000"/>
          <w:sz w:val="22"/>
          <w:u w:color="000000"/>
          <w:lang w:val="cs-CZ"/>
        </w:rPr>
        <w:t>jednání k rozpracování programů 2014-2020</w:t>
      </w:r>
      <w:r w:rsidR="005A1688">
        <w:rPr>
          <w:rFonts w:eastAsia="Arial Unicode MS"/>
          <w:b/>
          <w:color w:val="000000"/>
          <w:sz w:val="22"/>
          <w:u w:color="000000"/>
          <w:lang w:val="cs-CZ"/>
        </w:rPr>
        <w:t xml:space="preserve"> za účelem prezentace </w:t>
      </w:r>
      <w:r w:rsidR="00122989">
        <w:rPr>
          <w:rFonts w:eastAsia="Arial Unicode MS"/>
          <w:b/>
          <w:color w:val="000000"/>
          <w:sz w:val="22"/>
          <w:u w:color="000000"/>
          <w:lang w:val="cs-CZ"/>
        </w:rPr>
        <w:t>východisek pro zpracování programů zástupcům říd</w:t>
      </w:r>
      <w:r w:rsidR="00B312A0">
        <w:rPr>
          <w:rFonts w:eastAsia="Arial Unicode MS"/>
          <w:b/>
          <w:color w:val="000000"/>
          <w:sz w:val="22"/>
          <w:u w:color="000000"/>
          <w:lang w:val="cs-CZ"/>
        </w:rPr>
        <w:t>i</w:t>
      </w:r>
      <w:r w:rsidR="00122989">
        <w:rPr>
          <w:rFonts w:eastAsia="Arial Unicode MS"/>
          <w:b/>
          <w:color w:val="000000"/>
          <w:sz w:val="22"/>
          <w:u w:color="000000"/>
          <w:lang w:val="cs-CZ"/>
        </w:rPr>
        <w:t>cích orgánů.</w:t>
      </w:r>
      <w:r w:rsidR="009A3662">
        <w:rPr>
          <w:rFonts w:eastAsia="Arial Unicode MS"/>
          <w:b/>
          <w:color w:val="000000"/>
          <w:sz w:val="22"/>
          <w:u w:color="000000"/>
          <w:lang w:val="cs-CZ"/>
        </w:rPr>
        <w:t xml:space="preserve"> </w:t>
      </w:r>
    </w:p>
    <w:p w:rsidR="0004527F" w:rsidRDefault="0004527F">
      <w:pPr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A837A6" w:rsidRDefault="00294502">
      <w:pPr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>Účastníci</w:t>
      </w:r>
      <w:r w:rsidR="001C3486">
        <w:rPr>
          <w:rFonts w:eastAsia="Arial Unicode MS"/>
          <w:color w:val="000000"/>
          <w:sz w:val="22"/>
          <w:u w:color="000000"/>
          <w:lang w:val="cs-CZ"/>
        </w:rPr>
        <w:t>:</w:t>
      </w:r>
    </w:p>
    <w:p w:rsidR="001C3486" w:rsidRPr="00B831FA" w:rsidRDefault="001C3486" w:rsidP="001C3486">
      <w:pPr>
        <w:tabs>
          <w:tab w:val="left" w:pos="2694"/>
        </w:tabs>
        <w:jc w:val="both"/>
        <w:rPr>
          <w:rFonts w:eastAsia="Arial Unicode MS"/>
          <w:color w:val="000000"/>
          <w:sz w:val="22"/>
          <w:u w:color="000000"/>
          <w:lang w:val="cs-CZ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 xml:space="preserve">Za </w:t>
      </w:r>
      <w:r w:rsidR="00C03351" w:rsidRPr="00B831FA">
        <w:rPr>
          <w:rFonts w:eastAsia="Arial Unicode MS"/>
          <w:color w:val="000000"/>
          <w:sz w:val="22"/>
          <w:u w:color="000000"/>
          <w:lang w:val="cs-CZ"/>
        </w:rPr>
        <w:t>MMR-NOK</w:t>
      </w:r>
      <w:r w:rsidRPr="00B831FA">
        <w:rPr>
          <w:rFonts w:eastAsia="Arial Unicode MS"/>
          <w:color w:val="000000"/>
          <w:sz w:val="22"/>
          <w:u w:color="000000"/>
          <w:lang w:val="cs-CZ"/>
        </w:rPr>
        <w:t xml:space="preserve">: </w:t>
      </w:r>
      <w:r w:rsidRPr="00B831FA">
        <w:rPr>
          <w:rFonts w:eastAsia="Arial Unicode MS"/>
          <w:color w:val="000000"/>
          <w:sz w:val="22"/>
          <w:u w:color="000000"/>
          <w:lang w:val="cs-CZ"/>
        </w:rPr>
        <w:tab/>
      </w:r>
      <w:r w:rsidR="00F56874" w:rsidRPr="00B831FA">
        <w:rPr>
          <w:rFonts w:eastAsia="Arial Unicode MS"/>
          <w:color w:val="000000"/>
          <w:sz w:val="22"/>
          <w:u w:color="000000"/>
          <w:lang w:val="cs-CZ"/>
        </w:rPr>
        <w:t>O. Letáčková, MMR</w:t>
      </w:r>
    </w:p>
    <w:p w:rsidR="00F56874" w:rsidRPr="00B831FA" w:rsidRDefault="00F56874" w:rsidP="001C3486">
      <w:pPr>
        <w:tabs>
          <w:tab w:val="left" w:pos="2694"/>
        </w:tabs>
        <w:jc w:val="both"/>
        <w:rPr>
          <w:rFonts w:eastAsia="Arial Unicode MS"/>
          <w:color w:val="000000"/>
          <w:sz w:val="22"/>
          <w:u w:color="000000"/>
          <w:lang w:val="cs-CZ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ab/>
        <w:t>K. Šlechtová, MMR</w:t>
      </w:r>
    </w:p>
    <w:p w:rsidR="00F56874" w:rsidRPr="00B831FA" w:rsidRDefault="00F56874" w:rsidP="001C3486">
      <w:pPr>
        <w:tabs>
          <w:tab w:val="left" w:pos="2694"/>
        </w:tabs>
        <w:jc w:val="both"/>
        <w:rPr>
          <w:rFonts w:eastAsia="Arial Unicode MS"/>
          <w:color w:val="000000"/>
          <w:sz w:val="22"/>
          <w:u w:color="000000"/>
          <w:lang w:val="cs-CZ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ab/>
        <w:t>M. Daněk, MMR</w:t>
      </w:r>
    </w:p>
    <w:p w:rsidR="00F56874" w:rsidRPr="00B831FA" w:rsidRDefault="00F56874" w:rsidP="001C3486">
      <w:pPr>
        <w:tabs>
          <w:tab w:val="left" w:pos="2694"/>
        </w:tabs>
        <w:jc w:val="both"/>
        <w:rPr>
          <w:rFonts w:eastAsia="Arial Unicode MS"/>
          <w:color w:val="000000"/>
          <w:sz w:val="22"/>
          <w:u w:color="000000"/>
          <w:lang w:val="cs-CZ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ab/>
        <w:t>K. Neveselá, MMR</w:t>
      </w:r>
    </w:p>
    <w:p w:rsidR="00F56874" w:rsidRPr="00B831FA" w:rsidRDefault="00F56874" w:rsidP="001C3486">
      <w:pPr>
        <w:tabs>
          <w:tab w:val="left" w:pos="2694"/>
        </w:tabs>
        <w:jc w:val="both"/>
        <w:rPr>
          <w:rFonts w:eastAsia="Arial Unicode MS"/>
          <w:color w:val="000000"/>
          <w:sz w:val="22"/>
          <w:u w:color="000000"/>
          <w:lang w:val="cs-CZ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ab/>
        <w:t>J. Chladná, MMR</w:t>
      </w:r>
    </w:p>
    <w:p w:rsidR="00F56874" w:rsidRPr="00B831FA" w:rsidRDefault="00F56874" w:rsidP="001C3486">
      <w:pPr>
        <w:tabs>
          <w:tab w:val="left" w:pos="2694"/>
        </w:tabs>
        <w:jc w:val="both"/>
        <w:rPr>
          <w:iCs/>
          <w:lang w:val="en-GB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ab/>
        <w:t>L. Sekyrová, MMR</w:t>
      </w:r>
    </w:p>
    <w:p w:rsidR="00EC25FD" w:rsidRPr="00077C1C" w:rsidRDefault="00EC25FD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 xml:space="preserve">Za </w:t>
      </w:r>
      <w:r w:rsidR="00266CA8" w:rsidRPr="00B831FA">
        <w:rPr>
          <w:rFonts w:eastAsia="Arial Unicode MS"/>
          <w:color w:val="000000"/>
          <w:sz w:val="22"/>
          <w:u w:color="000000"/>
          <w:lang w:val="cs-CZ"/>
        </w:rPr>
        <w:t>říd</w:t>
      </w:r>
      <w:r w:rsidR="00B312A0" w:rsidRPr="00B831FA">
        <w:rPr>
          <w:rFonts w:eastAsia="Arial Unicode MS"/>
          <w:color w:val="000000"/>
          <w:sz w:val="22"/>
          <w:u w:color="000000"/>
          <w:lang w:val="cs-CZ"/>
        </w:rPr>
        <w:t>i</w:t>
      </w:r>
      <w:r w:rsidR="00266CA8" w:rsidRPr="00B831FA">
        <w:rPr>
          <w:rFonts w:eastAsia="Arial Unicode MS"/>
          <w:color w:val="000000"/>
          <w:sz w:val="22"/>
          <w:u w:color="000000"/>
          <w:lang w:val="cs-CZ"/>
        </w:rPr>
        <w:t>cí orgány</w:t>
      </w:r>
      <w:r w:rsidRPr="00B831FA">
        <w:rPr>
          <w:rFonts w:eastAsia="Arial Unicode MS"/>
          <w:color w:val="000000"/>
          <w:sz w:val="22"/>
          <w:u w:color="000000"/>
          <w:lang w:val="cs-CZ"/>
        </w:rPr>
        <w:t>:</w:t>
      </w:r>
      <w:r w:rsidRPr="00B831FA">
        <w:rPr>
          <w:rFonts w:eastAsia="Arial Unicode MS"/>
          <w:color w:val="000000"/>
          <w:sz w:val="22"/>
          <w:u w:color="000000"/>
          <w:lang w:val="cs-CZ"/>
        </w:rPr>
        <w:tab/>
      </w:r>
      <w:r w:rsidR="00F37A5C" w:rsidRPr="00077C1C">
        <w:rPr>
          <w:rFonts w:eastAsia="Arial Unicode MS"/>
          <w:color w:val="000000"/>
          <w:sz w:val="22"/>
          <w:u w:color="000000"/>
          <w:lang w:val="cs-CZ"/>
        </w:rPr>
        <w:t xml:space="preserve">J. Tabery, </w:t>
      </w:r>
      <w:proofErr w:type="spellStart"/>
      <w:r w:rsidR="00F37A5C" w:rsidRPr="00077C1C">
        <w:rPr>
          <w:rFonts w:eastAsia="Arial Unicode MS"/>
          <w:color w:val="000000"/>
          <w:sz w:val="22"/>
          <w:u w:color="000000"/>
          <w:lang w:val="cs-CZ"/>
        </w:rPr>
        <w:t>MZe</w:t>
      </w:r>
      <w:proofErr w:type="spellEnd"/>
    </w:p>
    <w:p w:rsidR="00B831FA" w:rsidRPr="00077C1C" w:rsidRDefault="00F37A5C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</w:r>
      <w:r w:rsidR="00B831FA" w:rsidRPr="00077C1C">
        <w:rPr>
          <w:rFonts w:eastAsia="Arial Unicode MS"/>
          <w:color w:val="000000"/>
          <w:sz w:val="22"/>
          <w:u w:color="000000"/>
          <w:lang w:val="cs-CZ"/>
        </w:rPr>
        <w:t xml:space="preserve">R. </w:t>
      </w:r>
      <w:proofErr w:type="spellStart"/>
      <w:r w:rsidR="00B831FA" w:rsidRPr="00077C1C">
        <w:rPr>
          <w:rFonts w:eastAsia="Arial Unicode MS"/>
          <w:color w:val="000000"/>
          <w:sz w:val="22"/>
          <w:u w:color="000000"/>
          <w:lang w:val="cs-CZ"/>
        </w:rPr>
        <w:t>Komiková</w:t>
      </w:r>
      <w:proofErr w:type="spellEnd"/>
      <w:r w:rsidR="00B831FA" w:rsidRPr="00077C1C">
        <w:rPr>
          <w:rFonts w:eastAsia="Arial Unicode MS"/>
          <w:color w:val="000000"/>
          <w:sz w:val="22"/>
          <w:u w:color="000000"/>
          <w:lang w:val="cs-CZ"/>
        </w:rPr>
        <w:t xml:space="preserve">, </w:t>
      </w:r>
      <w:proofErr w:type="spellStart"/>
      <w:r w:rsidR="00B831FA" w:rsidRPr="00077C1C">
        <w:rPr>
          <w:rFonts w:eastAsia="Arial Unicode MS"/>
          <w:color w:val="000000"/>
          <w:sz w:val="22"/>
          <w:u w:color="000000"/>
          <w:lang w:val="cs-CZ"/>
        </w:rPr>
        <w:t>M</w:t>
      </w:r>
      <w:r w:rsidR="00F603E3" w:rsidRPr="00077C1C">
        <w:rPr>
          <w:rFonts w:eastAsia="Arial Unicode MS"/>
          <w:color w:val="000000"/>
          <w:sz w:val="22"/>
          <w:u w:color="000000"/>
          <w:lang w:val="cs-CZ"/>
        </w:rPr>
        <w:t>Z</w:t>
      </w:r>
      <w:r w:rsidR="00B831FA" w:rsidRPr="00077C1C">
        <w:rPr>
          <w:rFonts w:eastAsia="Arial Unicode MS"/>
          <w:color w:val="000000"/>
          <w:sz w:val="22"/>
          <w:u w:color="000000"/>
          <w:lang w:val="cs-CZ"/>
        </w:rPr>
        <w:t>e</w:t>
      </w:r>
      <w:proofErr w:type="spellEnd"/>
    </w:p>
    <w:p w:rsidR="00F603E3" w:rsidRPr="00077C1C" w:rsidRDefault="00F603E3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  <w:t xml:space="preserve">K. Susová, </w:t>
      </w:r>
      <w:proofErr w:type="spellStart"/>
      <w:r w:rsidRPr="00077C1C">
        <w:rPr>
          <w:rFonts w:eastAsia="Arial Unicode MS"/>
          <w:color w:val="000000"/>
          <w:sz w:val="22"/>
          <w:u w:color="000000"/>
          <w:lang w:val="cs-CZ"/>
        </w:rPr>
        <w:t>MZe</w:t>
      </w:r>
      <w:proofErr w:type="spellEnd"/>
    </w:p>
    <w:p w:rsidR="00F603E3" w:rsidRPr="00077C1C" w:rsidRDefault="00F603E3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  <w:t xml:space="preserve">K. Krylová, </w:t>
      </w:r>
      <w:proofErr w:type="spellStart"/>
      <w:r w:rsidRPr="00077C1C">
        <w:rPr>
          <w:rFonts w:eastAsia="Arial Unicode MS"/>
          <w:color w:val="000000"/>
          <w:sz w:val="22"/>
          <w:u w:color="000000"/>
          <w:lang w:val="cs-CZ"/>
        </w:rPr>
        <w:t>MZe</w:t>
      </w:r>
      <w:proofErr w:type="spellEnd"/>
    </w:p>
    <w:p w:rsidR="00045E68" w:rsidRPr="00077C1C" w:rsidRDefault="00B831FA" w:rsidP="00045E68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</w:r>
      <w:r w:rsidR="00045E68" w:rsidRPr="00077C1C">
        <w:rPr>
          <w:rFonts w:eastAsia="Arial Unicode MS"/>
          <w:color w:val="000000"/>
          <w:sz w:val="22"/>
          <w:u w:color="000000"/>
          <w:lang w:val="cs-CZ"/>
        </w:rPr>
        <w:t>P. Chuděj, MPSV</w:t>
      </w:r>
    </w:p>
    <w:p w:rsidR="00045E68" w:rsidRPr="00077C1C" w:rsidRDefault="00045E68" w:rsidP="00045E68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  <w:t xml:space="preserve">J. </w:t>
      </w:r>
      <w:proofErr w:type="spellStart"/>
      <w:r w:rsidRPr="00077C1C">
        <w:rPr>
          <w:rFonts w:eastAsia="Arial Unicode MS"/>
          <w:color w:val="000000"/>
          <w:sz w:val="22"/>
          <w:u w:color="000000"/>
          <w:lang w:val="cs-CZ"/>
        </w:rPr>
        <w:t>Kinský</w:t>
      </w:r>
      <w:proofErr w:type="spellEnd"/>
      <w:r w:rsidRPr="00077C1C">
        <w:rPr>
          <w:rFonts w:eastAsia="Arial Unicode MS"/>
          <w:color w:val="000000"/>
          <w:sz w:val="22"/>
          <w:u w:color="000000"/>
          <w:lang w:val="cs-CZ"/>
        </w:rPr>
        <w:t>, MPSV</w:t>
      </w:r>
    </w:p>
    <w:p w:rsidR="00F37A5C" w:rsidRPr="00077C1C" w:rsidRDefault="00045E68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ab/>
      </w:r>
      <w:r w:rsidR="00F37A5C" w:rsidRPr="00077C1C">
        <w:rPr>
          <w:rFonts w:eastAsia="Arial Unicode MS"/>
          <w:color w:val="000000"/>
          <w:sz w:val="22"/>
          <w:u w:color="000000"/>
          <w:lang w:val="cs-CZ"/>
        </w:rPr>
        <w:t>E. Brožová, MŠMT</w:t>
      </w:r>
    </w:p>
    <w:p w:rsidR="00077C1C" w:rsidRPr="00077C1C" w:rsidRDefault="00077C1C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  <w:t xml:space="preserve">H. </w:t>
      </w:r>
      <w:proofErr w:type="spellStart"/>
      <w:r w:rsidRPr="00077C1C">
        <w:rPr>
          <w:rFonts w:eastAsia="Arial Unicode MS"/>
          <w:color w:val="000000"/>
          <w:sz w:val="22"/>
          <w:u w:color="000000"/>
          <w:lang w:val="cs-CZ"/>
        </w:rPr>
        <w:t>Barbořáková</w:t>
      </w:r>
      <w:proofErr w:type="spellEnd"/>
      <w:r w:rsidRPr="00077C1C">
        <w:rPr>
          <w:rFonts w:eastAsia="Arial Unicode MS"/>
          <w:color w:val="000000"/>
          <w:sz w:val="22"/>
          <w:u w:color="000000"/>
          <w:lang w:val="cs-CZ"/>
        </w:rPr>
        <w:t>, MŠMT</w:t>
      </w:r>
    </w:p>
    <w:p w:rsidR="00045E68" w:rsidRDefault="00045E68" w:rsidP="00045E68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ab/>
      </w:r>
      <w:r w:rsidRPr="00077C1C">
        <w:rPr>
          <w:rFonts w:eastAsia="Arial Unicode MS"/>
          <w:color w:val="000000"/>
          <w:sz w:val="22"/>
          <w:u w:color="000000"/>
          <w:lang w:val="cs-CZ"/>
        </w:rPr>
        <w:t>P. Očko, MPO</w:t>
      </w:r>
    </w:p>
    <w:p w:rsidR="00045E68" w:rsidRPr="00077C1C" w:rsidRDefault="00045E68" w:rsidP="00045E68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ab/>
      </w:r>
      <w:r w:rsidRPr="00077C1C">
        <w:rPr>
          <w:rFonts w:eastAsia="Arial Unicode MS"/>
          <w:color w:val="000000"/>
          <w:sz w:val="22"/>
          <w:u w:color="000000"/>
          <w:lang w:val="cs-CZ"/>
        </w:rPr>
        <w:t>M. Kokeš, MD</w:t>
      </w:r>
    </w:p>
    <w:p w:rsidR="00627DCA" w:rsidRPr="00077C1C" w:rsidRDefault="00F37A5C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</w:r>
      <w:r w:rsidR="00BF1F15" w:rsidRPr="00077C1C">
        <w:rPr>
          <w:rFonts w:eastAsia="Arial Unicode MS"/>
          <w:color w:val="000000"/>
          <w:sz w:val="22"/>
          <w:u w:color="000000"/>
          <w:lang w:val="cs-CZ"/>
        </w:rPr>
        <w:t xml:space="preserve">S. </w:t>
      </w:r>
      <w:proofErr w:type="spellStart"/>
      <w:r w:rsidR="00BF1F15" w:rsidRPr="00077C1C">
        <w:rPr>
          <w:rFonts w:eastAsia="Arial Unicode MS"/>
          <w:color w:val="000000"/>
          <w:sz w:val="22"/>
          <w:u w:color="000000"/>
          <w:lang w:val="cs-CZ"/>
        </w:rPr>
        <w:t>Svitáková</w:t>
      </w:r>
      <w:proofErr w:type="spellEnd"/>
      <w:r w:rsidR="00BF1F15" w:rsidRPr="00077C1C">
        <w:rPr>
          <w:rFonts w:eastAsia="Arial Unicode MS"/>
          <w:color w:val="000000"/>
          <w:sz w:val="22"/>
          <w:u w:color="000000"/>
          <w:lang w:val="cs-CZ"/>
        </w:rPr>
        <w:t>, MŽP</w:t>
      </w:r>
    </w:p>
    <w:p w:rsidR="00F603E3" w:rsidRPr="00077C1C" w:rsidRDefault="00F603E3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  <w:t>J. Mlynářová, MF</w:t>
      </w:r>
    </w:p>
    <w:p w:rsidR="00BF1F15" w:rsidRPr="00B831FA" w:rsidRDefault="00555D4E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077C1C">
        <w:rPr>
          <w:rFonts w:eastAsia="Arial Unicode MS"/>
          <w:color w:val="000000"/>
          <w:sz w:val="22"/>
          <w:u w:color="000000"/>
          <w:lang w:val="cs-CZ"/>
        </w:rPr>
        <w:tab/>
        <w:t>R. Mazal, MMR</w:t>
      </w:r>
    </w:p>
    <w:p w:rsidR="00555D4E" w:rsidRPr="00B831FA" w:rsidRDefault="00555D4E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ab/>
      </w:r>
      <w:r w:rsidR="00A26F63" w:rsidRPr="00B831FA">
        <w:rPr>
          <w:rFonts w:eastAsia="Arial Unicode MS"/>
          <w:color w:val="000000"/>
          <w:sz w:val="22"/>
          <w:u w:color="000000"/>
          <w:lang w:val="cs-CZ"/>
        </w:rPr>
        <w:t>J. Horáček, MMR</w:t>
      </w:r>
    </w:p>
    <w:p w:rsidR="00833C22" w:rsidRDefault="00A26F63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 w:rsidRPr="00B831FA">
        <w:rPr>
          <w:rFonts w:eastAsia="Arial Unicode MS"/>
          <w:color w:val="000000"/>
          <w:sz w:val="22"/>
          <w:u w:color="000000"/>
          <w:lang w:val="cs-CZ"/>
        </w:rPr>
        <w:tab/>
      </w:r>
      <w:r w:rsidR="007869A2" w:rsidRPr="00B831FA">
        <w:rPr>
          <w:rFonts w:eastAsia="Arial Unicode MS"/>
          <w:color w:val="000000"/>
          <w:sz w:val="22"/>
          <w:u w:color="000000"/>
          <w:lang w:val="cs-CZ"/>
        </w:rPr>
        <w:t>M. Buršík, MMR</w:t>
      </w:r>
      <w:r w:rsidR="00833C22">
        <w:rPr>
          <w:rFonts w:eastAsia="Arial Unicode MS"/>
          <w:color w:val="000000"/>
          <w:sz w:val="22"/>
          <w:u w:color="000000"/>
          <w:lang w:val="cs-CZ"/>
        </w:rPr>
        <w:tab/>
      </w:r>
    </w:p>
    <w:p w:rsidR="00F603E3" w:rsidRDefault="00F603E3" w:rsidP="00077C1C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ab/>
        <w:t>Z. Bartošová, MHMP</w:t>
      </w:r>
    </w:p>
    <w:p w:rsidR="00F603E3" w:rsidRDefault="00F603E3" w:rsidP="00675932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ab/>
        <w:t>R. Havel, MHMP</w:t>
      </w:r>
    </w:p>
    <w:p w:rsidR="00EC25FD" w:rsidRDefault="00EC25FD" w:rsidP="00EC25FD">
      <w:pPr>
        <w:tabs>
          <w:tab w:val="left" w:pos="2694"/>
        </w:tabs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EC25FD" w:rsidRDefault="00EC25FD">
      <w:pPr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04527F" w:rsidRDefault="003C0DE4" w:rsidP="00C47BFF">
      <w:pPr>
        <w:spacing w:before="60"/>
        <w:jc w:val="both"/>
        <w:outlineLvl w:val="0"/>
        <w:rPr>
          <w:rFonts w:eastAsia="Arial Unicode MS"/>
          <w:b/>
          <w:color w:val="000000"/>
          <w:sz w:val="22"/>
          <w:u w:color="000000"/>
          <w:lang w:val="cs-CZ"/>
        </w:rPr>
      </w:pPr>
      <w:r>
        <w:rPr>
          <w:rFonts w:eastAsia="Arial Unicode MS"/>
          <w:b/>
          <w:color w:val="000000"/>
          <w:sz w:val="22"/>
          <w:u w:color="000000"/>
          <w:lang w:val="cs-CZ"/>
        </w:rPr>
        <w:t>V</w:t>
      </w:r>
      <w:r w:rsidR="00C47BFF" w:rsidRPr="00C47BFF">
        <w:rPr>
          <w:rFonts w:eastAsia="Arial Unicode MS"/>
          <w:b/>
          <w:color w:val="000000"/>
          <w:sz w:val="22"/>
          <w:u w:color="000000"/>
          <w:lang w:val="cs-CZ"/>
        </w:rPr>
        <w:t>rchní ředitelka sekce O. Letáčková krátce uvítal</w:t>
      </w:r>
      <w:r>
        <w:rPr>
          <w:rFonts w:eastAsia="Arial Unicode MS"/>
          <w:b/>
          <w:color w:val="000000"/>
          <w:sz w:val="22"/>
          <w:u w:color="000000"/>
          <w:lang w:val="cs-CZ"/>
        </w:rPr>
        <w:t>a</w:t>
      </w:r>
      <w:r w:rsidR="00C47BFF" w:rsidRPr="00C47BFF">
        <w:rPr>
          <w:rFonts w:eastAsia="Arial Unicode MS"/>
          <w:b/>
          <w:color w:val="000000"/>
          <w:sz w:val="22"/>
          <w:u w:color="000000"/>
          <w:lang w:val="cs-CZ"/>
        </w:rPr>
        <w:t xml:space="preserve"> všechny přítomné a</w:t>
      </w:r>
      <w:r w:rsidR="00584F7C">
        <w:rPr>
          <w:rFonts w:eastAsia="Arial Unicode MS"/>
          <w:b/>
          <w:color w:val="000000"/>
          <w:sz w:val="22"/>
          <w:u w:color="000000"/>
          <w:lang w:val="cs-CZ"/>
        </w:rPr>
        <w:t xml:space="preserve"> </w:t>
      </w:r>
      <w:r>
        <w:rPr>
          <w:rFonts w:eastAsia="Arial Unicode MS"/>
          <w:b/>
          <w:color w:val="000000"/>
          <w:sz w:val="22"/>
          <w:u w:color="000000"/>
          <w:lang w:val="cs-CZ"/>
        </w:rPr>
        <w:t>představila vymezení programů pro programové období 2014-2020 a</w:t>
      </w:r>
      <w:r w:rsidR="001C4E26">
        <w:rPr>
          <w:rFonts w:eastAsia="Arial Unicode MS"/>
          <w:b/>
          <w:color w:val="000000"/>
          <w:sz w:val="22"/>
          <w:u w:color="000000"/>
          <w:lang w:val="cs-CZ"/>
        </w:rPr>
        <w:t xml:space="preserve"> obsah usnesení č. 867/2012.</w:t>
      </w:r>
    </w:p>
    <w:p w:rsidR="00584F7C" w:rsidRDefault="00584F7C" w:rsidP="00C47BFF">
      <w:pPr>
        <w:spacing w:before="60"/>
        <w:jc w:val="both"/>
        <w:outlineLvl w:val="0"/>
        <w:rPr>
          <w:rFonts w:eastAsia="Arial Unicode MS"/>
          <w:b/>
          <w:color w:val="000000"/>
          <w:sz w:val="22"/>
          <w:u w:color="000000"/>
          <w:lang w:val="cs-CZ"/>
        </w:rPr>
      </w:pPr>
    </w:p>
    <w:p w:rsidR="00206FDF" w:rsidRDefault="00744044" w:rsidP="00C47BFF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 xml:space="preserve">Usnesení </w:t>
      </w:r>
      <w:r w:rsidR="00206FDF">
        <w:rPr>
          <w:rFonts w:eastAsia="Arial Unicode MS"/>
          <w:color w:val="000000"/>
          <w:sz w:val="22"/>
          <w:u w:color="000000"/>
          <w:lang w:val="cs-CZ"/>
        </w:rPr>
        <w:t xml:space="preserve">č. 867/2012, kterým vzala vláda ČR na vědomí </w:t>
      </w:r>
      <w:r w:rsidR="00206FDF" w:rsidRPr="00206FDF">
        <w:rPr>
          <w:rFonts w:eastAsia="Arial Unicode MS"/>
          <w:color w:val="000000"/>
          <w:sz w:val="22"/>
          <w:u w:color="000000"/>
          <w:lang w:val="cs-CZ"/>
        </w:rPr>
        <w:t>Podklad pro přípravu Dohody o partnerství pro programové období 2014–2020</w:t>
      </w:r>
      <w:r w:rsidR="00206FDF">
        <w:rPr>
          <w:rFonts w:eastAsia="Arial Unicode MS"/>
          <w:color w:val="000000"/>
          <w:sz w:val="22"/>
          <w:u w:color="000000"/>
          <w:lang w:val="cs-CZ"/>
        </w:rPr>
        <w:t xml:space="preserve">, </w:t>
      </w:r>
      <w:r w:rsidR="00530ACC">
        <w:rPr>
          <w:rFonts w:eastAsia="Arial Unicode MS"/>
          <w:color w:val="000000"/>
          <w:sz w:val="22"/>
          <w:u w:color="000000"/>
          <w:lang w:val="cs-CZ"/>
        </w:rPr>
        <w:t xml:space="preserve">schvaluje vymezení programů a </w:t>
      </w:r>
      <w:r w:rsidR="00206FDF">
        <w:rPr>
          <w:rFonts w:eastAsia="Arial Unicode MS"/>
          <w:color w:val="000000"/>
          <w:sz w:val="22"/>
          <w:u w:color="000000"/>
          <w:lang w:val="cs-CZ"/>
        </w:rPr>
        <w:t>stanovuje především následující termíny a kompetence</w:t>
      </w:r>
      <w:r w:rsidR="00191819">
        <w:rPr>
          <w:rFonts w:eastAsia="Arial Unicode MS"/>
          <w:color w:val="000000"/>
          <w:sz w:val="22"/>
          <w:u w:color="000000"/>
          <w:lang w:val="cs-CZ"/>
        </w:rPr>
        <w:t xml:space="preserve"> (viz přiložená prezentace)</w:t>
      </w:r>
      <w:r w:rsidR="00206FDF">
        <w:rPr>
          <w:rFonts w:eastAsia="Arial Unicode MS"/>
          <w:color w:val="000000"/>
          <w:sz w:val="22"/>
          <w:u w:color="000000"/>
          <w:lang w:val="cs-CZ"/>
        </w:rPr>
        <w:t>:</w:t>
      </w:r>
    </w:p>
    <w:p w:rsidR="00206FDF" w:rsidRDefault="00206FDF" w:rsidP="00206FDF">
      <w:pPr>
        <w:pStyle w:val="Odstavecseseznamem"/>
        <w:numPr>
          <w:ilvl w:val="0"/>
          <w:numId w:val="13"/>
        </w:num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>Pověřuje MMR zpracováním Dohody o partnerství a koordinací zpracování programů pro programové období 2014-2020.</w:t>
      </w:r>
    </w:p>
    <w:p w:rsidR="00530ACC" w:rsidRDefault="009A7F34" w:rsidP="00206FDF">
      <w:pPr>
        <w:pStyle w:val="Odstavecseseznamem"/>
        <w:numPr>
          <w:ilvl w:val="0"/>
          <w:numId w:val="13"/>
        </w:num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>Ukládá MMR do 31. května 20</w:t>
      </w:r>
      <w:r w:rsidR="0050361A">
        <w:rPr>
          <w:rFonts w:eastAsia="Arial Unicode MS"/>
          <w:color w:val="000000"/>
          <w:sz w:val="22"/>
          <w:u w:color="000000"/>
          <w:lang w:val="cs-CZ"/>
        </w:rPr>
        <w:t>13</w:t>
      </w:r>
      <w:r w:rsidR="00530ACC">
        <w:rPr>
          <w:rFonts w:eastAsia="Arial Unicode MS"/>
          <w:color w:val="000000"/>
          <w:sz w:val="22"/>
          <w:u w:color="000000"/>
          <w:lang w:val="cs-CZ"/>
        </w:rPr>
        <w:t xml:space="preserve"> předložit vládě ČR návrh Dohody o partnerství</w:t>
      </w:r>
    </w:p>
    <w:p w:rsidR="00530ACC" w:rsidRPr="00530ACC" w:rsidRDefault="00530ACC" w:rsidP="00206FDF">
      <w:pPr>
        <w:pStyle w:val="Odstavecseseznamem"/>
        <w:numPr>
          <w:ilvl w:val="0"/>
          <w:numId w:val="13"/>
        </w:num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 xml:space="preserve">Ukládá MMR </w:t>
      </w:r>
      <w:r w:rsidRPr="00530ACC">
        <w:rPr>
          <w:rFonts w:eastAsia="Arial Unicode MS"/>
          <w:color w:val="000000"/>
          <w:sz w:val="22"/>
          <w:u w:color="000000"/>
          <w:lang w:val="cs-CZ"/>
        </w:rPr>
        <w:t xml:space="preserve">do 31. května 2013 předložit vládě informaci o </w:t>
      </w:r>
      <w:r w:rsidRPr="00530ACC">
        <w:rPr>
          <w:rFonts w:eastAsia="Arial Unicode MS"/>
          <w:bCs/>
          <w:color w:val="000000"/>
          <w:sz w:val="22"/>
          <w:u w:color="000000"/>
          <w:lang w:val="cs-CZ"/>
        </w:rPr>
        <w:t>stavu přípravy programů</w:t>
      </w:r>
    </w:p>
    <w:p w:rsidR="00530ACC" w:rsidRDefault="00530ACC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7002CF" w:rsidRDefault="007002CF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7002CF" w:rsidRDefault="007002CF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7002CF" w:rsidRDefault="007002CF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530ACC" w:rsidRPr="00766AF6" w:rsidRDefault="00530ACC" w:rsidP="00530ACC">
      <w:pPr>
        <w:spacing w:before="60"/>
        <w:jc w:val="both"/>
        <w:outlineLvl w:val="0"/>
        <w:rPr>
          <w:rFonts w:eastAsia="Arial Unicode MS"/>
          <w:b/>
          <w:color w:val="000000"/>
          <w:sz w:val="22"/>
          <w:u w:color="000000"/>
          <w:lang w:val="cs-CZ"/>
        </w:rPr>
      </w:pPr>
      <w:r w:rsidRPr="00766AF6">
        <w:rPr>
          <w:rFonts w:eastAsia="Arial Unicode MS"/>
          <w:b/>
          <w:color w:val="000000"/>
          <w:sz w:val="22"/>
          <w:u w:color="000000"/>
          <w:lang w:val="cs-CZ"/>
        </w:rPr>
        <w:lastRenderedPageBreak/>
        <w:t xml:space="preserve">K. Šlechtová představila </w:t>
      </w:r>
      <w:r w:rsidR="00766AF6" w:rsidRPr="00766AF6">
        <w:rPr>
          <w:rFonts w:eastAsia="Arial Unicode MS"/>
          <w:b/>
          <w:color w:val="000000"/>
          <w:sz w:val="22"/>
          <w:u w:color="000000"/>
          <w:lang w:val="cs-CZ"/>
        </w:rPr>
        <w:t>návrh platforem pro přípravu programového období 2014-2020</w:t>
      </w:r>
      <w:r w:rsidR="00B06658">
        <w:rPr>
          <w:rFonts w:eastAsia="Arial Unicode MS"/>
          <w:b/>
          <w:color w:val="000000"/>
          <w:sz w:val="22"/>
          <w:u w:color="000000"/>
          <w:lang w:val="cs-CZ"/>
        </w:rPr>
        <w:t>.</w:t>
      </w:r>
    </w:p>
    <w:p w:rsidR="00766AF6" w:rsidRDefault="00766AF6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D5724B" w:rsidRDefault="00F90F65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>P</w:t>
      </w:r>
      <w:r w:rsidR="005F0758">
        <w:rPr>
          <w:rFonts w:eastAsia="Arial Unicode MS"/>
          <w:color w:val="000000"/>
          <w:sz w:val="22"/>
          <w:u w:color="000000"/>
          <w:lang w:val="cs-CZ"/>
        </w:rPr>
        <w:t>latformy musí zastřešit všechny fondy Společného strategického rámce začleněné pod Dohodu o partnerství.</w:t>
      </w:r>
      <w:r w:rsidR="002C358F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  <w:r w:rsidR="00757F03">
        <w:rPr>
          <w:rFonts w:eastAsia="Arial Unicode MS"/>
          <w:color w:val="000000"/>
          <w:sz w:val="22"/>
          <w:u w:color="000000"/>
          <w:lang w:val="cs-CZ"/>
        </w:rPr>
        <w:t>Byl stručně představen</w:t>
      </w:r>
      <w:r w:rsidR="001C5803">
        <w:rPr>
          <w:rFonts w:eastAsia="Arial Unicode MS"/>
          <w:color w:val="000000"/>
          <w:sz w:val="22"/>
          <w:u w:color="000000"/>
          <w:lang w:val="cs-CZ"/>
        </w:rPr>
        <w:t xml:space="preserve"> systém platforem,</w:t>
      </w:r>
      <w:r w:rsidR="00757F03">
        <w:rPr>
          <w:rFonts w:eastAsia="Arial Unicode MS"/>
          <w:color w:val="000000"/>
          <w:sz w:val="22"/>
          <w:u w:color="000000"/>
          <w:lang w:val="cs-CZ"/>
        </w:rPr>
        <w:t xml:space="preserve"> jednotlivé platformy a jejich návaznost na platformy existující v programovém období 2007-2013. </w:t>
      </w:r>
      <w:r w:rsidR="00F80F85">
        <w:rPr>
          <w:rFonts w:eastAsia="Arial Unicode MS"/>
          <w:color w:val="000000"/>
          <w:sz w:val="22"/>
          <w:u w:color="000000"/>
          <w:lang w:val="cs-CZ"/>
        </w:rPr>
        <w:t xml:space="preserve">MMR připravuje vládě ČR pro informaci materiál, </w:t>
      </w:r>
      <w:r w:rsidR="00F80F85" w:rsidRPr="00180B4A">
        <w:rPr>
          <w:rFonts w:eastAsia="Arial Unicode MS"/>
          <w:color w:val="000000"/>
          <w:sz w:val="22"/>
          <w:u w:color="000000"/>
          <w:lang w:val="cs-CZ"/>
        </w:rPr>
        <w:t xml:space="preserve">který </w:t>
      </w:r>
      <w:r w:rsidR="00F80F85">
        <w:rPr>
          <w:rFonts w:eastAsia="Arial Unicode MS"/>
          <w:color w:val="000000"/>
          <w:sz w:val="22"/>
          <w:u w:color="000000"/>
          <w:lang w:val="cs-CZ"/>
        </w:rPr>
        <w:t>navržené</w:t>
      </w:r>
      <w:r w:rsidR="00F80F85" w:rsidRPr="00180B4A">
        <w:rPr>
          <w:rFonts w:eastAsia="Arial Unicode MS"/>
          <w:color w:val="000000"/>
          <w:sz w:val="22"/>
          <w:u w:color="000000"/>
          <w:lang w:val="cs-CZ"/>
        </w:rPr>
        <w:t xml:space="preserve"> platformy hlouběji rozpracovává a pro každou stanovuje termín vzniku, předsedu, členy, činnosti a sekretariát.</w:t>
      </w:r>
      <w:r w:rsidR="00F80F85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  <w:r w:rsidR="00760480">
        <w:rPr>
          <w:rFonts w:eastAsia="Arial Unicode MS"/>
          <w:color w:val="000000"/>
          <w:sz w:val="22"/>
          <w:u w:color="000000"/>
          <w:lang w:val="cs-CZ"/>
        </w:rPr>
        <w:t>Dále byl</w:t>
      </w:r>
      <w:r w:rsidR="00A64868">
        <w:rPr>
          <w:rFonts w:eastAsia="Arial Unicode MS"/>
          <w:color w:val="000000"/>
          <w:sz w:val="22"/>
          <w:u w:color="000000"/>
          <w:lang w:val="cs-CZ"/>
        </w:rPr>
        <w:t>o vysvětleno postavení a složení Pracovní skupiny k rozpracování programů 2014-2020.</w:t>
      </w:r>
      <w:r w:rsidR="00760480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  <w:r w:rsidR="00B473D2">
        <w:rPr>
          <w:rFonts w:eastAsia="Arial Unicode MS"/>
          <w:color w:val="000000"/>
          <w:sz w:val="22"/>
          <w:u w:color="000000"/>
          <w:lang w:val="cs-CZ"/>
        </w:rPr>
        <w:t>Říd</w:t>
      </w:r>
      <w:r w:rsidR="00B312A0">
        <w:rPr>
          <w:rFonts w:eastAsia="Arial Unicode MS"/>
          <w:color w:val="000000"/>
          <w:sz w:val="22"/>
          <w:u w:color="000000"/>
          <w:lang w:val="cs-CZ"/>
        </w:rPr>
        <w:t>i</w:t>
      </w:r>
      <w:r w:rsidR="00B473D2">
        <w:rPr>
          <w:rFonts w:eastAsia="Arial Unicode MS"/>
          <w:color w:val="000000"/>
          <w:sz w:val="22"/>
          <w:u w:color="000000"/>
          <w:lang w:val="cs-CZ"/>
        </w:rPr>
        <w:t xml:space="preserve">cí orgány </w:t>
      </w:r>
      <w:r w:rsidR="00773CCE">
        <w:rPr>
          <w:rFonts w:eastAsia="Arial Unicode MS"/>
          <w:color w:val="000000"/>
          <w:sz w:val="22"/>
          <w:u w:color="000000"/>
          <w:lang w:val="cs-CZ"/>
        </w:rPr>
        <w:t xml:space="preserve">(dále ŘO) </w:t>
      </w:r>
      <w:r w:rsidR="00B473D2">
        <w:rPr>
          <w:rFonts w:eastAsia="Arial Unicode MS"/>
          <w:color w:val="000000"/>
          <w:sz w:val="22"/>
          <w:u w:color="000000"/>
          <w:lang w:val="cs-CZ"/>
        </w:rPr>
        <w:t>obdrží od 1. náměstka ministra pro místní rozvoj D. Brauna žádost o nominaci</w:t>
      </w:r>
      <w:r w:rsidR="00D5724B">
        <w:rPr>
          <w:rFonts w:eastAsia="Arial Unicode MS"/>
          <w:color w:val="000000"/>
          <w:sz w:val="22"/>
          <w:u w:color="000000"/>
          <w:lang w:val="cs-CZ"/>
        </w:rPr>
        <w:t xml:space="preserve"> členů Pracovní skupiny k rozpracování programů 2014-2020 </w:t>
      </w:r>
      <w:r w:rsidR="00FE4274">
        <w:rPr>
          <w:rFonts w:eastAsia="Arial Unicode MS"/>
          <w:color w:val="000000"/>
          <w:sz w:val="22"/>
          <w:u w:color="000000"/>
          <w:lang w:val="cs-CZ"/>
        </w:rPr>
        <w:t xml:space="preserve">za každý program </w:t>
      </w:r>
      <w:r w:rsidR="00D5724B">
        <w:rPr>
          <w:rFonts w:eastAsia="Arial Unicode MS"/>
          <w:color w:val="000000"/>
          <w:sz w:val="22"/>
          <w:u w:color="000000"/>
          <w:lang w:val="cs-CZ"/>
        </w:rPr>
        <w:t>(bylo odesláno dne 21.</w:t>
      </w:r>
      <w:r w:rsidR="00F80F85">
        <w:rPr>
          <w:rFonts w:eastAsia="Arial Unicode MS"/>
          <w:color w:val="000000"/>
          <w:sz w:val="22"/>
          <w:u w:color="000000"/>
          <w:lang w:val="cs-CZ"/>
        </w:rPr>
        <w:t> </w:t>
      </w:r>
      <w:r w:rsidR="00D5724B">
        <w:rPr>
          <w:rFonts w:eastAsia="Arial Unicode MS"/>
          <w:color w:val="000000"/>
          <w:sz w:val="22"/>
          <w:u w:color="000000"/>
          <w:lang w:val="cs-CZ"/>
        </w:rPr>
        <w:t>prosince 2012).</w:t>
      </w:r>
    </w:p>
    <w:p w:rsidR="00CD569D" w:rsidRDefault="00CD569D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>Zástupci MPSV navrhli pro přehlednost zpracovat návaznost platforem programového období 2007-2013 na platformy programového obdo</w:t>
      </w:r>
      <w:r w:rsidR="0048046F">
        <w:rPr>
          <w:rFonts w:eastAsia="Arial Unicode MS"/>
          <w:color w:val="000000"/>
          <w:sz w:val="22"/>
          <w:u w:color="000000"/>
          <w:lang w:val="cs-CZ"/>
        </w:rPr>
        <w:t>bí 2014-2020</w:t>
      </w:r>
      <w:r w:rsidR="00E3793E">
        <w:rPr>
          <w:rFonts w:eastAsia="Arial Unicode MS"/>
          <w:color w:val="000000"/>
          <w:sz w:val="22"/>
          <w:u w:color="000000"/>
          <w:lang w:val="cs-CZ"/>
        </w:rPr>
        <w:t xml:space="preserve"> a fungování platforem v období časového </w:t>
      </w:r>
      <w:proofErr w:type="spellStart"/>
      <w:r w:rsidR="00E3793E">
        <w:rPr>
          <w:rFonts w:eastAsia="Arial Unicode MS"/>
          <w:color w:val="000000"/>
          <w:sz w:val="22"/>
          <w:u w:color="000000"/>
          <w:lang w:val="cs-CZ"/>
        </w:rPr>
        <w:t>překryvu</w:t>
      </w:r>
      <w:proofErr w:type="spellEnd"/>
      <w:r w:rsidR="00836214">
        <w:rPr>
          <w:rFonts w:eastAsia="Arial Unicode MS"/>
          <w:color w:val="000000"/>
          <w:sz w:val="22"/>
          <w:u w:color="000000"/>
          <w:lang w:val="cs-CZ"/>
        </w:rPr>
        <w:t xml:space="preserve"> mezi oběma programovými obdobími.</w:t>
      </w:r>
      <w:r w:rsidR="0048046F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</w:p>
    <w:p w:rsidR="00B41036" w:rsidRDefault="00B41036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180B4A" w:rsidRDefault="00B41036" w:rsidP="00530ACC">
      <w:pPr>
        <w:spacing w:before="60"/>
        <w:jc w:val="both"/>
        <w:outlineLvl w:val="0"/>
        <w:rPr>
          <w:rFonts w:eastAsia="Arial Unicode MS"/>
          <w:b/>
          <w:color w:val="000000"/>
          <w:sz w:val="22"/>
          <w:u w:color="000000"/>
          <w:lang w:val="cs-CZ"/>
        </w:rPr>
      </w:pPr>
      <w:r>
        <w:rPr>
          <w:rFonts w:eastAsia="Arial Unicode MS"/>
          <w:b/>
          <w:color w:val="000000"/>
          <w:sz w:val="22"/>
          <w:u w:color="000000"/>
          <w:lang w:val="cs-CZ"/>
        </w:rPr>
        <w:t>V</w:t>
      </w:r>
      <w:r w:rsidRPr="00C47BFF">
        <w:rPr>
          <w:rFonts w:eastAsia="Arial Unicode MS"/>
          <w:b/>
          <w:color w:val="000000"/>
          <w:sz w:val="22"/>
          <w:u w:color="000000"/>
          <w:lang w:val="cs-CZ"/>
        </w:rPr>
        <w:t>rchní ředitelka sekce O. Letáčková</w:t>
      </w:r>
      <w:r w:rsidR="0030506A">
        <w:rPr>
          <w:rFonts w:eastAsia="Arial Unicode MS"/>
          <w:b/>
          <w:color w:val="000000"/>
          <w:sz w:val="22"/>
          <w:u w:color="000000"/>
          <w:lang w:val="cs-CZ"/>
        </w:rPr>
        <w:t xml:space="preserve"> </w:t>
      </w:r>
      <w:r w:rsidR="00D700DD">
        <w:rPr>
          <w:rFonts w:eastAsia="Arial Unicode MS"/>
          <w:b/>
          <w:color w:val="000000"/>
          <w:sz w:val="22"/>
          <w:u w:color="000000"/>
          <w:lang w:val="cs-CZ"/>
        </w:rPr>
        <w:t>popsala fungování Pracovní skupiny k rozpracování programů 2014-2020</w:t>
      </w:r>
      <w:r w:rsidR="00B06658">
        <w:rPr>
          <w:rFonts w:eastAsia="Arial Unicode MS"/>
          <w:b/>
          <w:color w:val="000000"/>
          <w:sz w:val="22"/>
          <w:u w:color="000000"/>
          <w:lang w:val="cs-CZ"/>
        </w:rPr>
        <w:t>.</w:t>
      </w:r>
    </w:p>
    <w:p w:rsidR="00BE05CE" w:rsidRDefault="00BE05CE" w:rsidP="00530ACC">
      <w:pPr>
        <w:spacing w:before="60"/>
        <w:jc w:val="both"/>
        <w:outlineLvl w:val="0"/>
        <w:rPr>
          <w:rFonts w:eastAsia="Arial Unicode MS"/>
          <w:b/>
          <w:color w:val="000000"/>
          <w:sz w:val="22"/>
          <w:u w:color="000000"/>
          <w:lang w:val="cs-CZ"/>
        </w:rPr>
      </w:pPr>
    </w:p>
    <w:p w:rsidR="00BE05CE" w:rsidRPr="00BE05CE" w:rsidRDefault="00BE05CE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 xml:space="preserve">MMR žádá </w:t>
      </w:r>
      <w:r w:rsidR="00773CCE">
        <w:rPr>
          <w:rFonts w:eastAsia="Arial Unicode MS"/>
          <w:color w:val="000000"/>
          <w:sz w:val="22"/>
          <w:u w:color="000000"/>
          <w:lang w:val="cs-CZ"/>
        </w:rPr>
        <w:t>ŘO</w:t>
      </w:r>
      <w:r>
        <w:rPr>
          <w:rFonts w:eastAsia="Arial Unicode MS"/>
          <w:color w:val="000000"/>
          <w:sz w:val="22"/>
          <w:u w:color="000000"/>
          <w:lang w:val="cs-CZ"/>
        </w:rPr>
        <w:t xml:space="preserve"> o pravidelné</w:t>
      </w:r>
      <w:r w:rsidR="00BE1499">
        <w:rPr>
          <w:rFonts w:eastAsia="Arial Unicode MS"/>
          <w:color w:val="000000"/>
          <w:sz w:val="22"/>
          <w:u w:color="000000"/>
          <w:lang w:val="cs-CZ"/>
        </w:rPr>
        <w:t xml:space="preserve"> měsíční informování o průběhu zpracování programů za účelem včasného </w:t>
      </w:r>
      <w:r w:rsidR="008F3BC3">
        <w:rPr>
          <w:rFonts w:eastAsia="Arial Unicode MS"/>
          <w:color w:val="000000"/>
          <w:sz w:val="22"/>
          <w:u w:color="000000"/>
          <w:lang w:val="cs-CZ"/>
        </w:rPr>
        <w:t>řešení</w:t>
      </w:r>
      <w:r w:rsidR="00BE1499">
        <w:rPr>
          <w:rFonts w:eastAsia="Arial Unicode MS"/>
          <w:color w:val="000000"/>
          <w:sz w:val="22"/>
          <w:u w:color="000000"/>
          <w:lang w:val="cs-CZ"/>
        </w:rPr>
        <w:t xml:space="preserve"> případných problémů.</w:t>
      </w:r>
      <w:r w:rsidR="00773CCE">
        <w:rPr>
          <w:rFonts w:eastAsia="Arial Unicode MS"/>
          <w:color w:val="000000"/>
          <w:sz w:val="22"/>
          <w:u w:color="000000"/>
          <w:lang w:val="cs-CZ"/>
        </w:rPr>
        <w:t xml:space="preserve"> Dále MMR žádá ŘO o informaci, jakým způsobem bude v přípravě programů zajištěno naplnění principu </w:t>
      </w:r>
      <w:r w:rsidR="000C7E6C">
        <w:rPr>
          <w:rFonts w:eastAsia="Arial Unicode MS"/>
          <w:color w:val="000000"/>
          <w:sz w:val="22"/>
          <w:u w:color="000000"/>
          <w:lang w:val="cs-CZ"/>
        </w:rPr>
        <w:t>partnerství, tj. jaké bude ŘO využívat platformy a jaké partnery oslovilo nebo plánuje oslovit.</w:t>
      </w:r>
      <w:r w:rsidR="0008652C">
        <w:rPr>
          <w:rFonts w:eastAsia="Arial Unicode MS"/>
          <w:color w:val="000000"/>
          <w:sz w:val="22"/>
          <w:u w:color="000000"/>
          <w:lang w:val="cs-CZ"/>
        </w:rPr>
        <w:t xml:space="preserve"> Součástí platforem pro přípravu platforem by mělo být</w:t>
      </w:r>
      <w:r w:rsidR="00773CCE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  <w:r w:rsidR="0008652C">
        <w:rPr>
          <w:rFonts w:eastAsia="Arial Unicode MS"/>
          <w:color w:val="000000"/>
          <w:sz w:val="22"/>
          <w:u w:color="000000"/>
          <w:lang w:val="cs-CZ"/>
        </w:rPr>
        <w:t>také MMR</w:t>
      </w:r>
      <w:r w:rsidR="00186FF9">
        <w:rPr>
          <w:rFonts w:eastAsia="Arial Unicode MS"/>
          <w:color w:val="000000"/>
          <w:sz w:val="22"/>
          <w:u w:color="000000"/>
          <w:lang w:val="cs-CZ"/>
        </w:rPr>
        <w:t>-NOK</w:t>
      </w:r>
      <w:r w:rsidR="0008652C">
        <w:rPr>
          <w:rFonts w:eastAsia="Arial Unicode MS"/>
          <w:color w:val="000000"/>
          <w:sz w:val="22"/>
          <w:u w:color="000000"/>
          <w:lang w:val="cs-CZ"/>
        </w:rPr>
        <w:t>.</w:t>
      </w:r>
    </w:p>
    <w:p w:rsidR="00CD569D" w:rsidRDefault="00CD569D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CD569D" w:rsidRPr="00A65598" w:rsidRDefault="00675932" w:rsidP="00530ACC">
      <w:pPr>
        <w:spacing w:before="60"/>
        <w:jc w:val="both"/>
        <w:outlineLvl w:val="0"/>
        <w:rPr>
          <w:rFonts w:eastAsia="Arial Unicode MS"/>
          <w:b/>
          <w:color w:val="000000"/>
          <w:sz w:val="22"/>
          <w:u w:color="000000"/>
          <w:lang w:val="cs-CZ"/>
        </w:rPr>
      </w:pPr>
      <w:r w:rsidRPr="00A65598">
        <w:rPr>
          <w:rFonts w:eastAsia="Arial Unicode MS"/>
          <w:b/>
          <w:color w:val="000000"/>
          <w:sz w:val="22"/>
          <w:u w:color="000000"/>
          <w:lang w:val="cs-CZ"/>
        </w:rPr>
        <w:t>K. Šle</w:t>
      </w:r>
      <w:r w:rsidR="00E400D1" w:rsidRPr="00A65598">
        <w:rPr>
          <w:rFonts w:eastAsia="Arial Unicode MS"/>
          <w:b/>
          <w:color w:val="000000"/>
          <w:sz w:val="22"/>
          <w:u w:color="000000"/>
          <w:lang w:val="cs-CZ"/>
        </w:rPr>
        <w:t xml:space="preserve">chtová vysvětlila systém vyjednávání </w:t>
      </w:r>
      <w:r w:rsidR="00151257" w:rsidRPr="00A65598">
        <w:rPr>
          <w:rFonts w:eastAsia="Arial Unicode MS"/>
          <w:b/>
          <w:color w:val="000000"/>
          <w:sz w:val="22"/>
          <w:u w:color="000000"/>
          <w:lang w:val="cs-CZ"/>
        </w:rPr>
        <w:t>s Evropskou komisí.</w:t>
      </w:r>
    </w:p>
    <w:p w:rsidR="00151257" w:rsidRDefault="00151257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151257" w:rsidRDefault="00151257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 xml:space="preserve">Přibližně do 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 xml:space="preserve">července </w:t>
      </w:r>
      <w:r>
        <w:rPr>
          <w:rFonts w:eastAsia="Arial Unicode MS"/>
          <w:color w:val="000000"/>
          <w:sz w:val="22"/>
          <w:u w:color="000000"/>
          <w:lang w:val="cs-CZ"/>
        </w:rPr>
        <w:t xml:space="preserve">roku 2013 bude probíhat tzv. neformální 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>vyjednávání</w:t>
      </w:r>
      <w:r>
        <w:rPr>
          <w:rFonts w:eastAsia="Arial Unicode MS"/>
          <w:color w:val="000000"/>
          <w:sz w:val="22"/>
          <w:u w:color="000000"/>
          <w:lang w:val="cs-CZ"/>
        </w:rPr>
        <w:t>, které bude veden</w:t>
      </w:r>
      <w:r w:rsidR="009207E3">
        <w:rPr>
          <w:rFonts w:eastAsia="Arial Unicode MS"/>
          <w:color w:val="000000"/>
          <w:sz w:val="22"/>
          <w:u w:color="000000"/>
          <w:lang w:val="cs-CZ"/>
        </w:rPr>
        <w:t>o</w:t>
      </w:r>
      <w:r>
        <w:rPr>
          <w:rFonts w:eastAsia="Arial Unicode MS"/>
          <w:color w:val="000000"/>
          <w:sz w:val="22"/>
          <w:u w:color="000000"/>
          <w:lang w:val="cs-CZ"/>
        </w:rPr>
        <w:t xml:space="preserve"> dle negociačních bloků, které MMR s EK komunikuje.</w:t>
      </w:r>
      <w:r w:rsidR="008A5DDF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 xml:space="preserve">MMR navrhuje pro </w:t>
      </w:r>
      <w:r w:rsidR="00B20A13">
        <w:rPr>
          <w:rFonts w:eastAsia="Arial Unicode MS"/>
          <w:color w:val="000000"/>
          <w:sz w:val="22"/>
          <w:u w:color="000000"/>
          <w:lang w:val="cs-CZ"/>
        </w:rPr>
        <w:t>ČR negociační bloky průřezové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 xml:space="preserve"> –</w:t>
      </w:r>
      <w:r w:rsidR="00B36EB5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 xml:space="preserve">ex-ante </w:t>
      </w:r>
      <w:proofErr w:type="spellStart"/>
      <w:r w:rsidR="002E36AF">
        <w:rPr>
          <w:rFonts w:eastAsia="Arial Unicode MS"/>
          <w:color w:val="000000"/>
          <w:sz w:val="22"/>
          <w:u w:color="000000"/>
          <w:lang w:val="cs-CZ"/>
        </w:rPr>
        <w:t>kondicionality</w:t>
      </w:r>
      <w:proofErr w:type="spellEnd"/>
      <w:r w:rsidR="002E36AF">
        <w:rPr>
          <w:rFonts w:eastAsia="Arial Unicode MS"/>
          <w:color w:val="000000"/>
          <w:sz w:val="22"/>
          <w:u w:color="000000"/>
          <w:lang w:val="cs-CZ"/>
        </w:rPr>
        <w:t xml:space="preserve">, územní dimenze, </w:t>
      </w:r>
      <w:r w:rsidR="00C20573">
        <w:rPr>
          <w:rFonts w:eastAsia="Arial Unicode MS"/>
          <w:color w:val="000000"/>
          <w:sz w:val="22"/>
          <w:u w:color="000000"/>
          <w:lang w:val="cs-CZ"/>
        </w:rPr>
        <w:t xml:space="preserve">věcné zaměření, 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>efektivní implementace,</w:t>
      </w:r>
      <w:r w:rsidR="00DE44A3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  <w:r w:rsidR="009207E3">
        <w:rPr>
          <w:rFonts w:eastAsia="Arial Unicode MS"/>
          <w:color w:val="000000"/>
          <w:sz w:val="22"/>
          <w:u w:color="000000"/>
          <w:lang w:val="cs-CZ"/>
        </w:rPr>
        <w:t>finanční otázky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 xml:space="preserve">. </w:t>
      </w:r>
      <w:r w:rsidR="00B20A13">
        <w:rPr>
          <w:rFonts w:eastAsia="Arial Unicode MS"/>
          <w:color w:val="000000"/>
          <w:sz w:val="22"/>
          <w:u w:color="000000"/>
          <w:lang w:val="cs-CZ"/>
        </w:rPr>
        <w:t>MMR připravuje rámcovou pozici ČR k pozičnímu dokumentu EK, kter</w:t>
      </w:r>
      <w:r w:rsidR="00AE66ED">
        <w:rPr>
          <w:rFonts w:eastAsia="Arial Unicode MS"/>
          <w:color w:val="000000"/>
          <w:sz w:val="22"/>
          <w:u w:color="000000"/>
          <w:lang w:val="cs-CZ"/>
        </w:rPr>
        <w:t>á</w:t>
      </w:r>
      <w:r w:rsidR="00B20A13">
        <w:rPr>
          <w:rFonts w:eastAsia="Arial Unicode MS"/>
          <w:color w:val="000000"/>
          <w:sz w:val="22"/>
          <w:u w:color="000000"/>
          <w:lang w:val="cs-CZ"/>
        </w:rPr>
        <w:t xml:space="preserve"> bude předložen</w:t>
      </w:r>
      <w:r w:rsidR="00AE66ED">
        <w:rPr>
          <w:rFonts w:eastAsia="Arial Unicode MS"/>
          <w:color w:val="000000"/>
          <w:sz w:val="22"/>
          <w:u w:color="000000"/>
          <w:lang w:val="cs-CZ"/>
        </w:rPr>
        <w:t>a</w:t>
      </w:r>
      <w:r w:rsidR="00B20A13">
        <w:rPr>
          <w:rFonts w:eastAsia="Arial Unicode MS"/>
          <w:color w:val="000000"/>
          <w:sz w:val="22"/>
          <w:u w:color="000000"/>
          <w:lang w:val="cs-CZ"/>
        </w:rPr>
        <w:t xml:space="preserve"> vládě ČR. </w:t>
      </w:r>
      <w:r w:rsidR="008A5DDF">
        <w:rPr>
          <w:rFonts w:eastAsia="Arial Unicode MS"/>
          <w:color w:val="000000"/>
          <w:sz w:val="22"/>
          <w:u w:color="000000"/>
          <w:lang w:val="cs-CZ"/>
        </w:rPr>
        <w:t xml:space="preserve">Navazovat bude formální </w:t>
      </w:r>
      <w:r w:rsidR="00AA6D3B">
        <w:rPr>
          <w:rFonts w:eastAsia="Arial Unicode MS"/>
          <w:color w:val="000000"/>
          <w:sz w:val="22"/>
          <w:u w:color="000000"/>
          <w:lang w:val="cs-CZ"/>
        </w:rPr>
        <w:t>vyjednávání</w:t>
      </w:r>
      <w:r w:rsidR="008A5DDF">
        <w:rPr>
          <w:rFonts w:eastAsia="Arial Unicode MS"/>
          <w:color w:val="000000"/>
          <w:sz w:val="22"/>
          <w:u w:color="000000"/>
          <w:lang w:val="cs-CZ"/>
        </w:rPr>
        <w:t>, kter</w:t>
      </w:r>
      <w:r w:rsidR="00AA6D3B">
        <w:rPr>
          <w:rFonts w:eastAsia="Arial Unicode MS"/>
          <w:color w:val="000000"/>
          <w:sz w:val="22"/>
          <w:u w:color="000000"/>
          <w:lang w:val="cs-CZ"/>
        </w:rPr>
        <w:t>é</w:t>
      </w:r>
      <w:r w:rsidR="008A5DDF">
        <w:rPr>
          <w:rFonts w:eastAsia="Arial Unicode MS"/>
          <w:color w:val="000000"/>
          <w:sz w:val="22"/>
          <w:u w:color="000000"/>
          <w:lang w:val="cs-CZ"/>
        </w:rPr>
        <w:t xml:space="preserve"> 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>bude zahájen</w:t>
      </w:r>
      <w:r w:rsidR="00AA6D3B">
        <w:rPr>
          <w:rFonts w:eastAsia="Arial Unicode MS"/>
          <w:color w:val="000000"/>
          <w:sz w:val="22"/>
          <w:u w:color="000000"/>
          <w:lang w:val="cs-CZ"/>
        </w:rPr>
        <w:t>o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 xml:space="preserve"> po schválení nařízení</w:t>
      </w:r>
      <w:r w:rsidR="00EA54F1">
        <w:rPr>
          <w:rFonts w:eastAsia="Arial Unicode MS"/>
          <w:color w:val="000000"/>
          <w:sz w:val="22"/>
          <w:u w:color="000000"/>
          <w:lang w:val="cs-CZ"/>
        </w:rPr>
        <w:t xml:space="preserve"> EU</w:t>
      </w:r>
      <w:r w:rsidR="002E36AF">
        <w:rPr>
          <w:rFonts w:eastAsia="Arial Unicode MS"/>
          <w:color w:val="000000"/>
          <w:sz w:val="22"/>
          <w:u w:color="000000"/>
          <w:lang w:val="cs-CZ"/>
        </w:rPr>
        <w:t>.</w:t>
      </w:r>
      <w:r w:rsidR="00847C82">
        <w:rPr>
          <w:rFonts w:eastAsia="Arial Unicode MS"/>
          <w:color w:val="000000"/>
          <w:sz w:val="22"/>
          <w:u w:color="000000"/>
          <w:lang w:val="cs-CZ"/>
        </w:rPr>
        <w:t xml:space="preserve"> Formální </w:t>
      </w:r>
      <w:r w:rsidR="00651824">
        <w:rPr>
          <w:rFonts w:eastAsia="Arial Unicode MS"/>
          <w:color w:val="000000"/>
          <w:sz w:val="22"/>
          <w:u w:color="000000"/>
          <w:lang w:val="cs-CZ"/>
        </w:rPr>
        <w:t xml:space="preserve">vyjednávání </w:t>
      </w:r>
      <w:r w:rsidR="00847C82">
        <w:rPr>
          <w:rFonts w:eastAsia="Arial Unicode MS"/>
          <w:color w:val="000000"/>
          <w:sz w:val="22"/>
          <w:u w:color="000000"/>
          <w:lang w:val="cs-CZ"/>
        </w:rPr>
        <w:t>bude veden</w:t>
      </w:r>
      <w:r w:rsidR="00673DE6">
        <w:rPr>
          <w:rFonts w:eastAsia="Arial Unicode MS"/>
          <w:color w:val="000000"/>
          <w:sz w:val="22"/>
          <w:u w:color="000000"/>
          <w:lang w:val="cs-CZ"/>
        </w:rPr>
        <w:t>o</w:t>
      </w:r>
      <w:r w:rsidR="00847C82">
        <w:rPr>
          <w:rFonts w:eastAsia="Arial Unicode MS"/>
          <w:color w:val="000000"/>
          <w:sz w:val="22"/>
          <w:u w:color="000000"/>
          <w:lang w:val="cs-CZ"/>
        </w:rPr>
        <w:t xml:space="preserve"> dle negociačního mandátu EK, kter</w:t>
      </w:r>
      <w:r w:rsidR="00E41D86">
        <w:rPr>
          <w:rFonts w:eastAsia="Arial Unicode MS"/>
          <w:color w:val="000000"/>
          <w:sz w:val="22"/>
          <w:u w:color="000000"/>
          <w:lang w:val="cs-CZ"/>
        </w:rPr>
        <w:t>ý</w:t>
      </w:r>
      <w:r w:rsidR="00847C82">
        <w:rPr>
          <w:rFonts w:eastAsia="Arial Unicode MS"/>
          <w:color w:val="000000"/>
          <w:sz w:val="22"/>
          <w:u w:color="000000"/>
          <w:lang w:val="cs-CZ"/>
        </w:rPr>
        <w:t xml:space="preserve"> bude založen na výsledcích neformálního vyjednávání.</w:t>
      </w:r>
    </w:p>
    <w:p w:rsidR="00CD569D" w:rsidRDefault="00CD569D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A57586" w:rsidRPr="00B06658" w:rsidRDefault="00A57586" w:rsidP="00530ACC">
      <w:pPr>
        <w:spacing w:before="60"/>
        <w:jc w:val="both"/>
        <w:outlineLvl w:val="0"/>
        <w:rPr>
          <w:rFonts w:eastAsia="Arial Unicode MS"/>
          <w:b/>
          <w:color w:val="000000"/>
          <w:sz w:val="22"/>
          <w:u w:color="000000"/>
          <w:lang w:val="cs-CZ"/>
        </w:rPr>
      </w:pPr>
      <w:r w:rsidRPr="00B06658">
        <w:rPr>
          <w:rFonts w:eastAsia="Arial Unicode MS"/>
          <w:b/>
          <w:color w:val="000000"/>
          <w:sz w:val="22"/>
          <w:u w:color="000000"/>
          <w:lang w:val="cs-CZ"/>
        </w:rPr>
        <w:t xml:space="preserve">K. Neveselá představila Metodický pokyn pro přípravu programových </w:t>
      </w:r>
      <w:r w:rsidR="00321638" w:rsidRPr="00B06658">
        <w:rPr>
          <w:rFonts w:eastAsia="Arial Unicode MS"/>
          <w:b/>
          <w:color w:val="000000"/>
          <w:sz w:val="22"/>
          <w:u w:color="000000"/>
          <w:lang w:val="cs-CZ"/>
        </w:rPr>
        <w:t>dokumentů</w:t>
      </w:r>
      <w:r w:rsidR="00B06658" w:rsidRPr="00B06658">
        <w:rPr>
          <w:rFonts w:eastAsia="Arial Unicode MS"/>
          <w:b/>
          <w:color w:val="000000"/>
          <w:sz w:val="22"/>
          <w:u w:color="000000"/>
          <w:lang w:val="cs-CZ"/>
        </w:rPr>
        <w:t>.</w:t>
      </w:r>
    </w:p>
    <w:p w:rsidR="00B06658" w:rsidRDefault="00B06658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C44A60" w:rsidRDefault="009144C7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  <w:r>
        <w:rPr>
          <w:rFonts w:eastAsia="Arial Unicode MS"/>
          <w:color w:val="000000"/>
          <w:sz w:val="22"/>
          <w:u w:color="000000"/>
          <w:lang w:val="cs-CZ"/>
        </w:rPr>
        <w:t>Návrh metodického pokynu byl účastníkům poskytnut před jednáním.</w:t>
      </w:r>
      <w:r w:rsidR="00A80020">
        <w:rPr>
          <w:rFonts w:eastAsia="Arial Unicode MS"/>
          <w:color w:val="000000"/>
          <w:sz w:val="22"/>
          <w:u w:color="000000"/>
          <w:lang w:val="cs-CZ"/>
        </w:rPr>
        <w:t xml:space="preserve"> Cílem je poskytnout ŘO a dalším partnerům vodítko pro přípravu programů, předat požadavky dané nařízením EU a další požadavky národního koordinátora dané nutností koordinace Dohody o partnerství.</w:t>
      </w:r>
      <w:r w:rsidR="00A00A26">
        <w:rPr>
          <w:rFonts w:eastAsia="Arial Unicode MS"/>
          <w:color w:val="000000"/>
          <w:sz w:val="22"/>
          <w:u w:color="000000"/>
          <w:lang w:val="cs-CZ"/>
        </w:rPr>
        <w:t xml:space="preserve"> Metodický pokyn je závazný</w:t>
      </w:r>
      <w:r w:rsidR="00245B43">
        <w:rPr>
          <w:rFonts w:eastAsia="Arial Unicode MS"/>
          <w:color w:val="000000"/>
          <w:sz w:val="22"/>
          <w:u w:color="000000"/>
          <w:lang w:val="cs-CZ"/>
        </w:rPr>
        <w:t xml:space="preserve"> pro všechny programy, s výjimkou některých kapitol, které nejsou závazné pro </w:t>
      </w:r>
      <w:r w:rsidR="00030EED">
        <w:rPr>
          <w:rFonts w:eastAsia="Arial Unicode MS"/>
          <w:color w:val="000000"/>
          <w:sz w:val="22"/>
          <w:u w:color="000000"/>
          <w:lang w:val="cs-CZ"/>
        </w:rPr>
        <w:t xml:space="preserve">programy </w:t>
      </w:r>
      <w:r w:rsidR="00245B43">
        <w:rPr>
          <w:rFonts w:eastAsia="Arial Unicode MS"/>
          <w:color w:val="000000"/>
          <w:sz w:val="22"/>
          <w:u w:color="000000"/>
          <w:lang w:val="cs-CZ"/>
        </w:rPr>
        <w:t>EZFRV</w:t>
      </w:r>
      <w:r w:rsidR="00030EED">
        <w:rPr>
          <w:rFonts w:eastAsia="Arial Unicode MS"/>
          <w:color w:val="000000"/>
          <w:sz w:val="22"/>
          <w:u w:color="000000"/>
          <w:lang w:val="cs-CZ"/>
        </w:rPr>
        <w:t xml:space="preserve"> a ENRF.</w:t>
      </w:r>
    </w:p>
    <w:p w:rsidR="004539B4" w:rsidRDefault="004539B4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CD569D" w:rsidRDefault="00CD569D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8A5037" w:rsidRDefault="008A5037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8A5037" w:rsidRDefault="008A5037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8A5037" w:rsidRDefault="008A5037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u w:color="000000"/>
          <w:lang w:val="cs-CZ"/>
        </w:rPr>
      </w:pPr>
    </w:p>
    <w:p w:rsidR="00CD569D" w:rsidRPr="00A3430E" w:rsidRDefault="00186FF9" w:rsidP="00CD569D">
      <w:pPr>
        <w:spacing w:after="120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lastRenderedPageBreak/>
        <w:t>Shrnutí z</w:t>
      </w:r>
      <w:r w:rsidR="00CD569D" w:rsidRPr="00A3430E">
        <w:rPr>
          <w:b/>
          <w:bCs/>
          <w:sz w:val="22"/>
          <w:szCs w:val="22"/>
          <w:lang w:val="cs-CZ"/>
        </w:rPr>
        <w:t>ávěr</w:t>
      </w:r>
      <w:r>
        <w:rPr>
          <w:b/>
          <w:bCs/>
          <w:sz w:val="22"/>
          <w:szCs w:val="22"/>
          <w:lang w:val="cs-CZ"/>
        </w:rPr>
        <w:t>ů</w:t>
      </w:r>
      <w:r w:rsidR="00CD569D" w:rsidRPr="00A3430E">
        <w:rPr>
          <w:b/>
          <w:bCs/>
          <w:sz w:val="22"/>
          <w:szCs w:val="22"/>
          <w:lang w:val="cs-CZ"/>
        </w:rPr>
        <w:t xml:space="preserve"> jednání:</w:t>
      </w:r>
    </w:p>
    <w:tbl>
      <w:tblPr>
        <w:tblW w:w="837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237"/>
        <w:gridCol w:w="1276"/>
        <w:gridCol w:w="861"/>
      </w:tblGrid>
      <w:tr w:rsidR="00CD569D" w:rsidRPr="0082196D" w:rsidTr="00905E3B">
        <w:trPr>
          <w:trHeight w:val="340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69D" w:rsidRPr="0082196D" w:rsidRDefault="00CD569D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>Závěr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69D" w:rsidRPr="0082196D" w:rsidRDefault="00CD569D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>Gestor</w:t>
            </w:r>
          </w:p>
        </w:tc>
      </w:tr>
      <w:tr w:rsidR="00CD569D" w:rsidRPr="0082196D" w:rsidTr="00905E3B">
        <w:trPr>
          <w:trHeight w:val="34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9D" w:rsidRPr="0082196D" w:rsidRDefault="00CD569D" w:rsidP="00C52445">
            <w:pPr>
              <w:pStyle w:val="Odstavecseseznamem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Zaslat harmonogramy rozpracování programů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D569D" w:rsidRPr="0082196D" w:rsidRDefault="00CD569D" w:rsidP="00C52445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 xml:space="preserve">Termín: </w:t>
            </w:r>
            <w:proofErr w:type="gramStart"/>
            <w:r w:rsidRPr="0082196D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>10.1.2013</w:t>
            </w:r>
            <w:proofErr w:type="gramEnd"/>
            <w:r w:rsidRPr="0082196D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 xml:space="preserve"> do 12,00 hod.</w:t>
            </w: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9D" w:rsidRPr="0082196D" w:rsidRDefault="00CD569D" w:rsidP="00B312A0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Říd</w:t>
            </w:r>
            <w:r w:rsidR="00B312A0">
              <w:rPr>
                <w:rFonts w:ascii="Arial" w:hAnsi="Arial" w:cs="Arial"/>
                <w:sz w:val="20"/>
                <w:szCs w:val="22"/>
                <w:lang w:val="cs-CZ"/>
              </w:rPr>
              <w:t>i</w:t>
            </w: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cí orgány</w:t>
            </w:r>
          </w:p>
        </w:tc>
      </w:tr>
      <w:tr w:rsidR="00CD569D" w:rsidRPr="0082196D" w:rsidTr="00905E3B">
        <w:trPr>
          <w:trHeight w:val="56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9D" w:rsidRPr="00B82038" w:rsidRDefault="00CD569D" w:rsidP="00C52445">
            <w:pPr>
              <w:pStyle w:val="Odstavecseseznamem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contextualSpacing w:val="0"/>
              <w:rPr>
                <w:rFonts w:ascii="Arial" w:eastAsiaTheme="minorHAnsi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 xml:space="preserve">Zaslat informaci o platformách pro přípravu programů 2014–2020 zřízených ŘO </w:t>
            </w:r>
          </w:p>
          <w:p w:rsidR="00CD569D" w:rsidRPr="00B82038" w:rsidRDefault="00CD569D" w:rsidP="00B82038">
            <w:pPr>
              <w:pStyle w:val="Odstavecseseznamem"/>
              <w:numPr>
                <w:ilvl w:val="0"/>
                <w:numId w:val="15"/>
              </w:numPr>
              <w:tabs>
                <w:tab w:val="left" w:pos="601"/>
              </w:tabs>
              <w:ind w:left="601" w:hanging="283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>členem nově vzniklých platforem bude zástupce MMR-NOK</w:t>
            </w:r>
            <w:r w:rsidR="00905E3B" w:rsidRPr="00B82038">
              <w:rPr>
                <w:rFonts w:ascii="Arial" w:hAnsi="Arial" w:cs="Arial"/>
                <w:sz w:val="20"/>
                <w:szCs w:val="22"/>
                <w:lang w:val="cs-CZ"/>
              </w:rPr>
              <w:t xml:space="preserve"> a MF </w:t>
            </w:r>
            <w:r w:rsidR="00B82038" w:rsidRPr="00563845">
              <w:rPr>
                <w:rFonts w:ascii="Arial" w:hAnsi="Arial" w:cs="Arial"/>
                <w:sz w:val="20"/>
                <w:szCs w:val="22"/>
                <w:lang w:val="cs-CZ"/>
              </w:rPr>
              <w:t xml:space="preserve">(viz materiál </w:t>
            </w:r>
            <w:r w:rsidR="00B82038" w:rsidRPr="00563845">
              <w:rPr>
                <w:rFonts w:ascii="Arial" w:hAnsi="Arial" w:cs="Arial"/>
                <w:sz w:val="20"/>
                <w:szCs w:val="20"/>
                <w:lang w:val="cs-CZ"/>
              </w:rPr>
              <w:t xml:space="preserve">předložený v listopadu </w:t>
            </w:r>
            <w:r w:rsidR="00563845" w:rsidRPr="00563845">
              <w:rPr>
                <w:rFonts w:ascii="Arial" w:hAnsi="Arial" w:cs="Arial"/>
                <w:sz w:val="20"/>
                <w:szCs w:val="20"/>
                <w:lang w:val="cs-CZ"/>
              </w:rPr>
              <w:t xml:space="preserve">2012 </w:t>
            </w:r>
            <w:r w:rsidR="00B82038" w:rsidRPr="00563845">
              <w:rPr>
                <w:rFonts w:ascii="Arial" w:hAnsi="Arial" w:cs="Arial"/>
                <w:sz w:val="20"/>
                <w:szCs w:val="20"/>
                <w:lang w:val="cs-CZ"/>
              </w:rPr>
              <w:t>vládě)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D569D" w:rsidRPr="0082196D" w:rsidRDefault="00CD569D" w:rsidP="00C52445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 xml:space="preserve">Termín: </w:t>
            </w:r>
            <w:proofErr w:type="gramStart"/>
            <w:r w:rsidRPr="0082196D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>10.1.2013</w:t>
            </w:r>
            <w:proofErr w:type="gramEnd"/>
            <w:r w:rsidRPr="0082196D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 xml:space="preserve"> do 12,00 hod.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9D" w:rsidRPr="0082196D" w:rsidRDefault="00CD569D" w:rsidP="00B312A0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Říd</w:t>
            </w:r>
            <w:r w:rsidR="00B312A0">
              <w:rPr>
                <w:rFonts w:ascii="Arial" w:hAnsi="Arial" w:cs="Arial"/>
                <w:sz w:val="20"/>
                <w:szCs w:val="22"/>
                <w:lang w:val="cs-CZ"/>
              </w:rPr>
              <w:t>i</w:t>
            </w: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cí orgány</w:t>
            </w:r>
          </w:p>
        </w:tc>
      </w:tr>
      <w:tr w:rsidR="00CD569D" w:rsidRPr="0082196D" w:rsidTr="00905E3B">
        <w:trPr>
          <w:trHeight w:val="175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9D" w:rsidRPr="00B82038" w:rsidRDefault="00CD569D" w:rsidP="00C52445">
            <w:pPr>
              <w:pStyle w:val="Odstavecseseznamem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contextualSpacing w:val="0"/>
              <w:rPr>
                <w:rFonts w:ascii="Arial" w:eastAsiaTheme="minorHAnsi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>Zaslat harmonogramy přípravy a realizace ex-ante a SEA hodnocení</w:t>
            </w:r>
          </w:p>
          <w:p w:rsidR="00CD569D" w:rsidRPr="00B82038" w:rsidRDefault="00CD569D" w:rsidP="00905E3B">
            <w:pPr>
              <w:pStyle w:val="Odstavecseseznamem"/>
              <w:numPr>
                <w:ilvl w:val="0"/>
                <w:numId w:val="15"/>
              </w:numPr>
              <w:tabs>
                <w:tab w:val="left" w:pos="601"/>
              </w:tabs>
              <w:ind w:left="601" w:hanging="283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>zasílat MMR-NOK zadávací dokumentace na ex-ante a SEA hodnocení k připomínkám s termínem alespoň 5 pracovních dní a následně zaslat vypořádání vznesených připomínek</w:t>
            </w:r>
          </w:p>
          <w:p w:rsidR="00CD569D" w:rsidRPr="00B82038" w:rsidRDefault="00CD569D" w:rsidP="00905E3B">
            <w:pPr>
              <w:pStyle w:val="Odstavecseseznamem"/>
              <w:numPr>
                <w:ilvl w:val="0"/>
                <w:numId w:val="15"/>
              </w:numPr>
              <w:tabs>
                <w:tab w:val="left" w:pos="601"/>
              </w:tabs>
              <w:ind w:left="318" w:firstLine="0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 xml:space="preserve">kontaktní osoby MMR-NOK: </w:t>
            </w:r>
          </w:p>
          <w:p w:rsidR="00CD569D" w:rsidRPr="00B82038" w:rsidRDefault="00CD569D" w:rsidP="00905E3B">
            <w:pPr>
              <w:pStyle w:val="Odstavecseseznamem"/>
              <w:tabs>
                <w:tab w:val="left" w:pos="601"/>
              </w:tabs>
              <w:ind w:left="601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 xml:space="preserve">Ing. Karla Šlechtová, e-mail: </w:t>
            </w:r>
            <w:hyperlink r:id="rId7" w:history="1">
              <w:r w:rsidRPr="00B82038">
                <w:rPr>
                  <w:rStyle w:val="Hypertextovodkaz"/>
                  <w:rFonts w:ascii="Arial" w:hAnsi="Arial" w:cs="Arial"/>
                  <w:sz w:val="20"/>
                  <w:szCs w:val="22"/>
                  <w:lang w:val="cs-CZ"/>
                </w:rPr>
                <w:t>karla.slechtova@mmr.cz</w:t>
              </w:r>
            </w:hyperlink>
          </w:p>
          <w:p w:rsidR="00CD569D" w:rsidRPr="00B82038" w:rsidRDefault="00CD569D" w:rsidP="00905E3B">
            <w:pPr>
              <w:pStyle w:val="Odstavecseseznamem"/>
              <w:tabs>
                <w:tab w:val="left" w:pos="601"/>
              </w:tabs>
              <w:ind w:left="601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 xml:space="preserve">Ing. Kateřina Gregorová, e-mail: </w:t>
            </w:r>
            <w:hyperlink r:id="rId8" w:history="1">
              <w:r w:rsidRPr="00B82038">
                <w:rPr>
                  <w:rStyle w:val="Hypertextovodkaz"/>
                  <w:rFonts w:ascii="Arial" w:hAnsi="Arial" w:cs="Arial"/>
                  <w:sz w:val="20"/>
                  <w:szCs w:val="22"/>
                  <w:lang w:val="cs-CZ"/>
                </w:rPr>
                <w:t>katerina.gregorova@mmr.cz</w:t>
              </w:r>
            </w:hyperlink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D569D" w:rsidRPr="0082196D" w:rsidRDefault="00CD569D" w:rsidP="00C52445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 xml:space="preserve">Termín: </w:t>
            </w:r>
            <w:proofErr w:type="gramStart"/>
            <w:r w:rsidRPr="0082196D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>10.1.2013</w:t>
            </w:r>
            <w:proofErr w:type="gramEnd"/>
            <w:r w:rsidRPr="0082196D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 xml:space="preserve"> do 12,00 hod.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9D" w:rsidRPr="0082196D" w:rsidRDefault="00CD569D" w:rsidP="00B312A0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Říd</w:t>
            </w:r>
            <w:r w:rsidR="00B312A0">
              <w:rPr>
                <w:rFonts w:ascii="Arial" w:hAnsi="Arial" w:cs="Arial"/>
                <w:sz w:val="20"/>
                <w:szCs w:val="22"/>
                <w:lang w:val="cs-CZ"/>
              </w:rPr>
              <w:t>i</w:t>
            </w: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cí orgány</w:t>
            </w:r>
          </w:p>
        </w:tc>
      </w:tr>
      <w:tr w:rsidR="00CD569D" w:rsidRPr="0082196D" w:rsidTr="0050361A">
        <w:trPr>
          <w:trHeight w:val="56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69D" w:rsidRPr="00B82038" w:rsidRDefault="00CD569D" w:rsidP="0050361A">
            <w:pPr>
              <w:pStyle w:val="Odstavecseseznamem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>Vytvořit databázi dokumentů týkajících se problematiky této PS se zajištěním přístupu pro členy 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69D" w:rsidRPr="0082196D" w:rsidRDefault="00CD569D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69D" w:rsidRPr="0082196D" w:rsidRDefault="00CD569D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MMR-NOK</w:t>
            </w:r>
          </w:p>
        </w:tc>
      </w:tr>
      <w:tr w:rsidR="00CD569D" w:rsidRPr="0082196D" w:rsidTr="0050361A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69D" w:rsidRPr="00B82038" w:rsidRDefault="00CD569D" w:rsidP="0050361A">
            <w:pPr>
              <w:pStyle w:val="Odstavecseseznamem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 xml:space="preserve">Dne </w:t>
            </w:r>
            <w:proofErr w:type="gramStart"/>
            <w:r w:rsidRPr="00B82038">
              <w:rPr>
                <w:rFonts w:ascii="Arial" w:hAnsi="Arial" w:cs="Arial"/>
                <w:b/>
                <w:bCs/>
                <w:sz w:val="20"/>
                <w:szCs w:val="22"/>
                <w:lang w:val="cs-CZ"/>
              </w:rPr>
              <w:t>11.1.2013</w:t>
            </w:r>
            <w:proofErr w:type="gramEnd"/>
            <w:r w:rsidRPr="00B82038">
              <w:rPr>
                <w:rFonts w:ascii="Arial" w:hAnsi="Arial" w:cs="Arial"/>
                <w:sz w:val="20"/>
                <w:szCs w:val="22"/>
                <w:lang w:val="cs-CZ"/>
              </w:rPr>
              <w:t xml:space="preserve"> proběhne technické jednání k nastavení intervenční logiky programů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69D" w:rsidRPr="0082196D" w:rsidRDefault="00CD569D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69D" w:rsidRPr="0082196D" w:rsidRDefault="00CD569D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  <w:r w:rsidRPr="0082196D">
              <w:rPr>
                <w:rFonts w:ascii="Arial" w:hAnsi="Arial" w:cs="Arial"/>
                <w:sz w:val="20"/>
                <w:szCs w:val="22"/>
                <w:lang w:val="cs-CZ"/>
              </w:rPr>
              <w:t>MMR-NOK</w:t>
            </w:r>
          </w:p>
        </w:tc>
      </w:tr>
      <w:tr w:rsidR="00B82038" w:rsidRPr="0082196D" w:rsidTr="0050361A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038" w:rsidRPr="00B82038" w:rsidRDefault="00E64597" w:rsidP="0050361A">
            <w:pPr>
              <w:pStyle w:val="Odstavecseseznamem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>
              <w:rPr>
                <w:rFonts w:ascii="Arial" w:hAnsi="Arial" w:cs="Arial"/>
                <w:sz w:val="20"/>
                <w:szCs w:val="22"/>
                <w:lang w:val="cs-CZ"/>
              </w:rPr>
              <w:t>Řídicí orgány jsou povinny zajistit princip partnerství při zpracování programů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038" w:rsidRPr="0082196D" w:rsidRDefault="00B82038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038" w:rsidRPr="0082196D" w:rsidRDefault="00B82038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</w:p>
        </w:tc>
      </w:tr>
      <w:tr w:rsidR="00E64597" w:rsidRPr="0082196D" w:rsidTr="0050361A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597" w:rsidRDefault="00E64597" w:rsidP="0050361A">
            <w:pPr>
              <w:pStyle w:val="Odstavecseseznamem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>
              <w:rPr>
                <w:rFonts w:ascii="Arial" w:hAnsi="Arial" w:cs="Arial"/>
                <w:sz w:val="20"/>
                <w:szCs w:val="22"/>
                <w:lang w:val="cs-CZ"/>
              </w:rPr>
              <w:t xml:space="preserve">Řídicí orgány byly ze strany MMR upozorněny, že </w:t>
            </w:r>
            <w:r w:rsidR="00563845">
              <w:rPr>
                <w:rFonts w:ascii="Arial" w:hAnsi="Arial" w:cs="Arial"/>
                <w:sz w:val="20"/>
                <w:szCs w:val="22"/>
                <w:lang w:val="cs-CZ"/>
              </w:rPr>
              <w:t xml:space="preserve">by </w:t>
            </w:r>
            <w:r>
              <w:rPr>
                <w:rFonts w:ascii="Arial" w:hAnsi="Arial" w:cs="Arial"/>
                <w:sz w:val="20"/>
                <w:szCs w:val="22"/>
                <w:lang w:val="cs-CZ"/>
              </w:rPr>
              <w:t>ČR měla vystupovat jednotně vůči 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4597" w:rsidRPr="0082196D" w:rsidRDefault="00E64597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597" w:rsidRPr="0082196D" w:rsidRDefault="00E64597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</w:p>
        </w:tc>
      </w:tr>
      <w:tr w:rsidR="00E64597" w:rsidRPr="0082196D" w:rsidTr="0050361A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597" w:rsidRDefault="00E64597" w:rsidP="0050361A">
            <w:pPr>
              <w:pStyle w:val="Odstavecseseznamem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contextualSpacing w:val="0"/>
              <w:rPr>
                <w:rFonts w:ascii="Arial" w:hAnsi="Arial" w:cs="Arial"/>
                <w:sz w:val="20"/>
                <w:szCs w:val="22"/>
                <w:lang w:val="cs-CZ"/>
              </w:rPr>
            </w:pPr>
            <w:r>
              <w:rPr>
                <w:rFonts w:ascii="Arial" w:hAnsi="Arial" w:cs="Arial"/>
                <w:sz w:val="20"/>
                <w:szCs w:val="22"/>
                <w:lang w:val="cs-CZ"/>
              </w:rPr>
              <w:t>Předpoklad dalšího setkávání: pravidelně jedenkrát za měsíc, případně operativně dle potřeby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4597" w:rsidRPr="0082196D" w:rsidRDefault="00E64597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597" w:rsidRPr="0082196D" w:rsidRDefault="00E64597" w:rsidP="0050361A">
            <w:pPr>
              <w:pStyle w:val="Odstavecseseznamem"/>
              <w:ind w:left="0"/>
              <w:rPr>
                <w:rFonts w:ascii="Arial" w:hAnsi="Arial" w:cs="Arial"/>
                <w:sz w:val="20"/>
                <w:szCs w:val="22"/>
                <w:lang w:val="cs-CZ"/>
              </w:rPr>
            </w:pPr>
          </w:p>
        </w:tc>
      </w:tr>
    </w:tbl>
    <w:p w:rsidR="00CD569D" w:rsidRPr="00152835" w:rsidRDefault="00CD569D" w:rsidP="00CD569D">
      <w:pPr>
        <w:rPr>
          <w:rFonts w:eastAsiaTheme="minorHAnsi"/>
          <w:sz w:val="22"/>
          <w:szCs w:val="22"/>
        </w:rPr>
      </w:pPr>
    </w:p>
    <w:p w:rsidR="00CD569D" w:rsidRPr="00152835" w:rsidRDefault="00CD569D" w:rsidP="00530ACC">
      <w:pPr>
        <w:spacing w:before="60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cs-CZ"/>
        </w:rPr>
      </w:pPr>
    </w:p>
    <w:sectPr w:rsidR="00CD569D" w:rsidRPr="00152835" w:rsidSect="00991482">
      <w:headerReference w:type="default" r:id="rId9"/>
      <w:footerReference w:type="default" r:id="rId10"/>
      <w:pgSz w:w="11900" w:h="16840"/>
      <w:pgMar w:top="2379" w:right="1418" w:bottom="1418" w:left="204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5C" w:rsidRDefault="00023F5C">
      <w:r>
        <w:separator/>
      </w:r>
    </w:p>
  </w:endnote>
  <w:endnote w:type="continuationSeparator" w:id="0">
    <w:p w:rsidR="00023F5C" w:rsidRDefault="00023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7F" w:rsidRDefault="00C34BD8">
    <w:pPr>
      <w:tabs>
        <w:tab w:val="left" w:pos="0"/>
        <w:tab w:val="center" w:pos="4221"/>
        <w:tab w:val="center" w:pos="4536"/>
        <w:tab w:val="center" w:pos="4536"/>
        <w:tab w:val="right" w:pos="8421"/>
        <w:tab w:val="right" w:pos="8441"/>
        <w:tab w:val="right" w:pos="9072"/>
      </w:tabs>
      <w:outlineLvl w:val="0"/>
      <w:rPr>
        <w:rFonts w:eastAsia="Arial Unicode MS"/>
        <w:color w:val="000000"/>
        <w:sz w:val="20"/>
        <w:u w:color="000000"/>
      </w:rPr>
    </w:pPr>
    <w:r>
      <w:rPr>
        <w:rFonts w:eastAsia="Arial Unicode MS"/>
        <w:color w:val="000000"/>
        <w:sz w:val="20"/>
        <w:u w:color="000000"/>
      </w:rPr>
      <w:fldChar w:fldCharType="begin"/>
    </w:r>
    <w:r w:rsidR="0004527F">
      <w:rPr>
        <w:rFonts w:eastAsia="Arial Unicode MS" w:hAnsi="Arial Unicode MS"/>
        <w:color w:val="000000"/>
        <w:sz w:val="20"/>
        <w:u w:color="000000"/>
      </w:rPr>
      <w:instrText xml:space="preserve"> PAGE </w:instrText>
    </w:r>
    <w:r>
      <w:rPr>
        <w:rFonts w:eastAsia="Arial Unicode MS"/>
        <w:color w:val="000000"/>
        <w:sz w:val="20"/>
        <w:u w:color="000000"/>
      </w:rPr>
      <w:fldChar w:fldCharType="separate"/>
    </w:r>
    <w:r w:rsidR="00016FD7">
      <w:rPr>
        <w:rFonts w:eastAsia="Arial Unicode MS" w:hAnsi="Arial Unicode MS"/>
        <w:noProof/>
        <w:color w:val="000000"/>
        <w:sz w:val="20"/>
        <w:u w:color="000000"/>
      </w:rPr>
      <w:t>3</w:t>
    </w:r>
    <w:r>
      <w:rPr>
        <w:rFonts w:eastAsia="Arial Unicode MS"/>
        <w:color w:val="000000"/>
        <w:sz w:val="20"/>
        <w:u w:color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5C" w:rsidRDefault="00023F5C">
      <w:r>
        <w:separator/>
      </w:r>
    </w:p>
  </w:footnote>
  <w:footnote w:type="continuationSeparator" w:id="0">
    <w:p w:rsidR="00023F5C" w:rsidRDefault="00023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7F" w:rsidRDefault="008C25BF">
    <w:pPr>
      <w:rPr>
        <w:sz w:val="20"/>
        <w:lang w:val="cs-CZ" w:eastAsia="cs-CZ"/>
      </w:rPr>
    </w:pPr>
    <w:r w:rsidRPr="008C25BF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264160</wp:posOffset>
          </wp:positionV>
          <wp:extent cx="6105525" cy="466725"/>
          <wp:effectExtent l="19050" t="0" r="9525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428"/>
        </w:tabs>
        <w:ind w:left="428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428"/>
        </w:tabs>
        <w:ind w:left="428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428"/>
        </w:tabs>
        <w:ind w:left="428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60CF3"/>
    <w:multiLevelType w:val="hybridMultilevel"/>
    <w:tmpl w:val="E700A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C19D1"/>
    <w:multiLevelType w:val="hybridMultilevel"/>
    <w:tmpl w:val="A0E4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1996"/>
    <w:multiLevelType w:val="hybridMultilevel"/>
    <w:tmpl w:val="917E2BA6"/>
    <w:lvl w:ilvl="0" w:tplc="04050011">
      <w:start w:val="1"/>
      <w:numFmt w:val="decimal"/>
      <w:lvlText w:val="%1)"/>
      <w:lvlJc w:val="left"/>
      <w:pPr>
        <w:ind w:left="418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F721D9"/>
    <w:multiLevelType w:val="hybridMultilevel"/>
    <w:tmpl w:val="582E6260"/>
    <w:lvl w:ilvl="0" w:tplc="0278067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B0108"/>
    <w:multiLevelType w:val="hybridMultilevel"/>
    <w:tmpl w:val="6E52B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77EEA"/>
    <w:multiLevelType w:val="hybridMultilevel"/>
    <w:tmpl w:val="D0EA3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3794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38CD"/>
    <w:rsid w:val="00007790"/>
    <w:rsid w:val="00007BF2"/>
    <w:rsid w:val="000159B4"/>
    <w:rsid w:val="00016FD7"/>
    <w:rsid w:val="00020E39"/>
    <w:rsid w:val="00023F5C"/>
    <w:rsid w:val="00030EED"/>
    <w:rsid w:val="0004527F"/>
    <w:rsid w:val="00045E68"/>
    <w:rsid w:val="00077C1C"/>
    <w:rsid w:val="0008652C"/>
    <w:rsid w:val="00093703"/>
    <w:rsid w:val="000A0C31"/>
    <w:rsid w:val="000C7983"/>
    <w:rsid w:val="000C7E6C"/>
    <w:rsid w:val="000D02AD"/>
    <w:rsid w:val="000E6748"/>
    <w:rsid w:val="000F4031"/>
    <w:rsid w:val="001011CD"/>
    <w:rsid w:val="001039D9"/>
    <w:rsid w:val="0011753B"/>
    <w:rsid w:val="00122989"/>
    <w:rsid w:val="00137E3C"/>
    <w:rsid w:val="00146C60"/>
    <w:rsid w:val="00151257"/>
    <w:rsid w:val="00152835"/>
    <w:rsid w:val="001653C8"/>
    <w:rsid w:val="00180B4A"/>
    <w:rsid w:val="00186FF9"/>
    <w:rsid w:val="00191819"/>
    <w:rsid w:val="001A38A0"/>
    <w:rsid w:val="001C3486"/>
    <w:rsid w:val="001C4E26"/>
    <w:rsid w:val="001C5803"/>
    <w:rsid w:val="001D3F5C"/>
    <w:rsid w:val="00206FDF"/>
    <w:rsid w:val="00210AE8"/>
    <w:rsid w:val="00216239"/>
    <w:rsid w:val="0023183A"/>
    <w:rsid w:val="00245B43"/>
    <w:rsid w:val="00252345"/>
    <w:rsid w:val="00266CA8"/>
    <w:rsid w:val="002912DD"/>
    <w:rsid w:val="00294502"/>
    <w:rsid w:val="002C358F"/>
    <w:rsid w:val="002C6C7E"/>
    <w:rsid w:val="002C7EE7"/>
    <w:rsid w:val="002D7695"/>
    <w:rsid w:val="002E36AF"/>
    <w:rsid w:val="0030506A"/>
    <w:rsid w:val="00321638"/>
    <w:rsid w:val="00323289"/>
    <w:rsid w:val="003616EC"/>
    <w:rsid w:val="00365D08"/>
    <w:rsid w:val="00387BC2"/>
    <w:rsid w:val="003A166F"/>
    <w:rsid w:val="003C0DE4"/>
    <w:rsid w:val="003D68AA"/>
    <w:rsid w:val="003E3861"/>
    <w:rsid w:val="003E6FCC"/>
    <w:rsid w:val="00404EDB"/>
    <w:rsid w:val="00422503"/>
    <w:rsid w:val="004446C3"/>
    <w:rsid w:val="004539B4"/>
    <w:rsid w:val="00464995"/>
    <w:rsid w:val="00466625"/>
    <w:rsid w:val="0048046F"/>
    <w:rsid w:val="00491D4C"/>
    <w:rsid w:val="004A145F"/>
    <w:rsid w:val="004B72D9"/>
    <w:rsid w:val="004E6044"/>
    <w:rsid w:val="004F127E"/>
    <w:rsid w:val="0050361A"/>
    <w:rsid w:val="005056B4"/>
    <w:rsid w:val="00530ACC"/>
    <w:rsid w:val="00544F48"/>
    <w:rsid w:val="005457EC"/>
    <w:rsid w:val="00555D4E"/>
    <w:rsid w:val="00560A0B"/>
    <w:rsid w:val="00563845"/>
    <w:rsid w:val="00584F7C"/>
    <w:rsid w:val="005A1688"/>
    <w:rsid w:val="005A7FC7"/>
    <w:rsid w:val="005D0020"/>
    <w:rsid w:val="005D0765"/>
    <w:rsid w:val="005F0758"/>
    <w:rsid w:val="00627DCA"/>
    <w:rsid w:val="006371C9"/>
    <w:rsid w:val="00651824"/>
    <w:rsid w:val="00673DE6"/>
    <w:rsid w:val="00675932"/>
    <w:rsid w:val="006A3E0C"/>
    <w:rsid w:val="006B011D"/>
    <w:rsid w:val="006C286C"/>
    <w:rsid w:val="006E4FA3"/>
    <w:rsid w:val="006F3ABE"/>
    <w:rsid w:val="007002CF"/>
    <w:rsid w:val="00703497"/>
    <w:rsid w:val="00703F17"/>
    <w:rsid w:val="007238A8"/>
    <w:rsid w:val="00726A56"/>
    <w:rsid w:val="007408BB"/>
    <w:rsid w:val="00744044"/>
    <w:rsid w:val="00750C1E"/>
    <w:rsid w:val="00757F03"/>
    <w:rsid w:val="00760480"/>
    <w:rsid w:val="007635E7"/>
    <w:rsid w:val="00765556"/>
    <w:rsid w:val="007660BF"/>
    <w:rsid w:val="00766AF6"/>
    <w:rsid w:val="00773CCE"/>
    <w:rsid w:val="0078556F"/>
    <w:rsid w:val="0078568B"/>
    <w:rsid w:val="007869A2"/>
    <w:rsid w:val="007A7678"/>
    <w:rsid w:val="007B69C6"/>
    <w:rsid w:val="008029FF"/>
    <w:rsid w:val="0082196D"/>
    <w:rsid w:val="0082580E"/>
    <w:rsid w:val="008319F7"/>
    <w:rsid w:val="00833C22"/>
    <w:rsid w:val="00836214"/>
    <w:rsid w:val="00847C82"/>
    <w:rsid w:val="008574B2"/>
    <w:rsid w:val="00861C29"/>
    <w:rsid w:val="00875AE8"/>
    <w:rsid w:val="008A5037"/>
    <w:rsid w:val="008A5DDF"/>
    <w:rsid w:val="008C25BF"/>
    <w:rsid w:val="008E0059"/>
    <w:rsid w:val="008E5529"/>
    <w:rsid w:val="008E6284"/>
    <w:rsid w:val="008F3BC3"/>
    <w:rsid w:val="0090527E"/>
    <w:rsid w:val="00905E3B"/>
    <w:rsid w:val="009144C7"/>
    <w:rsid w:val="009207E3"/>
    <w:rsid w:val="00921511"/>
    <w:rsid w:val="00971BB9"/>
    <w:rsid w:val="00980515"/>
    <w:rsid w:val="00991482"/>
    <w:rsid w:val="009A3662"/>
    <w:rsid w:val="009A7F34"/>
    <w:rsid w:val="009C7A62"/>
    <w:rsid w:val="009D1A66"/>
    <w:rsid w:val="00A00A26"/>
    <w:rsid w:val="00A00C83"/>
    <w:rsid w:val="00A138CD"/>
    <w:rsid w:val="00A159E0"/>
    <w:rsid w:val="00A26F63"/>
    <w:rsid w:val="00A3430E"/>
    <w:rsid w:val="00A53B86"/>
    <w:rsid w:val="00A57586"/>
    <w:rsid w:val="00A64868"/>
    <w:rsid w:val="00A65598"/>
    <w:rsid w:val="00A6647A"/>
    <w:rsid w:val="00A730C0"/>
    <w:rsid w:val="00A80020"/>
    <w:rsid w:val="00A837A6"/>
    <w:rsid w:val="00A94BDE"/>
    <w:rsid w:val="00AA6D3B"/>
    <w:rsid w:val="00AB1939"/>
    <w:rsid w:val="00AC4264"/>
    <w:rsid w:val="00AD7B95"/>
    <w:rsid w:val="00AE66ED"/>
    <w:rsid w:val="00AF28AE"/>
    <w:rsid w:val="00B06658"/>
    <w:rsid w:val="00B20A13"/>
    <w:rsid w:val="00B25927"/>
    <w:rsid w:val="00B312A0"/>
    <w:rsid w:val="00B36EB5"/>
    <w:rsid w:val="00B41036"/>
    <w:rsid w:val="00B473D2"/>
    <w:rsid w:val="00B56AA6"/>
    <w:rsid w:val="00B6780D"/>
    <w:rsid w:val="00B67E23"/>
    <w:rsid w:val="00B77EB4"/>
    <w:rsid w:val="00B82038"/>
    <w:rsid w:val="00B831FA"/>
    <w:rsid w:val="00B8439A"/>
    <w:rsid w:val="00B977B8"/>
    <w:rsid w:val="00BA2502"/>
    <w:rsid w:val="00BA6518"/>
    <w:rsid w:val="00BE05CE"/>
    <w:rsid w:val="00BE1499"/>
    <w:rsid w:val="00BE1DB6"/>
    <w:rsid w:val="00BF1F15"/>
    <w:rsid w:val="00C03351"/>
    <w:rsid w:val="00C04AF5"/>
    <w:rsid w:val="00C14BFD"/>
    <w:rsid w:val="00C20573"/>
    <w:rsid w:val="00C34BD8"/>
    <w:rsid w:val="00C34D64"/>
    <w:rsid w:val="00C44810"/>
    <w:rsid w:val="00C44A60"/>
    <w:rsid w:val="00C47BFF"/>
    <w:rsid w:val="00C52445"/>
    <w:rsid w:val="00C57BC2"/>
    <w:rsid w:val="00C77CA0"/>
    <w:rsid w:val="00CD569D"/>
    <w:rsid w:val="00D5724B"/>
    <w:rsid w:val="00D700DD"/>
    <w:rsid w:val="00DE44A3"/>
    <w:rsid w:val="00DE65DB"/>
    <w:rsid w:val="00E16BC6"/>
    <w:rsid w:val="00E24A98"/>
    <w:rsid w:val="00E3793E"/>
    <w:rsid w:val="00E400D1"/>
    <w:rsid w:val="00E41D86"/>
    <w:rsid w:val="00E64597"/>
    <w:rsid w:val="00E91664"/>
    <w:rsid w:val="00EA54F1"/>
    <w:rsid w:val="00EC25FD"/>
    <w:rsid w:val="00F03D7D"/>
    <w:rsid w:val="00F06F94"/>
    <w:rsid w:val="00F1464D"/>
    <w:rsid w:val="00F340B5"/>
    <w:rsid w:val="00F37A5C"/>
    <w:rsid w:val="00F476ED"/>
    <w:rsid w:val="00F56874"/>
    <w:rsid w:val="00F603E3"/>
    <w:rsid w:val="00F80823"/>
    <w:rsid w:val="00F80F85"/>
    <w:rsid w:val="00F90F65"/>
    <w:rsid w:val="00FA75AC"/>
    <w:rsid w:val="00FB7E41"/>
    <w:rsid w:val="00FE09EA"/>
    <w:rsid w:val="00FE4274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gregorova@mm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la.slechtova@mm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Sekyrová Lenka</dc:creator>
  <cp:keywords/>
  <cp:lastModifiedBy>Picková Veronika</cp:lastModifiedBy>
  <cp:revision>6</cp:revision>
  <cp:lastPrinted>2013-01-11T12:33:00Z</cp:lastPrinted>
  <dcterms:created xsi:type="dcterms:W3CDTF">2013-01-11T12:25:00Z</dcterms:created>
  <dcterms:modified xsi:type="dcterms:W3CDTF">2013-01-14T14:16:00Z</dcterms:modified>
</cp:coreProperties>
</file>