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footer9.xml" ContentType="application/vnd.openxmlformats-officedocument.wordprocessingml.footer+xml"/>
  <Default Extension="emf" ContentType="image/x-emf"/>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rsidP="009B666C">
      <w:pPr>
        <w:tabs>
          <w:tab w:val="left" w:pos="8505"/>
        </w:tabs>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rsidP="0022503D">
      <w:pPr>
        <w:overflowPunct/>
        <w:autoSpaceDE/>
        <w:autoSpaceDN/>
        <w:adjustRightInd/>
        <w:jc w:val="center"/>
        <w:textAlignment w:val="auto"/>
        <w:rPr>
          <w:rFonts w:ascii="Calibri" w:hAnsi="Calibri" w:cs="Calibri"/>
          <w:b/>
          <w:caps/>
          <w:sz w:val="36"/>
        </w:rPr>
      </w:pPr>
      <w:r w:rsidRPr="0023642B">
        <w:rPr>
          <w:rFonts w:ascii="Calibri" w:hAnsi="Calibri" w:cs="Calibri"/>
          <w:b/>
          <w:caps/>
          <w:sz w:val="36"/>
        </w:rPr>
        <w:t>Ministerstvo průmyslu a obchodu</w:t>
      </w:r>
    </w:p>
    <w:p w:rsidR="0022503D" w:rsidRPr="0023642B" w:rsidRDefault="0022503D" w:rsidP="0022503D">
      <w:pPr>
        <w:overflowPunct/>
        <w:autoSpaceDE/>
        <w:autoSpaceDN/>
        <w:adjustRightInd/>
        <w:jc w:val="center"/>
        <w:textAlignment w:val="auto"/>
        <w:rPr>
          <w:rFonts w:ascii="Calibri" w:hAnsi="Calibri" w:cs="Calibri"/>
          <w:b/>
          <w:caps/>
          <w:sz w:val="36"/>
        </w:rPr>
      </w:pPr>
      <w:r w:rsidRPr="0023642B">
        <w:rPr>
          <w:rFonts w:ascii="Calibri" w:hAnsi="Calibri" w:cs="Calibri"/>
          <w:b/>
          <w:caps/>
          <w:sz w:val="36"/>
        </w:rPr>
        <w:t>České republiky</w:t>
      </w: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495B3E" w:rsidP="0022503D">
      <w:pPr>
        <w:overflowPunct/>
        <w:autoSpaceDE/>
        <w:autoSpaceDN/>
        <w:adjustRightInd/>
        <w:jc w:val="center"/>
        <w:textAlignment w:val="auto"/>
        <w:rPr>
          <w:rFonts w:ascii="Calibri" w:hAnsi="Calibri" w:cs="Calibri"/>
          <w:b/>
          <w:sz w:val="36"/>
        </w:rPr>
      </w:pPr>
      <w:r>
        <w:rPr>
          <w:rFonts w:ascii="Calibri" w:hAnsi="Calibri" w:cs="Calibri"/>
          <w:b/>
          <w:sz w:val="36"/>
        </w:rPr>
        <w:t>Operačn</w:t>
      </w:r>
      <w:r w:rsidR="0022503D" w:rsidRPr="0023642B">
        <w:rPr>
          <w:rFonts w:ascii="Calibri" w:hAnsi="Calibri" w:cs="Calibri"/>
          <w:b/>
          <w:sz w:val="36"/>
        </w:rPr>
        <w:t>í program Podnikání a inovace pro konkurenceschopnost 2014 – 2020</w:t>
      </w:r>
    </w:p>
    <w:p w:rsidR="0022503D" w:rsidRPr="0023642B" w:rsidRDefault="0022503D" w:rsidP="0022503D">
      <w:pPr>
        <w:overflowPunct/>
        <w:autoSpaceDE/>
        <w:autoSpaceDN/>
        <w:adjustRightInd/>
        <w:jc w:val="center"/>
        <w:textAlignment w:val="auto"/>
        <w:rPr>
          <w:rFonts w:ascii="Calibri" w:hAnsi="Calibri" w:cs="Calibri"/>
          <w:b/>
          <w:sz w:val="36"/>
        </w:rPr>
      </w:pPr>
    </w:p>
    <w:p w:rsidR="0022503D" w:rsidRPr="0023642B" w:rsidRDefault="0022503D" w:rsidP="0022503D">
      <w:pPr>
        <w:overflowPunct/>
        <w:autoSpaceDE/>
        <w:autoSpaceDN/>
        <w:adjustRightInd/>
        <w:jc w:val="center"/>
        <w:textAlignment w:val="auto"/>
        <w:rPr>
          <w:rFonts w:ascii="Calibri" w:hAnsi="Calibri" w:cs="Calibri"/>
          <w:i/>
          <w:sz w:val="32"/>
        </w:rPr>
      </w:pPr>
      <w:r w:rsidRPr="0023642B">
        <w:rPr>
          <w:rFonts w:ascii="Calibri" w:hAnsi="Calibri" w:cs="Calibri"/>
          <w:i/>
          <w:sz w:val="32"/>
        </w:rPr>
        <w:t>Předběžný návrh</w:t>
      </w: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22503D" w:rsidRPr="0023642B" w:rsidRDefault="0022503D">
      <w:pPr>
        <w:overflowPunct/>
        <w:autoSpaceDE/>
        <w:autoSpaceDN/>
        <w:adjustRightInd/>
        <w:textAlignment w:val="auto"/>
        <w:rPr>
          <w:rFonts w:ascii="Calibri" w:hAnsi="Calibri" w:cs="Calibri"/>
        </w:rPr>
      </w:pPr>
    </w:p>
    <w:p w:rsidR="009B3FA2" w:rsidRPr="0023642B" w:rsidRDefault="0022503D" w:rsidP="0022503D">
      <w:pPr>
        <w:overflowPunct/>
        <w:autoSpaceDE/>
        <w:autoSpaceDN/>
        <w:adjustRightInd/>
        <w:jc w:val="center"/>
        <w:textAlignment w:val="auto"/>
        <w:rPr>
          <w:rFonts w:ascii="Calibri" w:hAnsi="Calibri" w:cs="Calibri"/>
          <w:b/>
          <w:sz w:val="28"/>
        </w:rPr>
        <w:sectPr w:rsidR="009B3FA2" w:rsidRPr="0023642B" w:rsidSect="00926525">
          <w:headerReference w:type="default" r:id="rId8"/>
          <w:footerReference w:type="default" r:id="rId9"/>
          <w:headerReference w:type="first" r:id="rId10"/>
          <w:footerReference w:type="first" r:id="rId11"/>
          <w:pgSz w:w="11906" w:h="16838"/>
          <w:pgMar w:top="1418" w:right="1276" w:bottom="1276" w:left="1418" w:header="709" w:footer="709" w:gutter="0"/>
          <w:cols w:space="708"/>
          <w:titlePg/>
          <w:docGrid w:linePitch="272"/>
        </w:sectPr>
      </w:pPr>
      <w:r w:rsidRPr="0023642B">
        <w:rPr>
          <w:rFonts w:ascii="Calibri" w:hAnsi="Calibri" w:cs="Calibri"/>
          <w:b/>
          <w:sz w:val="28"/>
        </w:rPr>
        <w:t xml:space="preserve">Praha – </w:t>
      </w:r>
      <w:r w:rsidR="008D5022">
        <w:rPr>
          <w:rFonts w:ascii="Calibri" w:hAnsi="Calibri" w:cs="Calibri"/>
          <w:b/>
          <w:sz w:val="28"/>
        </w:rPr>
        <w:t>29</w:t>
      </w:r>
      <w:r w:rsidR="00170DAF">
        <w:rPr>
          <w:rFonts w:ascii="Calibri" w:hAnsi="Calibri" w:cs="Calibri"/>
          <w:b/>
          <w:sz w:val="28"/>
        </w:rPr>
        <w:t xml:space="preserve">. </w:t>
      </w:r>
      <w:r w:rsidRPr="0023642B">
        <w:rPr>
          <w:rFonts w:ascii="Calibri" w:hAnsi="Calibri" w:cs="Calibri"/>
          <w:b/>
          <w:sz w:val="28"/>
        </w:rPr>
        <w:t>březen 2013</w:t>
      </w:r>
    </w:p>
    <w:p w:rsidR="009B666C" w:rsidRPr="0023642B" w:rsidRDefault="009B666C" w:rsidP="009B666C">
      <w:pPr>
        <w:rPr>
          <w:rFonts w:ascii="Calibri" w:hAnsi="Calibri" w:cs="Calibri"/>
          <w:sz w:val="28"/>
        </w:rPr>
      </w:pPr>
    </w:p>
    <w:p w:rsidR="009B3FA2" w:rsidRPr="00901F96" w:rsidRDefault="00901F96" w:rsidP="00937FD5">
      <w:pPr>
        <w:jc w:val="both"/>
        <w:rPr>
          <w:rFonts w:ascii="Calibri" w:hAnsi="Calibri" w:cs="Calibri"/>
          <w:b/>
          <w:sz w:val="28"/>
          <w:szCs w:val="28"/>
        </w:rPr>
      </w:pPr>
      <w:r w:rsidRPr="00901F96">
        <w:rPr>
          <w:rFonts w:ascii="Calibri" w:hAnsi="Calibri" w:cs="Calibri"/>
          <w:b/>
          <w:sz w:val="28"/>
          <w:szCs w:val="28"/>
        </w:rPr>
        <w:t>Poznámky k dokumentu:</w:t>
      </w:r>
    </w:p>
    <w:p w:rsidR="00901F96" w:rsidRPr="00901F96" w:rsidRDefault="00901F96" w:rsidP="00937FD5">
      <w:pPr>
        <w:jc w:val="both"/>
        <w:rPr>
          <w:rFonts w:ascii="Calibri" w:hAnsi="Calibri" w:cs="Calibri"/>
          <w:sz w:val="28"/>
          <w:szCs w:val="28"/>
        </w:rPr>
      </w:pPr>
    </w:p>
    <w:p w:rsidR="00AB23B5" w:rsidRPr="00AB23B5" w:rsidRDefault="00022228" w:rsidP="00AB23B5">
      <w:pPr>
        <w:numPr>
          <w:ilvl w:val="0"/>
          <w:numId w:val="12"/>
        </w:numPr>
        <w:spacing w:after="120"/>
        <w:ind w:left="714" w:hanging="357"/>
        <w:jc w:val="both"/>
        <w:rPr>
          <w:rFonts w:asciiTheme="minorHAnsi" w:hAnsiTheme="minorHAnsi" w:cstheme="minorHAnsi"/>
          <w:sz w:val="24"/>
          <w:szCs w:val="24"/>
        </w:rPr>
      </w:pPr>
      <w:r w:rsidRPr="00760884">
        <w:rPr>
          <w:rFonts w:asciiTheme="minorHAnsi" w:hAnsiTheme="minorHAnsi" w:cstheme="minorHAnsi"/>
          <w:sz w:val="24"/>
          <w:szCs w:val="24"/>
        </w:rPr>
        <w:t>V závorce za náz</w:t>
      </w:r>
      <w:r w:rsidR="00391928" w:rsidRPr="00760884">
        <w:rPr>
          <w:rFonts w:asciiTheme="minorHAnsi" w:hAnsiTheme="minorHAnsi" w:cstheme="minorHAnsi"/>
          <w:sz w:val="24"/>
          <w:szCs w:val="24"/>
        </w:rPr>
        <w:t>vem kapitoly je uvedeno číslo kapitoly v</w:t>
      </w:r>
      <w:r w:rsidR="00E92EEC" w:rsidRPr="00760884">
        <w:rPr>
          <w:rFonts w:asciiTheme="minorHAnsi" w:hAnsiTheme="minorHAnsi" w:cstheme="minorHAnsi"/>
          <w:sz w:val="24"/>
          <w:szCs w:val="24"/>
        </w:rPr>
        <w:t> </w:t>
      </w:r>
      <w:r w:rsidR="00391928" w:rsidRPr="00760884">
        <w:rPr>
          <w:rFonts w:asciiTheme="minorHAnsi" w:hAnsiTheme="minorHAnsi" w:cstheme="minorHAnsi"/>
          <w:sz w:val="24"/>
          <w:szCs w:val="24"/>
        </w:rPr>
        <w:t>Metodic</w:t>
      </w:r>
      <w:r w:rsidR="00E92EEC" w:rsidRPr="00760884">
        <w:rPr>
          <w:rFonts w:asciiTheme="minorHAnsi" w:hAnsiTheme="minorHAnsi" w:cstheme="minorHAnsi"/>
          <w:sz w:val="24"/>
          <w:szCs w:val="24"/>
        </w:rPr>
        <w:t>kém pokynu pro přípravu programových dokumentů pro programové období 2014 – 2020 (M</w:t>
      </w:r>
      <w:r w:rsidR="004C345F" w:rsidRPr="00760884">
        <w:rPr>
          <w:rFonts w:asciiTheme="minorHAnsi" w:hAnsiTheme="minorHAnsi" w:cstheme="minorHAnsi"/>
          <w:sz w:val="24"/>
          <w:szCs w:val="24"/>
        </w:rPr>
        <w:t>MR</w:t>
      </w:r>
      <w:r w:rsidR="00E92EEC" w:rsidRPr="00760884">
        <w:rPr>
          <w:rFonts w:asciiTheme="minorHAnsi" w:hAnsiTheme="minorHAnsi" w:cstheme="minorHAnsi"/>
          <w:sz w:val="24"/>
          <w:szCs w:val="24"/>
        </w:rPr>
        <w:t xml:space="preserve">, </w:t>
      </w:r>
      <w:r w:rsidR="004C345F" w:rsidRPr="00760884">
        <w:rPr>
          <w:rFonts w:asciiTheme="minorHAnsi" w:hAnsiTheme="minorHAnsi" w:cstheme="minorHAnsi"/>
          <w:sz w:val="24"/>
          <w:szCs w:val="24"/>
        </w:rPr>
        <w:t>verze</w:t>
      </w:r>
      <w:r w:rsidR="00E92EEC" w:rsidRPr="00760884">
        <w:rPr>
          <w:rFonts w:asciiTheme="minorHAnsi" w:hAnsiTheme="minorHAnsi" w:cstheme="minorHAnsi"/>
          <w:sz w:val="24"/>
          <w:szCs w:val="24"/>
        </w:rPr>
        <w:t xml:space="preserve"> 1.0, únor 2</w:t>
      </w:r>
      <w:r w:rsidR="00E10173" w:rsidRPr="00760884">
        <w:rPr>
          <w:rFonts w:asciiTheme="minorHAnsi" w:hAnsiTheme="minorHAnsi" w:cstheme="minorHAnsi"/>
          <w:sz w:val="24"/>
          <w:szCs w:val="24"/>
        </w:rPr>
        <w:t>013)</w:t>
      </w:r>
    </w:p>
    <w:p w:rsidR="001174FF" w:rsidRDefault="001174FF" w:rsidP="00760884">
      <w:pPr>
        <w:numPr>
          <w:ilvl w:val="0"/>
          <w:numId w:val="12"/>
        </w:numPr>
        <w:spacing w:after="120"/>
        <w:ind w:left="714" w:hanging="357"/>
        <w:jc w:val="both"/>
        <w:rPr>
          <w:rFonts w:asciiTheme="minorHAnsi" w:hAnsiTheme="minorHAnsi" w:cstheme="minorHAnsi"/>
          <w:sz w:val="24"/>
          <w:szCs w:val="24"/>
        </w:rPr>
      </w:pPr>
      <w:r w:rsidRPr="00760884">
        <w:rPr>
          <w:rFonts w:asciiTheme="minorHAnsi" w:hAnsiTheme="minorHAnsi" w:cstheme="minorHAnsi"/>
          <w:sz w:val="24"/>
          <w:szCs w:val="24"/>
        </w:rPr>
        <w:t xml:space="preserve">U každé kapitoly je uveden odkaz na kapitolu Metodického pokynu </w:t>
      </w:r>
      <w:r w:rsidR="00E95423" w:rsidRPr="00760884">
        <w:rPr>
          <w:rFonts w:asciiTheme="minorHAnsi" w:hAnsiTheme="minorHAnsi" w:cstheme="minorHAnsi"/>
          <w:sz w:val="24"/>
          <w:szCs w:val="24"/>
        </w:rPr>
        <w:t xml:space="preserve">(verze 1.0, únor 2013) </w:t>
      </w:r>
      <w:r w:rsidRPr="00760884">
        <w:rPr>
          <w:rFonts w:asciiTheme="minorHAnsi" w:hAnsiTheme="minorHAnsi" w:cstheme="minorHAnsi"/>
          <w:sz w:val="24"/>
          <w:szCs w:val="24"/>
        </w:rPr>
        <w:t>a sekci EK-</w:t>
      </w:r>
      <w:r w:rsidR="00E95423" w:rsidRPr="00760884">
        <w:rPr>
          <w:rFonts w:asciiTheme="minorHAnsi" w:hAnsiTheme="minorHAnsi" w:cstheme="minorHAnsi"/>
          <w:sz w:val="24"/>
          <w:szCs w:val="24"/>
        </w:rPr>
        <w:t xml:space="preserve">Draft </w:t>
      </w:r>
      <w:r w:rsidRPr="00760884">
        <w:rPr>
          <w:rFonts w:asciiTheme="minorHAnsi" w:hAnsiTheme="minorHAnsi" w:cstheme="minorHAnsi"/>
          <w:sz w:val="24"/>
          <w:szCs w:val="24"/>
        </w:rPr>
        <w:t>Template</w:t>
      </w:r>
      <w:r w:rsidR="00E95423" w:rsidRPr="00760884">
        <w:rPr>
          <w:rFonts w:asciiTheme="minorHAnsi" w:hAnsiTheme="minorHAnsi" w:cstheme="minorHAnsi"/>
          <w:sz w:val="24"/>
          <w:szCs w:val="24"/>
        </w:rPr>
        <w:t xml:space="preserve"> (verze leden 2013, popř. únor 2013)</w:t>
      </w:r>
      <w:r w:rsidRPr="00760884">
        <w:rPr>
          <w:rFonts w:asciiTheme="minorHAnsi" w:hAnsiTheme="minorHAnsi" w:cstheme="minorHAnsi"/>
          <w:sz w:val="24"/>
          <w:szCs w:val="24"/>
        </w:rPr>
        <w:t xml:space="preserve">. </w:t>
      </w:r>
    </w:p>
    <w:p w:rsidR="00AB23B5" w:rsidRPr="00760884" w:rsidRDefault="00AB23B5" w:rsidP="00760884">
      <w:pPr>
        <w:numPr>
          <w:ilvl w:val="0"/>
          <w:numId w:val="12"/>
        </w:numPr>
        <w:spacing w:after="120"/>
        <w:ind w:left="714" w:hanging="357"/>
        <w:jc w:val="both"/>
        <w:rPr>
          <w:rFonts w:asciiTheme="minorHAnsi" w:hAnsiTheme="minorHAnsi" w:cstheme="minorHAnsi"/>
          <w:sz w:val="24"/>
          <w:szCs w:val="24"/>
        </w:rPr>
      </w:pPr>
      <w:r w:rsidRPr="00AB23B5">
        <w:rPr>
          <w:rFonts w:asciiTheme="minorHAnsi" w:hAnsiTheme="minorHAnsi" w:cstheme="minorHAnsi"/>
          <w:sz w:val="24"/>
          <w:szCs w:val="24"/>
        </w:rPr>
        <w:t xml:space="preserve">V dokumentu jsou </w:t>
      </w:r>
      <w:r w:rsidRPr="00AB23B5">
        <w:rPr>
          <w:rFonts w:asciiTheme="minorHAnsi" w:hAnsiTheme="minorHAnsi" w:cstheme="minorHAnsi"/>
          <w:color w:val="FF0000"/>
          <w:sz w:val="24"/>
          <w:szCs w:val="24"/>
        </w:rPr>
        <w:t>barevně</w:t>
      </w:r>
      <w:r w:rsidRPr="00AB23B5">
        <w:rPr>
          <w:rFonts w:asciiTheme="minorHAnsi" w:hAnsiTheme="minorHAnsi" w:cstheme="minorHAnsi"/>
          <w:sz w:val="24"/>
          <w:szCs w:val="24"/>
        </w:rPr>
        <w:t xml:space="preserve"> vyznačeny připomínky a poznámky týkající se dalších fází přípravy operačního programu, popř. témat, která bude potřeba dále věcně či metodicky vyjasnit.</w:t>
      </w:r>
    </w:p>
    <w:p w:rsidR="004C345F" w:rsidRPr="00760884" w:rsidRDefault="00E92EEC" w:rsidP="0038738E">
      <w:pPr>
        <w:numPr>
          <w:ilvl w:val="0"/>
          <w:numId w:val="12"/>
        </w:numPr>
        <w:spacing w:after="120"/>
        <w:ind w:left="714" w:hanging="357"/>
        <w:jc w:val="both"/>
        <w:rPr>
          <w:rFonts w:asciiTheme="minorHAnsi" w:hAnsiTheme="minorHAnsi" w:cstheme="minorHAnsi"/>
          <w:sz w:val="24"/>
          <w:szCs w:val="24"/>
        </w:rPr>
      </w:pPr>
      <w:r w:rsidRPr="00760884">
        <w:rPr>
          <w:rFonts w:asciiTheme="minorHAnsi" w:hAnsiTheme="minorHAnsi" w:cstheme="minorHAnsi"/>
          <w:sz w:val="24"/>
          <w:szCs w:val="24"/>
        </w:rPr>
        <w:t>V dokumentu OP PIK jsou z</w:t>
      </w:r>
      <w:r w:rsidR="004C345F" w:rsidRPr="00760884">
        <w:rPr>
          <w:rFonts w:asciiTheme="minorHAnsi" w:hAnsiTheme="minorHAnsi" w:cstheme="minorHAnsi"/>
          <w:sz w:val="24"/>
          <w:szCs w:val="24"/>
        </w:rPr>
        <w:t xml:space="preserve">apracovány následující </w:t>
      </w:r>
      <w:r w:rsidRPr="00760884">
        <w:rPr>
          <w:rFonts w:asciiTheme="minorHAnsi" w:hAnsiTheme="minorHAnsi" w:cstheme="minorHAnsi"/>
          <w:sz w:val="24"/>
          <w:szCs w:val="24"/>
        </w:rPr>
        <w:t xml:space="preserve">evropské a národní </w:t>
      </w:r>
      <w:r w:rsidR="004C345F" w:rsidRPr="00760884">
        <w:rPr>
          <w:rFonts w:asciiTheme="minorHAnsi" w:hAnsiTheme="minorHAnsi" w:cstheme="minorHAnsi"/>
          <w:sz w:val="24"/>
          <w:szCs w:val="24"/>
        </w:rPr>
        <w:t>strategie, koncepce a další</w:t>
      </w:r>
      <w:r w:rsidRPr="00760884">
        <w:rPr>
          <w:rFonts w:asciiTheme="minorHAnsi" w:hAnsiTheme="minorHAnsi" w:cstheme="minorHAnsi"/>
          <w:sz w:val="24"/>
          <w:szCs w:val="24"/>
        </w:rPr>
        <w:t xml:space="preserve"> d</w:t>
      </w:r>
      <w:r w:rsidR="004C345F" w:rsidRPr="00760884">
        <w:rPr>
          <w:rFonts w:asciiTheme="minorHAnsi" w:hAnsiTheme="minorHAnsi" w:cstheme="minorHAnsi"/>
          <w:sz w:val="24"/>
          <w:szCs w:val="24"/>
        </w:rPr>
        <w:t>okumenty</w:t>
      </w:r>
      <w:r w:rsidRPr="00760884">
        <w:rPr>
          <w:rFonts w:asciiTheme="minorHAnsi" w:hAnsiTheme="minorHAnsi" w:cstheme="minorHAnsi"/>
          <w:sz w:val="24"/>
          <w:szCs w:val="24"/>
        </w:rPr>
        <w:t xml:space="preserve"> (zejména v kapitole 2.1.1 „Vazby na další strategické dokumenty EU a ČR“ a v tabulce „</w:t>
      </w:r>
      <w:r w:rsidRPr="00760884">
        <w:rPr>
          <w:rFonts w:asciiTheme="minorHAnsi" w:hAnsiTheme="minorHAnsi" w:cstheme="minorHAnsi"/>
          <w:bCs/>
          <w:sz w:val="24"/>
          <w:szCs w:val="24"/>
        </w:rPr>
        <w:t>Přehled zdůvodnění výběru tematických cílů a investičních priorit pro operační program</w:t>
      </w:r>
      <w:r w:rsidRPr="00760884">
        <w:rPr>
          <w:rFonts w:asciiTheme="minorHAnsi" w:hAnsiTheme="minorHAnsi" w:cstheme="minorHAnsi"/>
          <w:sz w:val="24"/>
          <w:szCs w:val="24"/>
        </w:rPr>
        <w:t xml:space="preserve">“): </w:t>
      </w:r>
    </w:p>
    <w:p w:rsidR="007A4F55" w:rsidRPr="00760884" w:rsidRDefault="007A4F55" w:rsidP="00760884">
      <w:pPr>
        <w:numPr>
          <w:ilvl w:val="2"/>
          <w:numId w:val="19"/>
        </w:numPr>
        <w:overflowPunct/>
        <w:textAlignment w:val="auto"/>
        <w:rPr>
          <w:rFonts w:asciiTheme="minorHAnsi" w:hAnsiTheme="minorHAnsi" w:cstheme="minorHAnsi"/>
          <w:b/>
          <w:bCs/>
          <w:sz w:val="24"/>
          <w:szCs w:val="24"/>
        </w:rPr>
      </w:pPr>
      <w:r w:rsidRPr="00760884">
        <w:rPr>
          <w:rFonts w:asciiTheme="minorHAnsi" w:hAnsiTheme="minorHAnsi" w:cstheme="minorHAnsi"/>
          <w:b/>
          <w:bCs/>
          <w:sz w:val="24"/>
          <w:szCs w:val="24"/>
        </w:rPr>
        <w:t>Strategie Evropa 2020</w:t>
      </w:r>
    </w:p>
    <w:p w:rsidR="007A4F55" w:rsidRPr="00760884" w:rsidRDefault="007A4F55" w:rsidP="00760884">
      <w:pPr>
        <w:numPr>
          <w:ilvl w:val="2"/>
          <w:numId w:val="19"/>
        </w:numPr>
        <w:overflowPunct/>
        <w:textAlignment w:val="auto"/>
        <w:rPr>
          <w:rFonts w:asciiTheme="minorHAnsi" w:hAnsiTheme="minorHAnsi" w:cstheme="minorHAnsi"/>
          <w:sz w:val="24"/>
          <w:szCs w:val="24"/>
        </w:rPr>
      </w:pPr>
      <w:r w:rsidRPr="00760884">
        <w:rPr>
          <w:rFonts w:asciiTheme="minorHAnsi" w:hAnsiTheme="minorHAnsi" w:cstheme="minorHAnsi"/>
          <w:b/>
          <w:sz w:val="24"/>
          <w:szCs w:val="24"/>
        </w:rPr>
        <w:t xml:space="preserve">Stanovisko útvarů Komise k vývoji v oblasti Dohody o partnerství a programů v České republice pro období 2014 – 2020                       </w:t>
      </w:r>
      <w:r w:rsidRPr="00760884">
        <w:rPr>
          <w:rFonts w:asciiTheme="minorHAnsi" w:hAnsiTheme="minorHAnsi" w:cstheme="minorHAnsi"/>
          <w:sz w:val="24"/>
          <w:szCs w:val="24"/>
        </w:rPr>
        <w:t>(Poziční dokument</w:t>
      </w:r>
      <w:r w:rsidR="0038738E">
        <w:rPr>
          <w:rFonts w:asciiTheme="minorHAnsi" w:hAnsiTheme="minorHAnsi" w:cstheme="minorHAnsi"/>
          <w:sz w:val="24"/>
          <w:szCs w:val="24"/>
        </w:rPr>
        <w:t xml:space="preserve"> EK</w:t>
      </w:r>
      <w:r w:rsidRPr="00760884">
        <w:rPr>
          <w:rFonts w:asciiTheme="minorHAnsi" w:hAnsiTheme="minorHAnsi" w:cstheme="minorHAnsi"/>
          <w:sz w:val="24"/>
          <w:szCs w:val="24"/>
        </w:rPr>
        <w:t>)</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Pátá kohezní zpráva o hospodářské a sociální soudržnosti</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 xml:space="preserve">Sdělení EK Unie inovací </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Sdělení EK Evropa méně náročná na zdroje</w:t>
      </w:r>
    </w:p>
    <w:p w:rsidR="007A4F55" w:rsidRPr="00760884" w:rsidRDefault="007A4F55" w:rsidP="00760884">
      <w:pPr>
        <w:numPr>
          <w:ilvl w:val="2"/>
          <w:numId w:val="19"/>
        </w:numPr>
        <w:rPr>
          <w:rFonts w:asciiTheme="minorHAnsi" w:hAnsiTheme="minorHAnsi" w:cstheme="minorHAnsi"/>
          <w:sz w:val="24"/>
          <w:szCs w:val="24"/>
        </w:rPr>
      </w:pPr>
      <w:r w:rsidRPr="00760884">
        <w:rPr>
          <w:rFonts w:asciiTheme="minorHAnsi" w:hAnsiTheme="minorHAnsi" w:cstheme="minorHAnsi"/>
          <w:b/>
          <w:sz w:val="24"/>
          <w:szCs w:val="24"/>
        </w:rPr>
        <w:t>Sdělení Plán pro Evropu účinněji využívající zdroje</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Sdělení Digitální agenda pro Evropu</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Průmyslová politika pro éru globalizace</w:t>
      </w:r>
    </w:p>
    <w:p w:rsidR="007A4F55" w:rsidRPr="00760884" w:rsidRDefault="007A4F55" w:rsidP="0038738E">
      <w:pPr>
        <w:numPr>
          <w:ilvl w:val="2"/>
          <w:numId w:val="19"/>
        </w:numPr>
        <w:spacing w:after="240"/>
        <w:ind w:left="2154" w:hanging="357"/>
        <w:rPr>
          <w:rFonts w:asciiTheme="minorHAnsi" w:hAnsiTheme="minorHAnsi" w:cstheme="minorHAnsi"/>
          <w:b/>
          <w:sz w:val="24"/>
          <w:szCs w:val="24"/>
        </w:rPr>
      </w:pPr>
      <w:r w:rsidRPr="00760884">
        <w:rPr>
          <w:rFonts w:asciiTheme="minorHAnsi" w:hAnsiTheme="minorHAnsi" w:cstheme="minorHAnsi"/>
          <w:b/>
          <w:sz w:val="24"/>
          <w:szCs w:val="24"/>
        </w:rPr>
        <w:t>Strategie Energie 2020</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Národní program reforem ČR 2012</w:t>
      </w:r>
    </w:p>
    <w:p w:rsidR="007A4F55" w:rsidRPr="00760884" w:rsidRDefault="007A4F55" w:rsidP="00760884">
      <w:pPr>
        <w:numPr>
          <w:ilvl w:val="2"/>
          <w:numId w:val="19"/>
        </w:numPr>
        <w:overflowPunct/>
        <w:textAlignment w:val="auto"/>
        <w:rPr>
          <w:rFonts w:asciiTheme="minorHAnsi" w:hAnsiTheme="minorHAnsi" w:cstheme="minorHAnsi"/>
          <w:bCs/>
          <w:sz w:val="24"/>
          <w:szCs w:val="24"/>
        </w:rPr>
      </w:pPr>
      <w:r w:rsidRPr="00760884">
        <w:rPr>
          <w:rFonts w:asciiTheme="minorHAnsi" w:hAnsiTheme="minorHAnsi" w:cstheme="minorHAnsi"/>
          <w:b/>
          <w:sz w:val="24"/>
          <w:szCs w:val="24"/>
        </w:rPr>
        <w:t xml:space="preserve">Strategie regionálního rozvoje ČR pro období 2014 – 2020 </w:t>
      </w:r>
      <w:r w:rsidRPr="00760884">
        <w:rPr>
          <w:rFonts w:asciiTheme="minorHAnsi" w:hAnsiTheme="minorHAnsi" w:cstheme="minorHAnsi"/>
          <w:sz w:val="24"/>
          <w:szCs w:val="24"/>
        </w:rPr>
        <w:t>(</w:t>
      </w:r>
      <w:r w:rsidR="001174FF" w:rsidRPr="00760884">
        <w:rPr>
          <w:rFonts w:asciiTheme="minorHAnsi" w:hAnsiTheme="minorHAnsi" w:cstheme="minorHAnsi"/>
          <w:sz w:val="24"/>
          <w:szCs w:val="24"/>
        </w:rPr>
        <w:t>z</w:t>
      </w:r>
      <w:r w:rsidR="0038738E">
        <w:rPr>
          <w:rFonts w:asciiTheme="minorHAnsi" w:hAnsiTheme="minorHAnsi" w:cstheme="minorHAnsi"/>
          <w:sz w:val="24"/>
          <w:szCs w:val="24"/>
        </w:rPr>
        <w:t>a</w:t>
      </w:r>
      <w:r w:rsidR="001174FF" w:rsidRPr="00760884">
        <w:rPr>
          <w:rFonts w:asciiTheme="minorHAnsi" w:hAnsiTheme="minorHAnsi" w:cstheme="minorHAnsi"/>
          <w:sz w:val="24"/>
          <w:szCs w:val="24"/>
        </w:rPr>
        <w:t xml:space="preserve">pracována na základě </w:t>
      </w:r>
      <w:r w:rsidRPr="00760884">
        <w:rPr>
          <w:rFonts w:asciiTheme="minorHAnsi" w:hAnsiTheme="minorHAnsi" w:cstheme="minorHAnsi"/>
          <w:sz w:val="24"/>
          <w:szCs w:val="24"/>
        </w:rPr>
        <w:t>textu SRR v</w:t>
      </w:r>
      <w:r w:rsidR="0038738E">
        <w:rPr>
          <w:rFonts w:asciiTheme="minorHAnsi" w:hAnsiTheme="minorHAnsi" w:cstheme="minorHAnsi"/>
          <w:sz w:val="24"/>
          <w:szCs w:val="24"/>
        </w:rPr>
        <w:t> </w:t>
      </w:r>
      <w:r w:rsidRPr="00760884">
        <w:rPr>
          <w:rFonts w:asciiTheme="minorHAnsi" w:hAnsiTheme="minorHAnsi" w:cstheme="minorHAnsi"/>
          <w:sz w:val="24"/>
          <w:szCs w:val="24"/>
        </w:rPr>
        <w:t>meziresort</w:t>
      </w:r>
      <w:r w:rsidR="0038738E">
        <w:rPr>
          <w:rFonts w:asciiTheme="minorHAnsi" w:hAnsiTheme="minorHAnsi" w:cstheme="minorHAnsi"/>
          <w:sz w:val="24"/>
          <w:szCs w:val="24"/>
        </w:rPr>
        <w:t xml:space="preserve">ním </w:t>
      </w:r>
      <w:r w:rsidRPr="00760884">
        <w:rPr>
          <w:rFonts w:asciiTheme="minorHAnsi" w:hAnsiTheme="minorHAnsi" w:cstheme="minorHAnsi"/>
          <w:sz w:val="24"/>
          <w:szCs w:val="24"/>
        </w:rPr>
        <w:t>připomínkovém řízení)</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 xml:space="preserve">Strategický rámec udržitelného rozvoje ČR </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Národní inovační strategie ČR</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Státní energetická koncepce</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Národní akční plán České republiky pro energii z obnovitelných zdrojů</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Druhý Akční plán energetické účinnosti České republiky</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Surovinová politika ČR</w:t>
      </w:r>
    </w:p>
    <w:p w:rsidR="007A4F55"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sz w:val="24"/>
          <w:szCs w:val="24"/>
        </w:rPr>
        <w:t>Koncepce podpory malých a středních podnikatelů na období let 2014-2020</w:t>
      </w:r>
    </w:p>
    <w:p w:rsidR="00CF3942" w:rsidRPr="00760884" w:rsidRDefault="00CF3942" w:rsidP="00760884">
      <w:pPr>
        <w:numPr>
          <w:ilvl w:val="2"/>
          <w:numId w:val="19"/>
        </w:numPr>
        <w:rPr>
          <w:rFonts w:asciiTheme="minorHAnsi" w:hAnsiTheme="minorHAnsi" w:cstheme="minorHAnsi"/>
          <w:b/>
          <w:sz w:val="24"/>
          <w:szCs w:val="24"/>
        </w:rPr>
      </w:pPr>
      <w:r w:rsidRPr="00B358EE">
        <w:rPr>
          <w:rFonts w:ascii="Calibri" w:hAnsi="Calibri" w:cs="Calibri"/>
          <w:b/>
          <w:sz w:val="24"/>
          <w:szCs w:val="24"/>
        </w:rPr>
        <w:t>Aktualizovaná Státní politika v elektronických komunikacích - Digitální Česko v. 2.0, Cesta k digitální ekonomice</w:t>
      </w:r>
    </w:p>
    <w:p w:rsidR="007A4F55" w:rsidRPr="00760884" w:rsidRDefault="007A4F55" w:rsidP="00760884">
      <w:pPr>
        <w:numPr>
          <w:ilvl w:val="2"/>
          <w:numId w:val="19"/>
        </w:numPr>
        <w:rPr>
          <w:rFonts w:asciiTheme="minorHAnsi" w:hAnsiTheme="minorHAnsi" w:cstheme="minorHAnsi"/>
          <w:b/>
          <w:sz w:val="24"/>
          <w:szCs w:val="24"/>
        </w:rPr>
      </w:pPr>
      <w:r w:rsidRPr="00760884">
        <w:rPr>
          <w:rFonts w:asciiTheme="minorHAnsi" w:hAnsiTheme="minorHAnsi" w:cstheme="minorHAnsi"/>
          <w:b/>
          <w:bCs/>
          <w:sz w:val="24"/>
          <w:szCs w:val="24"/>
        </w:rPr>
        <w:t>Stanovisko útvarů Komise k vývoji v oblasti Dohody o partnerství a programů v České republice pro období 2014-2020 (Poziční dokument</w:t>
      </w:r>
    </w:p>
    <w:p w:rsidR="00DA4FEE" w:rsidRPr="00CF3942" w:rsidRDefault="00DA4FEE" w:rsidP="007A4F55">
      <w:pPr>
        <w:numPr>
          <w:ilvl w:val="2"/>
          <w:numId w:val="19"/>
        </w:numPr>
        <w:spacing w:after="120"/>
        <w:jc w:val="both"/>
        <w:rPr>
          <w:sz w:val="24"/>
          <w:szCs w:val="24"/>
        </w:rPr>
      </w:pPr>
      <w:r w:rsidRPr="00CF3942">
        <w:rPr>
          <w:rFonts w:asciiTheme="minorHAnsi" w:hAnsiTheme="minorHAnsi" w:cstheme="minorHAnsi"/>
          <w:b/>
          <w:sz w:val="24"/>
          <w:szCs w:val="24"/>
        </w:rPr>
        <w:t xml:space="preserve">Dohoda o partnerství </w:t>
      </w:r>
      <w:r w:rsidR="007A4F55" w:rsidRPr="00CF3942">
        <w:rPr>
          <w:rFonts w:asciiTheme="minorHAnsi" w:hAnsiTheme="minorHAnsi" w:cstheme="minorHAnsi"/>
          <w:b/>
          <w:sz w:val="24"/>
          <w:szCs w:val="24"/>
        </w:rPr>
        <w:t xml:space="preserve">(… </w:t>
      </w:r>
      <w:r w:rsidR="00E4075A" w:rsidRPr="00CF3942">
        <w:rPr>
          <w:rFonts w:asciiTheme="minorHAnsi" w:hAnsiTheme="minorHAnsi" w:cstheme="minorHAnsi"/>
          <w:sz w:val="24"/>
          <w:szCs w:val="24"/>
        </w:rPr>
        <w:t>zatím nezapracováno</w:t>
      </w:r>
      <w:r w:rsidR="007A4F55" w:rsidRPr="00CF3942">
        <w:rPr>
          <w:rFonts w:asciiTheme="minorHAnsi" w:hAnsiTheme="minorHAnsi" w:cstheme="minorHAnsi"/>
          <w:sz w:val="24"/>
          <w:szCs w:val="24"/>
        </w:rPr>
        <w:t>)</w:t>
      </w:r>
    </w:p>
    <w:p w:rsidR="00901F96" w:rsidRPr="007A4F55" w:rsidRDefault="00901F96" w:rsidP="00937FD5">
      <w:pPr>
        <w:jc w:val="both"/>
        <w:rPr>
          <w:sz w:val="24"/>
          <w:szCs w:val="24"/>
        </w:rPr>
      </w:pPr>
    </w:p>
    <w:p w:rsidR="00901F96" w:rsidRPr="00901F96" w:rsidRDefault="00901F96" w:rsidP="00901F96">
      <w:pPr>
        <w:rPr>
          <w:rFonts w:ascii="Calibri" w:hAnsi="Calibri" w:cs="Calibri"/>
          <w:sz w:val="24"/>
          <w:szCs w:val="24"/>
        </w:rPr>
        <w:sectPr w:rsidR="00901F96" w:rsidRPr="00901F96" w:rsidSect="00926525">
          <w:headerReference w:type="first" r:id="rId12"/>
          <w:footerReference w:type="first" r:id="rId13"/>
          <w:pgSz w:w="11906" w:h="16838"/>
          <w:pgMar w:top="1417" w:right="1274" w:bottom="1276" w:left="1417" w:header="708" w:footer="708" w:gutter="0"/>
          <w:cols w:space="708"/>
          <w:titlePg/>
          <w:docGrid w:linePitch="272"/>
        </w:sectPr>
      </w:pPr>
    </w:p>
    <w:p w:rsidR="0022503D" w:rsidRDefault="00CF0F84" w:rsidP="00300283">
      <w:pPr>
        <w:overflowPunct/>
        <w:autoSpaceDE/>
        <w:autoSpaceDN/>
        <w:adjustRightInd/>
        <w:spacing w:before="120" w:after="60"/>
        <w:textAlignment w:val="auto"/>
        <w:rPr>
          <w:rFonts w:ascii="Calibri" w:hAnsi="Calibri" w:cs="Calibri"/>
          <w:b/>
          <w:caps/>
          <w:sz w:val="28"/>
          <w:szCs w:val="28"/>
        </w:rPr>
      </w:pPr>
      <w:r w:rsidRPr="0023642B">
        <w:rPr>
          <w:rFonts w:ascii="Calibri" w:hAnsi="Calibri" w:cs="Calibri"/>
          <w:b/>
          <w:caps/>
          <w:sz w:val="28"/>
          <w:szCs w:val="28"/>
        </w:rPr>
        <w:lastRenderedPageBreak/>
        <w:t>Obsah</w:t>
      </w:r>
    </w:p>
    <w:p w:rsidR="00D732FC" w:rsidRDefault="00D732FC" w:rsidP="00300283">
      <w:pPr>
        <w:overflowPunct/>
        <w:autoSpaceDE/>
        <w:autoSpaceDN/>
        <w:adjustRightInd/>
        <w:spacing w:before="120" w:after="60"/>
        <w:textAlignment w:val="auto"/>
        <w:rPr>
          <w:rFonts w:ascii="Calibri" w:hAnsi="Calibri" w:cs="Calibri"/>
          <w:b/>
          <w:caps/>
          <w:sz w:val="28"/>
          <w:szCs w:val="28"/>
        </w:rPr>
      </w:pPr>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r w:rsidRPr="008534F0">
        <w:rPr>
          <w:rFonts w:cs="Calibri"/>
          <w:b w:val="0"/>
          <w:caps/>
          <w:sz w:val="28"/>
          <w:szCs w:val="28"/>
        </w:rPr>
        <w:fldChar w:fldCharType="begin"/>
      </w:r>
      <w:r w:rsidR="002E4CA7">
        <w:rPr>
          <w:rFonts w:cs="Calibri"/>
          <w:b w:val="0"/>
          <w:caps/>
          <w:sz w:val="28"/>
          <w:szCs w:val="28"/>
        </w:rPr>
        <w:instrText xml:space="preserve"> TOC \o "1-3" \h \z \u </w:instrText>
      </w:r>
      <w:r w:rsidRPr="008534F0">
        <w:rPr>
          <w:rFonts w:cs="Calibri"/>
          <w:b w:val="0"/>
          <w:caps/>
          <w:sz w:val="28"/>
          <w:szCs w:val="28"/>
        </w:rPr>
        <w:fldChar w:fldCharType="separate"/>
      </w:r>
      <w:hyperlink w:anchor="_Toc352328351" w:history="1">
        <w:r w:rsidR="00BC6B01" w:rsidRPr="003037F2">
          <w:rPr>
            <w:rStyle w:val="Hypertextovodkaz"/>
            <w:noProof/>
          </w:rPr>
          <w:t>1</w:t>
        </w:r>
        <w:r w:rsidR="00BC6B01">
          <w:rPr>
            <w:rFonts w:asciiTheme="minorHAnsi" w:eastAsiaTheme="minorEastAsia" w:hAnsiTheme="minorHAnsi" w:cstheme="minorBidi"/>
            <w:b w:val="0"/>
            <w:noProof/>
            <w:sz w:val="22"/>
            <w:szCs w:val="22"/>
          </w:rPr>
          <w:tab/>
        </w:r>
        <w:r w:rsidR="00BC6B01" w:rsidRPr="003037F2">
          <w:rPr>
            <w:rStyle w:val="Hypertextovodkaz"/>
            <w:noProof/>
          </w:rPr>
          <w:t>Příprava operačního programu a zapojení partnerů</w:t>
        </w:r>
        <w:r w:rsidR="00BC6B01">
          <w:rPr>
            <w:noProof/>
            <w:webHidden/>
          </w:rPr>
          <w:tab/>
        </w:r>
        <w:r>
          <w:rPr>
            <w:noProof/>
            <w:webHidden/>
          </w:rPr>
          <w:fldChar w:fldCharType="begin"/>
        </w:r>
        <w:r w:rsidR="00BC6B01">
          <w:rPr>
            <w:noProof/>
            <w:webHidden/>
          </w:rPr>
          <w:instrText xml:space="preserve"> PAGEREF _Toc352328351 \h </w:instrText>
        </w:r>
        <w:r>
          <w:rPr>
            <w:noProof/>
            <w:webHidden/>
          </w:rPr>
        </w:r>
        <w:r>
          <w:rPr>
            <w:noProof/>
            <w:webHidden/>
          </w:rPr>
          <w:fldChar w:fldCharType="separate"/>
        </w:r>
        <w:r w:rsidR="00D92A26">
          <w:rPr>
            <w:noProof/>
            <w:webHidden/>
          </w:rPr>
          <w:t>7</w:t>
        </w:r>
        <w:r>
          <w:rPr>
            <w:noProof/>
            <w:webHidden/>
          </w:rPr>
          <w:fldChar w:fldCharType="end"/>
        </w:r>
      </w:hyperlink>
      <w:bookmarkStart w:id="0" w:name="_GoBack"/>
      <w:bookmarkEnd w:id="0"/>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352" w:history="1">
        <w:r w:rsidR="00BC6B01" w:rsidRPr="003037F2">
          <w:rPr>
            <w:rStyle w:val="Hypertextovodkaz"/>
            <w:rFonts w:cs="Calibri"/>
            <w:noProof/>
          </w:rPr>
          <w:t>2</w:t>
        </w:r>
        <w:r w:rsidR="00BC6B01">
          <w:rPr>
            <w:rFonts w:asciiTheme="minorHAnsi" w:eastAsiaTheme="minorEastAsia" w:hAnsiTheme="minorHAnsi" w:cstheme="minorBidi"/>
            <w:b w:val="0"/>
            <w:noProof/>
            <w:sz w:val="22"/>
            <w:szCs w:val="22"/>
          </w:rPr>
          <w:tab/>
        </w:r>
        <w:r w:rsidR="00BC6B01" w:rsidRPr="003037F2">
          <w:rPr>
            <w:rStyle w:val="Hypertextovodkaz"/>
            <w:rFonts w:cs="Calibri"/>
            <w:noProof/>
          </w:rPr>
          <w:t>Strategie pro příspěvek operačního programu ke strategii EU zaměřené na inteligentní a udržitelný růst podporující začlenění</w:t>
        </w:r>
        <w:r w:rsidR="00BC6B01">
          <w:rPr>
            <w:noProof/>
            <w:webHidden/>
          </w:rPr>
          <w:tab/>
        </w:r>
        <w:r>
          <w:rPr>
            <w:noProof/>
            <w:webHidden/>
          </w:rPr>
          <w:fldChar w:fldCharType="begin"/>
        </w:r>
        <w:r w:rsidR="00BC6B01">
          <w:rPr>
            <w:noProof/>
            <w:webHidden/>
          </w:rPr>
          <w:instrText xml:space="preserve"> PAGEREF _Toc352328352 \h </w:instrText>
        </w:r>
        <w:r>
          <w:rPr>
            <w:noProof/>
            <w:webHidden/>
          </w:rPr>
        </w:r>
        <w:r>
          <w:rPr>
            <w:noProof/>
            <w:webHidden/>
          </w:rPr>
          <w:fldChar w:fldCharType="separate"/>
        </w:r>
        <w:r w:rsidR="00D92A26">
          <w:rPr>
            <w:noProof/>
            <w:webHidden/>
          </w:rPr>
          <w:t>12</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53" w:history="1">
        <w:r w:rsidR="00BC6B01" w:rsidRPr="003037F2">
          <w:rPr>
            <w:rStyle w:val="Hypertextovodkaz"/>
            <w:noProof/>
          </w:rPr>
          <w:t>2.1</w:t>
        </w:r>
        <w:r w:rsidR="00BC6B01">
          <w:rPr>
            <w:rFonts w:asciiTheme="minorHAnsi" w:eastAsiaTheme="minorEastAsia" w:hAnsiTheme="minorHAnsi" w:cstheme="minorBidi"/>
            <w:noProof/>
            <w:sz w:val="22"/>
            <w:szCs w:val="22"/>
          </w:rPr>
          <w:tab/>
        </w:r>
        <w:r w:rsidR="00BC6B01" w:rsidRPr="003037F2">
          <w:rPr>
            <w:rStyle w:val="Hypertextovodkaz"/>
            <w:noProof/>
          </w:rPr>
          <w:t>Strategie pro příspěvek operačního programu ke Strategii Unie pro inteligentní, udržitelný růst podporující začlenění</w:t>
        </w:r>
        <w:r w:rsidR="00BC6B01">
          <w:rPr>
            <w:noProof/>
            <w:webHidden/>
          </w:rPr>
          <w:tab/>
        </w:r>
        <w:r>
          <w:rPr>
            <w:noProof/>
            <w:webHidden/>
          </w:rPr>
          <w:fldChar w:fldCharType="begin"/>
        </w:r>
        <w:r w:rsidR="00BC6B01">
          <w:rPr>
            <w:noProof/>
            <w:webHidden/>
          </w:rPr>
          <w:instrText xml:space="preserve"> PAGEREF _Toc352328353 \h </w:instrText>
        </w:r>
        <w:r>
          <w:rPr>
            <w:noProof/>
            <w:webHidden/>
          </w:rPr>
        </w:r>
        <w:r>
          <w:rPr>
            <w:noProof/>
            <w:webHidden/>
          </w:rPr>
          <w:fldChar w:fldCharType="separate"/>
        </w:r>
        <w:r w:rsidR="00D92A26">
          <w:rPr>
            <w:noProof/>
            <w:webHidden/>
          </w:rPr>
          <w:t>12</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54" w:history="1">
        <w:r w:rsidR="00BC6B01" w:rsidRPr="003037F2">
          <w:rPr>
            <w:rStyle w:val="Hypertextovodkaz"/>
            <w:noProof/>
          </w:rPr>
          <w:t>2.1.1</w:t>
        </w:r>
        <w:r w:rsidR="00BC6B01">
          <w:rPr>
            <w:rFonts w:asciiTheme="minorHAnsi" w:eastAsiaTheme="minorEastAsia" w:hAnsiTheme="minorHAnsi" w:cstheme="minorBidi"/>
            <w:i w:val="0"/>
            <w:noProof/>
            <w:sz w:val="22"/>
            <w:szCs w:val="22"/>
          </w:rPr>
          <w:tab/>
        </w:r>
        <w:r w:rsidR="00BC6B01" w:rsidRPr="003037F2">
          <w:rPr>
            <w:rStyle w:val="Hypertextovodkaz"/>
            <w:noProof/>
          </w:rPr>
          <w:t>OP PIK a jeho vazba na strategii Evropa 2020</w:t>
        </w:r>
        <w:r w:rsidR="00BC6B01">
          <w:rPr>
            <w:noProof/>
            <w:webHidden/>
          </w:rPr>
          <w:tab/>
        </w:r>
        <w:r>
          <w:rPr>
            <w:noProof/>
            <w:webHidden/>
          </w:rPr>
          <w:fldChar w:fldCharType="begin"/>
        </w:r>
        <w:r w:rsidR="00BC6B01">
          <w:rPr>
            <w:noProof/>
            <w:webHidden/>
          </w:rPr>
          <w:instrText xml:space="preserve"> PAGEREF _Toc352328354 \h </w:instrText>
        </w:r>
        <w:r>
          <w:rPr>
            <w:noProof/>
            <w:webHidden/>
          </w:rPr>
        </w:r>
        <w:r>
          <w:rPr>
            <w:noProof/>
            <w:webHidden/>
          </w:rPr>
          <w:fldChar w:fldCharType="separate"/>
        </w:r>
        <w:r w:rsidR="00D92A26">
          <w:rPr>
            <w:noProof/>
            <w:webHidden/>
          </w:rPr>
          <w:t>14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55" w:history="1">
        <w:r w:rsidR="00BC6B01" w:rsidRPr="003037F2">
          <w:rPr>
            <w:rStyle w:val="Hypertextovodkaz"/>
            <w:noProof/>
          </w:rPr>
          <w:t>2.1.2</w:t>
        </w:r>
        <w:r w:rsidR="00BC6B01">
          <w:rPr>
            <w:rFonts w:asciiTheme="minorHAnsi" w:eastAsiaTheme="minorEastAsia" w:hAnsiTheme="minorHAnsi" w:cstheme="minorBidi"/>
            <w:i w:val="0"/>
            <w:noProof/>
            <w:sz w:val="22"/>
            <w:szCs w:val="22"/>
          </w:rPr>
          <w:tab/>
        </w:r>
        <w:r w:rsidR="00BC6B01" w:rsidRPr="003037F2">
          <w:rPr>
            <w:rStyle w:val="Hypertextovodkaz"/>
            <w:noProof/>
          </w:rPr>
          <w:t>Vazby na další strategické dokumenty EU a ČR</w:t>
        </w:r>
        <w:r w:rsidR="00BC6B01">
          <w:rPr>
            <w:noProof/>
            <w:webHidden/>
          </w:rPr>
          <w:tab/>
        </w:r>
        <w:r>
          <w:rPr>
            <w:noProof/>
            <w:webHidden/>
          </w:rPr>
          <w:fldChar w:fldCharType="begin"/>
        </w:r>
        <w:r w:rsidR="00BC6B01">
          <w:rPr>
            <w:noProof/>
            <w:webHidden/>
          </w:rPr>
          <w:instrText xml:space="preserve"> PAGEREF _Toc352328355 \h </w:instrText>
        </w:r>
        <w:r>
          <w:rPr>
            <w:noProof/>
            <w:webHidden/>
          </w:rPr>
        </w:r>
        <w:r>
          <w:rPr>
            <w:noProof/>
            <w:webHidden/>
          </w:rPr>
          <w:fldChar w:fldCharType="separate"/>
        </w:r>
        <w:r w:rsidR="00D92A26">
          <w:rPr>
            <w:noProof/>
            <w:webHidden/>
          </w:rPr>
          <w:t>41</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56" w:history="1">
        <w:r w:rsidR="00BC6B01" w:rsidRPr="003037F2">
          <w:rPr>
            <w:rStyle w:val="Hypertextovodkaz"/>
            <w:noProof/>
          </w:rPr>
          <w:t>2.1.3</w:t>
        </w:r>
        <w:r w:rsidR="00BC6B01">
          <w:rPr>
            <w:rFonts w:asciiTheme="minorHAnsi" w:eastAsiaTheme="minorEastAsia" w:hAnsiTheme="minorHAnsi" w:cstheme="minorBidi"/>
            <w:i w:val="0"/>
            <w:noProof/>
            <w:sz w:val="22"/>
            <w:szCs w:val="22"/>
          </w:rPr>
          <w:tab/>
        </w:r>
        <w:r w:rsidR="00BC6B01" w:rsidRPr="003037F2">
          <w:rPr>
            <w:rStyle w:val="Hypertextovodkaz"/>
            <w:noProof/>
          </w:rPr>
          <w:t>Strategie OP Podnikání a inovace pro konkurenceschopnost</w:t>
        </w:r>
        <w:r w:rsidR="00BC6B01">
          <w:rPr>
            <w:noProof/>
            <w:webHidden/>
          </w:rPr>
          <w:tab/>
        </w:r>
        <w:r>
          <w:rPr>
            <w:noProof/>
            <w:webHidden/>
          </w:rPr>
          <w:fldChar w:fldCharType="begin"/>
        </w:r>
        <w:r w:rsidR="00BC6B01">
          <w:rPr>
            <w:noProof/>
            <w:webHidden/>
          </w:rPr>
          <w:instrText xml:space="preserve"> PAGEREF _Toc352328356 \h </w:instrText>
        </w:r>
        <w:r>
          <w:rPr>
            <w:noProof/>
            <w:webHidden/>
          </w:rPr>
        </w:r>
        <w:r>
          <w:rPr>
            <w:noProof/>
            <w:webHidden/>
          </w:rPr>
          <w:fldChar w:fldCharType="separate"/>
        </w:r>
        <w:r w:rsidR="00D92A26">
          <w:rPr>
            <w:noProof/>
            <w:webHidden/>
          </w:rPr>
          <w:t>48</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57" w:history="1">
        <w:r w:rsidR="00BC6B01" w:rsidRPr="003037F2">
          <w:rPr>
            <w:rStyle w:val="Hypertextovodkaz"/>
            <w:noProof/>
          </w:rPr>
          <w:t>2.1.4</w:t>
        </w:r>
        <w:r w:rsidR="00BC6B01">
          <w:rPr>
            <w:rFonts w:asciiTheme="minorHAnsi" w:eastAsiaTheme="minorEastAsia" w:hAnsiTheme="minorHAnsi" w:cstheme="minorBidi"/>
            <w:i w:val="0"/>
            <w:noProof/>
            <w:sz w:val="22"/>
            <w:szCs w:val="22"/>
          </w:rPr>
          <w:tab/>
        </w:r>
        <w:r w:rsidR="00BC6B01" w:rsidRPr="003037F2">
          <w:rPr>
            <w:rStyle w:val="Hypertextovodkaz"/>
            <w:noProof/>
          </w:rPr>
          <w:t>Relevantní zjištěné potřeby, které nejsou řešeny prostřednictvím operačního programu</w:t>
        </w:r>
        <w:r w:rsidR="00BC6B01">
          <w:rPr>
            <w:noProof/>
            <w:webHidden/>
          </w:rPr>
          <w:tab/>
        </w:r>
        <w:r>
          <w:rPr>
            <w:noProof/>
            <w:webHidden/>
          </w:rPr>
          <w:fldChar w:fldCharType="begin"/>
        </w:r>
        <w:r w:rsidR="00BC6B01">
          <w:rPr>
            <w:noProof/>
            <w:webHidden/>
          </w:rPr>
          <w:instrText xml:space="preserve"> PAGEREF _Toc352328357 \h </w:instrText>
        </w:r>
        <w:r>
          <w:rPr>
            <w:noProof/>
            <w:webHidden/>
          </w:rPr>
        </w:r>
        <w:r>
          <w:rPr>
            <w:noProof/>
            <w:webHidden/>
          </w:rPr>
          <w:fldChar w:fldCharType="separate"/>
        </w:r>
        <w:r w:rsidR="00D92A26">
          <w:rPr>
            <w:noProof/>
            <w:webHidden/>
          </w:rPr>
          <w:t>56</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58" w:history="1">
        <w:r w:rsidR="00BC6B01" w:rsidRPr="003037F2">
          <w:rPr>
            <w:rStyle w:val="Hypertextovodkaz"/>
            <w:noProof/>
          </w:rPr>
          <w:t>2.2</w:t>
        </w:r>
        <w:r w:rsidR="00BC6B01">
          <w:rPr>
            <w:rFonts w:asciiTheme="minorHAnsi" w:eastAsiaTheme="minorEastAsia" w:hAnsiTheme="minorHAnsi" w:cstheme="minorBidi"/>
            <w:noProof/>
            <w:sz w:val="22"/>
            <w:szCs w:val="22"/>
          </w:rPr>
          <w:tab/>
        </w:r>
        <w:r w:rsidR="00BC6B01" w:rsidRPr="003037F2">
          <w:rPr>
            <w:rStyle w:val="Hypertextovodkaz"/>
            <w:noProof/>
          </w:rPr>
          <w:t>Zdůvodnění finančních alokací</w:t>
        </w:r>
        <w:r w:rsidR="00BC6B01">
          <w:rPr>
            <w:noProof/>
            <w:webHidden/>
          </w:rPr>
          <w:tab/>
        </w:r>
        <w:r>
          <w:rPr>
            <w:noProof/>
            <w:webHidden/>
          </w:rPr>
          <w:fldChar w:fldCharType="begin"/>
        </w:r>
        <w:r w:rsidR="00BC6B01">
          <w:rPr>
            <w:noProof/>
            <w:webHidden/>
          </w:rPr>
          <w:instrText xml:space="preserve"> PAGEREF _Toc352328358 \h </w:instrText>
        </w:r>
        <w:r>
          <w:rPr>
            <w:noProof/>
            <w:webHidden/>
          </w:rPr>
        </w:r>
        <w:r>
          <w:rPr>
            <w:noProof/>
            <w:webHidden/>
          </w:rPr>
          <w:fldChar w:fldCharType="separate"/>
        </w:r>
        <w:r w:rsidR="00D92A26">
          <w:rPr>
            <w:noProof/>
            <w:webHidden/>
          </w:rPr>
          <w:t>56</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359" w:history="1">
        <w:r w:rsidR="00BC6B01" w:rsidRPr="003037F2">
          <w:rPr>
            <w:rStyle w:val="Hypertextovodkaz"/>
            <w:noProof/>
          </w:rPr>
          <w:t>3</w:t>
        </w:r>
        <w:r w:rsidR="00BC6B01">
          <w:rPr>
            <w:rFonts w:asciiTheme="minorHAnsi" w:eastAsiaTheme="minorEastAsia" w:hAnsiTheme="minorHAnsi" w:cstheme="minorBidi"/>
            <w:b w:val="0"/>
            <w:noProof/>
            <w:sz w:val="22"/>
            <w:szCs w:val="22"/>
          </w:rPr>
          <w:tab/>
        </w:r>
        <w:r w:rsidR="00BC6B01" w:rsidRPr="003037F2">
          <w:rPr>
            <w:rStyle w:val="Hypertextovodkaz"/>
            <w:noProof/>
          </w:rPr>
          <w:t>Popis prioritních os</w:t>
        </w:r>
        <w:r w:rsidR="00BC6B01">
          <w:rPr>
            <w:noProof/>
            <w:webHidden/>
          </w:rPr>
          <w:tab/>
        </w:r>
        <w:r>
          <w:rPr>
            <w:noProof/>
            <w:webHidden/>
          </w:rPr>
          <w:fldChar w:fldCharType="begin"/>
        </w:r>
        <w:r w:rsidR="00BC6B01">
          <w:rPr>
            <w:noProof/>
            <w:webHidden/>
          </w:rPr>
          <w:instrText xml:space="preserve"> PAGEREF _Toc352328359 \h </w:instrText>
        </w:r>
        <w:r>
          <w:rPr>
            <w:noProof/>
            <w:webHidden/>
          </w:rPr>
        </w:r>
        <w:r>
          <w:rPr>
            <w:noProof/>
            <w:webHidden/>
          </w:rPr>
          <w:fldChar w:fldCharType="separate"/>
        </w:r>
        <w:r w:rsidR="00D92A26">
          <w:rPr>
            <w:noProof/>
            <w:webHidden/>
          </w:rPr>
          <w:t>62</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60" w:history="1">
        <w:r w:rsidR="00BC6B01" w:rsidRPr="003037F2">
          <w:rPr>
            <w:rStyle w:val="Hypertextovodkaz"/>
            <w:noProof/>
          </w:rPr>
          <w:t>3.1</w:t>
        </w:r>
        <w:r w:rsidR="00BC6B01">
          <w:rPr>
            <w:rFonts w:asciiTheme="minorHAnsi" w:eastAsiaTheme="minorEastAsia" w:hAnsiTheme="minorHAnsi" w:cstheme="minorBidi"/>
            <w:noProof/>
            <w:sz w:val="22"/>
            <w:szCs w:val="22"/>
          </w:rPr>
          <w:tab/>
        </w:r>
        <w:r w:rsidR="00BC6B01" w:rsidRPr="003037F2">
          <w:rPr>
            <w:rStyle w:val="Hypertextovodkaz"/>
            <w:noProof/>
          </w:rPr>
          <w:t>Prioritní osa 1 - Rozvoj podnikání založený na podpoře výzkumu, vývoje a inovací</w:t>
        </w:r>
        <w:r w:rsidR="00BC6B01">
          <w:rPr>
            <w:noProof/>
            <w:webHidden/>
          </w:rPr>
          <w:tab/>
        </w:r>
        <w:r>
          <w:rPr>
            <w:noProof/>
            <w:webHidden/>
          </w:rPr>
          <w:fldChar w:fldCharType="begin"/>
        </w:r>
        <w:r w:rsidR="00BC6B01">
          <w:rPr>
            <w:noProof/>
            <w:webHidden/>
          </w:rPr>
          <w:instrText xml:space="preserve"> PAGEREF _Toc352328360 \h </w:instrText>
        </w:r>
        <w:r>
          <w:rPr>
            <w:noProof/>
            <w:webHidden/>
          </w:rPr>
        </w:r>
        <w:r>
          <w:rPr>
            <w:noProof/>
            <w:webHidden/>
          </w:rPr>
          <w:fldChar w:fldCharType="separate"/>
        </w:r>
        <w:r w:rsidR="00D92A26">
          <w:rPr>
            <w:noProof/>
            <w:webHidden/>
          </w:rPr>
          <w:t>62</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1" w:history="1">
        <w:r w:rsidR="00BC6B01" w:rsidRPr="003037F2">
          <w:rPr>
            <w:rStyle w:val="Hypertextovodkaz"/>
            <w:noProof/>
          </w:rPr>
          <w:t>3.1.1</w:t>
        </w:r>
        <w:r w:rsidR="00BC6B01">
          <w:rPr>
            <w:rFonts w:asciiTheme="minorHAnsi" w:eastAsiaTheme="minorEastAsia" w:hAnsiTheme="minorHAnsi" w:cstheme="minorBidi"/>
            <w:i w:val="0"/>
            <w:noProof/>
            <w:sz w:val="22"/>
            <w:szCs w:val="22"/>
          </w:rPr>
          <w:tab/>
        </w:r>
        <w:r w:rsidR="00BC6B01" w:rsidRPr="003037F2">
          <w:rPr>
            <w:rStyle w:val="Hypertextovodkaz"/>
            <w:noProof/>
          </w:rPr>
          <w:t>Identifikace investičních priorit a popis specifických cílů</w:t>
        </w:r>
        <w:r w:rsidR="00BC6B01">
          <w:rPr>
            <w:noProof/>
            <w:webHidden/>
          </w:rPr>
          <w:tab/>
        </w:r>
        <w:r>
          <w:rPr>
            <w:noProof/>
            <w:webHidden/>
          </w:rPr>
          <w:fldChar w:fldCharType="begin"/>
        </w:r>
        <w:r w:rsidR="00BC6B01">
          <w:rPr>
            <w:noProof/>
            <w:webHidden/>
          </w:rPr>
          <w:instrText xml:space="preserve"> PAGEREF _Toc352328361 \h </w:instrText>
        </w:r>
        <w:r>
          <w:rPr>
            <w:noProof/>
            <w:webHidden/>
          </w:rPr>
        </w:r>
        <w:r>
          <w:rPr>
            <w:noProof/>
            <w:webHidden/>
          </w:rPr>
          <w:fldChar w:fldCharType="separate"/>
        </w:r>
        <w:r w:rsidR="00D92A26">
          <w:rPr>
            <w:noProof/>
            <w:webHidden/>
          </w:rPr>
          <w:t>65</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2" w:history="1">
        <w:r w:rsidR="00BC6B01" w:rsidRPr="003037F2">
          <w:rPr>
            <w:rStyle w:val="Hypertextovodkaz"/>
            <w:noProof/>
          </w:rPr>
          <w:t>3.1.2</w:t>
        </w:r>
        <w:r w:rsidR="00BC6B01">
          <w:rPr>
            <w:rFonts w:asciiTheme="minorHAnsi" w:eastAsiaTheme="minorEastAsia" w:hAnsiTheme="minorHAnsi" w:cstheme="minorBidi"/>
            <w:i w:val="0"/>
            <w:noProof/>
            <w:sz w:val="22"/>
            <w:szCs w:val="22"/>
          </w:rPr>
          <w:tab/>
        </w:r>
        <w:r w:rsidR="00BC6B01" w:rsidRPr="003037F2">
          <w:rPr>
            <w:rStyle w:val="Hypertextovodkaz"/>
            <w:noProof/>
          </w:rPr>
          <w:t>Popis typu a příkladů aktivit, které budou podporovány v rámci dané investiční priority (dle investičních priorit)</w:t>
        </w:r>
        <w:r w:rsidR="00BC6B01">
          <w:rPr>
            <w:noProof/>
            <w:webHidden/>
          </w:rPr>
          <w:tab/>
        </w:r>
        <w:r>
          <w:rPr>
            <w:noProof/>
            <w:webHidden/>
          </w:rPr>
          <w:fldChar w:fldCharType="begin"/>
        </w:r>
        <w:r w:rsidR="00BC6B01">
          <w:rPr>
            <w:noProof/>
            <w:webHidden/>
          </w:rPr>
          <w:instrText xml:space="preserve"> PAGEREF _Toc352328362 \h </w:instrText>
        </w:r>
        <w:r>
          <w:rPr>
            <w:noProof/>
            <w:webHidden/>
          </w:rPr>
        </w:r>
        <w:r>
          <w:rPr>
            <w:noProof/>
            <w:webHidden/>
          </w:rPr>
          <w:fldChar w:fldCharType="separate"/>
        </w:r>
        <w:r w:rsidR="00D92A26">
          <w:rPr>
            <w:noProof/>
            <w:webHidden/>
          </w:rPr>
          <w:t>70</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3" w:history="1">
        <w:r w:rsidR="00BC6B01" w:rsidRPr="003037F2">
          <w:rPr>
            <w:rStyle w:val="Hypertextovodkaz"/>
            <w:noProof/>
          </w:rPr>
          <w:t>3.1.3</w:t>
        </w:r>
        <w:r w:rsidR="00BC6B01">
          <w:rPr>
            <w:rFonts w:asciiTheme="minorHAnsi" w:eastAsiaTheme="minorEastAsia" w:hAnsiTheme="minorHAnsi" w:cstheme="minorBidi"/>
            <w:i w:val="0"/>
            <w:noProof/>
            <w:sz w:val="22"/>
            <w:szCs w:val="22"/>
          </w:rPr>
          <w:tab/>
        </w:r>
        <w:r w:rsidR="00BC6B01" w:rsidRPr="003037F2">
          <w:rPr>
            <w:rStyle w:val="Hypertextovodkaz"/>
            <w:noProof/>
          </w:rPr>
          <w:t>Výkonnostní rámec</w:t>
        </w:r>
        <w:r w:rsidR="00BC6B01">
          <w:rPr>
            <w:noProof/>
            <w:webHidden/>
          </w:rPr>
          <w:tab/>
        </w:r>
        <w:r>
          <w:rPr>
            <w:noProof/>
            <w:webHidden/>
          </w:rPr>
          <w:fldChar w:fldCharType="begin"/>
        </w:r>
        <w:r w:rsidR="00BC6B01">
          <w:rPr>
            <w:noProof/>
            <w:webHidden/>
          </w:rPr>
          <w:instrText xml:space="preserve"> PAGEREF _Toc352328363 \h </w:instrText>
        </w:r>
        <w:r>
          <w:rPr>
            <w:noProof/>
            <w:webHidden/>
          </w:rPr>
        </w:r>
        <w:r>
          <w:rPr>
            <w:noProof/>
            <w:webHidden/>
          </w:rPr>
          <w:fldChar w:fldCharType="separate"/>
        </w:r>
        <w:r w:rsidR="00D92A26">
          <w:rPr>
            <w:noProof/>
            <w:webHidden/>
          </w:rPr>
          <w:t>74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4" w:history="1">
        <w:r w:rsidR="00BC6B01" w:rsidRPr="003037F2">
          <w:rPr>
            <w:rStyle w:val="Hypertextovodkaz"/>
            <w:noProof/>
          </w:rPr>
          <w:t>3.1.4</w:t>
        </w:r>
        <w:r w:rsidR="00BC6B01">
          <w:rPr>
            <w:rFonts w:asciiTheme="minorHAnsi" w:eastAsiaTheme="minorEastAsia" w:hAnsiTheme="minorHAnsi" w:cstheme="minorBidi"/>
            <w:i w:val="0"/>
            <w:noProof/>
            <w:sz w:val="22"/>
            <w:szCs w:val="22"/>
          </w:rPr>
          <w:tab/>
        </w:r>
        <w:r w:rsidR="00BC6B01" w:rsidRPr="003037F2">
          <w:rPr>
            <w:rStyle w:val="Hypertextovodkaz"/>
            <w:noProof/>
          </w:rPr>
          <w:t>Kategorie intervencí</w:t>
        </w:r>
        <w:r w:rsidR="00BC6B01">
          <w:rPr>
            <w:noProof/>
            <w:webHidden/>
          </w:rPr>
          <w:tab/>
        </w:r>
        <w:r>
          <w:rPr>
            <w:noProof/>
            <w:webHidden/>
          </w:rPr>
          <w:fldChar w:fldCharType="begin"/>
        </w:r>
        <w:r w:rsidR="00BC6B01">
          <w:rPr>
            <w:noProof/>
            <w:webHidden/>
          </w:rPr>
          <w:instrText xml:space="preserve"> PAGEREF _Toc352328364 \h </w:instrText>
        </w:r>
        <w:r>
          <w:rPr>
            <w:noProof/>
            <w:webHidden/>
          </w:rPr>
        </w:r>
        <w:r>
          <w:rPr>
            <w:noProof/>
            <w:webHidden/>
          </w:rPr>
          <w:fldChar w:fldCharType="separate"/>
        </w:r>
        <w:r w:rsidR="00D92A26">
          <w:rPr>
            <w:noProof/>
            <w:webHidden/>
          </w:rPr>
          <w:t>74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5" w:history="1">
        <w:r w:rsidR="00BC6B01" w:rsidRPr="003037F2">
          <w:rPr>
            <w:rStyle w:val="Hypertextovodkaz"/>
            <w:noProof/>
          </w:rPr>
          <w:t>3.1.5</w:t>
        </w:r>
        <w:r w:rsidR="00BC6B01">
          <w:rPr>
            <w:rFonts w:asciiTheme="minorHAnsi" w:eastAsiaTheme="minorEastAsia" w:hAnsiTheme="minorHAnsi" w:cstheme="minorBidi"/>
            <w:i w:val="0"/>
            <w:noProof/>
            <w:sz w:val="22"/>
            <w:szCs w:val="22"/>
          </w:rPr>
          <w:tab/>
        </w:r>
        <w:r w:rsidR="00BC6B01" w:rsidRPr="003037F2">
          <w:rPr>
            <w:rStyle w:val="Hypertextovodkaz"/>
            <w:noProof/>
          </w:rPr>
          <w:t>Souhrn plánovaného využití technické pomoci, včetně aktivit na posílení administrativní kapacity odpovědných subjektů a příjemců v dané prioritní ose</w:t>
        </w:r>
        <w:r w:rsidR="00BC6B01">
          <w:rPr>
            <w:noProof/>
            <w:webHidden/>
          </w:rPr>
          <w:tab/>
        </w:r>
        <w:r>
          <w:rPr>
            <w:noProof/>
            <w:webHidden/>
          </w:rPr>
          <w:fldChar w:fldCharType="begin"/>
        </w:r>
        <w:r w:rsidR="00BC6B01">
          <w:rPr>
            <w:noProof/>
            <w:webHidden/>
          </w:rPr>
          <w:instrText xml:space="preserve"> PAGEREF _Toc352328365 \h </w:instrText>
        </w:r>
        <w:r>
          <w:rPr>
            <w:noProof/>
            <w:webHidden/>
          </w:rPr>
        </w:r>
        <w:r>
          <w:rPr>
            <w:noProof/>
            <w:webHidden/>
          </w:rPr>
          <w:fldChar w:fldCharType="separate"/>
        </w:r>
        <w:r w:rsidR="00D92A26">
          <w:rPr>
            <w:noProof/>
            <w:webHidden/>
          </w:rPr>
          <w:t>75</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66" w:history="1">
        <w:r w:rsidR="00BC6B01" w:rsidRPr="003037F2">
          <w:rPr>
            <w:rStyle w:val="Hypertextovodkaz"/>
            <w:noProof/>
          </w:rPr>
          <w:t>3.2</w:t>
        </w:r>
        <w:r w:rsidR="00BC6B01">
          <w:rPr>
            <w:rFonts w:asciiTheme="minorHAnsi" w:eastAsiaTheme="minorEastAsia" w:hAnsiTheme="minorHAnsi" w:cstheme="minorBidi"/>
            <w:noProof/>
            <w:sz w:val="22"/>
            <w:szCs w:val="22"/>
          </w:rPr>
          <w:tab/>
        </w:r>
        <w:r w:rsidR="00BC6B01" w:rsidRPr="003037F2">
          <w:rPr>
            <w:rStyle w:val="Hypertextovodkaz"/>
            <w:noProof/>
          </w:rPr>
          <w:t>Prioritní osa 2 - Rozvoj infrastruktury a služeb podporujících podnikání ve znalostní ekonomice a internacionalizace podnikání</w:t>
        </w:r>
        <w:r w:rsidR="00BC6B01">
          <w:rPr>
            <w:noProof/>
            <w:webHidden/>
          </w:rPr>
          <w:tab/>
        </w:r>
        <w:r>
          <w:rPr>
            <w:noProof/>
            <w:webHidden/>
          </w:rPr>
          <w:fldChar w:fldCharType="begin"/>
        </w:r>
        <w:r w:rsidR="00BC6B01">
          <w:rPr>
            <w:noProof/>
            <w:webHidden/>
          </w:rPr>
          <w:instrText xml:space="preserve"> PAGEREF _Toc352328366 \h </w:instrText>
        </w:r>
        <w:r>
          <w:rPr>
            <w:noProof/>
            <w:webHidden/>
          </w:rPr>
        </w:r>
        <w:r>
          <w:rPr>
            <w:noProof/>
            <w:webHidden/>
          </w:rPr>
          <w:fldChar w:fldCharType="separate"/>
        </w:r>
        <w:r w:rsidR="00D92A26">
          <w:rPr>
            <w:noProof/>
            <w:webHidden/>
          </w:rPr>
          <w:t>75</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7" w:history="1">
        <w:r w:rsidR="00BC6B01" w:rsidRPr="003037F2">
          <w:rPr>
            <w:rStyle w:val="Hypertextovodkaz"/>
            <w:noProof/>
          </w:rPr>
          <w:t>3.2.1</w:t>
        </w:r>
        <w:r w:rsidR="00BC6B01">
          <w:rPr>
            <w:rFonts w:asciiTheme="minorHAnsi" w:eastAsiaTheme="minorEastAsia" w:hAnsiTheme="minorHAnsi" w:cstheme="minorBidi"/>
            <w:i w:val="0"/>
            <w:noProof/>
            <w:sz w:val="22"/>
            <w:szCs w:val="22"/>
          </w:rPr>
          <w:tab/>
        </w:r>
        <w:r w:rsidR="00BC6B01" w:rsidRPr="003037F2">
          <w:rPr>
            <w:rStyle w:val="Hypertextovodkaz"/>
            <w:noProof/>
          </w:rPr>
          <w:t>Identifikace investičních priorit a popis specifických cílů</w:t>
        </w:r>
        <w:r w:rsidR="00BC6B01">
          <w:rPr>
            <w:noProof/>
            <w:webHidden/>
          </w:rPr>
          <w:tab/>
        </w:r>
        <w:r>
          <w:rPr>
            <w:noProof/>
            <w:webHidden/>
          </w:rPr>
          <w:fldChar w:fldCharType="begin"/>
        </w:r>
        <w:r w:rsidR="00BC6B01">
          <w:rPr>
            <w:noProof/>
            <w:webHidden/>
          </w:rPr>
          <w:instrText xml:space="preserve"> PAGEREF _Toc352328367 \h </w:instrText>
        </w:r>
        <w:r>
          <w:rPr>
            <w:noProof/>
            <w:webHidden/>
          </w:rPr>
        </w:r>
        <w:r>
          <w:rPr>
            <w:noProof/>
            <w:webHidden/>
          </w:rPr>
          <w:fldChar w:fldCharType="separate"/>
        </w:r>
        <w:r w:rsidR="00D92A26">
          <w:rPr>
            <w:noProof/>
            <w:webHidden/>
          </w:rPr>
          <w:t>77</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8" w:history="1">
        <w:r w:rsidR="00BC6B01" w:rsidRPr="003037F2">
          <w:rPr>
            <w:rStyle w:val="Hypertextovodkaz"/>
            <w:noProof/>
          </w:rPr>
          <w:t>3.2.2</w:t>
        </w:r>
        <w:r w:rsidR="00BC6B01">
          <w:rPr>
            <w:rFonts w:asciiTheme="minorHAnsi" w:eastAsiaTheme="minorEastAsia" w:hAnsiTheme="minorHAnsi" w:cstheme="minorBidi"/>
            <w:i w:val="0"/>
            <w:noProof/>
            <w:sz w:val="22"/>
            <w:szCs w:val="22"/>
          </w:rPr>
          <w:tab/>
        </w:r>
        <w:r w:rsidR="00BC6B01" w:rsidRPr="003037F2">
          <w:rPr>
            <w:rStyle w:val="Hypertextovodkaz"/>
            <w:noProof/>
          </w:rPr>
          <w:t>Popis typu a příkladů aktivit, které budou podporovány v rámci dané investiční priority (dle investičních priorit)</w:t>
        </w:r>
        <w:r w:rsidR="00BC6B01">
          <w:rPr>
            <w:noProof/>
            <w:webHidden/>
          </w:rPr>
          <w:tab/>
        </w:r>
        <w:r>
          <w:rPr>
            <w:noProof/>
            <w:webHidden/>
          </w:rPr>
          <w:fldChar w:fldCharType="begin"/>
        </w:r>
        <w:r w:rsidR="00BC6B01">
          <w:rPr>
            <w:noProof/>
            <w:webHidden/>
          </w:rPr>
          <w:instrText xml:space="preserve"> PAGEREF _Toc352328368 \h </w:instrText>
        </w:r>
        <w:r>
          <w:rPr>
            <w:noProof/>
            <w:webHidden/>
          </w:rPr>
        </w:r>
        <w:r>
          <w:rPr>
            <w:noProof/>
            <w:webHidden/>
          </w:rPr>
          <w:fldChar w:fldCharType="separate"/>
        </w:r>
        <w:r w:rsidR="00D92A26">
          <w:rPr>
            <w:noProof/>
            <w:webHidden/>
          </w:rPr>
          <w:t>78</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69" w:history="1">
        <w:r w:rsidR="00BC6B01" w:rsidRPr="003037F2">
          <w:rPr>
            <w:rStyle w:val="Hypertextovodkaz"/>
            <w:noProof/>
          </w:rPr>
          <w:t>3.2.3</w:t>
        </w:r>
        <w:r w:rsidR="00BC6B01">
          <w:rPr>
            <w:rFonts w:asciiTheme="minorHAnsi" w:eastAsiaTheme="minorEastAsia" w:hAnsiTheme="minorHAnsi" w:cstheme="minorBidi"/>
            <w:i w:val="0"/>
            <w:noProof/>
            <w:sz w:val="22"/>
            <w:szCs w:val="22"/>
          </w:rPr>
          <w:tab/>
        </w:r>
        <w:r w:rsidR="00BC6B01" w:rsidRPr="003037F2">
          <w:rPr>
            <w:rStyle w:val="Hypertextovodkaz"/>
            <w:noProof/>
          </w:rPr>
          <w:t>Zvláštní ustanovení pro ESF (7.3A.3)</w:t>
        </w:r>
        <w:r w:rsidR="00BC6B01">
          <w:rPr>
            <w:noProof/>
            <w:webHidden/>
          </w:rPr>
          <w:tab/>
        </w:r>
        <w:r>
          <w:rPr>
            <w:noProof/>
            <w:webHidden/>
          </w:rPr>
          <w:fldChar w:fldCharType="begin"/>
        </w:r>
        <w:r w:rsidR="00BC6B01">
          <w:rPr>
            <w:noProof/>
            <w:webHidden/>
          </w:rPr>
          <w:instrText xml:space="preserve"> PAGEREF _Toc352328369 \h </w:instrText>
        </w:r>
        <w:r>
          <w:rPr>
            <w:noProof/>
            <w:webHidden/>
          </w:rPr>
        </w:r>
        <w:r>
          <w:rPr>
            <w:noProof/>
            <w:webHidden/>
          </w:rPr>
          <w:fldChar w:fldCharType="separate"/>
        </w:r>
        <w:r w:rsidR="00D92A26">
          <w:rPr>
            <w:noProof/>
            <w:webHidden/>
          </w:rPr>
          <w:t>83</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0" w:history="1">
        <w:r w:rsidR="00BC6B01" w:rsidRPr="003037F2">
          <w:rPr>
            <w:rStyle w:val="Hypertextovodkaz"/>
            <w:noProof/>
          </w:rPr>
          <w:t>3.2.4</w:t>
        </w:r>
        <w:r w:rsidR="00BC6B01">
          <w:rPr>
            <w:rFonts w:asciiTheme="minorHAnsi" w:eastAsiaTheme="minorEastAsia" w:hAnsiTheme="minorHAnsi" w:cstheme="minorBidi"/>
            <w:i w:val="0"/>
            <w:noProof/>
            <w:sz w:val="22"/>
            <w:szCs w:val="22"/>
          </w:rPr>
          <w:tab/>
        </w:r>
        <w:r w:rsidR="00BC6B01" w:rsidRPr="003037F2">
          <w:rPr>
            <w:rStyle w:val="Hypertextovodkaz"/>
            <w:noProof/>
          </w:rPr>
          <w:t>Výkonnostní rámec</w:t>
        </w:r>
        <w:r w:rsidR="00BC6B01">
          <w:rPr>
            <w:noProof/>
            <w:webHidden/>
          </w:rPr>
          <w:tab/>
        </w:r>
        <w:r>
          <w:rPr>
            <w:noProof/>
            <w:webHidden/>
          </w:rPr>
          <w:fldChar w:fldCharType="begin"/>
        </w:r>
        <w:r w:rsidR="00BC6B01">
          <w:rPr>
            <w:noProof/>
            <w:webHidden/>
          </w:rPr>
          <w:instrText xml:space="preserve"> PAGEREF _Toc352328370 \h </w:instrText>
        </w:r>
        <w:r>
          <w:rPr>
            <w:noProof/>
            <w:webHidden/>
          </w:rPr>
        </w:r>
        <w:r>
          <w:rPr>
            <w:noProof/>
            <w:webHidden/>
          </w:rPr>
          <w:fldChar w:fldCharType="separate"/>
        </w:r>
        <w:r w:rsidR="00D92A26">
          <w:rPr>
            <w:noProof/>
            <w:webHidden/>
          </w:rPr>
          <w:t>83</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1" w:history="1">
        <w:r w:rsidR="00BC6B01" w:rsidRPr="003037F2">
          <w:rPr>
            <w:rStyle w:val="Hypertextovodkaz"/>
            <w:noProof/>
          </w:rPr>
          <w:t>3.2.5</w:t>
        </w:r>
        <w:r w:rsidR="00BC6B01">
          <w:rPr>
            <w:rFonts w:asciiTheme="minorHAnsi" w:eastAsiaTheme="minorEastAsia" w:hAnsiTheme="minorHAnsi" w:cstheme="minorBidi"/>
            <w:i w:val="0"/>
            <w:noProof/>
            <w:sz w:val="22"/>
            <w:szCs w:val="22"/>
          </w:rPr>
          <w:tab/>
        </w:r>
        <w:r w:rsidR="00BC6B01" w:rsidRPr="003037F2">
          <w:rPr>
            <w:rStyle w:val="Hypertextovodkaz"/>
            <w:noProof/>
          </w:rPr>
          <w:t>Kategorie intervencí</w:t>
        </w:r>
        <w:r w:rsidR="00BC6B01">
          <w:rPr>
            <w:noProof/>
            <w:webHidden/>
          </w:rPr>
          <w:tab/>
        </w:r>
        <w:r>
          <w:rPr>
            <w:noProof/>
            <w:webHidden/>
          </w:rPr>
          <w:fldChar w:fldCharType="begin"/>
        </w:r>
        <w:r w:rsidR="00BC6B01">
          <w:rPr>
            <w:noProof/>
            <w:webHidden/>
          </w:rPr>
          <w:instrText xml:space="preserve"> PAGEREF _Toc352328371 \h </w:instrText>
        </w:r>
        <w:r>
          <w:rPr>
            <w:noProof/>
            <w:webHidden/>
          </w:rPr>
        </w:r>
        <w:r>
          <w:rPr>
            <w:noProof/>
            <w:webHidden/>
          </w:rPr>
          <w:fldChar w:fldCharType="separate"/>
        </w:r>
        <w:r w:rsidR="00D92A26">
          <w:rPr>
            <w:noProof/>
            <w:webHidden/>
          </w:rPr>
          <w:t>84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2" w:history="1">
        <w:r w:rsidR="00BC6B01" w:rsidRPr="003037F2">
          <w:rPr>
            <w:rStyle w:val="Hypertextovodkaz"/>
            <w:noProof/>
          </w:rPr>
          <w:t>3.2.6</w:t>
        </w:r>
        <w:r w:rsidR="00BC6B01">
          <w:rPr>
            <w:rFonts w:asciiTheme="minorHAnsi" w:eastAsiaTheme="minorEastAsia" w:hAnsiTheme="minorHAnsi" w:cstheme="minorBidi"/>
            <w:i w:val="0"/>
            <w:noProof/>
            <w:sz w:val="22"/>
            <w:szCs w:val="22"/>
          </w:rPr>
          <w:tab/>
        </w:r>
        <w:r w:rsidR="00BC6B01" w:rsidRPr="003037F2">
          <w:rPr>
            <w:rStyle w:val="Hypertextovodkaz"/>
            <w:noProof/>
          </w:rPr>
          <w:t>Souhrn plánovaného využití technické pomoci, včetně aktivit na posílení administrativní kapacity odpovědných subjektů a příjemců v dané prioritní ose</w:t>
        </w:r>
        <w:r w:rsidR="00BC6B01">
          <w:rPr>
            <w:noProof/>
            <w:webHidden/>
          </w:rPr>
          <w:tab/>
        </w:r>
        <w:r>
          <w:rPr>
            <w:noProof/>
            <w:webHidden/>
          </w:rPr>
          <w:fldChar w:fldCharType="begin"/>
        </w:r>
        <w:r w:rsidR="00BC6B01">
          <w:rPr>
            <w:noProof/>
            <w:webHidden/>
          </w:rPr>
          <w:instrText xml:space="preserve"> PAGEREF _Toc352328372 \h </w:instrText>
        </w:r>
        <w:r>
          <w:rPr>
            <w:noProof/>
            <w:webHidden/>
          </w:rPr>
        </w:r>
        <w:r>
          <w:rPr>
            <w:noProof/>
            <w:webHidden/>
          </w:rPr>
          <w:fldChar w:fldCharType="separate"/>
        </w:r>
        <w:r w:rsidR="00D92A26">
          <w:rPr>
            <w:noProof/>
            <w:webHidden/>
          </w:rPr>
          <w:t>84</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73" w:history="1">
        <w:r w:rsidR="00BC6B01" w:rsidRPr="003037F2">
          <w:rPr>
            <w:rStyle w:val="Hypertextovodkaz"/>
            <w:noProof/>
          </w:rPr>
          <w:t>3.3</w:t>
        </w:r>
        <w:r w:rsidR="00BC6B01">
          <w:rPr>
            <w:rFonts w:asciiTheme="minorHAnsi" w:eastAsiaTheme="minorEastAsia" w:hAnsiTheme="minorHAnsi" w:cstheme="minorBidi"/>
            <w:noProof/>
            <w:sz w:val="22"/>
            <w:szCs w:val="22"/>
          </w:rPr>
          <w:tab/>
        </w:r>
        <w:r w:rsidR="00BC6B01" w:rsidRPr="003037F2">
          <w:rPr>
            <w:rStyle w:val="Hypertextovodkaz"/>
            <w:noProof/>
          </w:rPr>
          <w:t>Prioritní osa 3 - Udržitelné hospodaření s energií a rozvoj inovací v energetice</w:t>
        </w:r>
        <w:r w:rsidR="00BC6B01">
          <w:rPr>
            <w:noProof/>
            <w:webHidden/>
          </w:rPr>
          <w:tab/>
        </w:r>
        <w:r>
          <w:rPr>
            <w:noProof/>
            <w:webHidden/>
          </w:rPr>
          <w:fldChar w:fldCharType="begin"/>
        </w:r>
        <w:r w:rsidR="00BC6B01">
          <w:rPr>
            <w:noProof/>
            <w:webHidden/>
          </w:rPr>
          <w:instrText xml:space="preserve"> PAGEREF _Toc352328373 \h </w:instrText>
        </w:r>
        <w:r>
          <w:rPr>
            <w:noProof/>
            <w:webHidden/>
          </w:rPr>
        </w:r>
        <w:r>
          <w:rPr>
            <w:noProof/>
            <w:webHidden/>
          </w:rPr>
          <w:fldChar w:fldCharType="separate"/>
        </w:r>
        <w:r w:rsidR="00D92A26">
          <w:rPr>
            <w:noProof/>
            <w:webHidden/>
          </w:rPr>
          <w:t>84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4" w:history="1">
        <w:r w:rsidR="00BC6B01" w:rsidRPr="003037F2">
          <w:rPr>
            <w:rStyle w:val="Hypertextovodkaz"/>
            <w:noProof/>
          </w:rPr>
          <w:t>3.3.1</w:t>
        </w:r>
        <w:r w:rsidR="00BC6B01">
          <w:rPr>
            <w:rFonts w:asciiTheme="minorHAnsi" w:eastAsiaTheme="minorEastAsia" w:hAnsiTheme="minorHAnsi" w:cstheme="minorBidi"/>
            <w:i w:val="0"/>
            <w:noProof/>
            <w:sz w:val="22"/>
            <w:szCs w:val="22"/>
          </w:rPr>
          <w:tab/>
        </w:r>
        <w:r w:rsidR="00BC6B01" w:rsidRPr="003037F2">
          <w:rPr>
            <w:rStyle w:val="Hypertextovodkaz"/>
            <w:noProof/>
          </w:rPr>
          <w:t>Identifikace investičních priorit a popis specifických cílů</w:t>
        </w:r>
        <w:r w:rsidR="00BC6B01">
          <w:rPr>
            <w:noProof/>
            <w:webHidden/>
          </w:rPr>
          <w:tab/>
        </w:r>
        <w:r>
          <w:rPr>
            <w:noProof/>
            <w:webHidden/>
          </w:rPr>
          <w:fldChar w:fldCharType="begin"/>
        </w:r>
        <w:r w:rsidR="00BC6B01">
          <w:rPr>
            <w:noProof/>
            <w:webHidden/>
          </w:rPr>
          <w:instrText xml:space="preserve"> PAGEREF _Toc352328374 \h </w:instrText>
        </w:r>
        <w:r>
          <w:rPr>
            <w:noProof/>
            <w:webHidden/>
          </w:rPr>
        </w:r>
        <w:r>
          <w:rPr>
            <w:noProof/>
            <w:webHidden/>
          </w:rPr>
          <w:fldChar w:fldCharType="separate"/>
        </w:r>
        <w:r w:rsidR="00D92A26">
          <w:rPr>
            <w:noProof/>
            <w:webHidden/>
          </w:rPr>
          <w:t>86</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5" w:history="1">
        <w:r w:rsidR="00BC6B01" w:rsidRPr="003037F2">
          <w:rPr>
            <w:rStyle w:val="Hypertextovodkaz"/>
            <w:noProof/>
          </w:rPr>
          <w:t>3.3.2</w:t>
        </w:r>
        <w:r w:rsidR="00BC6B01">
          <w:rPr>
            <w:rFonts w:asciiTheme="minorHAnsi" w:eastAsiaTheme="minorEastAsia" w:hAnsiTheme="minorHAnsi" w:cstheme="minorBidi"/>
            <w:i w:val="0"/>
            <w:noProof/>
            <w:sz w:val="22"/>
            <w:szCs w:val="22"/>
          </w:rPr>
          <w:tab/>
        </w:r>
        <w:r w:rsidR="00BC6B01" w:rsidRPr="003037F2">
          <w:rPr>
            <w:rStyle w:val="Hypertextovodkaz"/>
            <w:noProof/>
          </w:rPr>
          <w:t>Popis typu a příkladů aktivit, které budou podporovány v rámci dané investiční priority (dle investičních priorit)</w:t>
        </w:r>
        <w:r w:rsidR="00BC6B01">
          <w:rPr>
            <w:noProof/>
            <w:webHidden/>
          </w:rPr>
          <w:tab/>
        </w:r>
        <w:r>
          <w:rPr>
            <w:noProof/>
            <w:webHidden/>
          </w:rPr>
          <w:fldChar w:fldCharType="begin"/>
        </w:r>
        <w:r w:rsidR="00BC6B01">
          <w:rPr>
            <w:noProof/>
            <w:webHidden/>
          </w:rPr>
          <w:instrText xml:space="preserve"> PAGEREF _Toc352328375 \h </w:instrText>
        </w:r>
        <w:r>
          <w:rPr>
            <w:noProof/>
            <w:webHidden/>
          </w:rPr>
        </w:r>
        <w:r>
          <w:rPr>
            <w:noProof/>
            <w:webHidden/>
          </w:rPr>
          <w:fldChar w:fldCharType="separate"/>
        </w:r>
        <w:r w:rsidR="00D92A26">
          <w:rPr>
            <w:noProof/>
            <w:webHidden/>
          </w:rPr>
          <w:t>90</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6" w:history="1">
        <w:r w:rsidR="00BC6B01" w:rsidRPr="003037F2">
          <w:rPr>
            <w:rStyle w:val="Hypertextovodkaz"/>
            <w:noProof/>
          </w:rPr>
          <w:t>3.3.3</w:t>
        </w:r>
        <w:r w:rsidR="00BC6B01">
          <w:rPr>
            <w:rFonts w:asciiTheme="minorHAnsi" w:eastAsiaTheme="minorEastAsia" w:hAnsiTheme="minorHAnsi" w:cstheme="minorBidi"/>
            <w:i w:val="0"/>
            <w:noProof/>
            <w:sz w:val="22"/>
            <w:szCs w:val="22"/>
          </w:rPr>
          <w:tab/>
        </w:r>
        <w:r w:rsidR="00BC6B01" w:rsidRPr="003037F2">
          <w:rPr>
            <w:rStyle w:val="Hypertextovodkaz"/>
            <w:noProof/>
          </w:rPr>
          <w:t>Výkonnostní rámec</w:t>
        </w:r>
        <w:r w:rsidR="00BC6B01">
          <w:rPr>
            <w:noProof/>
            <w:webHidden/>
          </w:rPr>
          <w:tab/>
        </w:r>
        <w:r>
          <w:rPr>
            <w:noProof/>
            <w:webHidden/>
          </w:rPr>
          <w:fldChar w:fldCharType="begin"/>
        </w:r>
        <w:r w:rsidR="00BC6B01">
          <w:rPr>
            <w:noProof/>
            <w:webHidden/>
          </w:rPr>
          <w:instrText xml:space="preserve"> PAGEREF _Toc352328376 \h </w:instrText>
        </w:r>
        <w:r>
          <w:rPr>
            <w:noProof/>
            <w:webHidden/>
          </w:rPr>
        </w:r>
        <w:r>
          <w:rPr>
            <w:noProof/>
            <w:webHidden/>
          </w:rPr>
          <w:fldChar w:fldCharType="separate"/>
        </w:r>
        <w:r w:rsidR="00D92A26">
          <w:rPr>
            <w:noProof/>
            <w:webHidden/>
          </w:rPr>
          <w:t>95</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7" w:history="1">
        <w:r w:rsidR="00BC6B01" w:rsidRPr="003037F2">
          <w:rPr>
            <w:rStyle w:val="Hypertextovodkaz"/>
            <w:noProof/>
          </w:rPr>
          <w:t>3.3.4</w:t>
        </w:r>
        <w:r w:rsidR="00BC6B01">
          <w:rPr>
            <w:rFonts w:asciiTheme="minorHAnsi" w:eastAsiaTheme="minorEastAsia" w:hAnsiTheme="minorHAnsi" w:cstheme="minorBidi"/>
            <w:i w:val="0"/>
            <w:noProof/>
            <w:sz w:val="22"/>
            <w:szCs w:val="22"/>
          </w:rPr>
          <w:tab/>
        </w:r>
        <w:r w:rsidR="00BC6B01" w:rsidRPr="003037F2">
          <w:rPr>
            <w:rStyle w:val="Hypertextovodkaz"/>
            <w:noProof/>
          </w:rPr>
          <w:t>Kategorie intervencí</w:t>
        </w:r>
        <w:r w:rsidR="00BC6B01">
          <w:rPr>
            <w:noProof/>
            <w:webHidden/>
          </w:rPr>
          <w:tab/>
        </w:r>
        <w:r>
          <w:rPr>
            <w:noProof/>
            <w:webHidden/>
          </w:rPr>
          <w:fldChar w:fldCharType="begin"/>
        </w:r>
        <w:r w:rsidR="00BC6B01">
          <w:rPr>
            <w:noProof/>
            <w:webHidden/>
          </w:rPr>
          <w:instrText xml:space="preserve"> PAGEREF _Toc352328377 \h </w:instrText>
        </w:r>
        <w:r>
          <w:rPr>
            <w:noProof/>
            <w:webHidden/>
          </w:rPr>
        </w:r>
        <w:r>
          <w:rPr>
            <w:noProof/>
            <w:webHidden/>
          </w:rPr>
          <w:fldChar w:fldCharType="separate"/>
        </w:r>
        <w:r w:rsidR="00D92A26">
          <w:rPr>
            <w:noProof/>
            <w:webHidden/>
          </w:rPr>
          <w:t>95</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78" w:history="1">
        <w:r w:rsidR="00BC6B01" w:rsidRPr="003037F2">
          <w:rPr>
            <w:rStyle w:val="Hypertextovodkaz"/>
            <w:noProof/>
          </w:rPr>
          <w:t>3.3.5</w:t>
        </w:r>
        <w:r w:rsidR="00BC6B01">
          <w:rPr>
            <w:rFonts w:asciiTheme="minorHAnsi" w:eastAsiaTheme="minorEastAsia" w:hAnsiTheme="minorHAnsi" w:cstheme="minorBidi"/>
            <w:i w:val="0"/>
            <w:noProof/>
            <w:sz w:val="22"/>
            <w:szCs w:val="22"/>
          </w:rPr>
          <w:tab/>
        </w:r>
        <w:r w:rsidR="00BC6B01" w:rsidRPr="003037F2">
          <w:rPr>
            <w:rStyle w:val="Hypertextovodkaz"/>
            <w:noProof/>
          </w:rPr>
          <w:t>Souhrn plánovaného využití technické pomoci, včetně aktivit na posílení administrativní kapacity odpovědných subjektů a příjemců v dané prioritní ose</w:t>
        </w:r>
        <w:r w:rsidR="00BC6B01">
          <w:rPr>
            <w:noProof/>
            <w:webHidden/>
          </w:rPr>
          <w:tab/>
        </w:r>
        <w:r>
          <w:rPr>
            <w:noProof/>
            <w:webHidden/>
          </w:rPr>
          <w:fldChar w:fldCharType="begin"/>
        </w:r>
        <w:r w:rsidR="00BC6B01">
          <w:rPr>
            <w:noProof/>
            <w:webHidden/>
          </w:rPr>
          <w:instrText xml:space="preserve"> PAGEREF _Toc352328378 \h </w:instrText>
        </w:r>
        <w:r>
          <w:rPr>
            <w:noProof/>
            <w:webHidden/>
          </w:rPr>
        </w:r>
        <w:r>
          <w:rPr>
            <w:noProof/>
            <w:webHidden/>
          </w:rPr>
          <w:fldChar w:fldCharType="separate"/>
        </w:r>
        <w:r w:rsidR="00D92A26">
          <w:rPr>
            <w:noProof/>
            <w:webHidden/>
          </w:rPr>
          <w:t>96</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79" w:history="1">
        <w:r w:rsidR="00BC6B01" w:rsidRPr="003037F2">
          <w:rPr>
            <w:rStyle w:val="Hypertextovodkaz"/>
            <w:noProof/>
          </w:rPr>
          <w:t>3.4</w:t>
        </w:r>
        <w:r w:rsidR="00BC6B01">
          <w:rPr>
            <w:rFonts w:asciiTheme="minorHAnsi" w:eastAsiaTheme="minorEastAsia" w:hAnsiTheme="minorHAnsi" w:cstheme="minorBidi"/>
            <w:noProof/>
            <w:sz w:val="22"/>
            <w:szCs w:val="22"/>
          </w:rPr>
          <w:tab/>
        </w:r>
        <w:r w:rsidR="00BC6B01" w:rsidRPr="003037F2">
          <w:rPr>
            <w:rStyle w:val="Hypertextovodkaz"/>
            <w:noProof/>
          </w:rPr>
          <w:t>Prioritní osa 4 - Rozvoj vysokorychlostních přístupových sítí k internetu a informačních a komunikačních technologií</w:t>
        </w:r>
        <w:r w:rsidR="00BC6B01">
          <w:rPr>
            <w:noProof/>
            <w:webHidden/>
          </w:rPr>
          <w:tab/>
        </w:r>
        <w:r>
          <w:rPr>
            <w:noProof/>
            <w:webHidden/>
          </w:rPr>
          <w:fldChar w:fldCharType="begin"/>
        </w:r>
        <w:r w:rsidR="00BC6B01">
          <w:rPr>
            <w:noProof/>
            <w:webHidden/>
          </w:rPr>
          <w:instrText xml:space="preserve"> PAGEREF _Toc352328379 \h </w:instrText>
        </w:r>
        <w:r>
          <w:rPr>
            <w:noProof/>
            <w:webHidden/>
          </w:rPr>
        </w:r>
        <w:r>
          <w:rPr>
            <w:noProof/>
            <w:webHidden/>
          </w:rPr>
          <w:fldChar w:fldCharType="separate"/>
        </w:r>
        <w:r w:rsidR="00D92A26">
          <w:rPr>
            <w:noProof/>
            <w:webHidden/>
          </w:rPr>
          <w:t>96</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0" w:history="1">
        <w:r w:rsidR="00BC6B01" w:rsidRPr="003037F2">
          <w:rPr>
            <w:rStyle w:val="Hypertextovodkaz"/>
            <w:noProof/>
          </w:rPr>
          <w:t>3.4.1</w:t>
        </w:r>
        <w:r w:rsidR="00BC6B01">
          <w:rPr>
            <w:rFonts w:asciiTheme="minorHAnsi" w:eastAsiaTheme="minorEastAsia" w:hAnsiTheme="minorHAnsi" w:cstheme="minorBidi"/>
            <w:i w:val="0"/>
            <w:noProof/>
            <w:sz w:val="22"/>
            <w:szCs w:val="22"/>
          </w:rPr>
          <w:tab/>
        </w:r>
        <w:r w:rsidR="00BC6B01" w:rsidRPr="003037F2">
          <w:rPr>
            <w:rStyle w:val="Hypertextovodkaz"/>
            <w:noProof/>
          </w:rPr>
          <w:t>Identifikace investičních priorit a popis specifických cílů</w:t>
        </w:r>
        <w:r w:rsidR="00BC6B01">
          <w:rPr>
            <w:noProof/>
            <w:webHidden/>
          </w:rPr>
          <w:tab/>
        </w:r>
        <w:r>
          <w:rPr>
            <w:noProof/>
            <w:webHidden/>
          </w:rPr>
          <w:fldChar w:fldCharType="begin"/>
        </w:r>
        <w:r w:rsidR="00BC6B01">
          <w:rPr>
            <w:noProof/>
            <w:webHidden/>
          </w:rPr>
          <w:instrText xml:space="preserve"> PAGEREF _Toc352328380 \h </w:instrText>
        </w:r>
        <w:r>
          <w:rPr>
            <w:noProof/>
            <w:webHidden/>
          </w:rPr>
        </w:r>
        <w:r>
          <w:rPr>
            <w:noProof/>
            <w:webHidden/>
          </w:rPr>
          <w:fldChar w:fldCharType="separate"/>
        </w:r>
        <w:r w:rsidR="00D92A26">
          <w:rPr>
            <w:noProof/>
            <w:webHidden/>
          </w:rPr>
          <w:t>98</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1" w:history="1">
        <w:r w:rsidR="00BC6B01" w:rsidRPr="003037F2">
          <w:rPr>
            <w:rStyle w:val="Hypertextovodkaz"/>
            <w:noProof/>
          </w:rPr>
          <w:t>3.4.2</w:t>
        </w:r>
        <w:r w:rsidR="00BC6B01">
          <w:rPr>
            <w:rFonts w:asciiTheme="minorHAnsi" w:eastAsiaTheme="minorEastAsia" w:hAnsiTheme="minorHAnsi" w:cstheme="minorBidi"/>
            <w:i w:val="0"/>
            <w:noProof/>
            <w:sz w:val="22"/>
            <w:szCs w:val="22"/>
          </w:rPr>
          <w:tab/>
        </w:r>
        <w:r w:rsidR="00BC6B01" w:rsidRPr="003037F2">
          <w:rPr>
            <w:rStyle w:val="Hypertextovodkaz"/>
            <w:noProof/>
          </w:rPr>
          <w:t>Popis typu a příkladů aktivit, které budou podporovány v rámci dané investiční priority (dle investičních priorit)</w:t>
        </w:r>
        <w:r w:rsidR="00BC6B01">
          <w:rPr>
            <w:noProof/>
            <w:webHidden/>
          </w:rPr>
          <w:tab/>
        </w:r>
        <w:r>
          <w:rPr>
            <w:noProof/>
            <w:webHidden/>
          </w:rPr>
          <w:fldChar w:fldCharType="begin"/>
        </w:r>
        <w:r w:rsidR="00BC6B01">
          <w:rPr>
            <w:noProof/>
            <w:webHidden/>
          </w:rPr>
          <w:instrText xml:space="preserve"> PAGEREF _Toc352328381 \h </w:instrText>
        </w:r>
        <w:r>
          <w:rPr>
            <w:noProof/>
            <w:webHidden/>
          </w:rPr>
        </w:r>
        <w:r>
          <w:rPr>
            <w:noProof/>
            <w:webHidden/>
          </w:rPr>
          <w:fldChar w:fldCharType="separate"/>
        </w:r>
        <w:r w:rsidR="00D92A26">
          <w:rPr>
            <w:noProof/>
            <w:webHidden/>
          </w:rPr>
          <w:t>100</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2" w:history="1">
        <w:r w:rsidR="00BC6B01" w:rsidRPr="003037F2">
          <w:rPr>
            <w:rStyle w:val="Hypertextovodkaz"/>
            <w:noProof/>
          </w:rPr>
          <w:t>3.4.3</w:t>
        </w:r>
        <w:r w:rsidR="00BC6B01">
          <w:rPr>
            <w:rFonts w:asciiTheme="minorHAnsi" w:eastAsiaTheme="minorEastAsia" w:hAnsiTheme="minorHAnsi" w:cstheme="minorBidi"/>
            <w:i w:val="0"/>
            <w:noProof/>
            <w:sz w:val="22"/>
            <w:szCs w:val="22"/>
          </w:rPr>
          <w:tab/>
        </w:r>
        <w:r w:rsidR="00BC6B01" w:rsidRPr="003037F2">
          <w:rPr>
            <w:rStyle w:val="Hypertextovodkaz"/>
            <w:noProof/>
          </w:rPr>
          <w:t>Výkonnostní rámec</w:t>
        </w:r>
        <w:r w:rsidR="00BC6B01">
          <w:rPr>
            <w:noProof/>
            <w:webHidden/>
          </w:rPr>
          <w:tab/>
        </w:r>
        <w:r>
          <w:rPr>
            <w:noProof/>
            <w:webHidden/>
          </w:rPr>
          <w:fldChar w:fldCharType="begin"/>
        </w:r>
        <w:r w:rsidR="00BC6B01">
          <w:rPr>
            <w:noProof/>
            <w:webHidden/>
          </w:rPr>
          <w:instrText xml:space="preserve"> PAGEREF _Toc352328382 \h </w:instrText>
        </w:r>
        <w:r>
          <w:rPr>
            <w:noProof/>
            <w:webHidden/>
          </w:rPr>
        </w:r>
        <w:r>
          <w:rPr>
            <w:noProof/>
            <w:webHidden/>
          </w:rPr>
          <w:fldChar w:fldCharType="separate"/>
        </w:r>
        <w:r w:rsidR="00D92A26">
          <w:rPr>
            <w:noProof/>
            <w:webHidden/>
          </w:rPr>
          <w:t>103</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3" w:history="1">
        <w:r w:rsidR="00BC6B01" w:rsidRPr="003037F2">
          <w:rPr>
            <w:rStyle w:val="Hypertextovodkaz"/>
            <w:noProof/>
          </w:rPr>
          <w:t>3.4.4</w:t>
        </w:r>
        <w:r w:rsidR="00BC6B01">
          <w:rPr>
            <w:rFonts w:asciiTheme="minorHAnsi" w:eastAsiaTheme="minorEastAsia" w:hAnsiTheme="minorHAnsi" w:cstheme="minorBidi"/>
            <w:i w:val="0"/>
            <w:noProof/>
            <w:sz w:val="22"/>
            <w:szCs w:val="22"/>
          </w:rPr>
          <w:tab/>
        </w:r>
        <w:r w:rsidR="00BC6B01" w:rsidRPr="003037F2">
          <w:rPr>
            <w:rStyle w:val="Hypertextovodkaz"/>
            <w:noProof/>
          </w:rPr>
          <w:t>Kategorie intervencí</w:t>
        </w:r>
        <w:r w:rsidR="00BC6B01">
          <w:rPr>
            <w:noProof/>
            <w:webHidden/>
          </w:rPr>
          <w:tab/>
        </w:r>
        <w:r>
          <w:rPr>
            <w:noProof/>
            <w:webHidden/>
          </w:rPr>
          <w:fldChar w:fldCharType="begin"/>
        </w:r>
        <w:r w:rsidR="00BC6B01">
          <w:rPr>
            <w:noProof/>
            <w:webHidden/>
          </w:rPr>
          <w:instrText xml:space="preserve"> PAGEREF _Toc352328383 \h </w:instrText>
        </w:r>
        <w:r>
          <w:rPr>
            <w:noProof/>
            <w:webHidden/>
          </w:rPr>
        </w:r>
        <w:r>
          <w:rPr>
            <w:noProof/>
            <w:webHidden/>
          </w:rPr>
          <w:fldChar w:fldCharType="separate"/>
        </w:r>
        <w:r w:rsidR="00D92A26">
          <w:rPr>
            <w:noProof/>
            <w:webHidden/>
          </w:rPr>
          <w:t>103</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4" w:history="1">
        <w:r w:rsidR="00BC6B01" w:rsidRPr="003037F2">
          <w:rPr>
            <w:rStyle w:val="Hypertextovodkaz"/>
            <w:noProof/>
          </w:rPr>
          <w:t>3.4.5</w:t>
        </w:r>
        <w:r w:rsidR="00BC6B01">
          <w:rPr>
            <w:rFonts w:asciiTheme="minorHAnsi" w:eastAsiaTheme="minorEastAsia" w:hAnsiTheme="minorHAnsi" w:cstheme="minorBidi"/>
            <w:i w:val="0"/>
            <w:noProof/>
            <w:sz w:val="22"/>
            <w:szCs w:val="22"/>
          </w:rPr>
          <w:tab/>
        </w:r>
        <w:r w:rsidR="00BC6B01" w:rsidRPr="003037F2">
          <w:rPr>
            <w:rStyle w:val="Hypertextovodkaz"/>
            <w:noProof/>
          </w:rPr>
          <w:t>Souhrn plánovaného využití technické pomoci, včetně aktivit na posílení administrativní kapacity odpovědných subjektů a příjemců v dané prioritní ose</w:t>
        </w:r>
        <w:r w:rsidR="00BC6B01">
          <w:rPr>
            <w:noProof/>
            <w:webHidden/>
          </w:rPr>
          <w:tab/>
        </w:r>
        <w:r>
          <w:rPr>
            <w:noProof/>
            <w:webHidden/>
          </w:rPr>
          <w:fldChar w:fldCharType="begin"/>
        </w:r>
        <w:r w:rsidR="00BC6B01">
          <w:rPr>
            <w:noProof/>
            <w:webHidden/>
          </w:rPr>
          <w:instrText xml:space="preserve"> PAGEREF _Toc352328384 \h </w:instrText>
        </w:r>
        <w:r>
          <w:rPr>
            <w:noProof/>
            <w:webHidden/>
          </w:rPr>
        </w:r>
        <w:r>
          <w:rPr>
            <w:noProof/>
            <w:webHidden/>
          </w:rPr>
          <w:fldChar w:fldCharType="separate"/>
        </w:r>
        <w:r w:rsidR="00D92A26">
          <w:rPr>
            <w:noProof/>
            <w:webHidden/>
          </w:rPr>
          <w:t>104</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85" w:history="1">
        <w:r w:rsidR="00BC6B01" w:rsidRPr="003037F2">
          <w:rPr>
            <w:rStyle w:val="Hypertextovodkaz"/>
            <w:noProof/>
          </w:rPr>
          <w:t>3.5</w:t>
        </w:r>
        <w:r w:rsidR="00BC6B01">
          <w:rPr>
            <w:rFonts w:asciiTheme="minorHAnsi" w:eastAsiaTheme="minorEastAsia" w:hAnsiTheme="minorHAnsi" w:cstheme="minorBidi"/>
            <w:noProof/>
            <w:sz w:val="22"/>
            <w:szCs w:val="22"/>
          </w:rPr>
          <w:tab/>
        </w:r>
        <w:r w:rsidR="00BC6B01" w:rsidRPr="003037F2">
          <w:rPr>
            <w:rStyle w:val="Hypertextovodkaz"/>
            <w:noProof/>
          </w:rPr>
          <w:t>Prioritní osa 5 - Technická pomoc (7.3B)</w:t>
        </w:r>
        <w:r w:rsidR="00BC6B01">
          <w:rPr>
            <w:noProof/>
            <w:webHidden/>
          </w:rPr>
          <w:tab/>
        </w:r>
        <w:r>
          <w:rPr>
            <w:noProof/>
            <w:webHidden/>
          </w:rPr>
          <w:fldChar w:fldCharType="begin"/>
        </w:r>
        <w:r w:rsidR="00BC6B01">
          <w:rPr>
            <w:noProof/>
            <w:webHidden/>
          </w:rPr>
          <w:instrText xml:space="preserve"> PAGEREF _Toc352328385 \h </w:instrText>
        </w:r>
        <w:r>
          <w:rPr>
            <w:noProof/>
            <w:webHidden/>
          </w:rPr>
        </w:r>
        <w:r>
          <w:rPr>
            <w:noProof/>
            <w:webHidden/>
          </w:rPr>
          <w:fldChar w:fldCharType="separate"/>
        </w:r>
        <w:r w:rsidR="00D92A26">
          <w:rPr>
            <w:noProof/>
            <w:webHidden/>
          </w:rPr>
          <w:t>104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6" w:history="1">
        <w:r w:rsidR="00BC6B01" w:rsidRPr="003037F2">
          <w:rPr>
            <w:rStyle w:val="Hypertextovodkaz"/>
            <w:noProof/>
          </w:rPr>
          <w:t>3.5.1</w:t>
        </w:r>
        <w:r w:rsidR="00BC6B01">
          <w:rPr>
            <w:rFonts w:asciiTheme="minorHAnsi" w:eastAsiaTheme="minorEastAsia" w:hAnsiTheme="minorHAnsi" w:cstheme="minorBidi"/>
            <w:i w:val="0"/>
            <w:noProof/>
            <w:sz w:val="22"/>
            <w:szCs w:val="22"/>
          </w:rPr>
          <w:tab/>
        </w:r>
        <w:r w:rsidR="00BC6B01" w:rsidRPr="003037F2">
          <w:rPr>
            <w:rStyle w:val="Hypertextovodkaz"/>
            <w:noProof/>
          </w:rPr>
          <w:t>Specifické cíle a očekávané výsledky (7.3B.1)</w:t>
        </w:r>
        <w:r w:rsidR="00BC6B01">
          <w:rPr>
            <w:noProof/>
            <w:webHidden/>
          </w:rPr>
          <w:tab/>
        </w:r>
        <w:r>
          <w:rPr>
            <w:noProof/>
            <w:webHidden/>
          </w:rPr>
          <w:fldChar w:fldCharType="begin"/>
        </w:r>
        <w:r w:rsidR="00BC6B01">
          <w:rPr>
            <w:noProof/>
            <w:webHidden/>
          </w:rPr>
          <w:instrText xml:space="preserve"> PAGEREF _Toc352328386 \h </w:instrText>
        </w:r>
        <w:r>
          <w:rPr>
            <w:noProof/>
            <w:webHidden/>
          </w:rPr>
        </w:r>
        <w:r>
          <w:rPr>
            <w:noProof/>
            <w:webHidden/>
          </w:rPr>
          <w:fldChar w:fldCharType="separate"/>
        </w:r>
        <w:r w:rsidR="00D92A26">
          <w:rPr>
            <w:noProof/>
            <w:webHidden/>
          </w:rPr>
          <w:t>104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7" w:history="1">
        <w:r w:rsidR="00BC6B01" w:rsidRPr="003037F2">
          <w:rPr>
            <w:rStyle w:val="Hypertextovodkaz"/>
            <w:noProof/>
          </w:rPr>
          <w:t>3.5.2</w:t>
        </w:r>
        <w:r w:rsidR="00BC6B01">
          <w:rPr>
            <w:rFonts w:asciiTheme="minorHAnsi" w:eastAsiaTheme="minorEastAsia" w:hAnsiTheme="minorHAnsi" w:cstheme="minorBidi"/>
            <w:i w:val="0"/>
            <w:noProof/>
            <w:sz w:val="22"/>
            <w:szCs w:val="22"/>
          </w:rPr>
          <w:tab/>
        </w:r>
        <w:r w:rsidR="00BC6B01" w:rsidRPr="003037F2">
          <w:rPr>
            <w:rStyle w:val="Hypertextovodkaz"/>
            <w:noProof/>
          </w:rPr>
          <w:t>Seznam indikátorů (pouze pokud příspěvek EU na technickou pomoc přesáhne 15 mil. EUR)</w:t>
        </w:r>
        <w:r w:rsidR="00BC6B01">
          <w:rPr>
            <w:noProof/>
            <w:webHidden/>
          </w:rPr>
          <w:tab/>
        </w:r>
        <w:r>
          <w:rPr>
            <w:noProof/>
            <w:webHidden/>
          </w:rPr>
          <w:fldChar w:fldCharType="begin"/>
        </w:r>
        <w:r w:rsidR="00BC6B01">
          <w:rPr>
            <w:noProof/>
            <w:webHidden/>
          </w:rPr>
          <w:instrText xml:space="preserve"> PAGEREF _Toc352328387 \h </w:instrText>
        </w:r>
        <w:r>
          <w:rPr>
            <w:noProof/>
            <w:webHidden/>
          </w:rPr>
        </w:r>
        <w:r>
          <w:rPr>
            <w:noProof/>
            <w:webHidden/>
          </w:rPr>
          <w:fldChar w:fldCharType="separate"/>
        </w:r>
        <w:r w:rsidR="00D92A26">
          <w:rPr>
            <w:noProof/>
            <w:webHidden/>
          </w:rPr>
          <w:t>104</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8" w:history="1">
        <w:r w:rsidR="00BC6B01" w:rsidRPr="003037F2">
          <w:rPr>
            <w:rStyle w:val="Hypertextovodkaz"/>
            <w:noProof/>
          </w:rPr>
          <w:t>3.5.3</w:t>
        </w:r>
        <w:r w:rsidR="00BC6B01">
          <w:rPr>
            <w:rFonts w:asciiTheme="minorHAnsi" w:eastAsiaTheme="minorEastAsia" w:hAnsiTheme="minorHAnsi" w:cstheme="minorBidi"/>
            <w:i w:val="0"/>
            <w:noProof/>
            <w:sz w:val="22"/>
            <w:szCs w:val="22"/>
          </w:rPr>
          <w:tab/>
        </w:r>
        <w:r w:rsidR="00BC6B01" w:rsidRPr="003037F2">
          <w:rPr>
            <w:rStyle w:val="Hypertextovodkaz"/>
            <w:noProof/>
          </w:rPr>
          <w:t>Popis podporovaných aktivit a jejich očekávaný příspěvek k naplnění specifických cílů (7.3B.3)</w:t>
        </w:r>
        <w:r w:rsidR="00BC6B01">
          <w:rPr>
            <w:noProof/>
            <w:webHidden/>
          </w:rPr>
          <w:tab/>
        </w:r>
        <w:r>
          <w:rPr>
            <w:noProof/>
            <w:webHidden/>
          </w:rPr>
          <w:fldChar w:fldCharType="begin"/>
        </w:r>
        <w:r w:rsidR="00BC6B01">
          <w:rPr>
            <w:noProof/>
            <w:webHidden/>
          </w:rPr>
          <w:instrText xml:space="preserve"> PAGEREF _Toc352328388 \h </w:instrText>
        </w:r>
        <w:r>
          <w:rPr>
            <w:noProof/>
            <w:webHidden/>
          </w:rPr>
        </w:r>
        <w:r>
          <w:rPr>
            <w:noProof/>
            <w:webHidden/>
          </w:rPr>
          <w:fldChar w:fldCharType="separate"/>
        </w:r>
        <w:r w:rsidR="00D92A26">
          <w:rPr>
            <w:noProof/>
            <w:webHidden/>
          </w:rPr>
          <w:t>105</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89" w:history="1">
        <w:r w:rsidR="00BC6B01" w:rsidRPr="003037F2">
          <w:rPr>
            <w:rStyle w:val="Hypertextovodkaz"/>
            <w:noProof/>
          </w:rPr>
          <w:t>3.5.4</w:t>
        </w:r>
        <w:r w:rsidR="00BC6B01">
          <w:rPr>
            <w:rFonts w:asciiTheme="minorHAnsi" w:eastAsiaTheme="minorEastAsia" w:hAnsiTheme="minorHAnsi" w:cstheme="minorBidi"/>
            <w:i w:val="0"/>
            <w:noProof/>
            <w:sz w:val="22"/>
            <w:szCs w:val="22"/>
          </w:rPr>
          <w:tab/>
        </w:r>
        <w:r w:rsidR="00BC6B01" w:rsidRPr="003037F2">
          <w:rPr>
            <w:rStyle w:val="Hypertextovodkaz"/>
            <w:noProof/>
          </w:rPr>
          <w:t>Kategorie intervencí (7.3B.4)</w:t>
        </w:r>
        <w:r w:rsidR="00BC6B01">
          <w:rPr>
            <w:noProof/>
            <w:webHidden/>
          </w:rPr>
          <w:tab/>
        </w:r>
        <w:r>
          <w:rPr>
            <w:noProof/>
            <w:webHidden/>
          </w:rPr>
          <w:fldChar w:fldCharType="begin"/>
        </w:r>
        <w:r w:rsidR="00BC6B01">
          <w:rPr>
            <w:noProof/>
            <w:webHidden/>
          </w:rPr>
          <w:instrText xml:space="preserve"> PAGEREF _Toc352328389 \h </w:instrText>
        </w:r>
        <w:r>
          <w:rPr>
            <w:noProof/>
            <w:webHidden/>
          </w:rPr>
        </w:r>
        <w:r>
          <w:rPr>
            <w:noProof/>
            <w:webHidden/>
          </w:rPr>
          <w:fldChar w:fldCharType="separate"/>
        </w:r>
        <w:r w:rsidR="00D92A26">
          <w:rPr>
            <w:noProof/>
            <w:webHidden/>
          </w:rPr>
          <w:t>105</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390" w:history="1">
        <w:r w:rsidR="00BC6B01" w:rsidRPr="003037F2">
          <w:rPr>
            <w:rStyle w:val="Hypertextovodkaz"/>
            <w:noProof/>
          </w:rPr>
          <w:t>4</w:t>
        </w:r>
        <w:r w:rsidR="00BC6B01">
          <w:rPr>
            <w:rFonts w:asciiTheme="minorHAnsi" w:eastAsiaTheme="minorEastAsia" w:hAnsiTheme="minorHAnsi" w:cstheme="minorBidi"/>
            <w:b w:val="0"/>
            <w:noProof/>
            <w:sz w:val="22"/>
            <w:szCs w:val="22"/>
          </w:rPr>
          <w:tab/>
        </w:r>
        <w:r w:rsidR="00BC6B01" w:rsidRPr="003037F2">
          <w:rPr>
            <w:rStyle w:val="Hypertextovodkaz"/>
            <w:noProof/>
          </w:rPr>
          <w:t>Finanční plán</w:t>
        </w:r>
        <w:r w:rsidR="00BC6B01">
          <w:rPr>
            <w:noProof/>
            <w:webHidden/>
          </w:rPr>
          <w:tab/>
        </w:r>
        <w:r>
          <w:rPr>
            <w:noProof/>
            <w:webHidden/>
          </w:rPr>
          <w:fldChar w:fldCharType="begin"/>
        </w:r>
        <w:r w:rsidR="00BC6B01">
          <w:rPr>
            <w:noProof/>
            <w:webHidden/>
          </w:rPr>
          <w:instrText xml:space="preserve"> PAGEREF _Toc352328390 \h </w:instrText>
        </w:r>
        <w:r>
          <w:rPr>
            <w:noProof/>
            <w:webHidden/>
          </w:rPr>
        </w:r>
        <w:r>
          <w:rPr>
            <w:noProof/>
            <w:webHidden/>
          </w:rPr>
          <w:fldChar w:fldCharType="separate"/>
        </w:r>
        <w:r w:rsidR="00D92A26">
          <w:rPr>
            <w:noProof/>
            <w:webHidden/>
          </w:rPr>
          <w:t>106</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91" w:history="1">
        <w:r w:rsidR="00BC6B01" w:rsidRPr="003037F2">
          <w:rPr>
            <w:rStyle w:val="Hypertextovodkaz"/>
            <w:noProof/>
          </w:rPr>
          <w:t>4.1</w:t>
        </w:r>
        <w:r w:rsidR="00BC6B01">
          <w:rPr>
            <w:rFonts w:asciiTheme="minorHAnsi" w:eastAsiaTheme="minorEastAsia" w:hAnsiTheme="minorHAnsi" w:cstheme="minorBidi"/>
            <w:noProof/>
            <w:sz w:val="22"/>
            <w:szCs w:val="22"/>
          </w:rPr>
          <w:tab/>
        </w:r>
        <w:r w:rsidR="00BC6B01" w:rsidRPr="003037F2">
          <w:rPr>
            <w:rStyle w:val="Hypertextovodkaz"/>
            <w:noProof/>
          </w:rPr>
          <w:t>Výše celkových finančních závazků pro jednotlivé roky programovacího období 2014 – 2020 (7.4.1)</w:t>
        </w:r>
        <w:r w:rsidR="00BC6B01">
          <w:rPr>
            <w:noProof/>
            <w:webHidden/>
          </w:rPr>
          <w:tab/>
        </w:r>
        <w:r>
          <w:rPr>
            <w:noProof/>
            <w:webHidden/>
          </w:rPr>
          <w:fldChar w:fldCharType="begin"/>
        </w:r>
        <w:r w:rsidR="00BC6B01">
          <w:rPr>
            <w:noProof/>
            <w:webHidden/>
          </w:rPr>
          <w:instrText xml:space="preserve"> PAGEREF _Toc352328391 \h </w:instrText>
        </w:r>
        <w:r>
          <w:rPr>
            <w:noProof/>
            <w:webHidden/>
          </w:rPr>
        </w:r>
        <w:r>
          <w:rPr>
            <w:noProof/>
            <w:webHidden/>
          </w:rPr>
          <w:fldChar w:fldCharType="separate"/>
        </w:r>
        <w:r w:rsidR="00D92A26">
          <w:rPr>
            <w:noProof/>
            <w:webHidden/>
          </w:rPr>
          <w:t>107</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92" w:history="1">
        <w:r w:rsidR="00BC6B01" w:rsidRPr="003037F2">
          <w:rPr>
            <w:rStyle w:val="Hypertextovodkaz"/>
            <w:noProof/>
          </w:rPr>
          <w:t>4.1.1</w:t>
        </w:r>
        <w:r w:rsidR="00BC6B01">
          <w:rPr>
            <w:rFonts w:asciiTheme="minorHAnsi" w:eastAsiaTheme="minorEastAsia" w:hAnsiTheme="minorHAnsi" w:cstheme="minorBidi"/>
            <w:i w:val="0"/>
            <w:noProof/>
            <w:sz w:val="22"/>
            <w:szCs w:val="22"/>
          </w:rPr>
          <w:tab/>
        </w:r>
        <w:r w:rsidR="00BC6B01" w:rsidRPr="003037F2">
          <w:rPr>
            <w:rStyle w:val="Hypertextovodkaz"/>
            <w:noProof/>
          </w:rPr>
          <w:t>Finanční plán operačního programu stanovující pro celé programovací období a každou prioritní osu celkovou výši finanční podpory z fondů a národního spolufinancování, včetně míry spolufinancování (7.4.2.A)</w:t>
        </w:r>
        <w:r w:rsidR="00BC6B01">
          <w:rPr>
            <w:noProof/>
            <w:webHidden/>
          </w:rPr>
          <w:tab/>
        </w:r>
        <w:r>
          <w:rPr>
            <w:noProof/>
            <w:webHidden/>
          </w:rPr>
          <w:fldChar w:fldCharType="begin"/>
        </w:r>
        <w:r w:rsidR="00BC6B01">
          <w:rPr>
            <w:noProof/>
            <w:webHidden/>
          </w:rPr>
          <w:instrText xml:space="preserve"> PAGEREF _Toc352328392 \h </w:instrText>
        </w:r>
        <w:r>
          <w:rPr>
            <w:noProof/>
            <w:webHidden/>
          </w:rPr>
        </w:r>
        <w:r>
          <w:rPr>
            <w:noProof/>
            <w:webHidden/>
          </w:rPr>
          <w:fldChar w:fldCharType="separate"/>
        </w:r>
        <w:r w:rsidR="00D92A26">
          <w:rPr>
            <w:noProof/>
            <w:webHidden/>
          </w:rPr>
          <w:t>107</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393" w:history="1">
        <w:r w:rsidR="00BC6B01" w:rsidRPr="003037F2">
          <w:rPr>
            <w:rStyle w:val="Hypertextovodkaz"/>
            <w:noProof/>
          </w:rPr>
          <w:t>4.1.2</w:t>
        </w:r>
        <w:r w:rsidR="00BC6B01">
          <w:rPr>
            <w:rFonts w:asciiTheme="minorHAnsi" w:eastAsiaTheme="minorEastAsia" w:hAnsiTheme="minorHAnsi" w:cstheme="minorBidi"/>
            <w:i w:val="0"/>
            <w:noProof/>
            <w:sz w:val="22"/>
            <w:szCs w:val="22"/>
          </w:rPr>
          <w:tab/>
        </w:r>
        <w:r w:rsidR="00BC6B01" w:rsidRPr="003037F2">
          <w:rPr>
            <w:rStyle w:val="Hypertextovodkaz"/>
            <w:noProof/>
          </w:rPr>
          <w:t>Rozdělení finančního plánu operačního programu podle prioritních os, fondu a tematických cílů (7.4.2.B)</w:t>
        </w:r>
        <w:r w:rsidR="00BC6B01">
          <w:rPr>
            <w:noProof/>
            <w:webHidden/>
          </w:rPr>
          <w:tab/>
        </w:r>
        <w:r>
          <w:rPr>
            <w:noProof/>
            <w:webHidden/>
          </w:rPr>
          <w:fldChar w:fldCharType="begin"/>
        </w:r>
        <w:r w:rsidR="00BC6B01">
          <w:rPr>
            <w:noProof/>
            <w:webHidden/>
          </w:rPr>
          <w:instrText xml:space="preserve"> PAGEREF _Toc352328393 \h </w:instrText>
        </w:r>
        <w:r>
          <w:rPr>
            <w:noProof/>
            <w:webHidden/>
          </w:rPr>
        </w:r>
        <w:r>
          <w:rPr>
            <w:noProof/>
            <w:webHidden/>
          </w:rPr>
          <w:fldChar w:fldCharType="separate"/>
        </w:r>
        <w:r w:rsidR="00D92A26">
          <w:rPr>
            <w:noProof/>
            <w:webHidden/>
          </w:rPr>
          <w:t>108</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394" w:history="1">
        <w:r w:rsidR="00BC6B01" w:rsidRPr="003037F2">
          <w:rPr>
            <w:rStyle w:val="Hypertextovodkaz"/>
            <w:noProof/>
          </w:rPr>
          <w:t>5</w:t>
        </w:r>
        <w:r w:rsidR="00BC6B01">
          <w:rPr>
            <w:rFonts w:asciiTheme="minorHAnsi" w:eastAsiaTheme="minorEastAsia" w:hAnsiTheme="minorHAnsi" w:cstheme="minorBidi"/>
            <w:b w:val="0"/>
            <w:noProof/>
            <w:sz w:val="22"/>
            <w:szCs w:val="22"/>
          </w:rPr>
          <w:tab/>
        </w:r>
        <w:r w:rsidR="00BC6B01" w:rsidRPr="003037F2">
          <w:rPr>
            <w:rStyle w:val="Hypertextovodkaz"/>
            <w:noProof/>
          </w:rPr>
          <w:t>Příspěvek k integrovanému přístupu pro územní rozvoj</w:t>
        </w:r>
        <w:r w:rsidR="00BC6B01">
          <w:rPr>
            <w:noProof/>
            <w:webHidden/>
          </w:rPr>
          <w:tab/>
        </w:r>
        <w:r>
          <w:rPr>
            <w:noProof/>
            <w:webHidden/>
          </w:rPr>
          <w:fldChar w:fldCharType="begin"/>
        </w:r>
        <w:r w:rsidR="00BC6B01">
          <w:rPr>
            <w:noProof/>
            <w:webHidden/>
          </w:rPr>
          <w:instrText xml:space="preserve"> PAGEREF _Toc352328394 \h </w:instrText>
        </w:r>
        <w:r>
          <w:rPr>
            <w:noProof/>
            <w:webHidden/>
          </w:rPr>
        </w:r>
        <w:r>
          <w:rPr>
            <w:noProof/>
            <w:webHidden/>
          </w:rPr>
          <w:fldChar w:fldCharType="separate"/>
        </w:r>
        <w:r w:rsidR="00D92A26">
          <w:rPr>
            <w:noProof/>
            <w:webHidden/>
          </w:rPr>
          <w:t>109</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95" w:history="1">
        <w:r w:rsidR="00BC6B01" w:rsidRPr="003037F2">
          <w:rPr>
            <w:rStyle w:val="Hypertextovodkaz"/>
            <w:noProof/>
          </w:rPr>
          <w:t>5.1</w:t>
        </w:r>
        <w:r w:rsidR="00BC6B01">
          <w:rPr>
            <w:rFonts w:asciiTheme="minorHAnsi" w:eastAsiaTheme="minorEastAsia" w:hAnsiTheme="minorHAnsi" w:cstheme="minorBidi"/>
            <w:noProof/>
            <w:sz w:val="22"/>
            <w:szCs w:val="22"/>
          </w:rPr>
          <w:tab/>
        </w:r>
        <w:r w:rsidR="00BC6B01" w:rsidRPr="003037F2">
          <w:rPr>
            <w:rStyle w:val="Hypertextovodkaz"/>
            <w:noProof/>
          </w:rPr>
          <w:t>Plánovaný přístup ke komunitně vedenému místnímu rozvoji a principy identifikace území pro jeho implementaci (7.5.1)</w:t>
        </w:r>
        <w:r w:rsidR="00BC6B01">
          <w:rPr>
            <w:noProof/>
            <w:webHidden/>
          </w:rPr>
          <w:tab/>
        </w:r>
        <w:r>
          <w:rPr>
            <w:noProof/>
            <w:webHidden/>
          </w:rPr>
          <w:fldChar w:fldCharType="begin"/>
        </w:r>
        <w:r w:rsidR="00BC6B01">
          <w:rPr>
            <w:noProof/>
            <w:webHidden/>
          </w:rPr>
          <w:instrText xml:space="preserve"> PAGEREF _Toc352328395 \h </w:instrText>
        </w:r>
        <w:r>
          <w:rPr>
            <w:noProof/>
            <w:webHidden/>
          </w:rPr>
        </w:r>
        <w:r>
          <w:rPr>
            <w:noProof/>
            <w:webHidden/>
          </w:rPr>
          <w:fldChar w:fldCharType="separate"/>
        </w:r>
        <w:r w:rsidR="00D92A26">
          <w:rPr>
            <w:noProof/>
            <w:webHidden/>
          </w:rPr>
          <w:t>111</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96" w:history="1">
        <w:r w:rsidR="00BC6B01" w:rsidRPr="003037F2">
          <w:rPr>
            <w:rStyle w:val="Hypertextovodkaz"/>
            <w:noProof/>
          </w:rPr>
          <w:t>5.2</w:t>
        </w:r>
        <w:r w:rsidR="00BC6B01">
          <w:rPr>
            <w:rFonts w:asciiTheme="minorHAnsi" w:eastAsiaTheme="minorEastAsia" w:hAnsiTheme="minorHAnsi" w:cstheme="minorBidi"/>
            <w:noProof/>
            <w:sz w:val="22"/>
            <w:szCs w:val="22"/>
          </w:rPr>
          <w:tab/>
        </w:r>
        <w:r w:rsidR="00BC6B01" w:rsidRPr="003037F2">
          <w:rPr>
            <w:rStyle w:val="Hypertextovodkaz"/>
            <w:noProof/>
          </w:rPr>
          <w:t>Plánovaný přístup k udržitelnému integrovanému rozvoji měst (pokud je relevantní) (7.5.2)</w:t>
        </w:r>
        <w:r w:rsidR="00BC6B01">
          <w:rPr>
            <w:noProof/>
            <w:webHidden/>
          </w:rPr>
          <w:tab/>
        </w:r>
        <w:r>
          <w:rPr>
            <w:noProof/>
            <w:webHidden/>
          </w:rPr>
          <w:fldChar w:fldCharType="begin"/>
        </w:r>
        <w:r w:rsidR="00BC6B01">
          <w:rPr>
            <w:noProof/>
            <w:webHidden/>
          </w:rPr>
          <w:instrText xml:space="preserve"> PAGEREF _Toc352328396 \h </w:instrText>
        </w:r>
        <w:r>
          <w:rPr>
            <w:noProof/>
            <w:webHidden/>
          </w:rPr>
        </w:r>
        <w:r>
          <w:rPr>
            <w:noProof/>
            <w:webHidden/>
          </w:rPr>
          <w:fldChar w:fldCharType="separate"/>
        </w:r>
        <w:r w:rsidR="00D92A26">
          <w:rPr>
            <w:noProof/>
            <w:webHidden/>
          </w:rPr>
          <w:t>111</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97" w:history="1">
        <w:r w:rsidR="00BC6B01" w:rsidRPr="003037F2">
          <w:rPr>
            <w:rStyle w:val="Hypertextovodkaz"/>
            <w:noProof/>
          </w:rPr>
          <w:t>5.3</w:t>
        </w:r>
        <w:r w:rsidR="00BC6B01">
          <w:rPr>
            <w:rFonts w:asciiTheme="minorHAnsi" w:eastAsiaTheme="minorEastAsia" w:hAnsiTheme="minorHAnsi" w:cstheme="minorBidi"/>
            <w:noProof/>
            <w:sz w:val="22"/>
            <w:szCs w:val="22"/>
          </w:rPr>
          <w:tab/>
        </w:r>
        <w:r w:rsidR="00BC6B01" w:rsidRPr="003037F2">
          <w:rPr>
            <w:rStyle w:val="Hypertextovodkaz"/>
            <w:noProof/>
          </w:rPr>
          <w:t>Případné využití integrované územní investice (ITI) (jak je vymezena v článku 99 návrhu obecného nařízení) nad rámec rozvoje měst realizovaného podle článku 7 odst. 2 návrhu  specifického nařízení k EFRR a indikativní rozdělení zdrojů na úrovni  jednotlivých prioritních os (7.5.3)</w:t>
        </w:r>
        <w:r w:rsidR="00BC6B01">
          <w:rPr>
            <w:noProof/>
            <w:webHidden/>
          </w:rPr>
          <w:tab/>
        </w:r>
        <w:r>
          <w:rPr>
            <w:noProof/>
            <w:webHidden/>
          </w:rPr>
          <w:fldChar w:fldCharType="begin"/>
        </w:r>
        <w:r w:rsidR="00BC6B01">
          <w:rPr>
            <w:noProof/>
            <w:webHidden/>
          </w:rPr>
          <w:instrText xml:space="preserve"> PAGEREF _Toc352328397 \h </w:instrText>
        </w:r>
        <w:r>
          <w:rPr>
            <w:noProof/>
            <w:webHidden/>
          </w:rPr>
        </w:r>
        <w:r>
          <w:rPr>
            <w:noProof/>
            <w:webHidden/>
          </w:rPr>
          <w:fldChar w:fldCharType="separate"/>
        </w:r>
        <w:r w:rsidR="00D92A26">
          <w:rPr>
            <w:noProof/>
            <w:webHidden/>
          </w:rPr>
          <w:t>111</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398" w:history="1">
        <w:r w:rsidR="00BC6B01" w:rsidRPr="003037F2">
          <w:rPr>
            <w:rStyle w:val="Hypertextovodkaz"/>
            <w:noProof/>
          </w:rPr>
          <w:t>6</w:t>
        </w:r>
        <w:r w:rsidR="00BC6B01">
          <w:rPr>
            <w:rFonts w:asciiTheme="minorHAnsi" w:eastAsiaTheme="minorEastAsia" w:hAnsiTheme="minorHAnsi" w:cstheme="minorBidi"/>
            <w:b w:val="0"/>
            <w:noProof/>
            <w:sz w:val="22"/>
            <w:szCs w:val="22"/>
          </w:rPr>
          <w:tab/>
        </w:r>
        <w:r w:rsidR="00BC6B01" w:rsidRPr="003037F2">
          <w:rPr>
            <w:rStyle w:val="Hypertextovodkaz"/>
            <w:noProof/>
          </w:rPr>
          <w:t>Úřady a orgány zodpovědné za řízení, kontrolu a audit a role partnerů</w:t>
        </w:r>
        <w:r w:rsidR="00BC6B01">
          <w:rPr>
            <w:noProof/>
            <w:webHidden/>
          </w:rPr>
          <w:tab/>
        </w:r>
        <w:r>
          <w:rPr>
            <w:noProof/>
            <w:webHidden/>
          </w:rPr>
          <w:fldChar w:fldCharType="begin"/>
        </w:r>
        <w:r w:rsidR="00BC6B01">
          <w:rPr>
            <w:noProof/>
            <w:webHidden/>
          </w:rPr>
          <w:instrText xml:space="preserve"> PAGEREF _Toc352328398 \h </w:instrText>
        </w:r>
        <w:r>
          <w:rPr>
            <w:noProof/>
            <w:webHidden/>
          </w:rPr>
        </w:r>
        <w:r>
          <w:rPr>
            <w:noProof/>
            <w:webHidden/>
          </w:rPr>
          <w:fldChar w:fldCharType="separate"/>
        </w:r>
        <w:r w:rsidR="00D92A26">
          <w:rPr>
            <w:noProof/>
            <w:webHidden/>
          </w:rPr>
          <w:t>112</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399" w:history="1">
        <w:r w:rsidR="00BC6B01" w:rsidRPr="003037F2">
          <w:rPr>
            <w:rStyle w:val="Hypertextovodkaz"/>
            <w:noProof/>
          </w:rPr>
          <w:t>6.1</w:t>
        </w:r>
        <w:r w:rsidR="00BC6B01">
          <w:rPr>
            <w:rFonts w:asciiTheme="minorHAnsi" w:eastAsiaTheme="minorEastAsia" w:hAnsiTheme="minorHAnsi" w:cstheme="minorBidi"/>
            <w:noProof/>
            <w:sz w:val="22"/>
            <w:szCs w:val="22"/>
          </w:rPr>
          <w:tab/>
        </w:r>
        <w:r w:rsidR="00BC6B01" w:rsidRPr="003037F2">
          <w:rPr>
            <w:rStyle w:val="Hypertextovodkaz"/>
            <w:noProof/>
          </w:rPr>
          <w:t>Úřady a orgány odpovědné za řízení, kontrolu a audit</w:t>
        </w:r>
        <w:r w:rsidR="00BC6B01">
          <w:rPr>
            <w:noProof/>
            <w:webHidden/>
          </w:rPr>
          <w:tab/>
        </w:r>
        <w:r>
          <w:rPr>
            <w:noProof/>
            <w:webHidden/>
          </w:rPr>
          <w:fldChar w:fldCharType="begin"/>
        </w:r>
        <w:r w:rsidR="00BC6B01">
          <w:rPr>
            <w:noProof/>
            <w:webHidden/>
          </w:rPr>
          <w:instrText xml:space="preserve"> PAGEREF _Toc352328399 \h </w:instrText>
        </w:r>
        <w:r>
          <w:rPr>
            <w:noProof/>
            <w:webHidden/>
          </w:rPr>
        </w:r>
        <w:r>
          <w:rPr>
            <w:noProof/>
            <w:webHidden/>
          </w:rPr>
          <w:fldChar w:fldCharType="separate"/>
        </w:r>
        <w:r w:rsidR="00D92A26">
          <w:rPr>
            <w:noProof/>
            <w:webHidden/>
          </w:rPr>
          <w:t>112</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400" w:history="1">
        <w:r w:rsidR="00BC6B01" w:rsidRPr="003037F2">
          <w:rPr>
            <w:rStyle w:val="Hypertextovodkaz"/>
            <w:noProof/>
          </w:rPr>
          <w:t>6.2</w:t>
        </w:r>
        <w:r w:rsidR="00BC6B01">
          <w:rPr>
            <w:rFonts w:asciiTheme="minorHAnsi" w:eastAsiaTheme="minorEastAsia" w:hAnsiTheme="minorHAnsi" w:cstheme="minorBidi"/>
            <w:noProof/>
            <w:sz w:val="22"/>
            <w:szCs w:val="22"/>
          </w:rPr>
          <w:tab/>
        </w:r>
        <w:r w:rsidR="00BC6B01" w:rsidRPr="003037F2">
          <w:rPr>
            <w:rStyle w:val="Hypertextovodkaz"/>
            <w:noProof/>
          </w:rPr>
          <w:t>Zapojení partnerů</w:t>
        </w:r>
        <w:r w:rsidR="00BC6B01">
          <w:rPr>
            <w:noProof/>
            <w:webHidden/>
          </w:rPr>
          <w:tab/>
        </w:r>
        <w:r>
          <w:rPr>
            <w:noProof/>
            <w:webHidden/>
          </w:rPr>
          <w:fldChar w:fldCharType="begin"/>
        </w:r>
        <w:r w:rsidR="00BC6B01">
          <w:rPr>
            <w:noProof/>
            <w:webHidden/>
          </w:rPr>
          <w:instrText xml:space="preserve"> PAGEREF _Toc352328400 \h </w:instrText>
        </w:r>
        <w:r>
          <w:rPr>
            <w:noProof/>
            <w:webHidden/>
          </w:rPr>
        </w:r>
        <w:r>
          <w:rPr>
            <w:noProof/>
            <w:webHidden/>
          </w:rPr>
          <w:fldChar w:fldCharType="separate"/>
        </w:r>
        <w:r w:rsidR="00D92A26">
          <w:rPr>
            <w:noProof/>
            <w:webHidden/>
          </w:rPr>
          <w:t>116</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401" w:history="1">
        <w:r w:rsidR="00BC6B01" w:rsidRPr="003037F2">
          <w:rPr>
            <w:rStyle w:val="Hypertextovodkaz"/>
            <w:noProof/>
          </w:rPr>
          <w:t>6.2.1</w:t>
        </w:r>
        <w:r w:rsidR="00BC6B01">
          <w:rPr>
            <w:rFonts w:asciiTheme="minorHAnsi" w:eastAsiaTheme="minorEastAsia" w:hAnsiTheme="minorHAnsi" w:cstheme="minorBidi"/>
            <w:i w:val="0"/>
            <w:noProof/>
            <w:sz w:val="22"/>
            <w:szCs w:val="22"/>
          </w:rPr>
          <w:tab/>
        </w:r>
        <w:r w:rsidR="00BC6B01" w:rsidRPr="003037F2">
          <w:rPr>
            <w:rStyle w:val="Hypertextovodkaz"/>
            <w:noProof/>
          </w:rPr>
          <w:t>Role partnerů při implementaci, monitoringu a evaluaci operačního programu</w:t>
        </w:r>
        <w:r w:rsidR="00BC6B01">
          <w:rPr>
            <w:noProof/>
            <w:webHidden/>
          </w:rPr>
          <w:tab/>
        </w:r>
        <w:r>
          <w:rPr>
            <w:noProof/>
            <w:webHidden/>
          </w:rPr>
          <w:fldChar w:fldCharType="begin"/>
        </w:r>
        <w:r w:rsidR="00BC6B01">
          <w:rPr>
            <w:noProof/>
            <w:webHidden/>
          </w:rPr>
          <w:instrText xml:space="preserve"> PAGEREF _Toc352328401 \h </w:instrText>
        </w:r>
        <w:r>
          <w:rPr>
            <w:noProof/>
            <w:webHidden/>
          </w:rPr>
        </w:r>
        <w:r>
          <w:rPr>
            <w:noProof/>
            <w:webHidden/>
          </w:rPr>
          <w:fldChar w:fldCharType="separate"/>
        </w:r>
        <w:r w:rsidR="00D92A26">
          <w:rPr>
            <w:noProof/>
            <w:webHidden/>
          </w:rPr>
          <w:t>116</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402" w:history="1">
        <w:r w:rsidR="00BC6B01" w:rsidRPr="003037F2">
          <w:rPr>
            <w:rStyle w:val="Hypertextovodkaz"/>
            <w:noProof/>
          </w:rPr>
          <w:t>6.2.2</w:t>
        </w:r>
        <w:r w:rsidR="00BC6B01">
          <w:rPr>
            <w:rFonts w:asciiTheme="minorHAnsi" w:eastAsiaTheme="minorEastAsia" w:hAnsiTheme="minorHAnsi" w:cstheme="minorBidi"/>
            <w:i w:val="0"/>
            <w:noProof/>
            <w:sz w:val="22"/>
            <w:szCs w:val="22"/>
          </w:rPr>
          <w:tab/>
        </w:r>
        <w:r w:rsidR="00BC6B01" w:rsidRPr="003037F2">
          <w:rPr>
            <w:rStyle w:val="Hypertextovodkaz"/>
            <w:noProof/>
          </w:rPr>
          <w:t>Pro ESF: Globální granty (článek 6 (1) specifického nařízení k ESF)</w:t>
        </w:r>
        <w:r w:rsidR="00BC6B01">
          <w:rPr>
            <w:noProof/>
            <w:webHidden/>
          </w:rPr>
          <w:tab/>
        </w:r>
        <w:r>
          <w:rPr>
            <w:noProof/>
            <w:webHidden/>
          </w:rPr>
          <w:fldChar w:fldCharType="begin"/>
        </w:r>
        <w:r w:rsidR="00BC6B01">
          <w:rPr>
            <w:noProof/>
            <w:webHidden/>
          </w:rPr>
          <w:instrText xml:space="preserve"> PAGEREF _Toc352328402 \h </w:instrText>
        </w:r>
        <w:r>
          <w:rPr>
            <w:noProof/>
            <w:webHidden/>
          </w:rPr>
        </w:r>
        <w:r>
          <w:rPr>
            <w:noProof/>
            <w:webHidden/>
          </w:rPr>
          <w:fldChar w:fldCharType="separate"/>
        </w:r>
        <w:r w:rsidR="00D92A26">
          <w:rPr>
            <w:noProof/>
            <w:webHidden/>
          </w:rPr>
          <w:t>116</w:t>
        </w:r>
        <w:r>
          <w:rPr>
            <w:noProof/>
            <w:webHidden/>
          </w:rPr>
          <w:fldChar w:fldCharType="end"/>
        </w:r>
      </w:hyperlink>
    </w:p>
    <w:p w:rsidR="00BC6B01" w:rsidRDefault="008534F0">
      <w:pPr>
        <w:pStyle w:val="Obsah3"/>
        <w:tabs>
          <w:tab w:val="left" w:pos="1320"/>
          <w:tab w:val="right" w:leader="dot" w:pos="9202"/>
        </w:tabs>
        <w:rPr>
          <w:rFonts w:asciiTheme="minorHAnsi" w:eastAsiaTheme="minorEastAsia" w:hAnsiTheme="minorHAnsi" w:cstheme="minorBidi"/>
          <w:i w:val="0"/>
          <w:noProof/>
          <w:sz w:val="22"/>
          <w:szCs w:val="22"/>
        </w:rPr>
      </w:pPr>
      <w:hyperlink w:anchor="_Toc352328403" w:history="1">
        <w:r w:rsidR="00BC6B01" w:rsidRPr="003037F2">
          <w:rPr>
            <w:rStyle w:val="Hypertextovodkaz"/>
            <w:noProof/>
          </w:rPr>
          <w:t>6.2.3</w:t>
        </w:r>
        <w:r w:rsidR="00BC6B01">
          <w:rPr>
            <w:rFonts w:asciiTheme="minorHAnsi" w:eastAsiaTheme="minorEastAsia" w:hAnsiTheme="minorHAnsi" w:cstheme="minorBidi"/>
            <w:i w:val="0"/>
            <w:noProof/>
            <w:sz w:val="22"/>
            <w:szCs w:val="22"/>
          </w:rPr>
          <w:tab/>
        </w:r>
        <w:r w:rsidR="00BC6B01" w:rsidRPr="003037F2">
          <w:rPr>
            <w:rStyle w:val="Hypertextovodkaz"/>
            <w:noProof/>
          </w:rPr>
          <w:t>Pro ESF, pokud je relevantní: Vyčlenění prostředků na budování administrativní kapacity</w:t>
        </w:r>
        <w:r w:rsidR="00BC6B01">
          <w:rPr>
            <w:noProof/>
            <w:webHidden/>
          </w:rPr>
          <w:tab/>
        </w:r>
        <w:r>
          <w:rPr>
            <w:noProof/>
            <w:webHidden/>
          </w:rPr>
          <w:fldChar w:fldCharType="begin"/>
        </w:r>
        <w:r w:rsidR="00BC6B01">
          <w:rPr>
            <w:noProof/>
            <w:webHidden/>
          </w:rPr>
          <w:instrText xml:space="preserve"> PAGEREF _Toc352328403 \h </w:instrText>
        </w:r>
        <w:r>
          <w:rPr>
            <w:noProof/>
            <w:webHidden/>
          </w:rPr>
        </w:r>
        <w:r>
          <w:rPr>
            <w:noProof/>
            <w:webHidden/>
          </w:rPr>
          <w:fldChar w:fldCharType="separate"/>
        </w:r>
        <w:r w:rsidR="00D92A26">
          <w:rPr>
            <w:noProof/>
            <w:webHidden/>
          </w:rPr>
          <w:t>116</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404" w:history="1">
        <w:r w:rsidR="00BC6B01" w:rsidRPr="003037F2">
          <w:rPr>
            <w:rStyle w:val="Hypertextovodkaz"/>
            <w:noProof/>
          </w:rPr>
          <w:t>7</w:t>
        </w:r>
        <w:r w:rsidR="00BC6B01">
          <w:rPr>
            <w:rFonts w:asciiTheme="minorHAnsi" w:eastAsiaTheme="minorEastAsia" w:hAnsiTheme="minorHAnsi" w:cstheme="minorBidi"/>
            <w:b w:val="0"/>
            <w:noProof/>
            <w:sz w:val="22"/>
            <w:szCs w:val="22"/>
          </w:rPr>
          <w:tab/>
        </w:r>
        <w:r w:rsidR="00BC6B01" w:rsidRPr="003037F2">
          <w:rPr>
            <w:rStyle w:val="Hypertextovodkaz"/>
            <w:noProof/>
          </w:rPr>
          <w:t>Mechanismus k zajištění koordinace</w:t>
        </w:r>
        <w:r w:rsidR="00BC6B01">
          <w:rPr>
            <w:noProof/>
            <w:webHidden/>
          </w:rPr>
          <w:tab/>
        </w:r>
        <w:r>
          <w:rPr>
            <w:noProof/>
            <w:webHidden/>
          </w:rPr>
          <w:fldChar w:fldCharType="begin"/>
        </w:r>
        <w:r w:rsidR="00BC6B01">
          <w:rPr>
            <w:noProof/>
            <w:webHidden/>
          </w:rPr>
          <w:instrText xml:space="preserve"> PAGEREF _Toc352328404 \h </w:instrText>
        </w:r>
        <w:r>
          <w:rPr>
            <w:noProof/>
            <w:webHidden/>
          </w:rPr>
        </w:r>
        <w:r>
          <w:rPr>
            <w:noProof/>
            <w:webHidden/>
          </w:rPr>
          <w:fldChar w:fldCharType="separate"/>
        </w:r>
        <w:r w:rsidR="00D92A26">
          <w:rPr>
            <w:noProof/>
            <w:webHidden/>
          </w:rPr>
          <w:t>117</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405" w:history="1">
        <w:r w:rsidR="00BC6B01" w:rsidRPr="003037F2">
          <w:rPr>
            <w:rStyle w:val="Hypertextovodkaz"/>
            <w:noProof/>
          </w:rPr>
          <w:t>7.1</w:t>
        </w:r>
        <w:r w:rsidR="00BC6B01">
          <w:rPr>
            <w:rFonts w:asciiTheme="minorHAnsi" w:eastAsiaTheme="minorEastAsia" w:hAnsiTheme="minorHAnsi" w:cstheme="minorBidi"/>
            <w:noProof/>
            <w:sz w:val="22"/>
            <w:szCs w:val="22"/>
          </w:rPr>
          <w:tab/>
        </w:r>
        <w:r w:rsidR="00BC6B01" w:rsidRPr="003037F2">
          <w:rPr>
            <w:rStyle w:val="Hypertextovodkaz"/>
            <w:noProof/>
          </w:rPr>
          <w:t>Hraniční oblasti</w:t>
        </w:r>
        <w:r w:rsidR="00BC6B01">
          <w:rPr>
            <w:noProof/>
            <w:webHidden/>
          </w:rPr>
          <w:tab/>
        </w:r>
        <w:r>
          <w:rPr>
            <w:noProof/>
            <w:webHidden/>
          </w:rPr>
          <w:fldChar w:fldCharType="begin"/>
        </w:r>
        <w:r w:rsidR="00BC6B01">
          <w:rPr>
            <w:noProof/>
            <w:webHidden/>
          </w:rPr>
          <w:instrText xml:space="preserve"> PAGEREF _Toc352328405 \h </w:instrText>
        </w:r>
        <w:r>
          <w:rPr>
            <w:noProof/>
            <w:webHidden/>
          </w:rPr>
        </w:r>
        <w:r>
          <w:rPr>
            <w:noProof/>
            <w:webHidden/>
          </w:rPr>
          <w:fldChar w:fldCharType="separate"/>
        </w:r>
        <w:r w:rsidR="00D92A26">
          <w:rPr>
            <w:noProof/>
            <w:webHidden/>
          </w:rPr>
          <w:t>117</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406" w:history="1">
        <w:r w:rsidR="00BC6B01" w:rsidRPr="003037F2">
          <w:rPr>
            <w:rStyle w:val="Hypertextovodkaz"/>
            <w:noProof/>
          </w:rPr>
          <w:t>8</w:t>
        </w:r>
        <w:r w:rsidR="00BC6B01">
          <w:rPr>
            <w:rFonts w:asciiTheme="minorHAnsi" w:eastAsiaTheme="minorEastAsia" w:hAnsiTheme="minorHAnsi" w:cstheme="minorBidi"/>
            <w:b w:val="0"/>
            <w:noProof/>
            <w:sz w:val="22"/>
            <w:szCs w:val="22"/>
          </w:rPr>
          <w:tab/>
        </w:r>
        <w:r w:rsidR="00BC6B01" w:rsidRPr="003037F2">
          <w:rPr>
            <w:rStyle w:val="Hypertextovodkaz"/>
            <w:noProof/>
          </w:rPr>
          <w:t>Plnění předběžných podmínek</w:t>
        </w:r>
        <w:r w:rsidR="00BC6B01">
          <w:rPr>
            <w:noProof/>
            <w:webHidden/>
          </w:rPr>
          <w:tab/>
        </w:r>
        <w:r>
          <w:rPr>
            <w:noProof/>
            <w:webHidden/>
          </w:rPr>
          <w:fldChar w:fldCharType="begin"/>
        </w:r>
        <w:r w:rsidR="00BC6B01">
          <w:rPr>
            <w:noProof/>
            <w:webHidden/>
          </w:rPr>
          <w:instrText xml:space="preserve"> PAGEREF _Toc352328406 \h </w:instrText>
        </w:r>
        <w:r>
          <w:rPr>
            <w:noProof/>
            <w:webHidden/>
          </w:rPr>
        </w:r>
        <w:r>
          <w:rPr>
            <w:noProof/>
            <w:webHidden/>
          </w:rPr>
          <w:fldChar w:fldCharType="separate"/>
        </w:r>
        <w:r w:rsidR="00D92A26">
          <w:rPr>
            <w:noProof/>
            <w:webHidden/>
          </w:rPr>
          <w:t>123</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407" w:history="1">
        <w:r w:rsidR="00BC6B01" w:rsidRPr="003037F2">
          <w:rPr>
            <w:rStyle w:val="Hypertextovodkaz"/>
            <w:noProof/>
          </w:rPr>
          <w:t>8.1</w:t>
        </w:r>
        <w:r w:rsidR="00BC6B01">
          <w:rPr>
            <w:rFonts w:asciiTheme="minorHAnsi" w:eastAsiaTheme="minorEastAsia" w:hAnsiTheme="minorHAnsi" w:cstheme="minorBidi"/>
            <w:noProof/>
            <w:sz w:val="22"/>
            <w:szCs w:val="22"/>
          </w:rPr>
          <w:tab/>
        </w:r>
        <w:r w:rsidR="00BC6B01" w:rsidRPr="003037F2">
          <w:rPr>
            <w:rStyle w:val="Hypertextovodkaz"/>
            <w:noProof/>
          </w:rPr>
          <w:t>Určení platných předběžných podmínek a vyhodnocení jejich plnění (7.10.1)</w:t>
        </w:r>
        <w:r w:rsidR="00BC6B01">
          <w:rPr>
            <w:noProof/>
            <w:webHidden/>
          </w:rPr>
          <w:tab/>
        </w:r>
        <w:r>
          <w:rPr>
            <w:noProof/>
            <w:webHidden/>
          </w:rPr>
          <w:fldChar w:fldCharType="begin"/>
        </w:r>
        <w:r w:rsidR="00BC6B01">
          <w:rPr>
            <w:noProof/>
            <w:webHidden/>
          </w:rPr>
          <w:instrText xml:space="preserve"> PAGEREF _Toc352328407 \h </w:instrText>
        </w:r>
        <w:r>
          <w:rPr>
            <w:noProof/>
            <w:webHidden/>
          </w:rPr>
        </w:r>
        <w:r>
          <w:rPr>
            <w:noProof/>
            <w:webHidden/>
          </w:rPr>
          <w:fldChar w:fldCharType="separate"/>
        </w:r>
        <w:r w:rsidR="00D92A26">
          <w:rPr>
            <w:noProof/>
            <w:webHidden/>
          </w:rPr>
          <w:t>123</w:t>
        </w:r>
        <w:r>
          <w:rPr>
            <w:noProof/>
            <w:webHidden/>
          </w:rPr>
          <w:fldChar w:fldCharType="end"/>
        </w:r>
      </w:hyperlink>
    </w:p>
    <w:p w:rsidR="00BC6B01" w:rsidRDefault="008534F0">
      <w:pPr>
        <w:pStyle w:val="Obsah2"/>
        <w:tabs>
          <w:tab w:val="left" w:pos="880"/>
          <w:tab w:val="right" w:leader="dot" w:pos="9202"/>
        </w:tabs>
        <w:rPr>
          <w:rFonts w:asciiTheme="minorHAnsi" w:eastAsiaTheme="minorEastAsia" w:hAnsiTheme="minorHAnsi" w:cstheme="minorBidi"/>
          <w:noProof/>
          <w:sz w:val="22"/>
          <w:szCs w:val="22"/>
        </w:rPr>
      </w:pPr>
      <w:hyperlink w:anchor="_Toc352328408" w:history="1">
        <w:r w:rsidR="00BC6B01" w:rsidRPr="003037F2">
          <w:rPr>
            <w:rStyle w:val="Hypertextovodkaz"/>
            <w:noProof/>
          </w:rPr>
          <w:t>8.2</w:t>
        </w:r>
        <w:r w:rsidR="00BC6B01">
          <w:rPr>
            <w:rFonts w:asciiTheme="minorHAnsi" w:eastAsiaTheme="minorEastAsia" w:hAnsiTheme="minorHAnsi" w:cstheme="minorBidi"/>
            <w:noProof/>
            <w:sz w:val="22"/>
            <w:szCs w:val="22"/>
          </w:rPr>
          <w:tab/>
        </w:r>
        <w:r w:rsidR="00BC6B01" w:rsidRPr="003037F2">
          <w:rPr>
            <w:rStyle w:val="Hypertextovodkaz"/>
            <w:noProof/>
          </w:rPr>
          <w:t>Popis opatření, která mají být provedena, aby bylo dosaženo splnění obecných a tematických předběžných podmínek, které nejsou splněny ke dni předložení operačního programu, zodpovědné orgány a odpovídající harmonogram pro naplnění příslušných opatření   (7.10.2)</w:t>
        </w:r>
        <w:r w:rsidR="00BC6B01">
          <w:rPr>
            <w:noProof/>
            <w:webHidden/>
          </w:rPr>
          <w:tab/>
        </w:r>
        <w:r>
          <w:rPr>
            <w:noProof/>
            <w:webHidden/>
          </w:rPr>
          <w:fldChar w:fldCharType="begin"/>
        </w:r>
        <w:r w:rsidR="00BC6B01">
          <w:rPr>
            <w:noProof/>
            <w:webHidden/>
          </w:rPr>
          <w:instrText xml:space="preserve"> PAGEREF _Toc352328408 \h </w:instrText>
        </w:r>
        <w:r>
          <w:rPr>
            <w:noProof/>
            <w:webHidden/>
          </w:rPr>
        </w:r>
        <w:r>
          <w:rPr>
            <w:noProof/>
            <w:webHidden/>
          </w:rPr>
          <w:fldChar w:fldCharType="separate"/>
        </w:r>
        <w:r w:rsidR="00D92A26">
          <w:rPr>
            <w:noProof/>
            <w:webHidden/>
          </w:rPr>
          <w:t>141</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409" w:history="1">
        <w:r w:rsidR="00BC6B01" w:rsidRPr="003037F2">
          <w:rPr>
            <w:rStyle w:val="Hypertextovodkaz"/>
            <w:noProof/>
          </w:rPr>
          <w:t>9</w:t>
        </w:r>
        <w:r w:rsidR="00BC6B01">
          <w:rPr>
            <w:rFonts w:asciiTheme="minorHAnsi" w:eastAsiaTheme="minorEastAsia" w:hAnsiTheme="minorHAnsi" w:cstheme="minorBidi"/>
            <w:b w:val="0"/>
            <w:noProof/>
            <w:sz w:val="22"/>
            <w:szCs w:val="22"/>
          </w:rPr>
          <w:tab/>
        </w:r>
        <w:r w:rsidR="00BC6B01" w:rsidRPr="003037F2">
          <w:rPr>
            <w:rStyle w:val="Hypertextovodkaz"/>
            <w:noProof/>
          </w:rPr>
          <w:t>Snižování administrativní zátěže pro příjemce</w:t>
        </w:r>
        <w:r w:rsidR="00BC6B01">
          <w:rPr>
            <w:noProof/>
            <w:webHidden/>
          </w:rPr>
          <w:tab/>
        </w:r>
        <w:r>
          <w:rPr>
            <w:noProof/>
            <w:webHidden/>
          </w:rPr>
          <w:fldChar w:fldCharType="begin"/>
        </w:r>
        <w:r w:rsidR="00BC6B01">
          <w:rPr>
            <w:noProof/>
            <w:webHidden/>
          </w:rPr>
          <w:instrText xml:space="preserve"> PAGEREF _Toc352328409 \h </w:instrText>
        </w:r>
        <w:r>
          <w:rPr>
            <w:noProof/>
            <w:webHidden/>
          </w:rPr>
        </w:r>
        <w:r>
          <w:rPr>
            <w:noProof/>
            <w:webHidden/>
          </w:rPr>
          <w:fldChar w:fldCharType="separate"/>
        </w:r>
        <w:r w:rsidR="00D92A26">
          <w:rPr>
            <w:noProof/>
            <w:webHidden/>
          </w:rPr>
          <w:t>148</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410" w:history="1">
        <w:r w:rsidR="00BC6B01" w:rsidRPr="003037F2">
          <w:rPr>
            <w:rStyle w:val="Hypertextovodkaz"/>
            <w:noProof/>
          </w:rPr>
          <w:t>10</w:t>
        </w:r>
        <w:r w:rsidR="00BC6B01">
          <w:rPr>
            <w:rFonts w:asciiTheme="minorHAnsi" w:eastAsiaTheme="minorEastAsia" w:hAnsiTheme="minorHAnsi" w:cstheme="minorBidi"/>
            <w:b w:val="0"/>
            <w:noProof/>
            <w:sz w:val="22"/>
            <w:szCs w:val="22"/>
          </w:rPr>
          <w:tab/>
        </w:r>
        <w:r w:rsidR="00BC6B01" w:rsidRPr="003037F2">
          <w:rPr>
            <w:rStyle w:val="Hypertextovodkaz"/>
            <w:noProof/>
          </w:rPr>
          <w:t>Horizontální principy</w:t>
        </w:r>
        <w:r w:rsidR="00BC6B01">
          <w:rPr>
            <w:noProof/>
            <w:webHidden/>
          </w:rPr>
          <w:tab/>
        </w:r>
        <w:r>
          <w:rPr>
            <w:noProof/>
            <w:webHidden/>
          </w:rPr>
          <w:fldChar w:fldCharType="begin"/>
        </w:r>
        <w:r w:rsidR="00BC6B01">
          <w:rPr>
            <w:noProof/>
            <w:webHidden/>
          </w:rPr>
          <w:instrText xml:space="preserve"> PAGEREF _Toc352328410 \h </w:instrText>
        </w:r>
        <w:r>
          <w:rPr>
            <w:noProof/>
            <w:webHidden/>
          </w:rPr>
        </w:r>
        <w:r>
          <w:rPr>
            <w:noProof/>
            <w:webHidden/>
          </w:rPr>
          <w:fldChar w:fldCharType="separate"/>
        </w:r>
        <w:r w:rsidR="00D92A26">
          <w:rPr>
            <w:noProof/>
            <w:webHidden/>
          </w:rPr>
          <w:t>149</w:t>
        </w:r>
        <w:r>
          <w:rPr>
            <w:noProof/>
            <w:webHidden/>
          </w:rPr>
          <w:fldChar w:fldCharType="end"/>
        </w:r>
      </w:hyperlink>
    </w:p>
    <w:p w:rsidR="00BC6B01" w:rsidRDefault="008534F0">
      <w:pPr>
        <w:pStyle w:val="Obsah2"/>
        <w:tabs>
          <w:tab w:val="left" w:pos="1100"/>
          <w:tab w:val="right" w:leader="dot" w:pos="9202"/>
        </w:tabs>
        <w:rPr>
          <w:rFonts w:asciiTheme="minorHAnsi" w:eastAsiaTheme="minorEastAsia" w:hAnsiTheme="minorHAnsi" w:cstheme="minorBidi"/>
          <w:noProof/>
          <w:sz w:val="22"/>
          <w:szCs w:val="22"/>
        </w:rPr>
      </w:pPr>
      <w:hyperlink w:anchor="_Toc352328411" w:history="1">
        <w:r w:rsidR="00BC6B01" w:rsidRPr="003037F2">
          <w:rPr>
            <w:rStyle w:val="Hypertextovodkaz"/>
            <w:noProof/>
          </w:rPr>
          <w:t>10.1</w:t>
        </w:r>
        <w:r w:rsidR="00BC6B01">
          <w:rPr>
            <w:rFonts w:asciiTheme="minorHAnsi" w:eastAsiaTheme="minorEastAsia" w:hAnsiTheme="minorHAnsi" w:cstheme="minorBidi"/>
            <w:noProof/>
            <w:sz w:val="22"/>
            <w:szCs w:val="22"/>
          </w:rPr>
          <w:tab/>
        </w:r>
        <w:r w:rsidR="00BC6B01" w:rsidRPr="003037F2">
          <w:rPr>
            <w:rStyle w:val="Hypertextovodkaz"/>
            <w:noProof/>
          </w:rPr>
          <w:t>Udržitelný rozvoj (7.12.1)</w:t>
        </w:r>
        <w:r w:rsidR="00BC6B01">
          <w:rPr>
            <w:noProof/>
            <w:webHidden/>
          </w:rPr>
          <w:tab/>
        </w:r>
        <w:r>
          <w:rPr>
            <w:noProof/>
            <w:webHidden/>
          </w:rPr>
          <w:fldChar w:fldCharType="begin"/>
        </w:r>
        <w:r w:rsidR="00BC6B01">
          <w:rPr>
            <w:noProof/>
            <w:webHidden/>
          </w:rPr>
          <w:instrText xml:space="preserve"> PAGEREF _Toc352328411 \h </w:instrText>
        </w:r>
        <w:r>
          <w:rPr>
            <w:noProof/>
            <w:webHidden/>
          </w:rPr>
        </w:r>
        <w:r>
          <w:rPr>
            <w:noProof/>
            <w:webHidden/>
          </w:rPr>
          <w:fldChar w:fldCharType="separate"/>
        </w:r>
        <w:r w:rsidR="00D92A26">
          <w:rPr>
            <w:noProof/>
            <w:webHidden/>
          </w:rPr>
          <w:t>149</w:t>
        </w:r>
        <w:r>
          <w:rPr>
            <w:noProof/>
            <w:webHidden/>
          </w:rPr>
          <w:fldChar w:fldCharType="end"/>
        </w:r>
      </w:hyperlink>
    </w:p>
    <w:p w:rsidR="00BC6B01" w:rsidRDefault="008534F0">
      <w:pPr>
        <w:pStyle w:val="Obsah2"/>
        <w:tabs>
          <w:tab w:val="left" w:pos="1100"/>
          <w:tab w:val="right" w:leader="dot" w:pos="9202"/>
        </w:tabs>
        <w:rPr>
          <w:rFonts w:asciiTheme="minorHAnsi" w:eastAsiaTheme="minorEastAsia" w:hAnsiTheme="minorHAnsi" w:cstheme="minorBidi"/>
          <w:noProof/>
          <w:sz w:val="22"/>
          <w:szCs w:val="22"/>
        </w:rPr>
      </w:pPr>
      <w:hyperlink w:anchor="_Toc352328412" w:history="1">
        <w:r w:rsidR="00BC6B01" w:rsidRPr="003037F2">
          <w:rPr>
            <w:rStyle w:val="Hypertextovodkaz"/>
            <w:noProof/>
          </w:rPr>
          <w:t>10.2</w:t>
        </w:r>
        <w:r w:rsidR="00BC6B01">
          <w:rPr>
            <w:rFonts w:asciiTheme="minorHAnsi" w:eastAsiaTheme="minorEastAsia" w:hAnsiTheme="minorHAnsi" w:cstheme="minorBidi"/>
            <w:noProof/>
            <w:sz w:val="22"/>
            <w:szCs w:val="22"/>
          </w:rPr>
          <w:tab/>
        </w:r>
        <w:r w:rsidR="00BC6B01" w:rsidRPr="003037F2">
          <w:rPr>
            <w:rStyle w:val="Hypertextovodkaz"/>
            <w:noProof/>
          </w:rPr>
          <w:t>Rovné příležitosti a ochrana před diskriminací (7.12.2)</w:t>
        </w:r>
        <w:r w:rsidR="00BC6B01">
          <w:rPr>
            <w:noProof/>
            <w:webHidden/>
          </w:rPr>
          <w:tab/>
        </w:r>
        <w:r>
          <w:rPr>
            <w:noProof/>
            <w:webHidden/>
          </w:rPr>
          <w:fldChar w:fldCharType="begin"/>
        </w:r>
        <w:r w:rsidR="00BC6B01">
          <w:rPr>
            <w:noProof/>
            <w:webHidden/>
          </w:rPr>
          <w:instrText xml:space="preserve"> PAGEREF _Toc352328412 \h </w:instrText>
        </w:r>
        <w:r>
          <w:rPr>
            <w:noProof/>
            <w:webHidden/>
          </w:rPr>
        </w:r>
        <w:r>
          <w:rPr>
            <w:noProof/>
            <w:webHidden/>
          </w:rPr>
          <w:fldChar w:fldCharType="separate"/>
        </w:r>
        <w:r w:rsidR="00D92A26">
          <w:rPr>
            <w:noProof/>
            <w:webHidden/>
          </w:rPr>
          <w:t>150</w:t>
        </w:r>
        <w:r>
          <w:rPr>
            <w:noProof/>
            <w:webHidden/>
          </w:rPr>
          <w:fldChar w:fldCharType="end"/>
        </w:r>
      </w:hyperlink>
    </w:p>
    <w:p w:rsidR="00BC6B01" w:rsidRDefault="008534F0">
      <w:pPr>
        <w:pStyle w:val="Obsah2"/>
        <w:tabs>
          <w:tab w:val="left" w:pos="1100"/>
          <w:tab w:val="right" w:leader="dot" w:pos="9202"/>
        </w:tabs>
        <w:rPr>
          <w:rFonts w:asciiTheme="minorHAnsi" w:eastAsiaTheme="minorEastAsia" w:hAnsiTheme="minorHAnsi" w:cstheme="minorBidi"/>
          <w:noProof/>
          <w:sz w:val="22"/>
          <w:szCs w:val="22"/>
        </w:rPr>
      </w:pPr>
      <w:hyperlink w:anchor="_Toc352328413" w:history="1">
        <w:r w:rsidR="00BC6B01" w:rsidRPr="003037F2">
          <w:rPr>
            <w:rStyle w:val="Hypertextovodkaz"/>
            <w:noProof/>
          </w:rPr>
          <w:t>10.3</w:t>
        </w:r>
        <w:r w:rsidR="00BC6B01">
          <w:rPr>
            <w:rFonts w:asciiTheme="minorHAnsi" w:eastAsiaTheme="minorEastAsia" w:hAnsiTheme="minorHAnsi" w:cstheme="minorBidi"/>
            <w:noProof/>
            <w:sz w:val="22"/>
            <w:szCs w:val="22"/>
          </w:rPr>
          <w:tab/>
        </w:r>
        <w:r w:rsidR="00BC6B01" w:rsidRPr="003037F2">
          <w:rPr>
            <w:rStyle w:val="Hypertextovodkaz"/>
            <w:noProof/>
          </w:rPr>
          <w:t>Rovnost žen a mužů (7.12.3)</w:t>
        </w:r>
        <w:r w:rsidR="00BC6B01">
          <w:rPr>
            <w:noProof/>
            <w:webHidden/>
          </w:rPr>
          <w:tab/>
        </w:r>
        <w:r>
          <w:rPr>
            <w:noProof/>
            <w:webHidden/>
          </w:rPr>
          <w:fldChar w:fldCharType="begin"/>
        </w:r>
        <w:r w:rsidR="00BC6B01">
          <w:rPr>
            <w:noProof/>
            <w:webHidden/>
          </w:rPr>
          <w:instrText xml:space="preserve"> PAGEREF _Toc352328413 \h </w:instrText>
        </w:r>
        <w:r>
          <w:rPr>
            <w:noProof/>
            <w:webHidden/>
          </w:rPr>
        </w:r>
        <w:r>
          <w:rPr>
            <w:noProof/>
            <w:webHidden/>
          </w:rPr>
          <w:fldChar w:fldCharType="separate"/>
        </w:r>
        <w:r w:rsidR="00D92A26">
          <w:rPr>
            <w:noProof/>
            <w:webHidden/>
          </w:rPr>
          <w:t>150</w:t>
        </w:r>
        <w:r>
          <w:rPr>
            <w:noProof/>
            <w:webHidden/>
          </w:rPr>
          <w:fldChar w:fldCharType="end"/>
        </w:r>
      </w:hyperlink>
    </w:p>
    <w:p w:rsidR="00BC6B01" w:rsidRDefault="008534F0">
      <w:pPr>
        <w:pStyle w:val="Obsah1"/>
        <w:tabs>
          <w:tab w:val="left" w:pos="480"/>
          <w:tab w:val="right" w:leader="dot" w:pos="9202"/>
        </w:tabs>
        <w:rPr>
          <w:rFonts w:asciiTheme="minorHAnsi" w:eastAsiaTheme="minorEastAsia" w:hAnsiTheme="minorHAnsi" w:cstheme="minorBidi"/>
          <w:b w:val="0"/>
          <w:noProof/>
          <w:sz w:val="22"/>
          <w:szCs w:val="22"/>
        </w:rPr>
      </w:pPr>
      <w:hyperlink w:anchor="_Toc352328414" w:history="1">
        <w:r w:rsidR="00BC6B01" w:rsidRPr="003037F2">
          <w:rPr>
            <w:rStyle w:val="Hypertextovodkaz"/>
            <w:noProof/>
          </w:rPr>
          <w:t>11</w:t>
        </w:r>
        <w:r w:rsidR="00BC6B01">
          <w:rPr>
            <w:rFonts w:asciiTheme="minorHAnsi" w:eastAsiaTheme="minorEastAsia" w:hAnsiTheme="minorHAnsi" w:cstheme="minorBidi"/>
            <w:b w:val="0"/>
            <w:noProof/>
            <w:sz w:val="22"/>
            <w:szCs w:val="22"/>
          </w:rPr>
          <w:tab/>
        </w:r>
        <w:r w:rsidR="00BC6B01" w:rsidRPr="003037F2">
          <w:rPr>
            <w:rStyle w:val="Hypertextovodkaz"/>
            <w:noProof/>
          </w:rPr>
          <w:t>Přílohy Operačního programu</w:t>
        </w:r>
        <w:r w:rsidR="00BC6B01">
          <w:rPr>
            <w:noProof/>
            <w:webHidden/>
          </w:rPr>
          <w:tab/>
        </w:r>
        <w:r>
          <w:rPr>
            <w:noProof/>
            <w:webHidden/>
          </w:rPr>
          <w:fldChar w:fldCharType="begin"/>
        </w:r>
        <w:r w:rsidR="00BC6B01">
          <w:rPr>
            <w:noProof/>
            <w:webHidden/>
          </w:rPr>
          <w:instrText xml:space="preserve"> PAGEREF _Toc352328414 \h </w:instrText>
        </w:r>
        <w:r>
          <w:rPr>
            <w:noProof/>
            <w:webHidden/>
          </w:rPr>
        </w:r>
        <w:r>
          <w:rPr>
            <w:noProof/>
            <w:webHidden/>
          </w:rPr>
          <w:fldChar w:fldCharType="separate"/>
        </w:r>
        <w:r w:rsidR="00D92A26">
          <w:rPr>
            <w:noProof/>
            <w:webHidden/>
          </w:rPr>
          <w:t>151</w:t>
        </w:r>
        <w:r>
          <w:rPr>
            <w:noProof/>
            <w:webHidden/>
          </w:rPr>
          <w:fldChar w:fldCharType="end"/>
        </w:r>
      </w:hyperlink>
    </w:p>
    <w:p w:rsidR="00BC6B01" w:rsidRDefault="008534F0">
      <w:pPr>
        <w:pStyle w:val="Obsah2"/>
        <w:tabs>
          <w:tab w:val="left" w:pos="1100"/>
          <w:tab w:val="right" w:leader="dot" w:pos="9202"/>
        </w:tabs>
        <w:rPr>
          <w:rFonts w:asciiTheme="minorHAnsi" w:eastAsiaTheme="minorEastAsia" w:hAnsiTheme="minorHAnsi" w:cstheme="minorBidi"/>
          <w:noProof/>
          <w:sz w:val="22"/>
          <w:szCs w:val="22"/>
        </w:rPr>
      </w:pPr>
      <w:hyperlink w:anchor="_Toc352328415" w:history="1">
        <w:r w:rsidR="00BC6B01" w:rsidRPr="003037F2">
          <w:rPr>
            <w:rStyle w:val="Hypertextovodkaz"/>
            <w:rFonts w:cstheme="minorHAnsi"/>
            <w:noProof/>
          </w:rPr>
          <w:t>11.1</w:t>
        </w:r>
        <w:r w:rsidR="00BC6B01">
          <w:rPr>
            <w:rFonts w:asciiTheme="minorHAnsi" w:eastAsiaTheme="minorEastAsia" w:hAnsiTheme="minorHAnsi" w:cstheme="minorBidi"/>
            <w:noProof/>
            <w:sz w:val="22"/>
            <w:szCs w:val="22"/>
          </w:rPr>
          <w:tab/>
        </w:r>
        <w:r w:rsidR="00BC6B01" w:rsidRPr="003037F2">
          <w:rPr>
            <w:rStyle w:val="Hypertextovodkaz"/>
            <w:rFonts w:cstheme="minorHAnsi"/>
            <w:noProof/>
          </w:rPr>
          <w:t>Seznam velkých projektů, jejichž realizace je v průběhu programového období plánována (7.13.1)</w:t>
        </w:r>
        <w:r w:rsidR="00BC6B01">
          <w:rPr>
            <w:noProof/>
            <w:webHidden/>
          </w:rPr>
          <w:tab/>
        </w:r>
        <w:r>
          <w:rPr>
            <w:noProof/>
            <w:webHidden/>
          </w:rPr>
          <w:fldChar w:fldCharType="begin"/>
        </w:r>
        <w:r w:rsidR="00BC6B01">
          <w:rPr>
            <w:noProof/>
            <w:webHidden/>
          </w:rPr>
          <w:instrText xml:space="preserve"> PAGEREF _Toc352328415 \h </w:instrText>
        </w:r>
        <w:r>
          <w:rPr>
            <w:noProof/>
            <w:webHidden/>
          </w:rPr>
        </w:r>
        <w:r>
          <w:rPr>
            <w:noProof/>
            <w:webHidden/>
          </w:rPr>
          <w:fldChar w:fldCharType="separate"/>
        </w:r>
        <w:r w:rsidR="00D92A26">
          <w:rPr>
            <w:noProof/>
            <w:webHidden/>
          </w:rPr>
          <w:t>151</w:t>
        </w:r>
        <w:r>
          <w:rPr>
            <w:noProof/>
            <w:webHidden/>
          </w:rPr>
          <w:fldChar w:fldCharType="end"/>
        </w:r>
      </w:hyperlink>
    </w:p>
    <w:p w:rsidR="00BC6B01" w:rsidRDefault="008534F0">
      <w:pPr>
        <w:pStyle w:val="Obsah2"/>
        <w:tabs>
          <w:tab w:val="left" w:pos="1100"/>
          <w:tab w:val="right" w:leader="dot" w:pos="9202"/>
        </w:tabs>
        <w:rPr>
          <w:rFonts w:asciiTheme="minorHAnsi" w:eastAsiaTheme="minorEastAsia" w:hAnsiTheme="minorHAnsi" w:cstheme="minorBidi"/>
          <w:noProof/>
          <w:sz w:val="22"/>
          <w:szCs w:val="22"/>
        </w:rPr>
      </w:pPr>
      <w:hyperlink w:anchor="_Toc352328416" w:history="1">
        <w:r w:rsidR="00BC6B01" w:rsidRPr="003037F2">
          <w:rPr>
            <w:rStyle w:val="Hypertextovodkaz"/>
            <w:noProof/>
          </w:rPr>
          <w:t>11.2</w:t>
        </w:r>
        <w:r w:rsidR="00BC6B01">
          <w:rPr>
            <w:rFonts w:asciiTheme="minorHAnsi" w:eastAsiaTheme="minorEastAsia" w:hAnsiTheme="minorHAnsi" w:cstheme="minorBidi"/>
            <w:noProof/>
            <w:sz w:val="22"/>
            <w:szCs w:val="22"/>
          </w:rPr>
          <w:tab/>
        </w:r>
        <w:r w:rsidR="00BC6B01" w:rsidRPr="003037F2">
          <w:rPr>
            <w:rStyle w:val="Hypertextovodkaz"/>
            <w:noProof/>
          </w:rPr>
          <w:t>Výkonnostní rámec operačního programu (7.13.2)</w:t>
        </w:r>
        <w:r w:rsidR="00BC6B01">
          <w:rPr>
            <w:noProof/>
            <w:webHidden/>
          </w:rPr>
          <w:tab/>
        </w:r>
        <w:r>
          <w:rPr>
            <w:noProof/>
            <w:webHidden/>
          </w:rPr>
          <w:fldChar w:fldCharType="begin"/>
        </w:r>
        <w:r w:rsidR="00BC6B01">
          <w:rPr>
            <w:noProof/>
            <w:webHidden/>
          </w:rPr>
          <w:instrText xml:space="preserve"> PAGEREF _Toc352328416 \h </w:instrText>
        </w:r>
        <w:r>
          <w:rPr>
            <w:noProof/>
            <w:webHidden/>
          </w:rPr>
        </w:r>
        <w:r>
          <w:rPr>
            <w:noProof/>
            <w:webHidden/>
          </w:rPr>
          <w:fldChar w:fldCharType="separate"/>
        </w:r>
        <w:r w:rsidR="00D92A26">
          <w:rPr>
            <w:noProof/>
            <w:webHidden/>
          </w:rPr>
          <w:t>151</w:t>
        </w:r>
        <w:r>
          <w:rPr>
            <w:noProof/>
            <w:webHidden/>
          </w:rPr>
          <w:fldChar w:fldCharType="end"/>
        </w:r>
      </w:hyperlink>
    </w:p>
    <w:p w:rsidR="00BC6B01" w:rsidRDefault="008534F0">
      <w:pPr>
        <w:pStyle w:val="Obsah2"/>
        <w:tabs>
          <w:tab w:val="left" w:pos="1100"/>
          <w:tab w:val="right" w:leader="dot" w:pos="9202"/>
        </w:tabs>
        <w:rPr>
          <w:rFonts w:asciiTheme="minorHAnsi" w:eastAsiaTheme="minorEastAsia" w:hAnsiTheme="minorHAnsi" w:cstheme="minorBidi"/>
          <w:noProof/>
          <w:sz w:val="22"/>
          <w:szCs w:val="22"/>
        </w:rPr>
      </w:pPr>
      <w:hyperlink w:anchor="_Toc352328417" w:history="1">
        <w:r w:rsidR="00BC6B01" w:rsidRPr="003037F2">
          <w:rPr>
            <w:rStyle w:val="Hypertextovodkaz"/>
            <w:noProof/>
          </w:rPr>
          <w:t>11.3</w:t>
        </w:r>
        <w:r w:rsidR="00BC6B01">
          <w:rPr>
            <w:rFonts w:asciiTheme="minorHAnsi" w:eastAsiaTheme="minorEastAsia" w:hAnsiTheme="minorHAnsi" w:cstheme="minorBidi"/>
            <w:noProof/>
            <w:sz w:val="22"/>
            <w:szCs w:val="22"/>
          </w:rPr>
          <w:tab/>
        </w:r>
        <w:r w:rsidR="00BC6B01" w:rsidRPr="003037F2">
          <w:rPr>
            <w:rStyle w:val="Hypertextovodkaz"/>
            <w:noProof/>
          </w:rPr>
          <w:t>Další přílohy</w:t>
        </w:r>
        <w:r w:rsidR="00BC6B01">
          <w:rPr>
            <w:noProof/>
            <w:webHidden/>
          </w:rPr>
          <w:tab/>
        </w:r>
        <w:r>
          <w:rPr>
            <w:noProof/>
            <w:webHidden/>
          </w:rPr>
          <w:fldChar w:fldCharType="begin"/>
        </w:r>
        <w:r w:rsidR="00BC6B01">
          <w:rPr>
            <w:noProof/>
            <w:webHidden/>
          </w:rPr>
          <w:instrText xml:space="preserve"> PAGEREF _Toc352328417 \h </w:instrText>
        </w:r>
        <w:r>
          <w:rPr>
            <w:noProof/>
            <w:webHidden/>
          </w:rPr>
        </w:r>
        <w:r>
          <w:rPr>
            <w:noProof/>
            <w:webHidden/>
          </w:rPr>
          <w:fldChar w:fldCharType="separate"/>
        </w:r>
        <w:r w:rsidR="00D92A26">
          <w:rPr>
            <w:noProof/>
            <w:webHidden/>
          </w:rPr>
          <w:t>152</w:t>
        </w:r>
        <w:r>
          <w:rPr>
            <w:noProof/>
            <w:webHidden/>
          </w:rPr>
          <w:fldChar w:fldCharType="end"/>
        </w:r>
      </w:hyperlink>
    </w:p>
    <w:p w:rsidR="002E4CA7" w:rsidRDefault="008534F0" w:rsidP="00300283">
      <w:pPr>
        <w:overflowPunct/>
        <w:autoSpaceDE/>
        <w:autoSpaceDN/>
        <w:adjustRightInd/>
        <w:spacing w:before="120" w:after="60"/>
        <w:textAlignment w:val="auto"/>
        <w:rPr>
          <w:rFonts w:ascii="Calibri" w:hAnsi="Calibri" w:cs="Calibri"/>
          <w:b/>
          <w:caps/>
          <w:sz w:val="28"/>
          <w:szCs w:val="28"/>
        </w:rPr>
      </w:pPr>
      <w:r>
        <w:rPr>
          <w:rFonts w:ascii="Calibri" w:hAnsi="Calibri" w:cs="Calibri"/>
          <w:b/>
          <w:caps/>
          <w:sz w:val="28"/>
          <w:szCs w:val="28"/>
        </w:rPr>
        <w:fldChar w:fldCharType="end"/>
      </w:r>
    </w:p>
    <w:p w:rsidR="00D732FC" w:rsidRPr="0023642B" w:rsidRDefault="00D732FC" w:rsidP="00300283">
      <w:pPr>
        <w:overflowPunct/>
        <w:autoSpaceDE/>
        <w:autoSpaceDN/>
        <w:adjustRightInd/>
        <w:spacing w:before="120" w:after="60"/>
        <w:textAlignment w:val="auto"/>
        <w:rPr>
          <w:rFonts w:ascii="Calibri" w:hAnsi="Calibri" w:cs="Calibri"/>
          <w:b/>
          <w:caps/>
          <w:sz w:val="28"/>
          <w:szCs w:val="28"/>
        </w:rPr>
      </w:pPr>
    </w:p>
    <w:p w:rsidR="005566D0" w:rsidRPr="0023642B" w:rsidRDefault="005566D0" w:rsidP="00415776">
      <w:pPr>
        <w:rPr>
          <w:rFonts w:ascii="Calibri" w:hAnsi="Calibri" w:cs="Calibri"/>
        </w:rPr>
      </w:pPr>
    </w:p>
    <w:p w:rsidR="009E6172" w:rsidRPr="004731D0" w:rsidRDefault="009E6172" w:rsidP="00150B70">
      <w:pPr>
        <w:pStyle w:val="Nadpis1"/>
      </w:pPr>
      <w:bookmarkStart w:id="1" w:name="_Toc351464346"/>
      <w:bookmarkStart w:id="2" w:name="_Toc352328351"/>
      <w:r w:rsidRPr="004731D0">
        <w:lastRenderedPageBreak/>
        <w:t>Příprava operačního programu</w:t>
      </w:r>
      <w:r w:rsidR="00E8631E" w:rsidRPr="004731D0">
        <w:t xml:space="preserve"> a zapojení par</w:t>
      </w:r>
      <w:r w:rsidR="007F169C">
        <w:t>t</w:t>
      </w:r>
      <w:r w:rsidR="00E8631E" w:rsidRPr="004731D0">
        <w:t>nerů</w:t>
      </w:r>
      <w:bookmarkEnd w:id="1"/>
      <w:bookmarkEnd w:id="2"/>
    </w:p>
    <w:p w:rsidR="009B17B4" w:rsidRDefault="009B17B4" w:rsidP="00456806">
      <w:pPr>
        <w:overflowPunct/>
        <w:spacing w:after="120"/>
        <w:jc w:val="both"/>
        <w:textAlignment w:val="auto"/>
        <w:rPr>
          <w:rFonts w:asciiTheme="minorHAnsi" w:hAnsiTheme="minorHAnsi" w:cstheme="minorHAnsi"/>
          <w:i/>
          <w:color w:val="FF0000"/>
          <w:sz w:val="24"/>
          <w:szCs w:val="24"/>
        </w:rPr>
      </w:pPr>
      <w:r w:rsidRPr="007810B6">
        <w:rPr>
          <w:rFonts w:asciiTheme="minorHAnsi" w:hAnsiTheme="minorHAnsi" w:cstheme="minorHAnsi"/>
          <w:i/>
          <w:color w:val="FF0000"/>
          <w:sz w:val="24"/>
          <w:szCs w:val="24"/>
        </w:rPr>
        <w:t xml:space="preserve">…………….………..viz EK Draft </w:t>
      </w:r>
      <w:r w:rsidR="00C561C7">
        <w:rPr>
          <w:rFonts w:asciiTheme="minorHAnsi" w:hAnsiTheme="minorHAnsi" w:cstheme="minorHAnsi"/>
          <w:i/>
          <w:color w:val="FF0000"/>
          <w:sz w:val="24"/>
          <w:szCs w:val="24"/>
        </w:rPr>
        <w:t>T</w:t>
      </w:r>
      <w:r w:rsidRPr="007810B6">
        <w:rPr>
          <w:rFonts w:asciiTheme="minorHAnsi" w:hAnsiTheme="minorHAnsi" w:cstheme="minorHAnsi"/>
          <w:i/>
          <w:color w:val="FF0000"/>
          <w:sz w:val="24"/>
          <w:szCs w:val="24"/>
        </w:rPr>
        <w:t xml:space="preserve">emplate / verze leden </w:t>
      </w:r>
      <w:smartTag w:uri="urn:schemas-microsoft-com:office:smarttags" w:element="metricconverter">
        <w:smartTagPr>
          <w:attr w:name="ProductID" w:val="2013 a"/>
        </w:smartTagPr>
        <w:r w:rsidRPr="007810B6">
          <w:rPr>
            <w:rFonts w:asciiTheme="minorHAnsi" w:hAnsiTheme="minorHAnsi" w:cstheme="minorHAnsi"/>
            <w:i/>
            <w:color w:val="FF0000"/>
            <w:sz w:val="24"/>
            <w:szCs w:val="24"/>
          </w:rPr>
          <w:t>2013 a</w:t>
        </w:r>
      </w:smartTag>
      <w:r w:rsidRPr="007810B6">
        <w:rPr>
          <w:rFonts w:asciiTheme="minorHAnsi" w:hAnsiTheme="minorHAnsi" w:cstheme="minorHAnsi"/>
          <w:i/>
          <w:color w:val="FF0000"/>
          <w:sz w:val="24"/>
          <w:szCs w:val="24"/>
        </w:rPr>
        <w:t xml:space="preserve"> únor 2013 / </w:t>
      </w:r>
      <w:r w:rsidRPr="007810B6">
        <w:rPr>
          <w:rFonts w:asciiTheme="minorHAnsi" w:hAnsiTheme="minorHAnsi" w:cstheme="minorHAnsi"/>
          <w:b/>
          <w:i/>
          <w:color w:val="FF0000"/>
          <w:sz w:val="24"/>
          <w:szCs w:val="24"/>
        </w:rPr>
        <w:t>sekce 1</w:t>
      </w:r>
      <w:r w:rsidRPr="007810B6">
        <w:rPr>
          <w:rFonts w:asciiTheme="minorHAnsi" w:hAnsiTheme="minorHAnsi" w:cstheme="minorHAnsi"/>
          <w:i/>
          <w:color w:val="FF0000"/>
          <w:sz w:val="24"/>
          <w:szCs w:val="24"/>
        </w:rPr>
        <w:t xml:space="preserve"> / str. 2 - </w:t>
      </w:r>
      <w:smartTag w:uri="urn:schemas-microsoft-com:office:smarttags" w:element="metricconverter">
        <w:smartTagPr>
          <w:attr w:name="ProductID" w:val="3 a"/>
        </w:smartTagPr>
        <w:r w:rsidRPr="007810B6">
          <w:rPr>
            <w:rFonts w:asciiTheme="minorHAnsi" w:hAnsiTheme="minorHAnsi" w:cstheme="minorHAnsi"/>
            <w:i/>
            <w:color w:val="FF0000"/>
            <w:sz w:val="24"/>
            <w:szCs w:val="24"/>
          </w:rPr>
          <w:t>3 a</w:t>
        </w:r>
      </w:smartTag>
      <w:r w:rsidRPr="007810B6">
        <w:rPr>
          <w:rFonts w:asciiTheme="minorHAnsi" w:hAnsiTheme="minorHAnsi" w:cstheme="minorHAnsi"/>
          <w:i/>
          <w:color w:val="FF0000"/>
          <w:sz w:val="24"/>
          <w:szCs w:val="24"/>
        </w:rPr>
        <w:t xml:space="preserve"> Metodika, verze 1.2 únor 2013 / </w:t>
      </w:r>
      <w:r w:rsidRPr="007810B6">
        <w:rPr>
          <w:rFonts w:asciiTheme="minorHAnsi" w:hAnsiTheme="minorHAnsi" w:cstheme="minorHAnsi"/>
          <w:b/>
          <w:i/>
          <w:color w:val="FF0000"/>
          <w:sz w:val="24"/>
          <w:szCs w:val="24"/>
        </w:rPr>
        <w:t>kap. 7.1</w:t>
      </w:r>
      <w:r w:rsidRPr="007810B6">
        <w:rPr>
          <w:rFonts w:asciiTheme="minorHAnsi" w:hAnsiTheme="minorHAnsi" w:cstheme="minorHAnsi"/>
          <w:i/>
          <w:color w:val="FF0000"/>
          <w:sz w:val="24"/>
          <w:szCs w:val="24"/>
        </w:rPr>
        <w:t xml:space="preserve"> / str. 79</w:t>
      </w:r>
    </w:p>
    <w:p w:rsidR="00456806" w:rsidRPr="00456806" w:rsidRDefault="00456806" w:rsidP="00456806">
      <w:pPr>
        <w:overflowPunct/>
        <w:spacing w:after="120"/>
        <w:jc w:val="both"/>
        <w:textAlignment w:val="auto"/>
        <w:rPr>
          <w:rFonts w:asciiTheme="minorHAnsi" w:hAnsiTheme="minorHAnsi" w:cstheme="minorHAnsi"/>
          <w:color w:val="FF0000"/>
          <w:sz w:val="24"/>
          <w:szCs w:val="24"/>
        </w:rPr>
      </w:pPr>
      <w:r w:rsidRPr="00456806">
        <w:rPr>
          <w:rFonts w:asciiTheme="minorHAnsi" w:hAnsiTheme="minorHAnsi" w:cstheme="minorHAnsi"/>
          <w:color w:val="FF0000"/>
          <w:sz w:val="24"/>
          <w:szCs w:val="24"/>
        </w:rPr>
        <w:t>Text kapitoly bude průběžně zpřesňován v návaznosti na průběh přípravy operačního programu.</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 xml:space="preserve">Evropská komise přijala v březnu 2010 </w:t>
      </w:r>
      <w:r w:rsidRPr="007810B6">
        <w:rPr>
          <w:rFonts w:asciiTheme="minorHAnsi" w:hAnsiTheme="minorHAnsi" w:cstheme="minorHAnsi"/>
          <w:b/>
          <w:sz w:val="24"/>
          <w:szCs w:val="24"/>
        </w:rPr>
        <w:t>Sdělení ke strategii Evropa 2020</w:t>
      </w:r>
      <w:r w:rsidRPr="007810B6">
        <w:rPr>
          <w:rFonts w:asciiTheme="minorHAnsi" w:hAnsiTheme="minorHAnsi" w:cstheme="minorHAnsi"/>
          <w:sz w:val="24"/>
          <w:szCs w:val="24"/>
        </w:rPr>
        <w:t>. Tato strategie je v současnosti hlavní hospodářskou reformní agendou Evropské unie a nahrazuje Lisabonskou strategii, jejíž platnost skončila rokem 2010. Strategie Evropa 2020 definuje tři vzájemně provázané priority:</w:t>
      </w:r>
    </w:p>
    <w:p w:rsidR="009B17B4" w:rsidRPr="007810B6" w:rsidRDefault="009B17B4" w:rsidP="00851D6E">
      <w:pPr>
        <w:pStyle w:val="Odstavecseseznamem"/>
        <w:numPr>
          <w:ilvl w:val="0"/>
          <w:numId w:val="15"/>
        </w:numPr>
        <w:overflowPunct/>
        <w:autoSpaceDE/>
        <w:autoSpaceDN/>
        <w:adjustRightInd/>
        <w:spacing w:after="120"/>
        <w:contextualSpacing w:val="0"/>
        <w:jc w:val="both"/>
        <w:textAlignment w:val="auto"/>
        <w:rPr>
          <w:rFonts w:asciiTheme="minorHAnsi" w:hAnsiTheme="minorHAnsi" w:cstheme="minorHAnsi"/>
          <w:sz w:val="24"/>
          <w:szCs w:val="24"/>
        </w:rPr>
      </w:pPr>
      <w:r w:rsidRPr="007810B6">
        <w:rPr>
          <w:rFonts w:asciiTheme="minorHAnsi" w:hAnsiTheme="minorHAnsi" w:cstheme="minorHAnsi"/>
          <w:b/>
          <w:sz w:val="24"/>
          <w:szCs w:val="24"/>
        </w:rPr>
        <w:t>Inteligentní růst:</w:t>
      </w:r>
      <w:r w:rsidRPr="007810B6">
        <w:rPr>
          <w:rFonts w:asciiTheme="minorHAnsi" w:hAnsiTheme="minorHAnsi" w:cstheme="minorHAnsi"/>
          <w:sz w:val="24"/>
          <w:szCs w:val="24"/>
        </w:rPr>
        <w:t xml:space="preserve"> rozvíjet ekonomiku založenou na znalostech a inovacích.</w:t>
      </w:r>
    </w:p>
    <w:p w:rsidR="009B17B4" w:rsidRPr="007810B6" w:rsidRDefault="009B17B4" w:rsidP="00851D6E">
      <w:pPr>
        <w:pStyle w:val="Odstavecseseznamem"/>
        <w:numPr>
          <w:ilvl w:val="0"/>
          <w:numId w:val="15"/>
        </w:numPr>
        <w:overflowPunct/>
        <w:autoSpaceDE/>
        <w:autoSpaceDN/>
        <w:adjustRightInd/>
        <w:spacing w:after="120"/>
        <w:contextualSpacing w:val="0"/>
        <w:jc w:val="both"/>
        <w:textAlignment w:val="auto"/>
        <w:rPr>
          <w:rFonts w:asciiTheme="minorHAnsi" w:hAnsiTheme="minorHAnsi" w:cstheme="minorHAnsi"/>
          <w:sz w:val="24"/>
          <w:szCs w:val="24"/>
        </w:rPr>
      </w:pPr>
      <w:r w:rsidRPr="007810B6">
        <w:rPr>
          <w:rFonts w:asciiTheme="minorHAnsi" w:hAnsiTheme="minorHAnsi" w:cstheme="minorHAnsi"/>
          <w:b/>
          <w:sz w:val="24"/>
          <w:szCs w:val="24"/>
        </w:rPr>
        <w:t>Udržitelný růst</w:t>
      </w:r>
      <w:r w:rsidRPr="007810B6">
        <w:rPr>
          <w:rFonts w:asciiTheme="minorHAnsi" w:hAnsiTheme="minorHAnsi" w:cstheme="minorHAnsi"/>
          <w:sz w:val="24"/>
          <w:szCs w:val="24"/>
        </w:rPr>
        <w:t>: podporovat konkurenceschopnější a ekologičtější ekonomiku méně náročnou na zdroje.</w:t>
      </w:r>
    </w:p>
    <w:p w:rsidR="009B17B4" w:rsidRPr="007810B6" w:rsidRDefault="009B17B4" w:rsidP="00851D6E">
      <w:pPr>
        <w:pStyle w:val="Odstavecseseznamem"/>
        <w:numPr>
          <w:ilvl w:val="0"/>
          <w:numId w:val="15"/>
        </w:numPr>
        <w:overflowPunct/>
        <w:autoSpaceDE/>
        <w:autoSpaceDN/>
        <w:adjustRightInd/>
        <w:spacing w:after="120"/>
        <w:contextualSpacing w:val="0"/>
        <w:jc w:val="both"/>
        <w:textAlignment w:val="auto"/>
        <w:rPr>
          <w:rFonts w:asciiTheme="minorHAnsi" w:hAnsiTheme="minorHAnsi" w:cstheme="minorHAnsi"/>
          <w:sz w:val="24"/>
          <w:szCs w:val="24"/>
        </w:rPr>
      </w:pPr>
      <w:r w:rsidRPr="007810B6">
        <w:rPr>
          <w:rFonts w:asciiTheme="minorHAnsi" w:hAnsiTheme="minorHAnsi" w:cstheme="minorHAnsi"/>
          <w:b/>
          <w:sz w:val="24"/>
          <w:szCs w:val="24"/>
        </w:rPr>
        <w:t>Růst podporující začlenění:</w:t>
      </w:r>
      <w:r w:rsidRPr="007810B6">
        <w:rPr>
          <w:rFonts w:asciiTheme="minorHAnsi" w:hAnsiTheme="minorHAnsi" w:cstheme="minorHAnsi"/>
          <w:sz w:val="24"/>
          <w:szCs w:val="24"/>
        </w:rPr>
        <w:t xml:space="preserve"> podporovat ekonomiku s vysokou zaměstnaností, jež se bude vyznačovat sociální a územní soudržností.</w:t>
      </w: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V rámci těchto priorit předložila Evropská komise sedm stěžejních iniciativ spadajících do výše zmíněných priorit, z nichž následující iniciativy se přímo vztahují k </w:t>
      </w:r>
      <w:r w:rsidRPr="007810B6">
        <w:rPr>
          <w:rFonts w:asciiTheme="minorHAnsi" w:hAnsiTheme="minorHAnsi" w:cstheme="minorHAnsi"/>
          <w:b/>
          <w:sz w:val="24"/>
          <w:szCs w:val="24"/>
        </w:rPr>
        <w:t>Operačnímu programu Podnikání a inovace pro konkurenceschopnost na období 2014 – 2020</w:t>
      </w:r>
      <w:r w:rsidRPr="007810B6">
        <w:rPr>
          <w:rFonts w:asciiTheme="minorHAnsi" w:hAnsiTheme="minorHAnsi" w:cstheme="minorHAnsi"/>
          <w:sz w:val="24"/>
          <w:szCs w:val="24"/>
        </w:rPr>
        <w:t xml:space="preserve"> v gesci Ministerstva průmyslu a obchodu:</w:t>
      </w:r>
    </w:p>
    <w:p w:rsidR="009B17B4" w:rsidRPr="007810B6" w:rsidRDefault="009B17B4" w:rsidP="00851D6E">
      <w:pPr>
        <w:pStyle w:val="Odstavecseseznamem"/>
        <w:numPr>
          <w:ilvl w:val="0"/>
          <w:numId w:val="15"/>
        </w:numPr>
        <w:overflowPunct/>
        <w:autoSpaceDE/>
        <w:autoSpaceDN/>
        <w:adjustRightInd/>
        <w:contextualSpacing w:val="0"/>
        <w:jc w:val="both"/>
        <w:textAlignment w:val="auto"/>
        <w:rPr>
          <w:rFonts w:asciiTheme="minorHAnsi" w:hAnsiTheme="minorHAnsi" w:cstheme="minorHAnsi"/>
          <w:b/>
          <w:sz w:val="24"/>
          <w:szCs w:val="24"/>
        </w:rPr>
      </w:pPr>
      <w:r w:rsidRPr="007810B6">
        <w:rPr>
          <w:rFonts w:asciiTheme="minorHAnsi" w:hAnsiTheme="minorHAnsi" w:cstheme="minorHAnsi"/>
          <w:b/>
          <w:sz w:val="24"/>
          <w:szCs w:val="24"/>
        </w:rPr>
        <w:t>Inteligentní růst</w:t>
      </w:r>
    </w:p>
    <w:p w:rsidR="009B17B4" w:rsidRPr="007810B6" w:rsidRDefault="009B17B4" w:rsidP="00851D6E">
      <w:pPr>
        <w:pStyle w:val="Odstavecseseznamem"/>
        <w:numPr>
          <w:ilvl w:val="1"/>
          <w:numId w:val="15"/>
        </w:numPr>
        <w:overflowPunct/>
        <w:autoSpaceDE/>
        <w:autoSpaceDN/>
        <w:adjustRightInd/>
        <w:contextualSpacing w:val="0"/>
        <w:jc w:val="both"/>
        <w:textAlignment w:val="auto"/>
        <w:rPr>
          <w:rFonts w:asciiTheme="minorHAnsi" w:hAnsiTheme="minorHAnsi" w:cstheme="minorHAnsi"/>
          <w:sz w:val="24"/>
          <w:szCs w:val="24"/>
        </w:rPr>
      </w:pPr>
      <w:r w:rsidRPr="007810B6">
        <w:rPr>
          <w:rFonts w:asciiTheme="minorHAnsi" w:hAnsiTheme="minorHAnsi" w:cstheme="minorHAnsi"/>
          <w:i/>
          <w:iCs/>
          <w:sz w:val="24"/>
          <w:szCs w:val="24"/>
        </w:rPr>
        <w:t>„</w:t>
      </w:r>
      <w:r w:rsidRPr="007810B6">
        <w:rPr>
          <w:rFonts w:asciiTheme="minorHAnsi" w:hAnsiTheme="minorHAnsi" w:cstheme="minorHAnsi"/>
          <w:b/>
          <w:i/>
          <w:iCs/>
          <w:sz w:val="24"/>
          <w:szCs w:val="24"/>
        </w:rPr>
        <w:t>Inovace v Unii</w:t>
      </w:r>
      <w:r w:rsidRPr="007810B6">
        <w:rPr>
          <w:rFonts w:asciiTheme="minorHAnsi" w:hAnsiTheme="minorHAnsi" w:cstheme="minorHAnsi"/>
          <w:i/>
          <w:iCs/>
          <w:sz w:val="24"/>
          <w:szCs w:val="24"/>
        </w:rPr>
        <w:t>“</w:t>
      </w:r>
      <w:r w:rsidRPr="007810B6">
        <w:rPr>
          <w:rFonts w:asciiTheme="minorHAnsi" w:hAnsiTheme="minorHAnsi" w:cstheme="minorHAnsi"/>
          <w:sz w:val="24"/>
          <w:szCs w:val="24"/>
        </w:rPr>
        <w:t xml:space="preserve"> – zlepšení rámcových podmínek a přístupu k financování výzkumu a inovací, čímž by se zajistilo, aby se z inovativních nápadů staly výrobky a služby vytvářející růst a pracovní místa.</w:t>
      </w:r>
    </w:p>
    <w:p w:rsidR="009B17B4" w:rsidRPr="007810B6" w:rsidRDefault="009B17B4" w:rsidP="00851D6E">
      <w:pPr>
        <w:pStyle w:val="Odstavecseseznamem"/>
        <w:numPr>
          <w:ilvl w:val="1"/>
          <w:numId w:val="15"/>
        </w:numPr>
        <w:overflowPunct/>
        <w:autoSpaceDE/>
        <w:autoSpaceDN/>
        <w:adjustRightInd/>
        <w:contextualSpacing w:val="0"/>
        <w:jc w:val="both"/>
        <w:textAlignment w:val="auto"/>
        <w:rPr>
          <w:rFonts w:asciiTheme="minorHAnsi" w:hAnsiTheme="minorHAnsi" w:cstheme="minorHAnsi"/>
          <w:sz w:val="24"/>
          <w:szCs w:val="24"/>
        </w:rPr>
      </w:pPr>
      <w:r w:rsidRPr="007810B6">
        <w:rPr>
          <w:rFonts w:asciiTheme="minorHAnsi" w:hAnsiTheme="minorHAnsi" w:cstheme="minorHAnsi"/>
          <w:i/>
          <w:iCs/>
          <w:sz w:val="24"/>
          <w:szCs w:val="24"/>
        </w:rPr>
        <w:t>„</w:t>
      </w:r>
      <w:r w:rsidRPr="007810B6">
        <w:rPr>
          <w:rFonts w:asciiTheme="minorHAnsi" w:hAnsiTheme="minorHAnsi" w:cstheme="minorHAnsi"/>
          <w:b/>
          <w:i/>
          <w:iCs/>
          <w:sz w:val="24"/>
          <w:szCs w:val="24"/>
        </w:rPr>
        <w:t>Digitální program pro Evropu</w:t>
      </w:r>
      <w:r w:rsidRPr="007810B6">
        <w:rPr>
          <w:rFonts w:asciiTheme="minorHAnsi" w:hAnsiTheme="minorHAnsi" w:cstheme="minorHAnsi"/>
          <w:i/>
          <w:iCs/>
          <w:sz w:val="24"/>
          <w:szCs w:val="24"/>
        </w:rPr>
        <w:t>“</w:t>
      </w:r>
      <w:r w:rsidRPr="007810B6">
        <w:rPr>
          <w:rFonts w:asciiTheme="minorHAnsi" w:hAnsiTheme="minorHAnsi" w:cstheme="minorHAnsi"/>
          <w:sz w:val="24"/>
          <w:szCs w:val="24"/>
        </w:rPr>
        <w:t xml:space="preserve"> – urychlení rozvoje vysokorychlostního internetu a využití jednotného digitálního trhu domácnostmi a podniky.</w:t>
      </w:r>
    </w:p>
    <w:p w:rsidR="009B17B4" w:rsidRPr="007810B6" w:rsidRDefault="009B17B4" w:rsidP="00851D6E">
      <w:pPr>
        <w:pStyle w:val="Odstavecseseznamem"/>
        <w:numPr>
          <w:ilvl w:val="0"/>
          <w:numId w:val="15"/>
        </w:numPr>
        <w:overflowPunct/>
        <w:autoSpaceDE/>
        <w:autoSpaceDN/>
        <w:adjustRightInd/>
        <w:contextualSpacing w:val="0"/>
        <w:jc w:val="both"/>
        <w:textAlignment w:val="auto"/>
        <w:rPr>
          <w:rFonts w:asciiTheme="minorHAnsi" w:hAnsiTheme="minorHAnsi" w:cstheme="minorHAnsi"/>
          <w:b/>
          <w:sz w:val="24"/>
          <w:szCs w:val="24"/>
        </w:rPr>
      </w:pPr>
      <w:r w:rsidRPr="007810B6">
        <w:rPr>
          <w:rFonts w:asciiTheme="minorHAnsi" w:hAnsiTheme="minorHAnsi" w:cstheme="minorHAnsi"/>
          <w:b/>
          <w:sz w:val="24"/>
          <w:szCs w:val="24"/>
        </w:rPr>
        <w:t>Udržitelný růst</w:t>
      </w:r>
    </w:p>
    <w:p w:rsidR="009B17B4" w:rsidRPr="007810B6" w:rsidRDefault="009B17B4" w:rsidP="00851D6E">
      <w:pPr>
        <w:pStyle w:val="Odstavecseseznamem"/>
        <w:numPr>
          <w:ilvl w:val="1"/>
          <w:numId w:val="15"/>
        </w:numPr>
        <w:overflowPunct/>
        <w:autoSpaceDE/>
        <w:autoSpaceDN/>
        <w:adjustRightInd/>
        <w:contextualSpacing w:val="0"/>
        <w:jc w:val="both"/>
        <w:textAlignment w:val="auto"/>
        <w:rPr>
          <w:rFonts w:asciiTheme="minorHAnsi" w:hAnsiTheme="minorHAnsi" w:cstheme="minorHAnsi"/>
          <w:sz w:val="24"/>
          <w:szCs w:val="24"/>
        </w:rPr>
      </w:pPr>
      <w:r w:rsidRPr="007810B6">
        <w:rPr>
          <w:rFonts w:asciiTheme="minorHAnsi" w:hAnsiTheme="minorHAnsi" w:cstheme="minorHAnsi"/>
          <w:sz w:val="24"/>
          <w:szCs w:val="24"/>
        </w:rPr>
        <w:t>„</w:t>
      </w:r>
      <w:r w:rsidRPr="007810B6">
        <w:rPr>
          <w:rFonts w:asciiTheme="minorHAnsi" w:hAnsiTheme="minorHAnsi" w:cstheme="minorHAnsi"/>
          <w:b/>
          <w:i/>
          <w:iCs/>
          <w:sz w:val="24"/>
          <w:szCs w:val="24"/>
        </w:rPr>
        <w:t>Evropa méně náročná na zdroje</w:t>
      </w:r>
      <w:r w:rsidRPr="007810B6">
        <w:rPr>
          <w:rFonts w:asciiTheme="minorHAnsi" w:hAnsiTheme="minorHAnsi" w:cstheme="minorHAnsi"/>
          <w:sz w:val="24"/>
          <w:szCs w:val="24"/>
        </w:rPr>
        <w:t>“ – podpora oddělení hospodářského růstu od využívání zdrojů, podpora přechodu na nízkouhlíkovou ekonomiku, větší využití obnovitelných zdrojů energie, modernizace odvětví dopravy a podpora energetické účinnosti.</w:t>
      </w:r>
    </w:p>
    <w:p w:rsidR="009B17B4" w:rsidRPr="007810B6" w:rsidRDefault="009B17B4" w:rsidP="00851D6E">
      <w:pPr>
        <w:pStyle w:val="Odstavecseseznamem"/>
        <w:numPr>
          <w:ilvl w:val="1"/>
          <w:numId w:val="15"/>
        </w:numPr>
        <w:overflowPunct/>
        <w:autoSpaceDE/>
        <w:autoSpaceDN/>
        <w:adjustRightInd/>
        <w:contextualSpacing w:val="0"/>
        <w:jc w:val="both"/>
        <w:textAlignment w:val="auto"/>
        <w:rPr>
          <w:rFonts w:asciiTheme="minorHAnsi" w:hAnsiTheme="minorHAnsi" w:cstheme="minorHAnsi"/>
          <w:sz w:val="24"/>
          <w:szCs w:val="24"/>
        </w:rPr>
      </w:pPr>
      <w:r w:rsidRPr="007810B6">
        <w:rPr>
          <w:rFonts w:asciiTheme="minorHAnsi" w:hAnsiTheme="minorHAnsi" w:cstheme="minorHAnsi"/>
          <w:sz w:val="24"/>
          <w:szCs w:val="24"/>
        </w:rPr>
        <w:t>„</w:t>
      </w:r>
      <w:r w:rsidRPr="007810B6">
        <w:rPr>
          <w:rFonts w:asciiTheme="minorHAnsi" w:hAnsiTheme="minorHAnsi" w:cstheme="minorHAnsi"/>
          <w:b/>
          <w:i/>
          <w:iCs/>
          <w:sz w:val="24"/>
          <w:szCs w:val="24"/>
        </w:rPr>
        <w:t>Průmyslová politika pro éru globalizace</w:t>
      </w:r>
      <w:r w:rsidRPr="007810B6">
        <w:rPr>
          <w:rFonts w:asciiTheme="minorHAnsi" w:hAnsiTheme="minorHAnsi" w:cstheme="minorHAnsi"/>
          <w:sz w:val="24"/>
          <w:szCs w:val="24"/>
        </w:rPr>
        <w:t>“ – zlepšení podnikatelského prostředí, zejména pro malé a střední podniky, podpora rozvoje silné a udržitelné průmyslové základny, která by byla konkurenceschopná v celosvětovém měřítku.</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jc w:val="both"/>
        <w:rPr>
          <w:rFonts w:asciiTheme="minorHAnsi" w:hAnsiTheme="minorHAnsi" w:cstheme="minorHAnsi"/>
          <w:sz w:val="24"/>
          <w:szCs w:val="24"/>
        </w:rPr>
      </w:pPr>
      <w:r w:rsidRPr="007810B6">
        <w:rPr>
          <w:rFonts w:asciiTheme="minorHAnsi" w:hAnsiTheme="minorHAnsi" w:cstheme="minorHAnsi"/>
          <w:sz w:val="24"/>
          <w:szCs w:val="24"/>
        </w:rPr>
        <w:t xml:space="preserve">Strategie Evropa 2020 je hlavním dokumentem určujícím priority a směry EU do roku 2020. Tyto priority a směry členské státy zohledňují ve svých obdobných strategiích. V případě České republiky se jedná o Národní program reforem ČR. </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 xml:space="preserve">V říjnu 2011 vydala Evropská komise </w:t>
      </w:r>
      <w:r w:rsidRPr="007810B6">
        <w:rPr>
          <w:rFonts w:asciiTheme="minorHAnsi" w:hAnsiTheme="minorHAnsi" w:cstheme="minorHAnsi"/>
          <w:b/>
          <w:sz w:val="24"/>
          <w:szCs w:val="24"/>
        </w:rPr>
        <w:t>návrhy nové legislativy</w:t>
      </w:r>
      <w:r w:rsidRPr="007810B6">
        <w:rPr>
          <w:rFonts w:asciiTheme="minorHAnsi" w:hAnsiTheme="minorHAnsi" w:cstheme="minorHAnsi"/>
          <w:sz w:val="24"/>
          <w:szCs w:val="24"/>
        </w:rPr>
        <w:t xml:space="preserve"> vztahující se ke kohezní politice EU 2014 - 2020, resp. vymezující pravidla pro fondy EU. Za účelem maximalizovat dopad </w:t>
      </w:r>
      <w:r w:rsidRPr="007810B6">
        <w:rPr>
          <w:rFonts w:asciiTheme="minorHAnsi" w:hAnsiTheme="minorHAnsi" w:cstheme="minorHAnsi"/>
          <w:sz w:val="24"/>
          <w:szCs w:val="24"/>
        </w:rPr>
        <w:lastRenderedPageBreak/>
        <w:t>kohezní politiky při dosahování evropských priorit je zde kladen důraz na strategické plánování a tematickou koncentraci, proto návrhy nařízení vymezují, v souladu se strategií Unie pro inteligentní a udržitelný růst podporující začlenění, celkem 11 tematických cílů.</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b/>
          <w:sz w:val="24"/>
          <w:szCs w:val="24"/>
        </w:rPr>
      </w:pPr>
      <w:r w:rsidRPr="007810B6">
        <w:rPr>
          <w:rFonts w:asciiTheme="minorHAnsi" w:hAnsiTheme="minorHAnsi" w:cstheme="minorHAnsi"/>
          <w:b/>
          <w:sz w:val="24"/>
          <w:szCs w:val="24"/>
        </w:rPr>
        <w:t>Posílení výzkumu, technologického rozvoje a inovací.</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b/>
          <w:sz w:val="24"/>
          <w:szCs w:val="24"/>
        </w:rPr>
      </w:pPr>
      <w:r w:rsidRPr="007810B6">
        <w:rPr>
          <w:rFonts w:asciiTheme="minorHAnsi" w:hAnsiTheme="minorHAnsi" w:cstheme="minorHAnsi"/>
          <w:b/>
          <w:sz w:val="24"/>
          <w:szCs w:val="24"/>
        </w:rPr>
        <w:t>Zlepšení přístupu k informačním a komunikačním technologiím, jejich využití a kvality.</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b/>
          <w:sz w:val="24"/>
          <w:szCs w:val="24"/>
        </w:rPr>
      </w:pPr>
      <w:r w:rsidRPr="007810B6">
        <w:rPr>
          <w:rFonts w:asciiTheme="minorHAnsi" w:hAnsiTheme="minorHAnsi" w:cstheme="minorHAnsi"/>
          <w:b/>
          <w:sz w:val="24"/>
          <w:szCs w:val="24"/>
        </w:rPr>
        <w:t>Zvýšení konkurenceschopnosti malých a středních podniků, odvětví zemědělství a rybářství a akvakultury.</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b/>
          <w:sz w:val="24"/>
          <w:szCs w:val="24"/>
        </w:rPr>
      </w:pPr>
      <w:r w:rsidRPr="007810B6">
        <w:rPr>
          <w:rFonts w:asciiTheme="minorHAnsi" w:hAnsiTheme="minorHAnsi" w:cstheme="minorHAnsi"/>
          <w:b/>
          <w:sz w:val="24"/>
          <w:szCs w:val="24"/>
        </w:rPr>
        <w:t>Podpora přechodu na nízkouhlíkové hospodářství ve všech odvětvích.</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sz w:val="24"/>
          <w:szCs w:val="24"/>
        </w:rPr>
      </w:pPr>
      <w:r w:rsidRPr="007810B6">
        <w:rPr>
          <w:rFonts w:asciiTheme="minorHAnsi" w:hAnsiTheme="minorHAnsi" w:cstheme="minorHAnsi"/>
          <w:sz w:val="24"/>
          <w:szCs w:val="24"/>
        </w:rPr>
        <w:t>Podpora přizpůsobení se změně klimatu, předcházení rizikům a řízení rizik.</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sz w:val="24"/>
          <w:szCs w:val="24"/>
        </w:rPr>
      </w:pPr>
      <w:r w:rsidRPr="007810B6">
        <w:rPr>
          <w:rFonts w:asciiTheme="minorHAnsi" w:hAnsiTheme="minorHAnsi" w:cstheme="minorHAnsi"/>
          <w:sz w:val="24"/>
          <w:szCs w:val="24"/>
        </w:rPr>
        <w:t>Ochrana životního prostředí a podpora účinného využívání zdrojů.</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sz w:val="24"/>
          <w:szCs w:val="24"/>
        </w:rPr>
      </w:pPr>
      <w:r w:rsidRPr="007810B6">
        <w:rPr>
          <w:rFonts w:asciiTheme="minorHAnsi" w:hAnsiTheme="minorHAnsi" w:cstheme="minorHAnsi"/>
          <w:sz w:val="24"/>
          <w:szCs w:val="24"/>
        </w:rPr>
        <w:t>Podpora udržitelné dopravy a odstraňování překážek v klíčových síťových infrastrukturách.</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sz w:val="24"/>
          <w:szCs w:val="24"/>
        </w:rPr>
      </w:pPr>
      <w:r w:rsidRPr="007810B6">
        <w:rPr>
          <w:rFonts w:asciiTheme="minorHAnsi" w:hAnsiTheme="minorHAnsi" w:cstheme="minorHAnsi"/>
          <w:sz w:val="24"/>
          <w:szCs w:val="24"/>
        </w:rPr>
        <w:t>Podpora zaměstnanosti a podpora mobility pracovních sil.</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sz w:val="24"/>
          <w:szCs w:val="24"/>
        </w:rPr>
      </w:pPr>
      <w:r w:rsidRPr="007810B6">
        <w:rPr>
          <w:rFonts w:asciiTheme="minorHAnsi" w:hAnsiTheme="minorHAnsi" w:cstheme="minorHAnsi"/>
          <w:sz w:val="24"/>
          <w:szCs w:val="24"/>
        </w:rPr>
        <w:t>Podpora sociálního začleňování a boj proti chudobě.</w:t>
      </w:r>
    </w:p>
    <w:p w:rsidR="009B17B4" w:rsidRPr="007810B6" w:rsidRDefault="009B17B4" w:rsidP="00851D6E">
      <w:pPr>
        <w:numPr>
          <w:ilvl w:val="0"/>
          <w:numId w:val="16"/>
        </w:numPr>
        <w:overflowPunct/>
        <w:autoSpaceDE/>
        <w:autoSpaceDN/>
        <w:adjustRightInd/>
        <w:spacing w:after="60"/>
        <w:ind w:left="714" w:hanging="357"/>
        <w:jc w:val="both"/>
        <w:textAlignment w:val="auto"/>
        <w:rPr>
          <w:rFonts w:asciiTheme="minorHAnsi" w:hAnsiTheme="minorHAnsi" w:cstheme="minorHAnsi"/>
          <w:sz w:val="24"/>
          <w:szCs w:val="24"/>
        </w:rPr>
      </w:pPr>
      <w:r w:rsidRPr="007810B6">
        <w:rPr>
          <w:rFonts w:asciiTheme="minorHAnsi" w:hAnsiTheme="minorHAnsi" w:cstheme="minorHAnsi"/>
          <w:sz w:val="24"/>
          <w:szCs w:val="24"/>
        </w:rPr>
        <w:t>Investice do vzdělávání, dovedností a celoživotního učení.</w:t>
      </w:r>
    </w:p>
    <w:p w:rsidR="009B17B4" w:rsidRPr="007810B6" w:rsidRDefault="009B17B4" w:rsidP="00851D6E">
      <w:pPr>
        <w:numPr>
          <w:ilvl w:val="0"/>
          <w:numId w:val="16"/>
        </w:numPr>
        <w:overflowPunct/>
        <w:autoSpaceDE/>
        <w:autoSpaceDN/>
        <w:adjustRightInd/>
        <w:spacing w:after="120"/>
        <w:ind w:left="714" w:hanging="357"/>
        <w:jc w:val="both"/>
        <w:textAlignment w:val="auto"/>
        <w:rPr>
          <w:rFonts w:asciiTheme="minorHAnsi" w:hAnsiTheme="minorHAnsi" w:cstheme="minorHAnsi"/>
          <w:sz w:val="24"/>
          <w:szCs w:val="24"/>
        </w:rPr>
      </w:pPr>
      <w:r w:rsidRPr="007810B6">
        <w:rPr>
          <w:rFonts w:asciiTheme="minorHAnsi" w:hAnsiTheme="minorHAnsi" w:cstheme="minorHAnsi"/>
          <w:sz w:val="24"/>
          <w:szCs w:val="24"/>
        </w:rPr>
        <w:t>Posilování institucionální kapacity a účinné veřejné správy.</w:t>
      </w:r>
    </w:p>
    <w:p w:rsidR="009B17B4" w:rsidRPr="007810B6" w:rsidRDefault="00DD1A9D" w:rsidP="009B17B4">
      <w:pPr>
        <w:jc w:val="both"/>
        <w:rPr>
          <w:rFonts w:asciiTheme="minorHAnsi" w:hAnsiTheme="minorHAnsi" w:cstheme="minorHAnsi"/>
          <w:sz w:val="24"/>
          <w:szCs w:val="24"/>
        </w:rPr>
      </w:pPr>
      <w:r>
        <w:rPr>
          <w:rFonts w:asciiTheme="minorHAnsi" w:hAnsiTheme="minorHAnsi" w:cstheme="minorHAnsi"/>
          <w:sz w:val="24"/>
          <w:szCs w:val="24"/>
        </w:rPr>
        <w:t>Relevantními tematickými cíli</w:t>
      </w:r>
      <w:r w:rsidR="009B17B4" w:rsidRPr="007810B6">
        <w:rPr>
          <w:rFonts w:asciiTheme="minorHAnsi" w:hAnsiTheme="minorHAnsi" w:cstheme="minorHAnsi"/>
          <w:sz w:val="24"/>
          <w:szCs w:val="24"/>
        </w:rPr>
        <w:t xml:space="preserve"> pro OP Podnikání a inovace pro konkurenceschopnost byly shledány první čtyři tematické cíle definované čl. 9 návrhu obecného nařízení. Vazby operačního programu na tematické cíle a dále na investiční priority definované čl. 5 návrhu nařízení o Evropském fondu regionálního rozvoje jsou detailně popsán</w:t>
      </w:r>
      <w:r w:rsidR="009B17B4" w:rsidRPr="00DD1A9D">
        <w:rPr>
          <w:rFonts w:asciiTheme="minorHAnsi" w:hAnsiTheme="minorHAnsi" w:cstheme="minorHAnsi"/>
          <w:sz w:val="24"/>
          <w:szCs w:val="24"/>
        </w:rPr>
        <w:t>y v kapitole 2 tohoto programového dokumentu.</w:t>
      </w:r>
      <w:r w:rsidR="009B17B4" w:rsidRPr="007810B6">
        <w:rPr>
          <w:rFonts w:asciiTheme="minorHAnsi" w:hAnsiTheme="minorHAnsi" w:cstheme="minorHAnsi"/>
          <w:sz w:val="24"/>
          <w:szCs w:val="24"/>
        </w:rPr>
        <w:t xml:space="preserve">  </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shd w:val="clear" w:color="auto" w:fill="FFFFFF"/>
        <w:overflowPunct/>
        <w:autoSpaceDE/>
        <w:autoSpaceDN/>
        <w:adjustRightInd/>
        <w:spacing w:after="206"/>
        <w:jc w:val="both"/>
        <w:textAlignment w:val="auto"/>
        <w:rPr>
          <w:rFonts w:asciiTheme="minorHAnsi" w:hAnsiTheme="minorHAnsi" w:cstheme="minorHAnsi"/>
          <w:sz w:val="24"/>
          <w:szCs w:val="24"/>
        </w:rPr>
      </w:pPr>
      <w:r w:rsidRPr="007810B6">
        <w:rPr>
          <w:rFonts w:asciiTheme="minorHAnsi" w:hAnsiTheme="minorHAnsi" w:cstheme="minorHAnsi"/>
          <w:bCs/>
          <w:sz w:val="24"/>
          <w:szCs w:val="24"/>
        </w:rPr>
        <w:t xml:space="preserve">V březnu 2012 představila Evropská komise </w:t>
      </w:r>
      <w:r w:rsidRPr="007810B6">
        <w:rPr>
          <w:rFonts w:asciiTheme="minorHAnsi" w:hAnsiTheme="minorHAnsi" w:cstheme="minorHAnsi"/>
          <w:b/>
          <w:bCs/>
          <w:sz w:val="24"/>
          <w:szCs w:val="24"/>
        </w:rPr>
        <w:t xml:space="preserve">Společný strategický rámec, </w:t>
      </w:r>
      <w:r w:rsidRPr="007810B6">
        <w:rPr>
          <w:rFonts w:asciiTheme="minorHAnsi" w:hAnsiTheme="minorHAnsi" w:cstheme="minorHAnsi"/>
          <w:bCs/>
          <w:sz w:val="24"/>
          <w:szCs w:val="24"/>
        </w:rPr>
        <w:t xml:space="preserve">který má být pro členské státy vodítkem při jejich přípravách na budoucí politiku soudržnosti a </w:t>
      </w:r>
      <w:r w:rsidRPr="007810B6">
        <w:rPr>
          <w:rFonts w:asciiTheme="minorHAnsi" w:hAnsiTheme="minorHAnsi" w:cstheme="minorHAnsi"/>
          <w:sz w:val="24"/>
          <w:szCs w:val="24"/>
        </w:rPr>
        <w:t xml:space="preserve">pomoci jim a jejich regionům stanovit jasné investiční priority pro období 2014 – 2020. Členské státy zpracují v kontextu Společného strategického rámce </w:t>
      </w:r>
      <w:r w:rsidRPr="007810B6">
        <w:rPr>
          <w:rFonts w:asciiTheme="minorHAnsi" w:hAnsiTheme="minorHAnsi" w:cstheme="minorHAnsi"/>
          <w:b/>
          <w:sz w:val="24"/>
          <w:szCs w:val="24"/>
        </w:rPr>
        <w:t>Dohodu o partnerství</w:t>
      </w:r>
      <w:r w:rsidRPr="007810B6">
        <w:rPr>
          <w:rFonts w:asciiTheme="minorHAnsi" w:hAnsiTheme="minorHAnsi" w:cstheme="minorHAnsi"/>
          <w:sz w:val="24"/>
          <w:szCs w:val="24"/>
        </w:rPr>
        <w:t xml:space="preserve">, ve které nadefinují svůj příspěvek k plnění cílů strategie Evropa 2020. Oproti programovacímu období 2007 – 2013 bude SSR jednotným zdrojem zásad pro pět budoucích fondů (Evropský fond regionálního rozvoje, Evropský sociální fond, Fond soudržnosti, Evropský zemědělský fond pro rozvoj venkova a Evropský námořní a rybářský fond).  </w:t>
      </w:r>
    </w:p>
    <w:p w:rsidR="009B17B4" w:rsidRPr="007810B6" w:rsidRDefault="009B17B4" w:rsidP="009B17B4">
      <w:pPr>
        <w:spacing w:after="120"/>
        <w:jc w:val="both"/>
        <w:rPr>
          <w:rFonts w:asciiTheme="minorHAnsi" w:hAnsiTheme="minorHAnsi" w:cstheme="minorHAnsi"/>
          <w:b/>
          <w:sz w:val="24"/>
          <w:szCs w:val="24"/>
        </w:rPr>
      </w:pPr>
      <w:r w:rsidRPr="007810B6">
        <w:rPr>
          <w:rFonts w:asciiTheme="minorHAnsi" w:hAnsiTheme="minorHAnsi" w:cstheme="minorHAnsi"/>
          <w:sz w:val="24"/>
          <w:szCs w:val="24"/>
        </w:rPr>
        <w:t>V srpnu 2011 schválila vláda ČR materiál „</w:t>
      </w:r>
      <w:r w:rsidRPr="007810B6">
        <w:rPr>
          <w:rFonts w:asciiTheme="minorHAnsi" w:hAnsiTheme="minorHAnsi" w:cstheme="minorHAnsi"/>
          <w:b/>
          <w:bCs/>
          <w:sz w:val="24"/>
          <w:szCs w:val="24"/>
        </w:rPr>
        <w:t xml:space="preserve">Souhrnný návrh zaměření budoucí kohezní politiky Evropské unie po roce 2013 v podmínkách České republiky, obsahující i návrh rozvojových priorit pro čerpání fondů Evropské unie po roce 2013“ </w:t>
      </w:r>
      <w:r w:rsidRPr="007810B6">
        <w:rPr>
          <w:rFonts w:asciiTheme="minorHAnsi" w:hAnsiTheme="minorHAnsi" w:cstheme="minorHAnsi"/>
          <w:sz w:val="24"/>
          <w:szCs w:val="24"/>
        </w:rPr>
        <w:t xml:space="preserve">(usnesení vlády č. 650/2011). Materiál specifikoval </w:t>
      </w:r>
      <w:r w:rsidRPr="007810B6">
        <w:rPr>
          <w:rFonts w:asciiTheme="minorHAnsi" w:hAnsiTheme="minorHAnsi" w:cstheme="minorHAnsi"/>
          <w:b/>
          <w:sz w:val="24"/>
          <w:szCs w:val="24"/>
        </w:rPr>
        <w:t>pět národních rozvojových priorit pro budoucí intervence z fondů politiky soudržnosti EU - pro vymezení operačních programů 2014-2020:</w:t>
      </w:r>
    </w:p>
    <w:p w:rsidR="009B17B4" w:rsidRPr="007810B6" w:rsidRDefault="009B17B4" w:rsidP="00851D6E">
      <w:pPr>
        <w:numPr>
          <w:ilvl w:val="0"/>
          <w:numId w:val="7"/>
        </w:numPr>
        <w:spacing w:after="60"/>
        <w:ind w:left="714" w:hanging="357"/>
        <w:jc w:val="both"/>
        <w:rPr>
          <w:rFonts w:asciiTheme="minorHAnsi" w:hAnsiTheme="minorHAnsi" w:cstheme="minorHAnsi"/>
          <w:sz w:val="24"/>
          <w:szCs w:val="24"/>
        </w:rPr>
      </w:pPr>
      <w:r w:rsidRPr="007810B6">
        <w:rPr>
          <w:rFonts w:asciiTheme="minorHAnsi" w:hAnsiTheme="minorHAnsi" w:cstheme="minorHAnsi"/>
          <w:b/>
          <w:bCs/>
          <w:sz w:val="24"/>
          <w:szCs w:val="24"/>
        </w:rPr>
        <w:t>zvýšení konkurenceschopnosti ekonomiky</w:t>
      </w:r>
    </w:p>
    <w:p w:rsidR="009B17B4" w:rsidRPr="007810B6" w:rsidRDefault="009B17B4" w:rsidP="00851D6E">
      <w:pPr>
        <w:numPr>
          <w:ilvl w:val="0"/>
          <w:numId w:val="7"/>
        </w:numPr>
        <w:spacing w:after="60"/>
        <w:ind w:left="714" w:hanging="357"/>
        <w:jc w:val="both"/>
        <w:rPr>
          <w:rFonts w:asciiTheme="minorHAnsi" w:hAnsiTheme="minorHAnsi" w:cstheme="minorHAnsi"/>
          <w:sz w:val="24"/>
          <w:szCs w:val="24"/>
        </w:rPr>
      </w:pPr>
      <w:r w:rsidRPr="007810B6">
        <w:rPr>
          <w:rFonts w:asciiTheme="minorHAnsi" w:hAnsiTheme="minorHAnsi" w:cstheme="minorHAnsi"/>
          <w:b/>
          <w:bCs/>
          <w:sz w:val="24"/>
          <w:szCs w:val="24"/>
        </w:rPr>
        <w:t>rozvoj páteřní infrastruktury</w:t>
      </w:r>
    </w:p>
    <w:p w:rsidR="009B17B4" w:rsidRPr="007810B6" w:rsidRDefault="009B17B4" w:rsidP="00851D6E">
      <w:pPr>
        <w:numPr>
          <w:ilvl w:val="0"/>
          <w:numId w:val="7"/>
        </w:numPr>
        <w:spacing w:after="60"/>
        <w:ind w:left="714" w:hanging="357"/>
        <w:jc w:val="both"/>
        <w:rPr>
          <w:rFonts w:asciiTheme="minorHAnsi" w:hAnsiTheme="minorHAnsi" w:cstheme="minorHAnsi"/>
          <w:sz w:val="24"/>
          <w:szCs w:val="24"/>
        </w:rPr>
      </w:pPr>
      <w:r w:rsidRPr="007810B6">
        <w:rPr>
          <w:rFonts w:asciiTheme="minorHAnsi" w:hAnsiTheme="minorHAnsi" w:cstheme="minorHAnsi"/>
          <w:b/>
          <w:bCs/>
          <w:sz w:val="24"/>
          <w:szCs w:val="24"/>
        </w:rPr>
        <w:t>zvyšování kvality a efektivity veřejné správy</w:t>
      </w:r>
    </w:p>
    <w:p w:rsidR="009B17B4" w:rsidRPr="007810B6" w:rsidRDefault="009B17B4" w:rsidP="00851D6E">
      <w:pPr>
        <w:numPr>
          <w:ilvl w:val="0"/>
          <w:numId w:val="7"/>
        </w:numPr>
        <w:spacing w:after="60"/>
        <w:ind w:left="714" w:hanging="357"/>
        <w:jc w:val="both"/>
        <w:rPr>
          <w:rFonts w:asciiTheme="minorHAnsi" w:hAnsiTheme="minorHAnsi" w:cstheme="minorHAnsi"/>
          <w:sz w:val="24"/>
          <w:szCs w:val="24"/>
        </w:rPr>
      </w:pPr>
      <w:r w:rsidRPr="007810B6">
        <w:rPr>
          <w:rFonts w:asciiTheme="minorHAnsi" w:hAnsiTheme="minorHAnsi" w:cstheme="minorHAnsi"/>
          <w:b/>
          <w:bCs/>
          <w:sz w:val="24"/>
          <w:szCs w:val="24"/>
        </w:rPr>
        <w:t>podpora sociálního začleňování, boje s chudobou a systému péče o zdraví</w:t>
      </w:r>
    </w:p>
    <w:p w:rsidR="009B17B4" w:rsidRPr="007810B6" w:rsidRDefault="009B17B4" w:rsidP="00851D6E">
      <w:pPr>
        <w:numPr>
          <w:ilvl w:val="0"/>
          <w:numId w:val="7"/>
        </w:numPr>
        <w:ind w:left="714" w:hanging="357"/>
        <w:jc w:val="both"/>
        <w:rPr>
          <w:rFonts w:asciiTheme="minorHAnsi" w:hAnsiTheme="minorHAnsi" w:cstheme="minorHAnsi"/>
          <w:sz w:val="24"/>
          <w:szCs w:val="24"/>
        </w:rPr>
      </w:pPr>
      <w:r w:rsidRPr="007810B6">
        <w:rPr>
          <w:rFonts w:asciiTheme="minorHAnsi" w:hAnsiTheme="minorHAnsi" w:cstheme="minorHAnsi"/>
          <w:b/>
          <w:bCs/>
          <w:sz w:val="24"/>
          <w:szCs w:val="24"/>
        </w:rPr>
        <w:lastRenderedPageBreak/>
        <w:t>integrovaný rozvoj území</w:t>
      </w:r>
    </w:p>
    <w:p w:rsidR="009B17B4" w:rsidRPr="007810B6" w:rsidRDefault="009B17B4" w:rsidP="009B17B4">
      <w:pPr>
        <w:jc w:val="both"/>
        <w:rPr>
          <w:rFonts w:asciiTheme="minorHAnsi" w:hAnsiTheme="minorHAnsi" w:cstheme="minorHAnsi"/>
          <w:sz w:val="24"/>
          <w:szCs w:val="24"/>
          <w:lang w:val="en-GB"/>
        </w:rPr>
      </w:pPr>
    </w:p>
    <w:p w:rsidR="009B17B4" w:rsidRPr="007810B6" w:rsidRDefault="009B17B4" w:rsidP="009B17B4">
      <w:pPr>
        <w:jc w:val="both"/>
        <w:rPr>
          <w:rFonts w:asciiTheme="minorHAnsi" w:hAnsiTheme="minorHAnsi" w:cstheme="minorHAnsi"/>
          <w:sz w:val="24"/>
          <w:szCs w:val="24"/>
        </w:rPr>
      </w:pPr>
      <w:r w:rsidRPr="007810B6">
        <w:rPr>
          <w:rFonts w:asciiTheme="minorHAnsi" w:hAnsiTheme="minorHAnsi" w:cstheme="minorHAnsi"/>
          <w:sz w:val="24"/>
          <w:szCs w:val="24"/>
        </w:rPr>
        <w:t xml:space="preserve">Ministerstvo průmyslu a obchodu zahájilo přípravu na realizaci kohezní politiky EU pro období 2014 – </w:t>
      </w:r>
      <w:smartTag w:uri="urn:schemas-microsoft-com:office:smarttags" w:element="metricconverter">
        <w:smartTagPr>
          <w:attr w:name="ProductID" w:val="2020 a"/>
        </w:smartTagPr>
        <w:r w:rsidRPr="007810B6">
          <w:rPr>
            <w:rFonts w:asciiTheme="minorHAnsi" w:hAnsiTheme="minorHAnsi" w:cstheme="minorHAnsi"/>
            <w:sz w:val="24"/>
            <w:szCs w:val="24"/>
          </w:rPr>
          <w:t>2020 a</w:t>
        </w:r>
      </w:smartTag>
      <w:r w:rsidRPr="007810B6">
        <w:rPr>
          <w:rFonts w:asciiTheme="minorHAnsi" w:hAnsiTheme="minorHAnsi" w:cstheme="minorHAnsi"/>
          <w:sz w:val="24"/>
          <w:szCs w:val="24"/>
        </w:rPr>
        <w:t xml:space="preserve"> v této souvislosti přípravu návrhu budoucího operačního programu v návaznosti na přijetí dvou výše uvedených dokumentů (strategie Evropa </w:t>
      </w:r>
      <w:smartTag w:uri="urn:schemas-microsoft-com:office:smarttags" w:element="metricconverter">
        <w:smartTagPr>
          <w:attr w:name="ProductID" w:val="2020 a"/>
        </w:smartTagPr>
        <w:r w:rsidRPr="007810B6">
          <w:rPr>
            <w:rFonts w:asciiTheme="minorHAnsi" w:hAnsiTheme="minorHAnsi" w:cstheme="minorHAnsi"/>
            <w:sz w:val="24"/>
            <w:szCs w:val="24"/>
          </w:rPr>
          <w:t>2020 a</w:t>
        </w:r>
      </w:smartTag>
      <w:r w:rsidRPr="007810B6">
        <w:rPr>
          <w:rFonts w:asciiTheme="minorHAnsi" w:hAnsiTheme="minorHAnsi" w:cstheme="minorHAnsi"/>
          <w:sz w:val="24"/>
          <w:szCs w:val="24"/>
        </w:rPr>
        <w:t xml:space="preserve"> materiálu ČR stanovujícího národní rozvojové priority) a v návaznosti na zveřejnění prvních návrhů nové evropské legislativy pro kohezní politiku, zejména návrhu obecného nařízení a nařízení o Evropském fondu regionálního rozvoje. </w:t>
      </w:r>
    </w:p>
    <w:p w:rsidR="009B17B4" w:rsidRPr="007810B6" w:rsidRDefault="009B17B4" w:rsidP="009B17B4">
      <w:pPr>
        <w:jc w:val="both"/>
        <w:rPr>
          <w:rFonts w:asciiTheme="minorHAnsi" w:hAnsiTheme="minorHAnsi" w:cstheme="minorHAnsi"/>
          <w:sz w:val="24"/>
          <w:szCs w:val="24"/>
        </w:rPr>
      </w:pPr>
      <w:r w:rsidRPr="007810B6">
        <w:rPr>
          <w:rFonts w:asciiTheme="minorHAnsi" w:hAnsiTheme="minorHAnsi" w:cstheme="minorHAnsi"/>
          <w:sz w:val="24"/>
          <w:szCs w:val="24"/>
        </w:rPr>
        <w:t xml:space="preserve"> </w:t>
      </w:r>
    </w:p>
    <w:p w:rsidR="009B17B4" w:rsidRPr="007810B6" w:rsidRDefault="009B17B4" w:rsidP="009B17B4">
      <w:pPr>
        <w:spacing w:after="120"/>
        <w:jc w:val="both"/>
        <w:rPr>
          <w:rFonts w:asciiTheme="minorHAnsi" w:hAnsiTheme="minorHAnsi" w:cstheme="minorHAnsi"/>
          <w:b/>
          <w:bCs/>
          <w:sz w:val="24"/>
          <w:szCs w:val="24"/>
        </w:rPr>
      </w:pPr>
      <w:r w:rsidRPr="007810B6">
        <w:rPr>
          <w:rFonts w:asciiTheme="minorHAnsi" w:hAnsiTheme="minorHAnsi" w:cstheme="minorHAnsi"/>
          <w:b/>
          <w:bCs/>
          <w:sz w:val="24"/>
          <w:szCs w:val="24"/>
        </w:rPr>
        <w:t xml:space="preserve">Jednotlivé etapy dosavadní přípravy Ministerstva průmyslu a obchodu na realizaci kohezní politiky 2014 – 2020 se dají popsat následovně: </w:t>
      </w:r>
    </w:p>
    <w:p w:rsidR="009B17B4" w:rsidRPr="007810B6" w:rsidRDefault="009B17B4" w:rsidP="009B17B4">
      <w:pPr>
        <w:jc w:val="both"/>
        <w:rPr>
          <w:rFonts w:asciiTheme="minorHAnsi" w:hAnsiTheme="minorHAnsi" w:cstheme="minorHAnsi"/>
          <w:sz w:val="24"/>
          <w:szCs w:val="24"/>
        </w:rPr>
      </w:pPr>
      <w:r w:rsidRPr="007810B6">
        <w:rPr>
          <w:rFonts w:asciiTheme="minorHAnsi" w:hAnsiTheme="minorHAnsi" w:cstheme="minorHAnsi"/>
          <w:bCs/>
          <w:sz w:val="24"/>
          <w:szCs w:val="24"/>
        </w:rPr>
        <w:t>- Zpracování</w:t>
      </w:r>
      <w:r w:rsidRPr="007810B6">
        <w:rPr>
          <w:rFonts w:asciiTheme="minorHAnsi" w:hAnsiTheme="minorHAnsi" w:cstheme="minorHAnsi"/>
          <w:b/>
          <w:bCs/>
          <w:sz w:val="24"/>
          <w:szCs w:val="24"/>
        </w:rPr>
        <w:t xml:space="preserve"> „Analýzy věcných priorit a potřeb jednotlivých oblastí v působnosti MPO pro zaměření podpory ze strukturálních fondů v příštím programovacím období (2014+)“, </w:t>
      </w:r>
      <w:r w:rsidRPr="007810B6">
        <w:rPr>
          <w:rFonts w:asciiTheme="minorHAnsi" w:hAnsiTheme="minorHAnsi" w:cstheme="minorHAnsi"/>
          <w:bCs/>
          <w:sz w:val="24"/>
          <w:szCs w:val="24"/>
        </w:rPr>
        <w:t xml:space="preserve">zpracováno poradenskou společností </w:t>
      </w:r>
      <w:r w:rsidRPr="007810B6">
        <w:rPr>
          <w:rFonts w:asciiTheme="minorHAnsi" w:hAnsiTheme="minorHAnsi" w:cstheme="minorHAnsi"/>
          <w:sz w:val="24"/>
          <w:szCs w:val="24"/>
        </w:rPr>
        <w:t>BermanGroup v roce 2010</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jc w:val="both"/>
        <w:rPr>
          <w:rFonts w:asciiTheme="minorHAnsi" w:hAnsiTheme="minorHAnsi" w:cstheme="minorHAnsi"/>
          <w:sz w:val="24"/>
          <w:szCs w:val="24"/>
        </w:rPr>
      </w:pPr>
      <w:r w:rsidRPr="007810B6">
        <w:rPr>
          <w:rFonts w:asciiTheme="minorHAnsi" w:hAnsiTheme="minorHAnsi" w:cstheme="minorHAnsi"/>
          <w:sz w:val="24"/>
          <w:szCs w:val="24"/>
        </w:rPr>
        <w:t>- V návaznosti na usnesení vlády č. 650/2011 stanovující národní rozvojové priority byl v prosinci 2011 zpracován interní materiál „</w:t>
      </w:r>
      <w:r w:rsidRPr="007810B6">
        <w:rPr>
          <w:rFonts w:asciiTheme="minorHAnsi" w:hAnsiTheme="minorHAnsi" w:cstheme="minorHAnsi"/>
          <w:b/>
          <w:bCs/>
          <w:sz w:val="24"/>
          <w:szCs w:val="24"/>
        </w:rPr>
        <w:t xml:space="preserve">Priority MPO pro konkurenceschopnou podnikatelskou sféru v budoucím období kohezní politiky 2014 – 2020“. </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jc w:val="both"/>
        <w:rPr>
          <w:rFonts w:asciiTheme="minorHAnsi" w:hAnsiTheme="minorHAnsi" w:cstheme="minorHAnsi"/>
          <w:bCs/>
          <w:sz w:val="24"/>
          <w:szCs w:val="24"/>
        </w:rPr>
      </w:pPr>
      <w:r w:rsidRPr="007810B6">
        <w:rPr>
          <w:rFonts w:asciiTheme="minorHAnsi" w:hAnsiTheme="minorHAnsi" w:cstheme="minorHAnsi"/>
          <w:sz w:val="24"/>
          <w:szCs w:val="24"/>
        </w:rPr>
        <w:t xml:space="preserve">- V roce 2011 byl na MPO ustanoven </w:t>
      </w:r>
      <w:r w:rsidRPr="007810B6">
        <w:rPr>
          <w:rFonts w:asciiTheme="minorHAnsi" w:hAnsiTheme="minorHAnsi" w:cstheme="minorHAnsi"/>
          <w:b/>
          <w:bCs/>
          <w:sz w:val="24"/>
          <w:szCs w:val="24"/>
        </w:rPr>
        <w:t xml:space="preserve">Řídící tým MPO pro programovací období k využívání prostředků ze strukturálních fondů EU 2014 – 2020. </w:t>
      </w:r>
      <w:r w:rsidRPr="007810B6">
        <w:rPr>
          <w:rFonts w:asciiTheme="minorHAnsi" w:hAnsiTheme="minorHAnsi" w:cstheme="minorHAnsi"/>
          <w:bCs/>
          <w:sz w:val="24"/>
          <w:szCs w:val="24"/>
        </w:rPr>
        <w:t xml:space="preserve">Jeho úkolem je projednávat výstupy prací na kohezní politice a operačním programu před jejich předložením na Poradu vedení MPO, Ministerstvu pro místní rozvoj a vládě ČR. </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spacing w:after="60"/>
        <w:jc w:val="both"/>
        <w:rPr>
          <w:rFonts w:asciiTheme="minorHAnsi" w:hAnsiTheme="minorHAnsi" w:cstheme="minorHAnsi"/>
          <w:sz w:val="24"/>
          <w:szCs w:val="24"/>
        </w:rPr>
      </w:pPr>
      <w:r w:rsidRPr="007810B6">
        <w:rPr>
          <w:rFonts w:asciiTheme="minorHAnsi" w:hAnsiTheme="minorHAnsi" w:cstheme="minorHAnsi"/>
          <w:sz w:val="24"/>
          <w:szCs w:val="24"/>
        </w:rPr>
        <w:t xml:space="preserve">Na Ministerstvu průmyslu a obchodu byly dále v letech 2011 – 2012 pořádány </w:t>
      </w:r>
    </w:p>
    <w:p w:rsidR="009B17B4" w:rsidRPr="007810B6" w:rsidRDefault="009B17B4" w:rsidP="00851D6E">
      <w:pPr>
        <w:numPr>
          <w:ilvl w:val="2"/>
          <w:numId w:val="9"/>
        </w:numPr>
        <w:spacing w:after="60"/>
        <w:ind w:left="2154" w:hanging="357"/>
        <w:jc w:val="both"/>
        <w:rPr>
          <w:rFonts w:asciiTheme="minorHAnsi" w:hAnsiTheme="minorHAnsi" w:cstheme="minorHAnsi"/>
          <w:sz w:val="24"/>
          <w:szCs w:val="24"/>
        </w:rPr>
      </w:pPr>
      <w:r w:rsidRPr="007810B6">
        <w:rPr>
          <w:rFonts w:asciiTheme="minorHAnsi" w:hAnsiTheme="minorHAnsi" w:cstheme="minorHAnsi"/>
          <w:sz w:val="24"/>
          <w:szCs w:val="24"/>
        </w:rPr>
        <w:t>kulaté stoly se sociálními a hospodářskými partnery</w:t>
      </w:r>
    </w:p>
    <w:p w:rsidR="009B17B4" w:rsidRPr="007810B6" w:rsidRDefault="009B17B4" w:rsidP="00851D6E">
      <w:pPr>
        <w:numPr>
          <w:ilvl w:val="2"/>
          <w:numId w:val="9"/>
        </w:numPr>
        <w:spacing w:after="60"/>
        <w:ind w:left="2154" w:hanging="357"/>
        <w:jc w:val="both"/>
        <w:rPr>
          <w:rFonts w:asciiTheme="minorHAnsi" w:hAnsiTheme="minorHAnsi" w:cstheme="minorHAnsi"/>
          <w:sz w:val="24"/>
          <w:szCs w:val="24"/>
        </w:rPr>
      </w:pPr>
      <w:r w:rsidRPr="007810B6">
        <w:rPr>
          <w:rFonts w:asciiTheme="minorHAnsi" w:hAnsiTheme="minorHAnsi" w:cstheme="minorHAnsi"/>
          <w:sz w:val="24"/>
          <w:szCs w:val="24"/>
        </w:rPr>
        <w:t>konference k budoucímu období 2014 – 2020</w:t>
      </w:r>
    </w:p>
    <w:p w:rsidR="009B17B4" w:rsidRPr="007810B6" w:rsidRDefault="009B17B4" w:rsidP="00851D6E">
      <w:pPr>
        <w:numPr>
          <w:ilvl w:val="2"/>
          <w:numId w:val="9"/>
        </w:numPr>
        <w:spacing w:before="120" w:after="120"/>
        <w:ind w:left="2154" w:hanging="357"/>
        <w:jc w:val="both"/>
        <w:rPr>
          <w:rFonts w:asciiTheme="minorHAnsi" w:hAnsiTheme="minorHAnsi" w:cstheme="minorHAnsi"/>
          <w:sz w:val="24"/>
          <w:szCs w:val="24"/>
        </w:rPr>
      </w:pPr>
      <w:r w:rsidRPr="007810B6">
        <w:rPr>
          <w:rFonts w:asciiTheme="minorHAnsi" w:hAnsiTheme="minorHAnsi" w:cstheme="minorHAnsi"/>
          <w:sz w:val="24"/>
          <w:szCs w:val="24"/>
        </w:rPr>
        <w:t>semináře</w:t>
      </w: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 Další příprava Ministerstva průmyslu a obchodu pod koordinačním a metodickým vedením Ministerstva pro místní rozvoj probíhala v kontextu přípravy materiálu „</w:t>
      </w:r>
      <w:r w:rsidRPr="007810B6">
        <w:rPr>
          <w:rFonts w:asciiTheme="minorHAnsi" w:hAnsiTheme="minorHAnsi" w:cstheme="minorHAnsi"/>
          <w:b/>
          <w:sz w:val="24"/>
          <w:szCs w:val="24"/>
        </w:rPr>
        <w:t xml:space="preserve">Podklad pro přípravu Dohody o partnerství pro programové období 2014–2020 - Vymezení programů a další postup při přípravě České republiky pro efektivní čerpání fondů Společného strategického rámce“, </w:t>
      </w:r>
      <w:r w:rsidRPr="007810B6">
        <w:rPr>
          <w:rFonts w:asciiTheme="minorHAnsi" w:hAnsiTheme="minorHAnsi" w:cstheme="minorHAnsi"/>
          <w:sz w:val="24"/>
          <w:szCs w:val="24"/>
        </w:rPr>
        <w:t xml:space="preserve">který vzala vláda ČR na vědomí usnesením č. 867/2012 a který definoval následující národní operační programy pro období let 2014 – 2020. </w:t>
      </w:r>
    </w:p>
    <w:p w:rsidR="009B17B4" w:rsidRPr="007810B6" w:rsidRDefault="009B17B4" w:rsidP="00851D6E">
      <w:pPr>
        <w:numPr>
          <w:ilvl w:val="1"/>
          <w:numId w:val="8"/>
        </w:numPr>
        <w:spacing w:after="120"/>
        <w:ind w:left="1434" w:hanging="357"/>
        <w:rPr>
          <w:rFonts w:asciiTheme="minorHAnsi" w:hAnsiTheme="minorHAnsi" w:cstheme="minorHAnsi"/>
          <w:sz w:val="24"/>
          <w:szCs w:val="24"/>
        </w:rPr>
      </w:pPr>
      <w:r w:rsidRPr="007810B6">
        <w:rPr>
          <w:rFonts w:asciiTheme="minorHAnsi" w:hAnsiTheme="minorHAnsi" w:cstheme="minorHAnsi"/>
          <w:sz w:val="24"/>
          <w:szCs w:val="24"/>
        </w:rPr>
        <w:t xml:space="preserve">Pro Evropský fond regionálního rozvoje, Evropský sociální fond a Fond soudržnosti cíle „Investice pro růst a zaměstnanost“:  </w:t>
      </w:r>
    </w:p>
    <w:p w:rsidR="009B17B4" w:rsidRPr="007810B6" w:rsidRDefault="009B17B4" w:rsidP="00851D6E">
      <w:pPr>
        <w:numPr>
          <w:ilvl w:val="2"/>
          <w:numId w:val="8"/>
        </w:numPr>
        <w:rPr>
          <w:rFonts w:asciiTheme="minorHAnsi" w:hAnsiTheme="minorHAnsi" w:cstheme="minorHAnsi"/>
          <w:sz w:val="24"/>
          <w:szCs w:val="24"/>
        </w:rPr>
      </w:pPr>
      <w:r w:rsidRPr="007810B6">
        <w:rPr>
          <w:rFonts w:asciiTheme="minorHAnsi" w:hAnsiTheme="minorHAnsi" w:cstheme="minorHAnsi"/>
          <w:b/>
          <w:bCs/>
          <w:sz w:val="24"/>
          <w:szCs w:val="24"/>
        </w:rPr>
        <w:t xml:space="preserve">OP Podnikání a inovace pro konkurenceschopnost </w:t>
      </w:r>
      <w:r w:rsidRPr="007810B6">
        <w:rPr>
          <w:rFonts w:asciiTheme="minorHAnsi" w:hAnsiTheme="minorHAnsi" w:cstheme="minorHAnsi"/>
          <w:sz w:val="24"/>
          <w:szCs w:val="24"/>
        </w:rPr>
        <w:t>(MPO)</w:t>
      </w:r>
    </w:p>
    <w:p w:rsidR="009B17B4" w:rsidRPr="007810B6" w:rsidRDefault="009B17B4" w:rsidP="00851D6E">
      <w:pPr>
        <w:numPr>
          <w:ilvl w:val="2"/>
          <w:numId w:val="8"/>
        </w:numPr>
        <w:rPr>
          <w:rFonts w:asciiTheme="minorHAnsi" w:hAnsiTheme="minorHAnsi" w:cstheme="minorHAnsi"/>
          <w:sz w:val="24"/>
          <w:szCs w:val="24"/>
        </w:rPr>
      </w:pPr>
      <w:r w:rsidRPr="007810B6">
        <w:rPr>
          <w:rFonts w:asciiTheme="minorHAnsi" w:hAnsiTheme="minorHAnsi" w:cstheme="minorHAnsi"/>
          <w:b/>
          <w:bCs/>
          <w:sz w:val="24"/>
          <w:szCs w:val="24"/>
        </w:rPr>
        <w:t xml:space="preserve">OP Výzkum, vývoj a vzdělávání </w:t>
      </w:r>
      <w:r w:rsidRPr="007810B6">
        <w:rPr>
          <w:rFonts w:asciiTheme="minorHAnsi" w:hAnsiTheme="minorHAnsi" w:cstheme="minorHAnsi"/>
          <w:sz w:val="24"/>
          <w:szCs w:val="24"/>
        </w:rPr>
        <w:t>(MŠMT)</w:t>
      </w:r>
    </w:p>
    <w:p w:rsidR="009B17B4" w:rsidRPr="007810B6" w:rsidRDefault="009B17B4" w:rsidP="00851D6E">
      <w:pPr>
        <w:numPr>
          <w:ilvl w:val="2"/>
          <w:numId w:val="8"/>
        </w:numPr>
        <w:rPr>
          <w:rFonts w:asciiTheme="minorHAnsi" w:hAnsiTheme="minorHAnsi" w:cstheme="minorHAnsi"/>
          <w:sz w:val="24"/>
          <w:szCs w:val="24"/>
        </w:rPr>
      </w:pPr>
      <w:r w:rsidRPr="007810B6">
        <w:rPr>
          <w:rFonts w:asciiTheme="minorHAnsi" w:hAnsiTheme="minorHAnsi" w:cstheme="minorHAnsi"/>
          <w:b/>
          <w:bCs/>
          <w:sz w:val="24"/>
          <w:szCs w:val="24"/>
        </w:rPr>
        <w:t xml:space="preserve">OP Zaměstnanost </w:t>
      </w:r>
      <w:r w:rsidRPr="007810B6">
        <w:rPr>
          <w:rFonts w:asciiTheme="minorHAnsi" w:hAnsiTheme="minorHAnsi" w:cstheme="minorHAnsi"/>
          <w:sz w:val="24"/>
          <w:szCs w:val="24"/>
        </w:rPr>
        <w:t>(MPSV)</w:t>
      </w:r>
    </w:p>
    <w:p w:rsidR="009B17B4" w:rsidRPr="007810B6" w:rsidRDefault="009B17B4" w:rsidP="00851D6E">
      <w:pPr>
        <w:numPr>
          <w:ilvl w:val="2"/>
          <w:numId w:val="8"/>
        </w:numPr>
        <w:rPr>
          <w:rFonts w:asciiTheme="minorHAnsi" w:hAnsiTheme="minorHAnsi" w:cstheme="minorHAnsi"/>
          <w:sz w:val="24"/>
          <w:szCs w:val="24"/>
        </w:rPr>
      </w:pPr>
      <w:r w:rsidRPr="007810B6">
        <w:rPr>
          <w:rFonts w:asciiTheme="minorHAnsi" w:hAnsiTheme="minorHAnsi" w:cstheme="minorHAnsi"/>
          <w:b/>
          <w:bCs/>
          <w:sz w:val="24"/>
          <w:szCs w:val="24"/>
        </w:rPr>
        <w:t xml:space="preserve">OP Doprava </w:t>
      </w:r>
      <w:r w:rsidRPr="007810B6">
        <w:rPr>
          <w:rFonts w:asciiTheme="minorHAnsi" w:hAnsiTheme="minorHAnsi" w:cstheme="minorHAnsi"/>
          <w:sz w:val="24"/>
          <w:szCs w:val="24"/>
        </w:rPr>
        <w:t>(MD)</w:t>
      </w:r>
    </w:p>
    <w:p w:rsidR="009B17B4" w:rsidRPr="007810B6" w:rsidRDefault="009B17B4" w:rsidP="00851D6E">
      <w:pPr>
        <w:numPr>
          <w:ilvl w:val="2"/>
          <w:numId w:val="8"/>
        </w:numPr>
        <w:jc w:val="both"/>
        <w:rPr>
          <w:rFonts w:asciiTheme="minorHAnsi" w:hAnsiTheme="minorHAnsi" w:cstheme="minorHAnsi"/>
          <w:sz w:val="24"/>
          <w:szCs w:val="24"/>
        </w:rPr>
      </w:pPr>
      <w:r w:rsidRPr="007810B6">
        <w:rPr>
          <w:rFonts w:asciiTheme="minorHAnsi" w:hAnsiTheme="minorHAnsi" w:cstheme="minorHAnsi"/>
          <w:b/>
          <w:bCs/>
          <w:sz w:val="24"/>
          <w:szCs w:val="24"/>
        </w:rPr>
        <w:t xml:space="preserve">OP Životní prostředí </w:t>
      </w:r>
      <w:r w:rsidRPr="007810B6">
        <w:rPr>
          <w:rFonts w:asciiTheme="minorHAnsi" w:hAnsiTheme="minorHAnsi" w:cstheme="minorHAnsi"/>
          <w:sz w:val="24"/>
          <w:szCs w:val="24"/>
        </w:rPr>
        <w:t>(MŽP)</w:t>
      </w:r>
    </w:p>
    <w:p w:rsidR="009B17B4" w:rsidRPr="007810B6" w:rsidRDefault="009B17B4" w:rsidP="00851D6E">
      <w:pPr>
        <w:numPr>
          <w:ilvl w:val="2"/>
          <w:numId w:val="8"/>
        </w:numPr>
        <w:jc w:val="both"/>
        <w:rPr>
          <w:rFonts w:asciiTheme="minorHAnsi" w:hAnsiTheme="minorHAnsi" w:cstheme="minorHAnsi"/>
          <w:sz w:val="24"/>
          <w:szCs w:val="24"/>
        </w:rPr>
      </w:pPr>
      <w:r w:rsidRPr="007810B6">
        <w:rPr>
          <w:rFonts w:asciiTheme="minorHAnsi" w:hAnsiTheme="minorHAnsi" w:cstheme="minorHAnsi"/>
          <w:b/>
          <w:bCs/>
          <w:sz w:val="24"/>
          <w:szCs w:val="24"/>
        </w:rPr>
        <w:t xml:space="preserve">Integrovaný regionální operační program </w:t>
      </w:r>
      <w:r w:rsidRPr="007810B6">
        <w:rPr>
          <w:rFonts w:asciiTheme="minorHAnsi" w:hAnsiTheme="minorHAnsi" w:cstheme="minorHAnsi"/>
          <w:sz w:val="24"/>
          <w:szCs w:val="24"/>
        </w:rPr>
        <w:t>(MMR)</w:t>
      </w:r>
    </w:p>
    <w:p w:rsidR="009B17B4" w:rsidRPr="007810B6" w:rsidRDefault="009B17B4" w:rsidP="00851D6E">
      <w:pPr>
        <w:numPr>
          <w:ilvl w:val="2"/>
          <w:numId w:val="8"/>
        </w:numPr>
        <w:jc w:val="both"/>
        <w:rPr>
          <w:rFonts w:asciiTheme="minorHAnsi" w:hAnsiTheme="minorHAnsi" w:cstheme="minorHAnsi"/>
          <w:sz w:val="24"/>
          <w:szCs w:val="24"/>
        </w:rPr>
      </w:pPr>
      <w:r w:rsidRPr="007810B6">
        <w:rPr>
          <w:rFonts w:asciiTheme="minorHAnsi" w:hAnsiTheme="minorHAnsi" w:cstheme="minorHAnsi"/>
          <w:b/>
          <w:bCs/>
          <w:sz w:val="24"/>
          <w:szCs w:val="24"/>
        </w:rPr>
        <w:lastRenderedPageBreak/>
        <w:t xml:space="preserve">OP Praha – pól růstu ČR </w:t>
      </w:r>
      <w:r w:rsidRPr="007810B6">
        <w:rPr>
          <w:rFonts w:asciiTheme="minorHAnsi" w:hAnsiTheme="minorHAnsi" w:cstheme="minorHAnsi"/>
          <w:sz w:val="24"/>
          <w:szCs w:val="24"/>
        </w:rPr>
        <w:t>(Magistrát hl. města Prahy)</w:t>
      </w:r>
    </w:p>
    <w:p w:rsidR="009B17B4" w:rsidRPr="007810B6" w:rsidRDefault="009B17B4" w:rsidP="00851D6E">
      <w:pPr>
        <w:numPr>
          <w:ilvl w:val="2"/>
          <w:numId w:val="8"/>
        </w:numPr>
        <w:spacing w:after="120"/>
        <w:ind w:left="2154" w:hanging="357"/>
        <w:jc w:val="both"/>
        <w:rPr>
          <w:rFonts w:asciiTheme="minorHAnsi" w:hAnsiTheme="minorHAnsi" w:cstheme="minorHAnsi"/>
          <w:sz w:val="24"/>
          <w:szCs w:val="24"/>
        </w:rPr>
      </w:pPr>
      <w:r w:rsidRPr="007810B6">
        <w:rPr>
          <w:rFonts w:asciiTheme="minorHAnsi" w:hAnsiTheme="minorHAnsi" w:cstheme="minorHAnsi"/>
          <w:b/>
          <w:bCs/>
          <w:sz w:val="24"/>
          <w:szCs w:val="24"/>
        </w:rPr>
        <w:t xml:space="preserve">OP Technická pomoc </w:t>
      </w:r>
      <w:r w:rsidRPr="007810B6">
        <w:rPr>
          <w:rFonts w:asciiTheme="minorHAnsi" w:hAnsiTheme="minorHAnsi" w:cstheme="minorHAnsi"/>
          <w:sz w:val="24"/>
          <w:szCs w:val="24"/>
        </w:rPr>
        <w:t>(MMR)</w:t>
      </w:r>
    </w:p>
    <w:p w:rsidR="009B17B4" w:rsidRPr="007810B6" w:rsidRDefault="009B17B4" w:rsidP="00851D6E">
      <w:pPr>
        <w:numPr>
          <w:ilvl w:val="1"/>
          <w:numId w:val="8"/>
        </w:numPr>
        <w:spacing w:after="120"/>
        <w:ind w:left="1434" w:hanging="357"/>
        <w:jc w:val="both"/>
        <w:rPr>
          <w:rFonts w:asciiTheme="minorHAnsi" w:hAnsiTheme="minorHAnsi" w:cstheme="minorHAnsi"/>
          <w:sz w:val="24"/>
          <w:szCs w:val="24"/>
        </w:rPr>
      </w:pPr>
      <w:r w:rsidRPr="007810B6">
        <w:rPr>
          <w:rFonts w:asciiTheme="minorHAnsi" w:hAnsiTheme="minorHAnsi" w:cstheme="minorHAnsi"/>
          <w:sz w:val="24"/>
          <w:szCs w:val="24"/>
        </w:rPr>
        <w:t>Pro intervence Evropského zemědělského fondu pro rozvoj venkova a Evropského námořního a rybářského fondu:</w:t>
      </w:r>
    </w:p>
    <w:p w:rsidR="009B17B4" w:rsidRPr="007810B6" w:rsidRDefault="009B17B4" w:rsidP="00851D6E">
      <w:pPr>
        <w:numPr>
          <w:ilvl w:val="2"/>
          <w:numId w:val="8"/>
        </w:numPr>
        <w:jc w:val="both"/>
        <w:rPr>
          <w:rFonts w:asciiTheme="minorHAnsi" w:hAnsiTheme="minorHAnsi" w:cstheme="minorHAnsi"/>
          <w:sz w:val="24"/>
          <w:szCs w:val="24"/>
        </w:rPr>
      </w:pPr>
      <w:r w:rsidRPr="007810B6">
        <w:rPr>
          <w:rFonts w:asciiTheme="minorHAnsi" w:hAnsiTheme="minorHAnsi" w:cstheme="minorHAnsi"/>
          <w:b/>
          <w:bCs/>
          <w:sz w:val="24"/>
          <w:szCs w:val="24"/>
        </w:rPr>
        <w:t xml:space="preserve">Program rozvoje venkova </w:t>
      </w:r>
      <w:r w:rsidRPr="007810B6">
        <w:rPr>
          <w:rFonts w:asciiTheme="minorHAnsi" w:hAnsiTheme="minorHAnsi" w:cstheme="minorHAnsi"/>
          <w:sz w:val="24"/>
          <w:szCs w:val="24"/>
        </w:rPr>
        <w:t xml:space="preserve">2014-2020 </w:t>
      </w:r>
    </w:p>
    <w:p w:rsidR="009B17B4" w:rsidRPr="007810B6" w:rsidRDefault="009B17B4" w:rsidP="00851D6E">
      <w:pPr>
        <w:numPr>
          <w:ilvl w:val="2"/>
          <w:numId w:val="8"/>
        </w:numPr>
        <w:spacing w:after="120"/>
        <w:ind w:left="2154" w:hanging="357"/>
        <w:jc w:val="both"/>
        <w:rPr>
          <w:rFonts w:asciiTheme="minorHAnsi" w:hAnsiTheme="minorHAnsi" w:cstheme="minorHAnsi"/>
          <w:sz w:val="24"/>
          <w:szCs w:val="24"/>
        </w:rPr>
      </w:pPr>
      <w:r w:rsidRPr="007810B6">
        <w:rPr>
          <w:rFonts w:asciiTheme="minorHAnsi" w:hAnsiTheme="minorHAnsi" w:cstheme="minorHAnsi"/>
          <w:b/>
          <w:bCs/>
          <w:sz w:val="24"/>
          <w:szCs w:val="24"/>
        </w:rPr>
        <w:t xml:space="preserve">OP Rybářství </w:t>
      </w:r>
      <w:r w:rsidRPr="007810B6">
        <w:rPr>
          <w:rFonts w:asciiTheme="minorHAnsi" w:hAnsiTheme="minorHAnsi" w:cstheme="minorHAnsi"/>
          <w:sz w:val="24"/>
          <w:szCs w:val="24"/>
        </w:rPr>
        <w:t xml:space="preserve">v gesci Ministerstva zemědělství </w:t>
      </w:r>
    </w:p>
    <w:p w:rsidR="009B17B4" w:rsidRPr="007810B6" w:rsidRDefault="009B17B4" w:rsidP="00851D6E">
      <w:pPr>
        <w:numPr>
          <w:ilvl w:val="1"/>
          <w:numId w:val="8"/>
        </w:numPr>
        <w:jc w:val="both"/>
        <w:rPr>
          <w:rFonts w:asciiTheme="minorHAnsi" w:hAnsiTheme="minorHAnsi" w:cstheme="minorHAnsi"/>
          <w:sz w:val="24"/>
          <w:szCs w:val="24"/>
        </w:rPr>
      </w:pPr>
      <w:r w:rsidRPr="007810B6">
        <w:rPr>
          <w:rFonts w:asciiTheme="minorHAnsi" w:hAnsiTheme="minorHAnsi" w:cstheme="minorHAnsi"/>
          <w:sz w:val="24"/>
          <w:szCs w:val="24"/>
        </w:rPr>
        <w:t xml:space="preserve">a dále </w:t>
      </w:r>
      <w:r w:rsidRPr="007810B6">
        <w:rPr>
          <w:rFonts w:asciiTheme="minorHAnsi" w:hAnsiTheme="minorHAnsi" w:cstheme="minorHAnsi"/>
          <w:b/>
          <w:sz w:val="24"/>
          <w:szCs w:val="24"/>
        </w:rPr>
        <w:t>7 operačních programů</w:t>
      </w:r>
      <w:r w:rsidRPr="007810B6">
        <w:rPr>
          <w:rFonts w:asciiTheme="minorHAnsi" w:hAnsiTheme="minorHAnsi" w:cstheme="minorHAnsi"/>
          <w:sz w:val="24"/>
          <w:szCs w:val="24"/>
        </w:rPr>
        <w:t xml:space="preserve"> pro Evropský fond regionálního rozvoje cíle „Evropská územní spolupráce“</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jc w:val="both"/>
        <w:rPr>
          <w:rFonts w:asciiTheme="minorHAnsi" w:hAnsiTheme="minorHAnsi" w:cstheme="minorHAnsi"/>
          <w:sz w:val="24"/>
          <w:szCs w:val="24"/>
        </w:rPr>
      </w:pPr>
      <w:r w:rsidRPr="007810B6">
        <w:rPr>
          <w:rFonts w:asciiTheme="minorHAnsi" w:hAnsiTheme="minorHAnsi" w:cstheme="minorHAnsi"/>
          <w:b/>
          <w:sz w:val="24"/>
          <w:szCs w:val="24"/>
        </w:rPr>
        <w:t xml:space="preserve">- </w:t>
      </w:r>
      <w:r w:rsidRPr="007810B6">
        <w:rPr>
          <w:rFonts w:asciiTheme="minorHAnsi" w:hAnsiTheme="minorHAnsi" w:cstheme="minorHAnsi"/>
          <w:sz w:val="24"/>
          <w:szCs w:val="24"/>
        </w:rPr>
        <w:t>V říjnu 2012 představila Evropská komise</w:t>
      </w:r>
      <w:r w:rsidRPr="007810B6">
        <w:rPr>
          <w:rFonts w:asciiTheme="minorHAnsi" w:hAnsiTheme="minorHAnsi" w:cstheme="minorHAnsi"/>
          <w:b/>
          <w:sz w:val="24"/>
          <w:szCs w:val="24"/>
        </w:rPr>
        <w:t xml:space="preserve"> „Stanovisko útvarů Komise k vývoji v oblasti Dohody o partnerství programů v České republice pro období 2014 – 2020“</w:t>
      </w:r>
      <w:r w:rsidRPr="007810B6">
        <w:rPr>
          <w:rFonts w:asciiTheme="minorHAnsi" w:hAnsiTheme="minorHAnsi" w:cstheme="minorHAnsi"/>
          <w:sz w:val="24"/>
          <w:szCs w:val="24"/>
        </w:rPr>
        <w:t xml:space="preserve"> (tzv. Poziční dokument). Tento </w:t>
      </w:r>
      <w:r w:rsidRPr="007810B6">
        <w:rPr>
          <w:rFonts w:asciiTheme="minorHAnsi" w:hAnsiTheme="minorHAnsi" w:cstheme="minorHAnsi"/>
          <w:bCs/>
          <w:sz w:val="24"/>
          <w:szCs w:val="24"/>
        </w:rPr>
        <w:t>dokument</w:t>
      </w:r>
      <w:r w:rsidRPr="007810B6">
        <w:rPr>
          <w:rFonts w:asciiTheme="minorHAnsi" w:hAnsiTheme="minorHAnsi" w:cstheme="minorHAnsi"/>
          <w:b/>
          <w:bCs/>
          <w:sz w:val="24"/>
          <w:szCs w:val="24"/>
        </w:rPr>
        <w:t xml:space="preserve"> </w:t>
      </w:r>
      <w:r w:rsidRPr="007810B6">
        <w:rPr>
          <w:rFonts w:asciiTheme="minorHAnsi" w:hAnsiTheme="minorHAnsi" w:cstheme="minorHAnsi"/>
          <w:sz w:val="24"/>
          <w:szCs w:val="24"/>
        </w:rPr>
        <w:t>obsahuje pět hlavních prioritních témat pro využití evropských strukturálních a investičních fondů v České republice v letech 2014 – 2020:</w:t>
      </w:r>
    </w:p>
    <w:p w:rsidR="009B17B4" w:rsidRPr="007810B6" w:rsidRDefault="009B17B4" w:rsidP="009B17B4">
      <w:pPr>
        <w:jc w:val="both"/>
        <w:rPr>
          <w:rFonts w:asciiTheme="minorHAnsi" w:hAnsiTheme="minorHAnsi" w:cstheme="minorHAnsi"/>
          <w:sz w:val="24"/>
          <w:szCs w:val="24"/>
        </w:rPr>
      </w:pPr>
    </w:p>
    <w:p w:rsidR="009B17B4" w:rsidRPr="007810B6" w:rsidRDefault="009B17B4" w:rsidP="00851D6E">
      <w:pPr>
        <w:numPr>
          <w:ilvl w:val="0"/>
          <w:numId w:val="17"/>
        </w:numPr>
        <w:overflowPunct/>
        <w:ind w:left="1434" w:hanging="357"/>
        <w:textAlignment w:val="auto"/>
        <w:rPr>
          <w:rFonts w:asciiTheme="minorHAnsi" w:hAnsiTheme="minorHAnsi" w:cstheme="minorHAnsi"/>
          <w:sz w:val="24"/>
          <w:szCs w:val="24"/>
        </w:rPr>
      </w:pPr>
      <w:r w:rsidRPr="007810B6">
        <w:rPr>
          <w:rFonts w:asciiTheme="minorHAnsi" w:hAnsiTheme="minorHAnsi" w:cstheme="minorHAnsi"/>
          <w:sz w:val="24"/>
          <w:szCs w:val="24"/>
        </w:rPr>
        <w:t xml:space="preserve">Podnikatelské prostředí příznivé pro inovace </w:t>
      </w:r>
    </w:p>
    <w:p w:rsidR="009B17B4" w:rsidRPr="007810B6" w:rsidRDefault="009B17B4" w:rsidP="00851D6E">
      <w:pPr>
        <w:numPr>
          <w:ilvl w:val="0"/>
          <w:numId w:val="17"/>
        </w:numPr>
        <w:overflowPunct/>
        <w:ind w:left="1434" w:hanging="357"/>
        <w:textAlignment w:val="auto"/>
        <w:rPr>
          <w:rFonts w:asciiTheme="minorHAnsi" w:hAnsiTheme="minorHAnsi" w:cstheme="minorHAnsi"/>
          <w:sz w:val="24"/>
          <w:szCs w:val="24"/>
        </w:rPr>
      </w:pPr>
      <w:r w:rsidRPr="007810B6">
        <w:rPr>
          <w:rFonts w:asciiTheme="minorHAnsi" w:hAnsiTheme="minorHAnsi" w:cstheme="minorHAnsi"/>
          <w:sz w:val="24"/>
          <w:szCs w:val="24"/>
        </w:rPr>
        <w:t xml:space="preserve">Rozvoj infrastruktury pro růst a konkurenceschopnost </w:t>
      </w:r>
    </w:p>
    <w:p w:rsidR="009B17B4" w:rsidRPr="007810B6" w:rsidRDefault="009B17B4" w:rsidP="00851D6E">
      <w:pPr>
        <w:numPr>
          <w:ilvl w:val="0"/>
          <w:numId w:val="17"/>
        </w:numPr>
        <w:overflowPunct/>
        <w:ind w:left="1434" w:hanging="357"/>
        <w:textAlignment w:val="auto"/>
        <w:rPr>
          <w:rFonts w:asciiTheme="minorHAnsi" w:hAnsiTheme="minorHAnsi" w:cstheme="minorHAnsi"/>
          <w:sz w:val="24"/>
          <w:szCs w:val="24"/>
        </w:rPr>
      </w:pPr>
      <w:r w:rsidRPr="007810B6">
        <w:rPr>
          <w:rFonts w:asciiTheme="minorHAnsi" w:hAnsiTheme="minorHAnsi" w:cstheme="minorHAnsi"/>
          <w:sz w:val="24"/>
          <w:szCs w:val="24"/>
        </w:rPr>
        <w:t xml:space="preserve">Růst založený na lidském kapitálu a zlepšení účasti na trhu práce  </w:t>
      </w:r>
    </w:p>
    <w:p w:rsidR="009B17B4" w:rsidRPr="007810B6" w:rsidRDefault="009B17B4" w:rsidP="00851D6E">
      <w:pPr>
        <w:numPr>
          <w:ilvl w:val="0"/>
          <w:numId w:val="17"/>
        </w:numPr>
        <w:overflowPunct/>
        <w:ind w:left="1434" w:hanging="357"/>
        <w:textAlignment w:val="auto"/>
        <w:rPr>
          <w:rFonts w:asciiTheme="minorHAnsi" w:hAnsiTheme="minorHAnsi" w:cstheme="minorHAnsi"/>
          <w:sz w:val="24"/>
          <w:szCs w:val="24"/>
        </w:rPr>
      </w:pPr>
      <w:r w:rsidRPr="007810B6">
        <w:rPr>
          <w:rFonts w:asciiTheme="minorHAnsi" w:hAnsiTheme="minorHAnsi" w:cstheme="minorHAnsi"/>
          <w:sz w:val="24"/>
          <w:szCs w:val="24"/>
        </w:rPr>
        <w:t>Hospodářství příznivé pro životní prostředí a nákladově efektivní hospodářství</w:t>
      </w:r>
    </w:p>
    <w:p w:rsidR="009B17B4" w:rsidRPr="007810B6" w:rsidRDefault="009B17B4" w:rsidP="00851D6E">
      <w:pPr>
        <w:numPr>
          <w:ilvl w:val="0"/>
          <w:numId w:val="17"/>
        </w:numPr>
        <w:overflowPunct/>
        <w:ind w:left="1434" w:hanging="357"/>
        <w:textAlignment w:val="auto"/>
        <w:rPr>
          <w:rFonts w:asciiTheme="minorHAnsi" w:hAnsiTheme="minorHAnsi" w:cstheme="minorHAnsi"/>
          <w:sz w:val="24"/>
          <w:szCs w:val="24"/>
        </w:rPr>
      </w:pPr>
      <w:r w:rsidRPr="007810B6">
        <w:rPr>
          <w:rFonts w:asciiTheme="minorHAnsi" w:hAnsiTheme="minorHAnsi" w:cstheme="minorHAnsi"/>
          <w:sz w:val="24"/>
          <w:szCs w:val="24"/>
        </w:rPr>
        <w:t>Moderní a profesionální administrativa</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 xml:space="preserve">Z pohledu návrhu zaměření OP Podnikání a inovace pro konkurenceschopnost se jako relevantními prioritními tématy pro tento operační program jeví zejména </w:t>
      </w:r>
    </w:p>
    <w:p w:rsidR="009B17B4" w:rsidRPr="007810B6" w:rsidRDefault="009B17B4" w:rsidP="00851D6E">
      <w:pPr>
        <w:numPr>
          <w:ilvl w:val="0"/>
          <w:numId w:val="18"/>
        </w:numPr>
        <w:jc w:val="both"/>
        <w:rPr>
          <w:rFonts w:asciiTheme="minorHAnsi" w:hAnsiTheme="minorHAnsi" w:cstheme="minorHAnsi"/>
          <w:sz w:val="24"/>
          <w:szCs w:val="24"/>
        </w:rPr>
      </w:pPr>
      <w:r w:rsidRPr="007810B6">
        <w:rPr>
          <w:rFonts w:asciiTheme="minorHAnsi" w:hAnsiTheme="minorHAnsi" w:cstheme="minorHAnsi"/>
          <w:sz w:val="24"/>
          <w:szCs w:val="24"/>
        </w:rPr>
        <w:t>Prioritní téma „</w:t>
      </w:r>
      <w:r w:rsidRPr="007810B6">
        <w:rPr>
          <w:rFonts w:asciiTheme="minorHAnsi" w:hAnsiTheme="minorHAnsi" w:cstheme="minorHAnsi"/>
          <w:b/>
          <w:sz w:val="24"/>
          <w:szCs w:val="24"/>
        </w:rPr>
        <w:t>P</w:t>
      </w:r>
      <w:r w:rsidRPr="007810B6">
        <w:rPr>
          <w:rFonts w:asciiTheme="minorHAnsi" w:hAnsiTheme="minorHAnsi" w:cstheme="minorHAnsi"/>
          <w:b/>
          <w:bCs/>
          <w:sz w:val="24"/>
          <w:szCs w:val="24"/>
        </w:rPr>
        <w:t xml:space="preserve">odnikatelské prostředí příznivé pro inovace“ </w:t>
      </w:r>
    </w:p>
    <w:p w:rsidR="009B17B4" w:rsidRPr="007810B6" w:rsidRDefault="009B17B4" w:rsidP="00851D6E">
      <w:pPr>
        <w:numPr>
          <w:ilvl w:val="0"/>
          <w:numId w:val="18"/>
        </w:numPr>
        <w:jc w:val="both"/>
        <w:rPr>
          <w:rFonts w:asciiTheme="minorHAnsi" w:hAnsiTheme="minorHAnsi" w:cstheme="minorHAnsi"/>
          <w:sz w:val="24"/>
          <w:szCs w:val="24"/>
        </w:rPr>
      </w:pPr>
      <w:r w:rsidRPr="007810B6">
        <w:rPr>
          <w:rFonts w:asciiTheme="minorHAnsi" w:hAnsiTheme="minorHAnsi" w:cstheme="minorHAnsi"/>
          <w:sz w:val="24"/>
          <w:szCs w:val="24"/>
        </w:rPr>
        <w:t>Prioritní téma „</w:t>
      </w:r>
      <w:r w:rsidRPr="007810B6">
        <w:rPr>
          <w:rFonts w:asciiTheme="minorHAnsi" w:hAnsiTheme="minorHAnsi" w:cstheme="minorHAnsi"/>
          <w:b/>
          <w:sz w:val="24"/>
          <w:szCs w:val="24"/>
        </w:rPr>
        <w:t>Hospodářství příznivé pro životní prostředí a nákladově efektivní hospodářství</w:t>
      </w:r>
      <w:r w:rsidRPr="007810B6">
        <w:rPr>
          <w:rFonts w:asciiTheme="minorHAnsi" w:hAnsiTheme="minorHAnsi" w:cstheme="minorHAnsi"/>
          <w:sz w:val="24"/>
          <w:szCs w:val="24"/>
        </w:rPr>
        <w:t>“ (oblast energetiky)</w:t>
      </w:r>
    </w:p>
    <w:p w:rsidR="009B17B4" w:rsidRPr="007810B6" w:rsidRDefault="009B17B4" w:rsidP="009B17B4">
      <w:pPr>
        <w:jc w:val="both"/>
        <w:rPr>
          <w:rFonts w:asciiTheme="minorHAnsi" w:hAnsiTheme="minorHAnsi" w:cstheme="minorHAnsi"/>
          <w:sz w:val="24"/>
          <w:szCs w:val="24"/>
        </w:rPr>
      </w:pP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V souladu s čl. 5 návrhu obecného nařízení probíhá příprava OP Podnikání a inovace pro konkurenceschopnost při plném respektování principu partnerství, tj. zapojení relevantních sociálních a hospodářských partnerů a dalších národních aktérů do přípravy operačního programu (zástupci ministerstev, hospodářských svazů a asociací, zástupci odborových svazů, zaměstnavatelských a podnikatelských svazů, asociace krajů, svazu měst a obcí, vysokých škol a akademické sféry, nevládních organizací, a dalších organizací a institucí). Respektování principu partnerství zahrnuje přípravu, provádění, monitorování a evaluaci operačního programu. Seznam všech partnerů zapojených do přípravy prog</w:t>
      </w:r>
      <w:r w:rsidRPr="00DD1A9D">
        <w:rPr>
          <w:rFonts w:asciiTheme="minorHAnsi" w:hAnsiTheme="minorHAnsi" w:cstheme="minorHAnsi"/>
          <w:sz w:val="24"/>
          <w:szCs w:val="24"/>
        </w:rPr>
        <w:t>ramu je uveden v příloze xx tohoto dokumentu.</w:t>
      </w:r>
      <w:r w:rsidRPr="007810B6">
        <w:rPr>
          <w:rFonts w:asciiTheme="minorHAnsi" w:hAnsiTheme="minorHAnsi" w:cstheme="minorHAnsi"/>
          <w:sz w:val="24"/>
          <w:szCs w:val="24"/>
        </w:rPr>
        <w:t xml:space="preserve"> </w:t>
      </w: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V souladu s metodikou pro tvorbu programových dokume</w:t>
      </w:r>
      <w:r w:rsidRPr="00456806">
        <w:rPr>
          <w:rFonts w:asciiTheme="minorHAnsi" w:hAnsiTheme="minorHAnsi" w:cstheme="minorHAnsi"/>
          <w:sz w:val="24"/>
          <w:szCs w:val="24"/>
        </w:rPr>
        <w:t>ntů</w:t>
      </w:r>
      <w:r w:rsidRPr="00456806">
        <w:rPr>
          <w:rStyle w:val="Znakapoznpodarou"/>
          <w:rFonts w:asciiTheme="minorHAnsi" w:hAnsiTheme="minorHAnsi" w:cstheme="minorHAnsi"/>
          <w:sz w:val="24"/>
          <w:szCs w:val="24"/>
        </w:rPr>
        <w:footnoteReference w:id="1"/>
      </w:r>
      <w:r w:rsidRPr="00456806">
        <w:rPr>
          <w:rFonts w:asciiTheme="minorHAnsi" w:hAnsiTheme="minorHAnsi" w:cstheme="minorHAnsi"/>
          <w:sz w:val="24"/>
          <w:szCs w:val="24"/>
        </w:rPr>
        <w:t xml:space="preserve"> u</w:t>
      </w:r>
      <w:r w:rsidRPr="007810B6">
        <w:rPr>
          <w:rFonts w:asciiTheme="minorHAnsi" w:hAnsiTheme="minorHAnsi" w:cstheme="minorHAnsi"/>
          <w:sz w:val="24"/>
          <w:szCs w:val="24"/>
        </w:rPr>
        <w:t xml:space="preserve">stanovilo Ministerstvo průmyslu a obchodu jako řídící orgán operačního programu </w:t>
      </w:r>
      <w:r w:rsidRPr="007810B6">
        <w:rPr>
          <w:rFonts w:asciiTheme="minorHAnsi" w:hAnsiTheme="minorHAnsi" w:cstheme="minorHAnsi"/>
          <w:b/>
          <w:sz w:val="24"/>
          <w:szCs w:val="24"/>
        </w:rPr>
        <w:t>pracovní skupiny</w:t>
      </w:r>
      <w:r w:rsidRPr="007810B6">
        <w:rPr>
          <w:rFonts w:asciiTheme="minorHAnsi" w:hAnsiTheme="minorHAnsi" w:cstheme="minorHAnsi"/>
          <w:sz w:val="24"/>
          <w:szCs w:val="24"/>
        </w:rPr>
        <w:t xml:space="preserve"> jak pro rozpracování jednotlivých věcně zaměřených prioritních os operačního programu, tak pro řešení finančních nástrojů jako forem podpory pro navrhované intervence nebo pro řešení horizontálních (průřezových) témat souvisejících s budoucí implementací programu (jako jsou </w:t>
      </w:r>
      <w:r w:rsidRPr="007810B6">
        <w:rPr>
          <w:rFonts w:asciiTheme="minorHAnsi" w:hAnsiTheme="minorHAnsi" w:cstheme="minorHAnsi"/>
          <w:sz w:val="24"/>
          <w:szCs w:val="24"/>
        </w:rPr>
        <w:lastRenderedPageBreak/>
        <w:t>programové indikátory, implementační systém, veřejná podpora, veřejné zakázky, metodika, informační systém, monitoring, atd.). U pracovních skupin byl respektován při návrhu jejich složení princip partnerství. Jednotlivé pracovní skupiny tak byly rozšířeny o zástupce relevantních ministerstev (MPSV, MŠMT, MD, MK) a dalších externích odborníků na problematiku řešenou v jednotlivých pracovních skupinách.</w:t>
      </w:r>
    </w:p>
    <w:p w:rsidR="009B17B4" w:rsidRPr="007810B6" w:rsidRDefault="009B17B4" w:rsidP="009B17B4">
      <w:pPr>
        <w:spacing w:after="120"/>
        <w:jc w:val="both"/>
        <w:rPr>
          <w:rFonts w:asciiTheme="minorHAnsi" w:hAnsiTheme="minorHAnsi" w:cstheme="minorHAnsi"/>
          <w:sz w:val="24"/>
          <w:szCs w:val="24"/>
        </w:rPr>
      </w:pPr>
      <w:r w:rsidRPr="007810B6">
        <w:rPr>
          <w:rFonts w:asciiTheme="minorHAnsi" w:hAnsiTheme="minorHAnsi" w:cstheme="minorHAnsi"/>
          <w:sz w:val="24"/>
          <w:szCs w:val="24"/>
        </w:rPr>
        <w:t xml:space="preserve">V souladu s metodikou pro tvorbu programových dokumentů ustanovilo Ministerstvo průmyslu a obchodu </w:t>
      </w:r>
      <w:r w:rsidRPr="007810B6">
        <w:rPr>
          <w:rFonts w:asciiTheme="minorHAnsi" w:hAnsiTheme="minorHAnsi" w:cstheme="minorHAnsi"/>
          <w:b/>
          <w:sz w:val="24"/>
          <w:szCs w:val="24"/>
        </w:rPr>
        <w:t>Platformu MPO pro přípravu OP Podnikání a inovace pro konkurenceschopnost</w:t>
      </w:r>
      <w:r w:rsidRPr="007810B6">
        <w:rPr>
          <w:rFonts w:asciiTheme="minorHAnsi" w:hAnsiTheme="minorHAnsi" w:cstheme="minorHAnsi"/>
          <w:i/>
          <w:sz w:val="24"/>
          <w:szCs w:val="24"/>
        </w:rPr>
        <w:t xml:space="preserve">. </w:t>
      </w:r>
      <w:r w:rsidRPr="007810B6">
        <w:rPr>
          <w:rFonts w:asciiTheme="minorHAnsi" w:hAnsiTheme="minorHAnsi" w:cstheme="minorHAnsi"/>
          <w:sz w:val="24"/>
          <w:szCs w:val="24"/>
        </w:rPr>
        <w:t xml:space="preserve">Do Platformy byli jmenování vedle zástupců Ministerstva průmyslu a obchodu zástupci Ministerstva pro místní rozvoj – Národního orgánu pro koordinaci, Ministerstva financí, zástupci řídicích orgánů relevantních operačních programů, agentury CzechInvest a hospodářských a sociálních partnerů, včetně zástupců neziskové sféry. Jednání Platformy se účastní rovněž vedoucí pracovních skupin zřízených na MPO pro rozpracování jednotlivých prioritních os operačního programu a dalších řešených problematik. Členové Platformy dohlíží na přípravu operačního programu a zajišťují zohlednění zájmů relevantních partnerů a respektování principu partnerství při jeho přípravě. </w:t>
      </w:r>
    </w:p>
    <w:p w:rsidR="009B17B4" w:rsidRPr="00FC5C9F" w:rsidRDefault="009B17B4" w:rsidP="009B17B4">
      <w:pPr>
        <w:spacing w:after="120"/>
        <w:jc w:val="both"/>
        <w:rPr>
          <w:sz w:val="24"/>
          <w:szCs w:val="24"/>
        </w:rPr>
      </w:pPr>
      <w:r w:rsidRPr="007810B6">
        <w:rPr>
          <w:rFonts w:asciiTheme="minorHAnsi" w:hAnsiTheme="minorHAnsi" w:cstheme="minorHAnsi"/>
          <w:sz w:val="24"/>
          <w:szCs w:val="24"/>
        </w:rPr>
        <w:t xml:space="preserve">Během přípravy operačního programu budou konzultovány a připomínkovány pracovní verze programu nejprve v rámci pracovních skupina a dále s jednotlivými věcně příslušnými útvary MPO a následně i s dalšími partnery, m.j. v rámci jednání platformy. Postupně schvalované a připomínkované verze operačního programu budou aktualizovány, a to také v návaznosti na výstupy SEA a ex-ante hodnocení programu. </w:t>
      </w:r>
    </w:p>
    <w:p w:rsidR="008D4BCB" w:rsidRPr="004731D0" w:rsidRDefault="008D4BCB" w:rsidP="00F2715A">
      <w:pPr>
        <w:jc w:val="both"/>
        <w:rPr>
          <w:rFonts w:ascii="Calibri" w:hAnsi="Calibri" w:cs="Calibri"/>
          <w:sz w:val="24"/>
          <w:szCs w:val="24"/>
        </w:rPr>
      </w:pPr>
    </w:p>
    <w:p w:rsidR="0029795B" w:rsidRDefault="00FB5FA2" w:rsidP="00F2715A">
      <w:pPr>
        <w:pStyle w:val="Nadpis1"/>
        <w:spacing w:after="240"/>
        <w:rPr>
          <w:rFonts w:ascii="Calibri" w:hAnsi="Calibri" w:cs="Calibri"/>
        </w:rPr>
      </w:pPr>
      <w:bookmarkStart w:id="3" w:name="_Toc351464347"/>
      <w:bookmarkStart w:id="4" w:name="_Toc352328352"/>
      <w:r w:rsidRPr="00A815D1">
        <w:rPr>
          <w:rFonts w:ascii="Calibri" w:hAnsi="Calibri" w:cs="Calibri"/>
        </w:rPr>
        <w:lastRenderedPageBreak/>
        <w:t>Strategie pro příspěvek operačního programu ke strategii EU zaměřené na inteligentní a udržitelný růst podporující začlenění</w:t>
      </w:r>
      <w:bookmarkEnd w:id="3"/>
      <w:bookmarkEnd w:id="4"/>
    </w:p>
    <w:p w:rsidR="005572A3" w:rsidRPr="00760884" w:rsidRDefault="00760884" w:rsidP="005572A3">
      <w:pPr>
        <w:overflowPunct/>
        <w:jc w:val="both"/>
        <w:textAlignment w:val="auto"/>
        <w:rPr>
          <w:rFonts w:ascii="Calibri" w:hAnsi="Calibri" w:cs="Calibri"/>
          <w:bCs/>
          <w:i/>
          <w:color w:val="FF0000"/>
          <w:sz w:val="24"/>
          <w:szCs w:val="24"/>
          <w:lang w:val="en-US"/>
        </w:rPr>
      </w:pPr>
      <w:r>
        <w:rPr>
          <w:rFonts w:ascii="Calibri" w:hAnsi="Calibri" w:cs="Calibri"/>
          <w:i/>
          <w:color w:val="FF0000"/>
          <w:sz w:val="24"/>
          <w:szCs w:val="24"/>
        </w:rPr>
        <w:t>....</w:t>
      </w:r>
      <w:r w:rsidR="005572A3" w:rsidRPr="00760884">
        <w:rPr>
          <w:rFonts w:ascii="Calibri" w:hAnsi="Calibri" w:cs="Calibri"/>
          <w:i/>
          <w:color w:val="FF0000"/>
          <w:sz w:val="24"/>
          <w:szCs w:val="24"/>
          <w:lang w:val="en-US"/>
        </w:rPr>
        <w:t xml:space="preserve">viz EK Draft template / </w:t>
      </w:r>
      <w:r w:rsidR="008D2962" w:rsidRPr="00760884">
        <w:rPr>
          <w:rFonts w:ascii="Calibri" w:hAnsi="Calibri" w:cs="Calibri"/>
          <w:i/>
          <w:color w:val="FF0000"/>
          <w:sz w:val="24"/>
          <w:szCs w:val="24"/>
          <w:lang w:val="en-US"/>
        </w:rPr>
        <w:t xml:space="preserve">verze </w:t>
      </w:r>
      <w:r w:rsidR="005572A3" w:rsidRPr="00760884">
        <w:rPr>
          <w:rFonts w:ascii="Calibri" w:hAnsi="Calibri" w:cs="Calibri"/>
          <w:i/>
          <w:color w:val="FF0000"/>
          <w:sz w:val="24"/>
          <w:szCs w:val="24"/>
          <w:lang w:val="en-US"/>
        </w:rPr>
        <w:t xml:space="preserve">leden </w:t>
      </w:r>
      <w:smartTag w:uri="urn:schemas-microsoft-com:office:smarttags" w:element="metricconverter">
        <w:smartTagPr>
          <w:attr w:name="ProductID" w:val="2013 a"/>
        </w:smartTagPr>
        <w:r w:rsidR="005572A3" w:rsidRPr="00760884">
          <w:rPr>
            <w:rFonts w:ascii="Calibri" w:hAnsi="Calibri" w:cs="Calibri"/>
            <w:i/>
            <w:color w:val="FF0000"/>
            <w:sz w:val="24"/>
            <w:szCs w:val="24"/>
            <w:lang w:val="en-US"/>
          </w:rPr>
          <w:t xml:space="preserve">2013 </w:t>
        </w:r>
        <w:r w:rsidR="006B7AB3" w:rsidRPr="00760884">
          <w:rPr>
            <w:rFonts w:ascii="Calibri" w:hAnsi="Calibri" w:cs="Calibri"/>
            <w:i/>
            <w:color w:val="FF0000"/>
            <w:sz w:val="24"/>
            <w:szCs w:val="24"/>
            <w:lang w:val="en-US"/>
          </w:rPr>
          <w:t>a</w:t>
        </w:r>
      </w:smartTag>
      <w:r w:rsidR="006B7AB3" w:rsidRPr="00760884">
        <w:rPr>
          <w:rFonts w:ascii="Calibri" w:hAnsi="Calibri" w:cs="Calibri"/>
          <w:i/>
          <w:color w:val="FF0000"/>
          <w:sz w:val="24"/>
          <w:szCs w:val="24"/>
          <w:lang w:val="en-US"/>
        </w:rPr>
        <w:t xml:space="preserve"> únor 2013 (název </w:t>
      </w:r>
      <w:r w:rsidR="003435F1" w:rsidRPr="00760884">
        <w:rPr>
          <w:rFonts w:ascii="Calibri" w:hAnsi="Calibri" w:cs="Calibri"/>
          <w:i/>
          <w:color w:val="FF0000"/>
          <w:sz w:val="24"/>
          <w:szCs w:val="24"/>
          <w:lang w:val="en-US"/>
        </w:rPr>
        <w:t xml:space="preserve">doplněn </w:t>
      </w:r>
      <w:r w:rsidR="006B7AB3" w:rsidRPr="00760884">
        <w:rPr>
          <w:rFonts w:ascii="Calibri" w:hAnsi="Calibri" w:cs="Calibri"/>
          <w:i/>
          <w:color w:val="FF0000"/>
          <w:sz w:val="24"/>
          <w:szCs w:val="24"/>
          <w:lang w:val="en-US"/>
        </w:rPr>
        <w:t>o „</w:t>
      </w:r>
      <w:r>
        <w:rPr>
          <w:rFonts w:ascii="Calibri" w:hAnsi="Calibri" w:cs="Calibri"/>
          <w:i/>
          <w:color w:val="FF0000"/>
          <w:sz w:val="24"/>
          <w:szCs w:val="24"/>
          <w:lang w:val="en-US"/>
        </w:rPr>
        <w:t>…</w:t>
      </w:r>
      <w:r w:rsidR="006B7AB3" w:rsidRPr="00760884">
        <w:rPr>
          <w:rFonts w:ascii="Calibri" w:hAnsi="Calibri" w:cs="Calibri"/>
          <w:i/>
          <w:color w:val="FF0000"/>
          <w:sz w:val="24"/>
          <w:szCs w:val="24"/>
          <w:lang w:val="en-US"/>
        </w:rPr>
        <w:t xml:space="preserve"> and the achievement of </w:t>
      </w:r>
      <w:r>
        <w:rPr>
          <w:rFonts w:ascii="Calibri" w:hAnsi="Calibri" w:cs="Calibri"/>
          <w:i/>
          <w:color w:val="FF0000"/>
          <w:sz w:val="24"/>
          <w:szCs w:val="24"/>
          <w:lang w:val="en-US"/>
        </w:rPr>
        <w:t>.</w:t>
      </w:r>
      <w:r w:rsidR="006B7AB3" w:rsidRPr="00760884">
        <w:rPr>
          <w:rFonts w:ascii="Calibri" w:hAnsi="Calibri" w:cs="Calibri"/>
          <w:i/>
          <w:color w:val="FF0000"/>
          <w:sz w:val="24"/>
          <w:szCs w:val="24"/>
          <w:lang w:val="en-US"/>
        </w:rPr>
        <w:t>.”)</w:t>
      </w:r>
      <w:r w:rsidR="008D2962" w:rsidRPr="00760884">
        <w:rPr>
          <w:rFonts w:ascii="Calibri" w:hAnsi="Calibri" w:cs="Calibri"/>
          <w:i/>
          <w:color w:val="FF0000"/>
          <w:sz w:val="24"/>
          <w:szCs w:val="24"/>
          <w:lang w:val="en-US"/>
        </w:rPr>
        <w:t xml:space="preserve"> / </w:t>
      </w:r>
      <w:r w:rsidR="005572A3" w:rsidRPr="00760884">
        <w:rPr>
          <w:rFonts w:ascii="Calibri" w:hAnsi="Calibri" w:cs="Calibri"/>
          <w:b/>
          <w:i/>
          <w:color w:val="FF0000"/>
          <w:sz w:val="24"/>
          <w:szCs w:val="24"/>
          <w:lang w:val="en-US"/>
        </w:rPr>
        <w:t>sekce 2,</w:t>
      </w:r>
      <w:r w:rsidR="008D2962" w:rsidRPr="00760884">
        <w:rPr>
          <w:rFonts w:ascii="Calibri" w:hAnsi="Calibri" w:cs="Calibri"/>
          <w:i/>
          <w:color w:val="FF0000"/>
          <w:sz w:val="24"/>
          <w:szCs w:val="24"/>
          <w:lang w:val="en-US"/>
        </w:rPr>
        <w:t xml:space="preserve"> / s</w:t>
      </w:r>
      <w:r w:rsidR="005572A3" w:rsidRPr="00760884">
        <w:rPr>
          <w:rFonts w:ascii="Calibri" w:hAnsi="Calibri" w:cs="Calibri"/>
          <w:i/>
          <w:color w:val="FF0000"/>
          <w:sz w:val="24"/>
          <w:szCs w:val="24"/>
          <w:lang w:val="en-US"/>
        </w:rPr>
        <w:t xml:space="preserve">tr. 3 – </w:t>
      </w:r>
      <w:smartTag w:uri="urn:schemas-microsoft-com:office:smarttags" w:element="metricconverter">
        <w:smartTagPr>
          <w:attr w:name="ProductID" w:val="6 a"/>
        </w:smartTagPr>
        <w:r w:rsidR="005572A3" w:rsidRPr="00760884">
          <w:rPr>
            <w:rFonts w:ascii="Calibri" w:hAnsi="Calibri" w:cs="Calibri"/>
            <w:i/>
            <w:color w:val="FF0000"/>
            <w:sz w:val="24"/>
            <w:szCs w:val="24"/>
            <w:lang w:val="en-US"/>
          </w:rPr>
          <w:t>6 a</w:t>
        </w:r>
      </w:smartTag>
      <w:r w:rsidR="005572A3" w:rsidRPr="00760884">
        <w:rPr>
          <w:rFonts w:ascii="Calibri" w:hAnsi="Calibri" w:cs="Calibri"/>
          <w:i/>
          <w:color w:val="FF0000"/>
          <w:sz w:val="24"/>
          <w:szCs w:val="24"/>
          <w:lang w:val="en-US"/>
        </w:rPr>
        <w:t xml:space="preserve"> Metodika, verze 1.2</w:t>
      </w:r>
      <w:r w:rsidR="008D2962" w:rsidRPr="00760884">
        <w:rPr>
          <w:rFonts w:ascii="Calibri" w:hAnsi="Calibri" w:cs="Calibri"/>
          <w:i/>
          <w:color w:val="FF0000"/>
          <w:sz w:val="24"/>
          <w:szCs w:val="24"/>
          <w:lang w:val="en-US"/>
        </w:rPr>
        <w:t xml:space="preserve"> </w:t>
      </w:r>
      <w:r w:rsidR="005572A3" w:rsidRPr="00760884">
        <w:rPr>
          <w:rFonts w:ascii="Calibri" w:hAnsi="Calibri" w:cs="Calibri"/>
          <w:i/>
          <w:color w:val="FF0000"/>
          <w:sz w:val="24"/>
          <w:szCs w:val="24"/>
          <w:lang w:val="en-US"/>
        </w:rPr>
        <w:t>únor 2013</w:t>
      </w:r>
      <w:r w:rsidR="008D2962" w:rsidRPr="00760884">
        <w:rPr>
          <w:rFonts w:ascii="Calibri" w:hAnsi="Calibri" w:cs="Calibri"/>
          <w:i/>
          <w:color w:val="FF0000"/>
          <w:sz w:val="24"/>
          <w:szCs w:val="24"/>
          <w:lang w:val="en-US"/>
        </w:rPr>
        <w:t xml:space="preserve"> </w:t>
      </w:r>
      <w:r w:rsidR="008D2962" w:rsidRPr="00760884">
        <w:rPr>
          <w:rFonts w:ascii="Calibri" w:hAnsi="Calibri" w:cs="Calibri"/>
          <w:b/>
          <w:i/>
          <w:color w:val="FF0000"/>
          <w:sz w:val="24"/>
          <w:szCs w:val="24"/>
          <w:lang w:val="en-US"/>
        </w:rPr>
        <w:t xml:space="preserve">/ </w:t>
      </w:r>
      <w:r w:rsidR="005572A3" w:rsidRPr="00760884">
        <w:rPr>
          <w:rFonts w:ascii="Calibri" w:hAnsi="Calibri" w:cs="Calibri"/>
          <w:b/>
          <w:i/>
          <w:color w:val="FF0000"/>
          <w:sz w:val="24"/>
          <w:szCs w:val="24"/>
          <w:lang w:val="en-US"/>
        </w:rPr>
        <w:t>kap. 7.2</w:t>
      </w:r>
      <w:r w:rsidR="008D2962" w:rsidRPr="00760884">
        <w:rPr>
          <w:rFonts w:ascii="Calibri" w:hAnsi="Calibri" w:cs="Calibri"/>
          <w:i/>
          <w:color w:val="FF0000"/>
          <w:sz w:val="24"/>
          <w:szCs w:val="24"/>
          <w:lang w:val="en-US"/>
        </w:rPr>
        <w:t xml:space="preserve"> / s</w:t>
      </w:r>
      <w:r w:rsidR="005572A3" w:rsidRPr="00760884">
        <w:rPr>
          <w:rFonts w:ascii="Calibri" w:hAnsi="Calibri" w:cs="Calibri"/>
          <w:i/>
          <w:color w:val="FF0000"/>
          <w:sz w:val="24"/>
          <w:szCs w:val="24"/>
          <w:lang w:val="en-US"/>
        </w:rPr>
        <w:t>tr. 80-82</w:t>
      </w:r>
    </w:p>
    <w:p w:rsidR="0063253C" w:rsidRPr="004731D0" w:rsidRDefault="0063253C" w:rsidP="00150B70">
      <w:pPr>
        <w:pStyle w:val="Nadpis2"/>
      </w:pPr>
      <w:bookmarkStart w:id="5" w:name="_Toc351464348"/>
      <w:bookmarkStart w:id="6" w:name="_Toc352328353"/>
      <w:r w:rsidRPr="004731D0">
        <w:t>Strategie pro příspěvek operačního programu ke Strategii Unie pro inteligentní, udržitelný růst podporující začlenění</w:t>
      </w:r>
      <w:bookmarkEnd w:id="5"/>
      <w:bookmarkEnd w:id="6"/>
      <w:r w:rsidRPr="004731D0">
        <w:t xml:space="preserve"> </w:t>
      </w:r>
    </w:p>
    <w:p w:rsidR="00F02FD8" w:rsidRDefault="00F02FD8" w:rsidP="00F02FD8">
      <w:pPr>
        <w:jc w:val="both"/>
        <w:rPr>
          <w:rFonts w:ascii="Calibri" w:hAnsi="Calibri" w:cs="Calibri"/>
          <w:sz w:val="24"/>
          <w:szCs w:val="24"/>
        </w:rPr>
      </w:pPr>
      <w:r w:rsidRPr="00AD36B1">
        <w:rPr>
          <w:rFonts w:ascii="Calibri" w:hAnsi="Calibri" w:cs="Calibri"/>
          <w:sz w:val="24"/>
          <w:szCs w:val="24"/>
        </w:rPr>
        <w:t xml:space="preserve">Strategie Evropa </w:t>
      </w:r>
      <w:r w:rsidRPr="00456806">
        <w:rPr>
          <w:rFonts w:ascii="Calibri" w:hAnsi="Calibri" w:cs="Calibri"/>
          <w:sz w:val="24"/>
          <w:szCs w:val="24"/>
        </w:rPr>
        <w:t>2020</w:t>
      </w:r>
      <w:r w:rsidRPr="00456806">
        <w:rPr>
          <w:rStyle w:val="Znakapoznpodarou"/>
          <w:rFonts w:ascii="Calibri" w:hAnsi="Calibri" w:cs="Calibri"/>
          <w:sz w:val="24"/>
          <w:szCs w:val="24"/>
        </w:rPr>
        <w:footnoteReference w:id="2"/>
      </w:r>
      <w:r w:rsidRPr="00456806">
        <w:rPr>
          <w:rFonts w:ascii="Calibri" w:hAnsi="Calibri" w:cs="Calibri"/>
          <w:sz w:val="24"/>
          <w:szCs w:val="24"/>
        </w:rPr>
        <w:t>, schválená s</w:t>
      </w:r>
      <w:r w:rsidRPr="00AD36B1">
        <w:rPr>
          <w:rFonts w:ascii="Calibri" w:hAnsi="Calibri" w:cs="Calibri"/>
          <w:sz w:val="24"/>
          <w:szCs w:val="24"/>
        </w:rPr>
        <w:t>dělením Evropské komise ze dne 3. 3. 2010, je hlavní hospodářskou strategií EU do r</w:t>
      </w:r>
      <w:r>
        <w:rPr>
          <w:rFonts w:ascii="Calibri" w:hAnsi="Calibri" w:cs="Calibri"/>
          <w:sz w:val="24"/>
          <w:szCs w:val="24"/>
        </w:rPr>
        <w:t xml:space="preserve">oku </w:t>
      </w:r>
      <w:r w:rsidRPr="00AD36B1">
        <w:rPr>
          <w:rFonts w:ascii="Calibri" w:hAnsi="Calibri" w:cs="Calibri"/>
          <w:sz w:val="24"/>
          <w:szCs w:val="24"/>
        </w:rPr>
        <w:t xml:space="preserve">2020. Strategie s podtitulem „pro inteligentní a udržitelný růst podporující začlenění“ vychází z konzultačního dokumentu Komise vydaného dne 24. 11. 2009 a následné veřejné konzultace. Navržená strategie reaguje na nedostatky ekonomik členských států a měla by vyvést EU z hospodářské krize a zajistit jí růst a konkurenceschopnost. </w:t>
      </w:r>
    </w:p>
    <w:p w:rsidR="00F02FD8" w:rsidRDefault="00F02FD8" w:rsidP="00F02FD8">
      <w:pPr>
        <w:jc w:val="both"/>
        <w:rPr>
          <w:rFonts w:ascii="Calibri" w:hAnsi="Calibri" w:cs="Calibri"/>
          <w:sz w:val="24"/>
          <w:szCs w:val="24"/>
        </w:rPr>
      </w:pPr>
    </w:p>
    <w:p w:rsidR="00F02FD8" w:rsidRDefault="00F02FD8" w:rsidP="00F02FD8">
      <w:pPr>
        <w:jc w:val="both"/>
        <w:rPr>
          <w:rFonts w:ascii="Calibri" w:hAnsi="Calibri" w:cs="Calibri"/>
          <w:sz w:val="24"/>
          <w:szCs w:val="24"/>
        </w:rPr>
      </w:pPr>
      <w:r w:rsidRPr="00AD36B1">
        <w:rPr>
          <w:rFonts w:ascii="Calibri" w:hAnsi="Calibri" w:cs="Calibri"/>
          <w:sz w:val="24"/>
          <w:szCs w:val="24"/>
        </w:rPr>
        <w:t xml:space="preserve">Základem </w:t>
      </w:r>
      <w:r w:rsidR="003435F1" w:rsidRPr="002C4DA9">
        <w:rPr>
          <w:rFonts w:ascii="Calibri" w:hAnsi="Calibri" w:cs="Calibri"/>
          <w:sz w:val="24"/>
          <w:szCs w:val="24"/>
        </w:rPr>
        <w:t xml:space="preserve">strategie </w:t>
      </w:r>
      <w:r w:rsidRPr="00AD36B1">
        <w:rPr>
          <w:rFonts w:ascii="Calibri" w:hAnsi="Calibri" w:cs="Calibri"/>
          <w:sz w:val="24"/>
          <w:szCs w:val="24"/>
        </w:rPr>
        <w:t>je pět měřitelných cílů</w:t>
      </w:r>
      <w:r>
        <w:rPr>
          <w:rFonts w:ascii="Calibri" w:hAnsi="Calibri" w:cs="Calibri"/>
          <w:sz w:val="24"/>
          <w:szCs w:val="24"/>
        </w:rPr>
        <w:t xml:space="preserve"> (i) </w:t>
      </w:r>
      <w:r w:rsidRPr="00AD36B1">
        <w:rPr>
          <w:rFonts w:ascii="Calibri" w:hAnsi="Calibri" w:cs="Calibri"/>
          <w:sz w:val="24"/>
          <w:szCs w:val="24"/>
        </w:rPr>
        <w:t>zvýšit zaměstnanost v kategorii 20–64 let na 75 %</w:t>
      </w:r>
      <w:r>
        <w:rPr>
          <w:rFonts w:ascii="Calibri" w:hAnsi="Calibri" w:cs="Calibri"/>
          <w:sz w:val="24"/>
          <w:szCs w:val="24"/>
        </w:rPr>
        <w:t xml:space="preserve"> (ii) </w:t>
      </w:r>
      <w:r w:rsidRPr="00AD36B1">
        <w:rPr>
          <w:rFonts w:ascii="Calibri" w:hAnsi="Calibri" w:cs="Calibri"/>
          <w:sz w:val="24"/>
          <w:szCs w:val="24"/>
        </w:rPr>
        <w:t>investovat do výzkumu a vývoje 3 % HDP</w:t>
      </w:r>
      <w:r>
        <w:rPr>
          <w:rFonts w:ascii="Calibri" w:hAnsi="Calibri" w:cs="Calibri"/>
          <w:sz w:val="24"/>
          <w:szCs w:val="24"/>
        </w:rPr>
        <w:t xml:space="preserve"> (iii) </w:t>
      </w:r>
      <w:r w:rsidRPr="00AD36B1">
        <w:rPr>
          <w:rFonts w:ascii="Calibri" w:hAnsi="Calibri" w:cs="Calibri"/>
          <w:sz w:val="24"/>
          <w:szCs w:val="24"/>
        </w:rPr>
        <w:t>v oblasti klimatu a energie by mělo být dosaženo cílů „20-20-20“ (tzn. zvýšit energetickou účinnost o 20 %; zvýšit podíl obnovitelných zdrojů energie v konečné spotřebě energie na 20 %, snížit emise skleníkových plynů o 20 %)</w:t>
      </w:r>
      <w:r>
        <w:rPr>
          <w:rFonts w:ascii="Calibri" w:hAnsi="Calibri" w:cs="Calibri"/>
          <w:sz w:val="24"/>
          <w:szCs w:val="24"/>
        </w:rPr>
        <w:t xml:space="preserve"> (iv) </w:t>
      </w:r>
      <w:r w:rsidRPr="00AD36B1">
        <w:rPr>
          <w:rFonts w:ascii="Calibri" w:hAnsi="Calibri" w:cs="Calibri"/>
          <w:sz w:val="24"/>
          <w:szCs w:val="24"/>
        </w:rPr>
        <w:t>snížit podíl dětí, které předčasně ukončí školní docházku, pod hranici 10 % a zvýšit dosažení terciární úrovně vzdělávání o nejméně 40 % u mladší generace</w:t>
      </w:r>
      <w:r>
        <w:rPr>
          <w:rFonts w:ascii="Calibri" w:hAnsi="Calibri" w:cs="Calibri"/>
          <w:sz w:val="24"/>
          <w:szCs w:val="24"/>
        </w:rPr>
        <w:t xml:space="preserve"> (v) </w:t>
      </w:r>
      <w:r w:rsidRPr="00AD36B1">
        <w:rPr>
          <w:rFonts w:ascii="Calibri" w:hAnsi="Calibri" w:cs="Calibri"/>
          <w:sz w:val="24"/>
          <w:szCs w:val="24"/>
        </w:rPr>
        <w:t xml:space="preserve">snížit počet osob ohrožených chudobou o 20 milionů. </w:t>
      </w:r>
    </w:p>
    <w:p w:rsidR="00F02FD8" w:rsidRDefault="00F02FD8" w:rsidP="00F02FD8">
      <w:pPr>
        <w:jc w:val="both"/>
        <w:rPr>
          <w:rFonts w:ascii="Calibri" w:hAnsi="Calibri" w:cs="Calibri"/>
          <w:sz w:val="24"/>
          <w:szCs w:val="24"/>
        </w:rPr>
      </w:pPr>
    </w:p>
    <w:p w:rsidR="00F02FD8" w:rsidRPr="00AD36B1" w:rsidRDefault="00F02FD8" w:rsidP="00F02FD8">
      <w:pPr>
        <w:jc w:val="both"/>
        <w:rPr>
          <w:rFonts w:ascii="Calibri" w:hAnsi="Calibri" w:cs="Calibri"/>
          <w:sz w:val="24"/>
          <w:szCs w:val="24"/>
        </w:rPr>
      </w:pPr>
      <w:r w:rsidRPr="00AD36B1">
        <w:rPr>
          <w:rFonts w:ascii="Calibri" w:hAnsi="Calibri" w:cs="Calibri"/>
          <w:sz w:val="24"/>
          <w:szCs w:val="24"/>
        </w:rPr>
        <w:t xml:space="preserve">Na hlavní cíle navazuje </w:t>
      </w:r>
      <w:r w:rsidR="003435F1" w:rsidRPr="002C4DA9">
        <w:rPr>
          <w:rFonts w:ascii="Calibri" w:hAnsi="Calibri" w:cs="Calibri"/>
          <w:sz w:val="24"/>
          <w:szCs w:val="24"/>
        </w:rPr>
        <w:t xml:space="preserve">sedm </w:t>
      </w:r>
      <w:r w:rsidRPr="00AD36B1">
        <w:rPr>
          <w:rFonts w:ascii="Calibri" w:hAnsi="Calibri" w:cs="Calibri"/>
          <w:sz w:val="24"/>
          <w:szCs w:val="24"/>
        </w:rPr>
        <w:t>tzv. vlajkových iniciativ, v rámci kterých jsou na komunitární úrovni i úrovni členských států vytyčeny cíle a nástroje k jejich dosažení. Vlajkové iniciativy spolu s cíli jsou rozpracovány do integrovaných hlavních směrů, které představují rámec pro provádění strategie Evropa 2020 a reformní programy členských států EU.</w:t>
      </w:r>
    </w:p>
    <w:p w:rsidR="00F02FD8" w:rsidRDefault="00F02FD8" w:rsidP="00F02FD8">
      <w:pPr>
        <w:jc w:val="both"/>
        <w:rPr>
          <w:rFonts w:ascii="Calibri" w:hAnsi="Calibri" w:cs="Calibri"/>
          <w:sz w:val="24"/>
          <w:szCs w:val="24"/>
        </w:rPr>
      </w:pPr>
    </w:p>
    <w:p w:rsidR="00F02FD8" w:rsidRPr="00AD36B1" w:rsidRDefault="00F02FD8" w:rsidP="00F02FD8">
      <w:pPr>
        <w:jc w:val="both"/>
        <w:rPr>
          <w:rFonts w:ascii="Calibri" w:hAnsi="Calibri" w:cs="Calibri"/>
          <w:sz w:val="24"/>
          <w:szCs w:val="24"/>
        </w:rPr>
      </w:pPr>
      <w:r w:rsidRPr="00AD36B1">
        <w:rPr>
          <w:rFonts w:ascii="Calibri" w:hAnsi="Calibri" w:cs="Calibri"/>
          <w:sz w:val="24"/>
          <w:szCs w:val="24"/>
        </w:rPr>
        <w:t>Současně jsou přímo spojeny s následujícími vlajkovými iniciativami strategie Evropa 2020 k jejich naplnění:</w:t>
      </w:r>
    </w:p>
    <w:p w:rsidR="00F02FD8" w:rsidRPr="00AD36B1" w:rsidRDefault="00F02FD8" w:rsidP="00851D6E">
      <w:pPr>
        <w:numPr>
          <w:ilvl w:val="0"/>
          <w:numId w:val="2"/>
        </w:numPr>
        <w:jc w:val="both"/>
        <w:rPr>
          <w:rFonts w:ascii="Calibri" w:hAnsi="Calibri" w:cs="Calibri"/>
          <w:sz w:val="24"/>
          <w:szCs w:val="24"/>
        </w:rPr>
      </w:pPr>
      <w:r w:rsidRPr="00AD36B1">
        <w:rPr>
          <w:rFonts w:ascii="Calibri" w:hAnsi="Calibri" w:cs="Calibri"/>
          <w:sz w:val="24"/>
          <w:szCs w:val="24"/>
        </w:rPr>
        <w:t>Unie inovací</w:t>
      </w:r>
    </w:p>
    <w:p w:rsidR="00F02FD8" w:rsidRPr="00AD36B1" w:rsidRDefault="00F02FD8" w:rsidP="00851D6E">
      <w:pPr>
        <w:numPr>
          <w:ilvl w:val="0"/>
          <w:numId w:val="2"/>
        </w:numPr>
        <w:jc w:val="both"/>
        <w:rPr>
          <w:rFonts w:ascii="Calibri" w:hAnsi="Calibri" w:cs="Calibri"/>
          <w:sz w:val="24"/>
          <w:szCs w:val="24"/>
        </w:rPr>
      </w:pPr>
      <w:r w:rsidRPr="00AD36B1">
        <w:rPr>
          <w:rFonts w:ascii="Calibri" w:hAnsi="Calibri" w:cs="Calibri"/>
          <w:sz w:val="24"/>
          <w:szCs w:val="24"/>
        </w:rPr>
        <w:t>Digitální agenda pro Evropu</w:t>
      </w:r>
    </w:p>
    <w:p w:rsidR="00F02FD8" w:rsidRPr="00AD36B1" w:rsidRDefault="00F02FD8" w:rsidP="00851D6E">
      <w:pPr>
        <w:numPr>
          <w:ilvl w:val="0"/>
          <w:numId w:val="2"/>
        </w:numPr>
        <w:jc w:val="both"/>
        <w:rPr>
          <w:rFonts w:ascii="Calibri" w:hAnsi="Calibri" w:cs="Calibri"/>
          <w:sz w:val="24"/>
          <w:szCs w:val="24"/>
        </w:rPr>
      </w:pPr>
      <w:r w:rsidRPr="00AD36B1">
        <w:rPr>
          <w:rFonts w:ascii="Calibri" w:hAnsi="Calibri" w:cs="Calibri"/>
          <w:sz w:val="24"/>
          <w:szCs w:val="24"/>
        </w:rPr>
        <w:t xml:space="preserve">Evropa méně náročná na zdroje </w:t>
      </w:r>
    </w:p>
    <w:p w:rsidR="00F02FD8" w:rsidRPr="00AD36B1" w:rsidRDefault="00F02FD8" w:rsidP="00851D6E">
      <w:pPr>
        <w:numPr>
          <w:ilvl w:val="0"/>
          <w:numId w:val="2"/>
        </w:numPr>
        <w:jc w:val="both"/>
        <w:rPr>
          <w:rFonts w:ascii="Calibri" w:hAnsi="Calibri" w:cs="Calibri"/>
          <w:sz w:val="24"/>
          <w:szCs w:val="24"/>
        </w:rPr>
      </w:pPr>
      <w:r w:rsidRPr="00AD36B1">
        <w:rPr>
          <w:rFonts w:ascii="Calibri" w:hAnsi="Calibri" w:cs="Calibri"/>
          <w:sz w:val="24"/>
          <w:szCs w:val="24"/>
        </w:rPr>
        <w:t>Průmyslová politika pro éru globalizace</w:t>
      </w:r>
    </w:p>
    <w:p w:rsidR="00F02FD8" w:rsidRDefault="00F02FD8" w:rsidP="00F02FD8">
      <w:pPr>
        <w:jc w:val="both"/>
        <w:rPr>
          <w:rFonts w:ascii="Calibri" w:hAnsi="Calibri" w:cs="Calibri"/>
          <w:sz w:val="24"/>
          <w:szCs w:val="24"/>
        </w:rPr>
      </w:pPr>
    </w:p>
    <w:p w:rsidR="00F02FD8" w:rsidRPr="00AD36B1" w:rsidRDefault="00C1122D" w:rsidP="00F02FD8">
      <w:pPr>
        <w:jc w:val="both"/>
        <w:rPr>
          <w:rFonts w:ascii="Calibri" w:hAnsi="Calibri" w:cs="Calibri"/>
          <w:sz w:val="24"/>
          <w:szCs w:val="24"/>
        </w:rPr>
      </w:pPr>
      <w:r w:rsidRPr="002C4DA9">
        <w:rPr>
          <w:rFonts w:ascii="Calibri" w:hAnsi="Calibri" w:cs="Calibri"/>
          <w:sz w:val="24"/>
          <w:szCs w:val="24"/>
        </w:rPr>
        <w:t>O</w:t>
      </w:r>
      <w:r w:rsidR="00482990" w:rsidRPr="002C4DA9">
        <w:rPr>
          <w:rFonts w:ascii="Calibri" w:hAnsi="Calibri" w:cs="Calibri"/>
          <w:sz w:val="24"/>
          <w:szCs w:val="24"/>
        </w:rPr>
        <w:t xml:space="preserve">perační program </w:t>
      </w:r>
      <w:r w:rsidR="003435F1" w:rsidRPr="002C4DA9">
        <w:rPr>
          <w:rFonts w:ascii="Calibri" w:hAnsi="Calibri" w:cs="Calibri"/>
          <w:sz w:val="24"/>
          <w:szCs w:val="24"/>
        </w:rPr>
        <w:t>Podnikání a inovace pro konkurencesc</w:t>
      </w:r>
      <w:r w:rsidR="003435F1" w:rsidRPr="00456806">
        <w:rPr>
          <w:rFonts w:ascii="Calibri" w:hAnsi="Calibri" w:cs="Calibri"/>
          <w:sz w:val="24"/>
          <w:szCs w:val="24"/>
        </w:rPr>
        <w:t xml:space="preserve">hopnost </w:t>
      </w:r>
      <w:r w:rsidR="00482990" w:rsidRPr="00456806">
        <w:rPr>
          <w:rFonts w:ascii="Calibri" w:hAnsi="Calibri" w:cs="Calibri"/>
          <w:sz w:val="24"/>
          <w:szCs w:val="24"/>
        </w:rPr>
        <w:t xml:space="preserve">(OP PIK) </w:t>
      </w:r>
      <w:r w:rsidRPr="00456806">
        <w:rPr>
          <w:rFonts w:ascii="Calibri" w:hAnsi="Calibri" w:cs="Calibri"/>
          <w:sz w:val="24"/>
          <w:szCs w:val="24"/>
        </w:rPr>
        <w:t>je</w:t>
      </w:r>
      <w:r w:rsidR="00F02FD8" w:rsidRPr="00456806">
        <w:rPr>
          <w:rFonts w:ascii="Calibri" w:hAnsi="Calibri" w:cs="Calibri"/>
          <w:sz w:val="24"/>
          <w:szCs w:val="24"/>
        </w:rPr>
        <w:t xml:space="preserve"> z h</w:t>
      </w:r>
      <w:r w:rsidR="00F02FD8" w:rsidRPr="00AD36B1">
        <w:rPr>
          <w:rFonts w:ascii="Calibri" w:hAnsi="Calibri" w:cs="Calibri"/>
          <w:sz w:val="24"/>
          <w:szCs w:val="24"/>
        </w:rPr>
        <w:t>lediska svého zaměření dále provázán</w:t>
      </w:r>
      <w:r w:rsidR="002C4DA9">
        <w:rPr>
          <w:rFonts w:ascii="Calibri" w:hAnsi="Calibri" w:cs="Calibri"/>
          <w:sz w:val="24"/>
          <w:szCs w:val="24"/>
        </w:rPr>
        <w:t xml:space="preserve"> </w:t>
      </w:r>
      <w:r>
        <w:rPr>
          <w:rFonts w:ascii="Calibri" w:hAnsi="Calibri" w:cs="Calibri"/>
          <w:sz w:val="24"/>
          <w:szCs w:val="24"/>
        </w:rPr>
        <w:t>na následující hlavní integrované</w:t>
      </w:r>
      <w:r w:rsidR="00F02FD8" w:rsidRPr="00AD36B1">
        <w:rPr>
          <w:rFonts w:ascii="Calibri" w:hAnsi="Calibri" w:cs="Calibri"/>
          <w:sz w:val="24"/>
          <w:szCs w:val="24"/>
        </w:rPr>
        <w:t xml:space="preserve"> směry:</w:t>
      </w:r>
    </w:p>
    <w:p w:rsidR="00F02FD8" w:rsidRPr="00AD36B1" w:rsidRDefault="00F02FD8" w:rsidP="00851D6E">
      <w:pPr>
        <w:numPr>
          <w:ilvl w:val="0"/>
          <w:numId w:val="3"/>
        </w:numPr>
        <w:jc w:val="both"/>
        <w:rPr>
          <w:rFonts w:ascii="Calibri" w:hAnsi="Calibri" w:cs="Calibri"/>
          <w:sz w:val="24"/>
          <w:szCs w:val="24"/>
        </w:rPr>
      </w:pPr>
      <w:r w:rsidRPr="00AD36B1">
        <w:rPr>
          <w:rFonts w:ascii="Calibri" w:hAnsi="Calibri" w:cs="Calibri"/>
          <w:sz w:val="24"/>
          <w:szCs w:val="24"/>
        </w:rPr>
        <w:t xml:space="preserve">Optimalizovat podporu </w:t>
      </w:r>
      <w:r w:rsidR="00482990" w:rsidRPr="002C4DA9">
        <w:rPr>
          <w:rFonts w:ascii="Calibri" w:hAnsi="Calibri" w:cs="Calibri"/>
          <w:sz w:val="24"/>
          <w:szCs w:val="24"/>
        </w:rPr>
        <w:t xml:space="preserve">výzkumu, vývoje </w:t>
      </w:r>
      <w:r w:rsidRPr="002C4DA9">
        <w:rPr>
          <w:rFonts w:ascii="Calibri" w:hAnsi="Calibri" w:cs="Calibri"/>
          <w:sz w:val="24"/>
          <w:szCs w:val="24"/>
        </w:rPr>
        <w:t>a inovací</w:t>
      </w:r>
      <w:r w:rsidRPr="00AD36B1">
        <w:rPr>
          <w:rFonts w:ascii="Calibri" w:hAnsi="Calibri" w:cs="Calibri"/>
          <w:sz w:val="24"/>
          <w:szCs w:val="24"/>
        </w:rPr>
        <w:t xml:space="preserve">, posilovat znalostní trojúhelník a uvolnit potenciál digitální ekonomiky </w:t>
      </w:r>
    </w:p>
    <w:p w:rsidR="00F02FD8" w:rsidRPr="00AD36B1" w:rsidRDefault="00F02FD8" w:rsidP="00851D6E">
      <w:pPr>
        <w:numPr>
          <w:ilvl w:val="0"/>
          <w:numId w:val="3"/>
        </w:numPr>
        <w:jc w:val="both"/>
        <w:rPr>
          <w:rFonts w:ascii="Calibri" w:hAnsi="Calibri" w:cs="Calibri"/>
          <w:sz w:val="24"/>
          <w:szCs w:val="24"/>
        </w:rPr>
      </w:pPr>
      <w:r w:rsidRPr="00AD36B1">
        <w:rPr>
          <w:rFonts w:ascii="Calibri" w:hAnsi="Calibri" w:cs="Calibri"/>
          <w:sz w:val="24"/>
          <w:szCs w:val="24"/>
        </w:rPr>
        <w:lastRenderedPageBreak/>
        <w:t xml:space="preserve">Zefektivnit využívání zdrojů a snížit emise skleníkových plynů </w:t>
      </w:r>
    </w:p>
    <w:p w:rsidR="00F02FD8" w:rsidRPr="00AD36B1" w:rsidRDefault="00F02FD8" w:rsidP="00851D6E">
      <w:pPr>
        <w:numPr>
          <w:ilvl w:val="0"/>
          <w:numId w:val="3"/>
        </w:numPr>
        <w:jc w:val="both"/>
        <w:rPr>
          <w:rFonts w:ascii="Calibri" w:hAnsi="Calibri" w:cs="Calibri"/>
          <w:sz w:val="24"/>
          <w:szCs w:val="24"/>
        </w:rPr>
      </w:pPr>
      <w:r w:rsidRPr="00AD36B1">
        <w:rPr>
          <w:rFonts w:ascii="Calibri" w:hAnsi="Calibri" w:cs="Calibri"/>
          <w:sz w:val="24"/>
          <w:szCs w:val="24"/>
        </w:rPr>
        <w:t xml:space="preserve">Zlepšit obchodní a spotřebitelské prostředí, modernizovat a rozvinout průmyslovou základnu za účelem dosažení plné funkčnosti vnitřního trhu. </w:t>
      </w:r>
    </w:p>
    <w:p w:rsidR="00F02FD8" w:rsidRDefault="00F02FD8" w:rsidP="00F02FD8">
      <w:pPr>
        <w:jc w:val="both"/>
        <w:rPr>
          <w:rFonts w:ascii="Calibri" w:hAnsi="Calibri" w:cs="Calibri"/>
          <w:sz w:val="24"/>
          <w:szCs w:val="24"/>
        </w:rPr>
      </w:pPr>
    </w:p>
    <w:p w:rsidR="00F02FD8" w:rsidRPr="00AD36B1" w:rsidRDefault="00F02FD8" w:rsidP="00F02FD8">
      <w:pPr>
        <w:jc w:val="both"/>
        <w:rPr>
          <w:rFonts w:ascii="Calibri" w:hAnsi="Calibri" w:cs="Calibri"/>
          <w:sz w:val="24"/>
          <w:szCs w:val="24"/>
        </w:rPr>
      </w:pPr>
      <w:r w:rsidRPr="00AD36B1">
        <w:rPr>
          <w:rFonts w:ascii="Calibri" w:hAnsi="Calibri" w:cs="Calibri"/>
          <w:sz w:val="24"/>
          <w:szCs w:val="24"/>
        </w:rPr>
        <w:t xml:space="preserve">Současně </w:t>
      </w:r>
      <w:r w:rsidR="002C4DA9">
        <w:rPr>
          <w:rFonts w:ascii="Calibri" w:hAnsi="Calibri" w:cs="Calibri"/>
          <w:sz w:val="24"/>
          <w:szCs w:val="24"/>
        </w:rPr>
        <w:t>OP PIK vykazuje</w:t>
      </w:r>
      <w:r w:rsidRPr="00AD36B1">
        <w:rPr>
          <w:rFonts w:ascii="Calibri" w:hAnsi="Calibri" w:cs="Calibri"/>
          <w:sz w:val="24"/>
          <w:szCs w:val="24"/>
        </w:rPr>
        <w:t xml:space="preserve"> také vazbu na hlavní integrované směry:</w:t>
      </w:r>
    </w:p>
    <w:p w:rsidR="00F02FD8" w:rsidRPr="00AD36B1" w:rsidRDefault="00F02FD8" w:rsidP="00851D6E">
      <w:pPr>
        <w:numPr>
          <w:ilvl w:val="0"/>
          <w:numId w:val="4"/>
        </w:numPr>
        <w:jc w:val="both"/>
        <w:rPr>
          <w:rFonts w:ascii="Calibri" w:hAnsi="Calibri" w:cs="Calibri"/>
          <w:sz w:val="24"/>
          <w:szCs w:val="24"/>
        </w:rPr>
      </w:pPr>
      <w:r w:rsidRPr="00AD36B1">
        <w:rPr>
          <w:rFonts w:ascii="Calibri" w:hAnsi="Calibri" w:cs="Calibri"/>
          <w:sz w:val="24"/>
          <w:szCs w:val="24"/>
        </w:rPr>
        <w:t>Rozvoj kvalifikované pracovní síly, která bude reagovat na potřeby trhu práce, a podpora celoživotního učení</w:t>
      </w:r>
    </w:p>
    <w:p w:rsidR="00F02FD8" w:rsidRPr="00AD36B1" w:rsidRDefault="00F02FD8" w:rsidP="00851D6E">
      <w:pPr>
        <w:numPr>
          <w:ilvl w:val="0"/>
          <w:numId w:val="4"/>
        </w:numPr>
        <w:ind w:left="714" w:hanging="357"/>
        <w:jc w:val="both"/>
        <w:rPr>
          <w:rFonts w:ascii="Calibri" w:hAnsi="Calibri" w:cs="Calibri"/>
          <w:sz w:val="24"/>
          <w:szCs w:val="24"/>
        </w:rPr>
      </w:pPr>
      <w:r w:rsidRPr="00AD36B1">
        <w:rPr>
          <w:rFonts w:ascii="Calibri" w:hAnsi="Calibri" w:cs="Calibri"/>
          <w:sz w:val="24"/>
          <w:szCs w:val="24"/>
        </w:rPr>
        <w:t xml:space="preserve">Zlepšování kvality a výsledků systémů vzdělávání a systémů odborné přípravy na všech úrovních a zvyšování účasti na terciárním nebo srovnatelném vzdělávání. </w:t>
      </w:r>
    </w:p>
    <w:p w:rsidR="00E841B7" w:rsidRPr="00E841B7" w:rsidRDefault="00E841B7" w:rsidP="007768F1">
      <w:pPr>
        <w:overflowPunct/>
        <w:autoSpaceDE/>
        <w:autoSpaceDN/>
        <w:adjustRightInd/>
        <w:jc w:val="both"/>
        <w:textAlignment w:val="auto"/>
        <w:rPr>
          <w:rFonts w:ascii="Calibri" w:hAnsi="Calibri" w:cs="Calibri"/>
          <w:sz w:val="24"/>
          <w:szCs w:val="24"/>
        </w:rPr>
      </w:pPr>
    </w:p>
    <w:p w:rsidR="002C4DA9" w:rsidRPr="00456806" w:rsidRDefault="00CD574B" w:rsidP="007768F1">
      <w:pPr>
        <w:overflowPunct/>
        <w:jc w:val="both"/>
        <w:textAlignment w:val="auto"/>
        <w:rPr>
          <w:sz w:val="24"/>
          <w:szCs w:val="24"/>
        </w:rPr>
      </w:pPr>
      <w:r w:rsidRPr="002C4DA9">
        <w:rPr>
          <w:rFonts w:ascii="Calibri" w:hAnsi="Calibri" w:cs="Calibri"/>
          <w:sz w:val="24"/>
          <w:szCs w:val="24"/>
        </w:rPr>
        <w:t>Česká republika zohledňuje</w:t>
      </w:r>
      <w:r w:rsidR="00F14974" w:rsidRPr="002C4DA9">
        <w:rPr>
          <w:rFonts w:ascii="Calibri" w:hAnsi="Calibri" w:cs="Calibri"/>
          <w:sz w:val="24"/>
          <w:szCs w:val="24"/>
        </w:rPr>
        <w:t xml:space="preserve"> priority a iniciativy</w:t>
      </w:r>
      <w:r w:rsidRPr="002C4DA9">
        <w:rPr>
          <w:rFonts w:ascii="Calibri" w:hAnsi="Calibri" w:cs="Calibri"/>
          <w:sz w:val="24"/>
          <w:szCs w:val="24"/>
        </w:rPr>
        <w:t xml:space="preserve"> </w:t>
      </w:r>
      <w:r w:rsidRPr="002C4DA9">
        <w:rPr>
          <w:rFonts w:ascii="Calibri" w:hAnsi="Calibri" w:cs="Calibri"/>
          <w:b/>
          <w:sz w:val="24"/>
          <w:szCs w:val="24"/>
        </w:rPr>
        <w:t>Strategie Evropa 2020</w:t>
      </w:r>
      <w:r w:rsidR="00E841B7" w:rsidRPr="002C4DA9">
        <w:rPr>
          <w:rFonts w:ascii="Calibri" w:hAnsi="Calibri" w:cs="Calibri"/>
          <w:sz w:val="24"/>
          <w:szCs w:val="24"/>
        </w:rPr>
        <w:t xml:space="preserve"> ve svých </w:t>
      </w:r>
      <w:r w:rsidRPr="002C4DA9">
        <w:rPr>
          <w:rFonts w:ascii="Calibri" w:hAnsi="Calibri" w:cs="Calibri"/>
          <w:sz w:val="24"/>
          <w:szCs w:val="24"/>
        </w:rPr>
        <w:t>strategických a koncepčních dokumentech na národní úrovni</w:t>
      </w:r>
      <w:r w:rsidR="00C14364" w:rsidRPr="002C4DA9">
        <w:rPr>
          <w:rFonts w:ascii="Calibri" w:hAnsi="Calibri" w:cs="Calibri"/>
          <w:sz w:val="24"/>
          <w:szCs w:val="24"/>
        </w:rPr>
        <w:t xml:space="preserve">. Jako </w:t>
      </w:r>
      <w:r w:rsidR="00C14364" w:rsidRPr="00456806">
        <w:rPr>
          <w:rFonts w:ascii="Calibri" w:hAnsi="Calibri" w:cs="Calibri"/>
          <w:sz w:val="24"/>
          <w:szCs w:val="24"/>
        </w:rPr>
        <w:t xml:space="preserve">implementační dokument strategie Evropa 2020 zpracovává každoročně </w:t>
      </w:r>
      <w:r w:rsidR="00C14364" w:rsidRPr="00456806">
        <w:rPr>
          <w:b/>
          <w:sz w:val="24"/>
          <w:szCs w:val="24"/>
        </w:rPr>
        <w:t>Národní program reforem</w:t>
      </w:r>
      <w:r w:rsidR="00482990" w:rsidRPr="00456806">
        <w:rPr>
          <w:b/>
          <w:sz w:val="24"/>
          <w:szCs w:val="24"/>
        </w:rPr>
        <w:t xml:space="preserve"> </w:t>
      </w:r>
      <w:r w:rsidR="00482990" w:rsidRPr="00456806">
        <w:rPr>
          <w:sz w:val="24"/>
          <w:szCs w:val="24"/>
        </w:rPr>
        <w:t>(NRP), neboli dokument definující příspěvek České republiky k plnění cílů Strategie  Evropa 2020.</w:t>
      </w:r>
    </w:p>
    <w:p w:rsidR="007768F1" w:rsidRPr="00456806" w:rsidRDefault="002C4DA9" w:rsidP="007768F1">
      <w:pPr>
        <w:overflowPunct/>
        <w:jc w:val="both"/>
        <w:textAlignment w:val="auto"/>
        <w:rPr>
          <w:rFonts w:ascii="Calibri" w:hAnsi="Calibri" w:cs="Calibri"/>
          <w:color w:val="FF0000"/>
          <w:sz w:val="24"/>
          <w:szCs w:val="24"/>
        </w:rPr>
      </w:pPr>
      <w:r w:rsidRPr="00456806">
        <w:rPr>
          <w:rFonts w:ascii="Calibri" w:hAnsi="Calibri" w:cs="Calibri"/>
          <w:color w:val="FF0000"/>
          <w:sz w:val="24"/>
          <w:szCs w:val="24"/>
        </w:rPr>
        <w:t xml:space="preserve"> </w:t>
      </w:r>
    </w:p>
    <w:p w:rsidR="00C811FF" w:rsidRPr="00C14364" w:rsidRDefault="00C14364" w:rsidP="007768F1">
      <w:pPr>
        <w:overflowPunct/>
        <w:jc w:val="both"/>
        <w:textAlignment w:val="auto"/>
        <w:rPr>
          <w:rFonts w:ascii="Calibri" w:hAnsi="Calibri" w:cs="Calibri"/>
          <w:sz w:val="24"/>
          <w:szCs w:val="24"/>
        </w:rPr>
      </w:pPr>
      <w:r w:rsidRPr="00456806">
        <w:rPr>
          <w:rFonts w:ascii="Calibri" w:hAnsi="Calibri" w:cs="Calibri"/>
          <w:sz w:val="24"/>
          <w:szCs w:val="24"/>
        </w:rPr>
        <w:t xml:space="preserve">V březnu 2012 představila </w:t>
      </w:r>
      <w:r w:rsidR="00BF322A" w:rsidRPr="00456806">
        <w:rPr>
          <w:rFonts w:ascii="Calibri" w:hAnsi="Calibri" w:cs="Calibri"/>
          <w:sz w:val="24"/>
          <w:szCs w:val="24"/>
        </w:rPr>
        <w:t>Evropská k</w:t>
      </w:r>
      <w:r w:rsidR="00810903" w:rsidRPr="00456806">
        <w:rPr>
          <w:rFonts w:ascii="Calibri" w:hAnsi="Calibri" w:cs="Calibri"/>
          <w:sz w:val="24"/>
          <w:szCs w:val="24"/>
        </w:rPr>
        <w:t xml:space="preserve">omise </w:t>
      </w:r>
      <w:r w:rsidR="000D1F5D" w:rsidRPr="00456806">
        <w:rPr>
          <w:rFonts w:ascii="Calibri" w:hAnsi="Calibri" w:cs="Calibri"/>
          <w:b/>
          <w:sz w:val="24"/>
          <w:szCs w:val="24"/>
        </w:rPr>
        <w:t>S</w:t>
      </w:r>
      <w:r w:rsidR="00810903" w:rsidRPr="00456806">
        <w:rPr>
          <w:rFonts w:ascii="Calibri" w:hAnsi="Calibri" w:cs="Calibri"/>
          <w:b/>
          <w:sz w:val="24"/>
          <w:szCs w:val="24"/>
        </w:rPr>
        <w:t>polečný strategický rámec</w:t>
      </w:r>
      <w:r w:rsidR="00482990" w:rsidRPr="00456806">
        <w:rPr>
          <w:rFonts w:ascii="Calibri" w:hAnsi="Calibri" w:cs="Calibri"/>
          <w:b/>
          <w:sz w:val="24"/>
          <w:szCs w:val="24"/>
        </w:rPr>
        <w:t xml:space="preserve"> </w:t>
      </w:r>
      <w:r w:rsidR="00482990" w:rsidRPr="00456806">
        <w:rPr>
          <w:rFonts w:ascii="Calibri" w:hAnsi="Calibri" w:cs="Calibri"/>
          <w:sz w:val="24"/>
          <w:szCs w:val="24"/>
        </w:rPr>
        <w:t xml:space="preserve">(SRR), </w:t>
      </w:r>
      <w:r w:rsidRPr="00456806">
        <w:rPr>
          <w:rFonts w:ascii="Calibri" w:hAnsi="Calibri" w:cs="Calibri"/>
          <w:sz w:val="24"/>
          <w:szCs w:val="24"/>
        </w:rPr>
        <w:t>dokumen</w:t>
      </w:r>
      <w:r w:rsidRPr="00D66FF7">
        <w:rPr>
          <w:rFonts w:ascii="Calibri" w:hAnsi="Calibri" w:cs="Calibri"/>
          <w:sz w:val="24"/>
          <w:szCs w:val="24"/>
        </w:rPr>
        <w:t>t, jehož cílem je pom</w:t>
      </w:r>
      <w:r w:rsidRPr="00FB6BDB">
        <w:rPr>
          <w:rFonts w:ascii="Calibri" w:hAnsi="Calibri" w:cs="Calibri"/>
          <w:sz w:val="24"/>
          <w:szCs w:val="24"/>
        </w:rPr>
        <w:t xml:space="preserve">oci </w:t>
      </w:r>
      <w:r w:rsidR="00810903" w:rsidRPr="00FB6BDB">
        <w:rPr>
          <w:rFonts w:ascii="Calibri" w:hAnsi="Calibri" w:cs="Calibri"/>
          <w:sz w:val="24"/>
          <w:szCs w:val="24"/>
        </w:rPr>
        <w:t>člensk</w:t>
      </w:r>
      <w:r w:rsidRPr="00FB6BDB">
        <w:rPr>
          <w:rFonts w:ascii="Calibri" w:hAnsi="Calibri" w:cs="Calibri"/>
          <w:sz w:val="24"/>
          <w:szCs w:val="24"/>
        </w:rPr>
        <w:t xml:space="preserve">ým státům </w:t>
      </w:r>
      <w:r w:rsidR="00810903" w:rsidRPr="00FB6BDB">
        <w:rPr>
          <w:rFonts w:ascii="Calibri" w:hAnsi="Calibri" w:cs="Calibri"/>
          <w:sz w:val="24"/>
          <w:szCs w:val="24"/>
        </w:rPr>
        <w:t>při jejich přípravách na budoucí politiku soudržnosti. SSR pomůže v členských státech a jejich regionech zvolit tematické cíle (dle čl. 87 odst. 2 písm. (a) návrhu obecného nařízení) pro další programové období od roku 2014 do roku 2020, což umožní mnohem lepší kombinování fondů EU pro maximalizaci jejich dopadu.</w:t>
      </w:r>
      <w:r w:rsidR="000D1F5D" w:rsidRPr="00FB6BDB">
        <w:rPr>
          <w:rFonts w:ascii="Calibri" w:hAnsi="Calibri" w:cs="Calibri"/>
          <w:sz w:val="24"/>
          <w:szCs w:val="24"/>
        </w:rPr>
        <w:t xml:space="preserve"> Vazba na tematické cíle a odpovídající investiční priority</w:t>
      </w:r>
      <w:r w:rsidR="00EB14B5" w:rsidRPr="00FB6BDB">
        <w:rPr>
          <w:rFonts w:ascii="Calibri" w:hAnsi="Calibri" w:cs="Calibri"/>
          <w:sz w:val="24"/>
          <w:szCs w:val="24"/>
        </w:rPr>
        <w:t xml:space="preserve"> (nařízení o ERDF, článek</w:t>
      </w:r>
      <w:r w:rsidR="004F385E" w:rsidRPr="00FB6BDB">
        <w:rPr>
          <w:rFonts w:ascii="Calibri" w:hAnsi="Calibri" w:cs="Calibri"/>
          <w:sz w:val="24"/>
          <w:szCs w:val="24"/>
        </w:rPr>
        <w:t xml:space="preserve"> 5</w:t>
      </w:r>
      <w:r w:rsidR="00EB14B5" w:rsidRPr="00FB6BDB">
        <w:rPr>
          <w:rFonts w:ascii="Calibri" w:hAnsi="Calibri" w:cs="Calibri"/>
          <w:sz w:val="24"/>
          <w:szCs w:val="24"/>
        </w:rPr>
        <w:t>)</w:t>
      </w:r>
      <w:r w:rsidR="000D1F5D" w:rsidRPr="00FB6BDB">
        <w:rPr>
          <w:rFonts w:ascii="Calibri" w:hAnsi="Calibri" w:cs="Calibri"/>
          <w:sz w:val="24"/>
          <w:szCs w:val="24"/>
        </w:rPr>
        <w:t xml:space="preserve"> bude z</w:t>
      </w:r>
      <w:r w:rsidR="000D1F5D" w:rsidRPr="00C14364">
        <w:rPr>
          <w:rFonts w:ascii="Calibri" w:hAnsi="Calibri" w:cs="Calibri"/>
          <w:sz w:val="24"/>
          <w:szCs w:val="24"/>
        </w:rPr>
        <w:t>ohledněna v</w:t>
      </w:r>
      <w:r w:rsidR="00482990">
        <w:rPr>
          <w:rFonts w:ascii="Calibri" w:hAnsi="Calibri" w:cs="Calibri"/>
          <w:sz w:val="24"/>
          <w:szCs w:val="24"/>
        </w:rPr>
        <w:t> </w:t>
      </w:r>
      <w:r w:rsidR="000D1F5D" w:rsidRPr="00C14364">
        <w:rPr>
          <w:rFonts w:ascii="Calibri" w:hAnsi="Calibri" w:cs="Calibri"/>
          <w:sz w:val="24"/>
          <w:szCs w:val="24"/>
        </w:rPr>
        <w:t>analýze</w:t>
      </w:r>
      <w:r w:rsidR="00482990">
        <w:rPr>
          <w:rFonts w:ascii="Calibri" w:hAnsi="Calibri" w:cs="Calibri"/>
          <w:sz w:val="24"/>
          <w:szCs w:val="24"/>
        </w:rPr>
        <w:t xml:space="preserve">, která je součástí této kapitoly. </w:t>
      </w:r>
      <w:r w:rsidR="000D1F5D" w:rsidRPr="00C14364">
        <w:rPr>
          <w:rFonts w:ascii="Calibri" w:hAnsi="Calibri" w:cs="Calibri"/>
          <w:sz w:val="24"/>
          <w:szCs w:val="24"/>
        </w:rPr>
        <w:t xml:space="preserve"> </w:t>
      </w:r>
    </w:p>
    <w:p w:rsidR="007768F1" w:rsidRDefault="007768F1" w:rsidP="007768F1">
      <w:pPr>
        <w:overflowPunct/>
        <w:autoSpaceDE/>
        <w:autoSpaceDN/>
        <w:adjustRightInd/>
        <w:jc w:val="both"/>
        <w:textAlignment w:val="auto"/>
        <w:rPr>
          <w:rFonts w:ascii="Calibri" w:hAnsi="Calibri" w:cs="Calibri"/>
          <w:color w:val="FF0000"/>
          <w:sz w:val="24"/>
          <w:szCs w:val="24"/>
        </w:rPr>
      </w:pPr>
    </w:p>
    <w:p w:rsidR="00C811FF" w:rsidRDefault="00482990" w:rsidP="00C14364">
      <w:pPr>
        <w:overflowPunct/>
        <w:autoSpaceDE/>
        <w:autoSpaceDN/>
        <w:adjustRightInd/>
        <w:spacing w:after="120"/>
        <w:jc w:val="both"/>
        <w:textAlignment w:val="auto"/>
        <w:rPr>
          <w:rFonts w:ascii="Calibri" w:hAnsi="Calibri" w:cs="Calibri"/>
          <w:sz w:val="24"/>
          <w:szCs w:val="24"/>
        </w:rPr>
      </w:pPr>
      <w:r w:rsidRPr="00456806">
        <w:rPr>
          <w:rFonts w:ascii="Calibri" w:hAnsi="Calibri" w:cs="Calibri"/>
          <w:sz w:val="24"/>
          <w:szCs w:val="24"/>
        </w:rPr>
        <w:t>V říjnu 2012 představili z</w:t>
      </w:r>
      <w:r w:rsidR="00C811FF" w:rsidRPr="00456806">
        <w:rPr>
          <w:rFonts w:ascii="Calibri" w:hAnsi="Calibri" w:cs="Calibri"/>
          <w:sz w:val="24"/>
          <w:szCs w:val="24"/>
        </w:rPr>
        <w:t xml:space="preserve">ástupci Evropské komise </w:t>
      </w:r>
      <w:r w:rsidR="00BF322A" w:rsidRPr="00456806">
        <w:rPr>
          <w:rFonts w:ascii="Calibri" w:hAnsi="Calibri" w:cs="Calibri"/>
          <w:sz w:val="24"/>
          <w:szCs w:val="24"/>
        </w:rPr>
        <w:t xml:space="preserve">(EK) </w:t>
      </w:r>
      <w:r w:rsidR="00C811FF" w:rsidRPr="00456806">
        <w:rPr>
          <w:rFonts w:ascii="Calibri" w:hAnsi="Calibri" w:cs="Calibri"/>
          <w:sz w:val="24"/>
          <w:szCs w:val="24"/>
        </w:rPr>
        <w:t xml:space="preserve">tzv. </w:t>
      </w:r>
      <w:r w:rsidR="00C811FF" w:rsidRPr="00456806">
        <w:rPr>
          <w:rFonts w:ascii="Calibri" w:hAnsi="Calibri" w:cs="Calibri"/>
          <w:b/>
          <w:sz w:val="24"/>
          <w:szCs w:val="24"/>
        </w:rPr>
        <w:t>Poziční dokument</w:t>
      </w:r>
      <w:r w:rsidRPr="00456806">
        <w:rPr>
          <w:rStyle w:val="Znakapoznpodarou"/>
          <w:rFonts w:ascii="Calibri" w:hAnsi="Calibri" w:cs="Calibri"/>
          <w:b/>
          <w:sz w:val="24"/>
          <w:szCs w:val="24"/>
        </w:rPr>
        <w:footnoteReference w:id="3"/>
      </w:r>
      <w:r w:rsidR="00C811FF" w:rsidRPr="00456806">
        <w:rPr>
          <w:rFonts w:ascii="Calibri" w:hAnsi="Calibri" w:cs="Calibri"/>
          <w:sz w:val="24"/>
          <w:szCs w:val="24"/>
        </w:rPr>
        <w:t xml:space="preserve">, který prezentuje priority EK pro další využívání prostředků evropských fondů v České republice v programovém období 2014-2020. Poziční dokument EK reprezentuje podklad, na jehož základě bude Evropská komise vyjednávat s ČR o obsahu Dohody o partnerství a o programech Společného strategického rámce. Komise tak českou stranu vyzývá k efektivnějšímu využívání zdrojů, na což je ČR připravena reagovat prostřednictvím užšího zaměření budoucích operačních programů, nastavením přívětivějšího metodického prostředí a snížením počtu podporovaných aktivit. Konkrétněji EK apeluje na vybudování efektivně fungující dopravní, informační, energetické a environmentální infrastruktury, na posílení územní soudržnosti a na efektivní veřejnou správu, která by zaručila kvalitní služby, transparentní podnikatelské prostředí a vymahatelnost práva. Poziční dokument EK se dále zaměřuje na zvýšení konkurenceschopnosti českých firem a </w:t>
      </w:r>
      <w:r w:rsidR="00D66FF7" w:rsidRPr="00456806">
        <w:rPr>
          <w:rFonts w:ascii="Calibri" w:hAnsi="Calibri" w:cs="Calibri"/>
          <w:sz w:val="24"/>
          <w:szCs w:val="24"/>
        </w:rPr>
        <w:t xml:space="preserve">poukazuje na </w:t>
      </w:r>
      <w:r w:rsidR="00C811FF" w:rsidRPr="00456806">
        <w:rPr>
          <w:rFonts w:ascii="Calibri" w:hAnsi="Calibri" w:cs="Calibri"/>
          <w:sz w:val="24"/>
          <w:szCs w:val="24"/>
        </w:rPr>
        <w:t xml:space="preserve">nevhodně nastavený systém výzkumu a inovací. </w:t>
      </w:r>
      <w:r w:rsidR="006D3D67" w:rsidRPr="00456806">
        <w:rPr>
          <w:rFonts w:ascii="Calibri" w:hAnsi="Calibri" w:cs="Calibri"/>
          <w:sz w:val="24"/>
          <w:szCs w:val="24"/>
        </w:rPr>
        <w:t>Ve shodě s postojem EK považuje M</w:t>
      </w:r>
      <w:r w:rsidR="00BF322A" w:rsidRPr="00456806">
        <w:rPr>
          <w:rFonts w:ascii="Calibri" w:hAnsi="Calibri" w:cs="Calibri"/>
          <w:sz w:val="24"/>
          <w:szCs w:val="24"/>
        </w:rPr>
        <w:t>inisterstvo průmyslu a obchodu (M</w:t>
      </w:r>
      <w:r w:rsidR="006D3D67" w:rsidRPr="00456806">
        <w:rPr>
          <w:rFonts w:ascii="Calibri" w:hAnsi="Calibri" w:cs="Calibri"/>
          <w:sz w:val="24"/>
          <w:szCs w:val="24"/>
        </w:rPr>
        <w:t>PO</w:t>
      </w:r>
      <w:r w:rsidR="00BF322A" w:rsidRPr="00456806">
        <w:rPr>
          <w:rFonts w:ascii="Calibri" w:hAnsi="Calibri" w:cs="Calibri"/>
          <w:sz w:val="24"/>
          <w:szCs w:val="24"/>
        </w:rPr>
        <w:t>)</w:t>
      </w:r>
      <w:r w:rsidR="006D3D67" w:rsidRPr="00456806">
        <w:rPr>
          <w:rFonts w:ascii="Calibri" w:hAnsi="Calibri" w:cs="Calibri"/>
          <w:sz w:val="24"/>
          <w:szCs w:val="24"/>
        </w:rPr>
        <w:t xml:space="preserve"> za klíčový faktor zvýšení konkurenceschopnosti české ekonomiky rozvojem podnikání založeným na podpoře výzkumu, vývoje a inovací, rozvojem infrastruktury a služeb podporujících tyto podnikatelské aktivity. </w:t>
      </w:r>
      <w:r w:rsidR="006D3D67" w:rsidRPr="00456806">
        <w:rPr>
          <w:rFonts w:ascii="Calibri" w:hAnsi="Calibri" w:cs="Calibri"/>
          <w:bCs/>
          <w:sz w:val="24"/>
          <w:szCs w:val="24"/>
        </w:rPr>
        <w:t>Poziční dokument</w:t>
      </w:r>
      <w:r w:rsidR="00C811FF" w:rsidRPr="00456806">
        <w:rPr>
          <w:rFonts w:ascii="Calibri" w:hAnsi="Calibri" w:cs="Calibri"/>
          <w:bCs/>
          <w:sz w:val="24"/>
          <w:szCs w:val="24"/>
        </w:rPr>
        <w:t xml:space="preserve"> </w:t>
      </w:r>
      <w:r w:rsidR="00C811FF" w:rsidRPr="00456806">
        <w:rPr>
          <w:rFonts w:ascii="Calibri" w:hAnsi="Calibri" w:cs="Calibri"/>
          <w:sz w:val="24"/>
          <w:szCs w:val="24"/>
        </w:rPr>
        <w:t>obsahuje pět prioritních témat pro využití fondů SSR</w:t>
      </w:r>
      <w:r w:rsidR="00BF322A" w:rsidRPr="00456806">
        <w:rPr>
          <w:rFonts w:ascii="Calibri" w:hAnsi="Calibri" w:cs="Calibri"/>
          <w:sz w:val="24"/>
          <w:szCs w:val="24"/>
        </w:rPr>
        <w:t xml:space="preserve"> (nově označovaných jako evropské strukturální a investiční fondy, </w:t>
      </w:r>
      <w:r w:rsidR="00C811FF" w:rsidRPr="00456806">
        <w:rPr>
          <w:rFonts w:ascii="Calibri" w:hAnsi="Calibri" w:cs="Calibri"/>
          <w:sz w:val="24"/>
          <w:szCs w:val="24"/>
        </w:rPr>
        <w:t>ESIF</w:t>
      </w:r>
      <w:r w:rsidR="00BF322A" w:rsidRPr="00456806">
        <w:rPr>
          <w:rFonts w:ascii="Calibri" w:hAnsi="Calibri" w:cs="Calibri"/>
          <w:sz w:val="24"/>
          <w:szCs w:val="24"/>
        </w:rPr>
        <w:t>)</w:t>
      </w:r>
      <w:r w:rsidR="00C811FF" w:rsidRPr="00456806">
        <w:rPr>
          <w:rFonts w:ascii="Calibri" w:hAnsi="Calibri" w:cs="Calibri"/>
          <w:sz w:val="24"/>
          <w:szCs w:val="24"/>
        </w:rPr>
        <w:t xml:space="preserve"> v</w:t>
      </w:r>
      <w:r w:rsidR="00C811FF" w:rsidRPr="006D3D67">
        <w:rPr>
          <w:rFonts w:ascii="Calibri" w:hAnsi="Calibri" w:cs="Calibri"/>
          <w:sz w:val="24"/>
          <w:szCs w:val="24"/>
        </w:rPr>
        <w:t xml:space="preserve"> ČR, přičemž z pohledu MPO se</w:t>
      </w:r>
      <w:r w:rsidR="006D3D67" w:rsidRPr="006D3D67">
        <w:rPr>
          <w:rFonts w:ascii="Calibri" w:hAnsi="Calibri" w:cs="Calibri"/>
          <w:sz w:val="24"/>
          <w:szCs w:val="24"/>
        </w:rPr>
        <w:t xml:space="preserve"> jako relevant</w:t>
      </w:r>
      <w:r w:rsidR="006D3D67">
        <w:rPr>
          <w:rFonts w:ascii="Calibri" w:hAnsi="Calibri" w:cs="Calibri"/>
          <w:sz w:val="24"/>
          <w:szCs w:val="24"/>
        </w:rPr>
        <w:t>ní jeví zejména</w:t>
      </w:r>
      <w:r w:rsidR="006D3D67" w:rsidRPr="006D3D67">
        <w:rPr>
          <w:rFonts w:ascii="Calibri" w:hAnsi="Calibri" w:cs="Calibri"/>
          <w:sz w:val="24"/>
          <w:szCs w:val="24"/>
        </w:rPr>
        <w:t xml:space="preserve"> </w:t>
      </w:r>
      <w:r w:rsidR="00C811FF" w:rsidRPr="006D3D67">
        <w:rPr>
          <w:rFonts w:ascii="Calibri" w:hAnsi="Calibri" w:cs="Calibri"/>
          <w:sz w:val="24"/>
          <w:szCs w:val="24"/>
        </w:rPr>
        <w:t xml:space="preserve">Téma 1: </w:t>
      </w:r>
      <w:r w:rsidR="00C811FF" w:rsidRPr="006D3D67">
        <w:rPr>
          <w:rFonts w:ascii="Calibri" w:hAnsi="Calibri" w:cs="Calibri"/>
          <w:bCs/>
          <w:sz w:val="24"/>
          <w:szCs w:val="24"/>
        </w:rPr>
        <w:t xml:space="preserve">Rozvoj podnikání </w:t>
      </w:r>
      <w:r w:rsidR="00C811FF" w:rsidRPr="006D3D67">
        <w:rPr>
          <w:rFonts w:ascii="Calibri" w:hAnsi="Calibri" w:cs="Calibri"/>
          <w:bCs/>
          <w:sz w:val="24"/>
          <w:szCs w:val="24"/>
        </w:rPr>
        <w:lastRenderedPageBreak/>
        <w:t>otevřeného inovacím</w:t>
      </w:r>
      <w:r w:rsidR="006D3D67" w:rsidRPr="006D3D67">
        <w:rPr>
          <w:rFonts w:ascii="Calibri" w:hAnsi="Calibri" w:cs="Calibri"/>
          <w:sz w:val="24"/>
          <w:szCs w:val="24"/>
        </w:rPr>
        <w:t xml:space="preserve"> a </w:t>
      </w:r>
      <w:r w:rsidR="00C811FF" w:rsidRPr="006D3D67">
        <w:rPr>
          <w:rFonts w:ascii="Calibri" w:hAnsi="Calibri" w:cs="Calibri"/>
          <w:sz w:val="24"/>
          <w:szCs w:val="24"/>
        </w:rPr>
        <w:t xml:space="preserve">Téma 4: </w:t>
      </w:r>
      <w:r w:rsidR="00C811FF" w:rsidRPr="006D3D67">
        <w:rPr>
          <w:rFonts w:ascii="Calibri" w:hAnsi="Calibri" w:cs="Calibri"/>
          <w:bCs/>
          <w:sz w:val="24"/>
          <w:szCs w:val="24"/>
        </w:rPr>
        <w:t>Ekonomika založená na oh</w:t>
      </w:r>
      <w:r w:rsidR="006D3D67" w:rsidRPr="006D3D67">
        <w:rPr>
          <w:rFonts w:ascii="Calibri" w:hAnsi="Calibri" w:cs="Calibri"/>
          <w:bCs/>
          <w:sz w:val="24"/>
          <w:szCs w:val="24"/>
        </w:rPr>
        <w:t xml:space="preserve">leduplnosti </w:t>
      </w:r>
      <w:r w:rsidR="006D3D67" w:rsidRPr="00D66FF7">
        <w:rPr>
          <w:rFonts w:ascii="Calibri" w:hAnsi="Calibri" w:cs="Calibri"/>
          <w:bCs/>
          <w:sz w:val="24"/>
          <w:szCs w:val="24"/>
        </w:rPr>
        <w:t>k</w:t>
      </w:r>
      <w:r w:rsidR="0084403D" w:rsidRPr="00D66FF7">
        <w:rPr>
          <w:rFonts w:ascii="Calibri" w:hAnsi="Calibri" w:cs="Calibri"/>
          <w:bCs/>
          <w:sz w:val="24"/>
          <w:szCs w:val="24"/>
        </w:rPr>
        <w:t> </w:t>
      </w:r>
      <w:r w:rsidR="006D3D67" w:rsidRPr="00D66FF7">
        <w:rPr>
          <w:rFonts w:ascii="Calibri" w:hAnsi="Calibri" w:cs="Calibri"/>
          <w:bCs/>
          <w:sz w:val="24"/>
          <w:szCs w:val="24"/>
        </w:rPr>
        <w:t>živ</w:t>
      </w:r>
      <w:r w:rsidR="0084403D" w:rsidRPr="00D66FF7">
        <w:rPr>
          <w:rFonts w:ascii="Calibri" w:hAnsi="Calibri" w:cs="Calibri"/>
          <w:bCs/>
          <w:sz w:val="24"/>
          <w:szCs w:val="24"/>
        </w:rPr>
        <w:t xml:space="preserve">otnímu </w:t>
      </w:r>
      <w:r w:rsidR="006D3D67" w:rsidRPr="00D66FF7">
        <w:rPr>
          <w:rFonts w:ascii="Calibri" w:hAnsi="Calibri" w:cs="Calibri"/>
          <w:bCs/>
          <w:sz w:val="24"/>
          <w:szCs w:val="24"/>
        </w:rPr>
        <w:t>pr</w:t>
      </w:r>
      <w:r w:rsidR="006D3D67" w:rsidRPr="006D3D67">
        <w:rPr>
          <w:rFonts w:ascii="Calibri" w:hAnsi="Calibri" w:cs="Calibri"/>
          <w:bCs/>
          <w:sz w:val="24"/>
          <w:szCs w:val="24"/>
        </w:rPr>
        <w:t xml:space="preserve">ostředí a </w:t>
      </w:r>
      <w:r w:rsidR="00C811FF" w:rsidRPr="006D3D67">
        <w:rPr>
          <w:rFonts w:ascii="Calibri" w:hAnsi="Calibri" w:cs="Calibri"/>
          <w:bCs/>
          <w:sz w:val="24"/>
          <w:szCs w:val="24"/>
        </w:rPr>
        <w:t xml:space="preserve">hospodárnému využívání zdrojů </w:t>
      </w:r>
      <w:r w:rsidR="00C811FF" w:rsidRPr="006D3D67">
        <w:rPr>
          <w:rFonts w:ascii="Calibri" w:hAnsi="Calibri" w:cs="Calibri"/>
          <w:sz w:val="24"/>
          <w:szCs w:val="24"/>
        </w:rPr>
        <w:t>(oblast energetiky)</w:t>
      </w:r>
      <w:r w:rsidR="006D3D67">
        <w:rPr>
          <w:rFonts w:ascii="Calibri" w:hAnsi="Calibri" w:cs="Calibri"/>
          <w:sz w:val="24"/>
          <w:szCs w:val="24"/>
        </w:rPr>
        <w:t>.</w:t>
      </w:r>
    </w:p>
    <w:p w:rsidR="00D66FF7" w:rsidRDefault="00D66FF7" w:rsidP="00C14364">
      <w:pPr>
        <w:overflowPunct/>
        <w:autoSpaceDE/>
        <w:autoSpaceDN/>
        <w:adjustRightInd/>
        <w:spacing w:after="120"/>
        <w:jc w:val="both"/>
        <w:textAlignment w:val="auto"/>
        <w:rPr>
          <w:rFonts w:ascii="Calibri" w:hAnsi="Calibri" w:cs="Calibri"/>
          <w:sz w:val="24"/>
          <w:szCs w:val="24"/>
        </w:rPr>
      </w:pPr>
    </w:p>
    <w:p w:rsidR="00BF322A" w:rsidRPr="00D66FF7" w:rsidRDefault="0084403D" w:rsidP="00D66FF7">
      <w:pPr>
        <w:pStyle w:val="Nadpis3"/>
      </w:pPr>
      <w:bookmarkStart w:id="7" w:name="_Toc351464349"/>
      <w:bookmarkStart w:id="8" w:name="_Toc352328354"/>
      <w:r w:rsidRPr="00D66FF7">
        <w:t xml:space="preserve">OP </w:t>
      </w:r>
      <w:r w:rsidR="00D66FF7" w:rsidRPr="00D66FF7">
        <w:t>PIK</w:t>
      </w:r>
      <w:r w:rsidRPr="00D66FF7">
        <w:t xml:space="preserve"> a jeho vazba na strategii Evropa 2020</w:t>
      </w:r>
      <w:bookmarkEnd w:id="7"/>
      <w:bookmarkEnd w:id="8"/>
      <w:r w:rsidRPr="00D66FF7">
        <w:t xml:space="preserve"> </w:t>
      </w:r>
    </w:p>
    <w:p w:rsidR="0042083D" w:rsidRPr="006B41A8" w:rsidRDefault="00F14974" w:rsidP="00C14364">
      <w:pPr>
        <w:overflowPunct/>
        <w:autoSpaceDE/>
        <w:autoSpaceDN/>
        <w:adjustRightInd/>
        <w:spacing w:after="120"/>
        <w:jc w:val="both"/>
        <w:textAlignment w:val="auto"/>
        <w:rPr>
          <w:rFonts w:ascii="Calibri" w:hAnsi="Calibri" w:cs="Calibri"/>
          <w:b/>
          <w:sz w:val="24"/>
          <w:szCs w:val="24"/>
        </w:rPr>
      </w:pPr>
      <w:r>
        <w:rPr>
          <w:rFonts w:ascii="Calibri" w:hAnsi="Calibri" w:cs="Calibri"/>
          <w:sz w:val="24"/>
          <w:szCs w:val="24"/>
        </w:rPr>
        <w:t>N</w:t>
      </w:r>
      <w:r w:rsidR="00C1122D">
        <w:rPr>
          <w:rFonts w:ascii="Calibri" w:hAnsi="Calibri" w:cs="Calibri"/>
          <w:sz w:val="24"/>
          <w:szCs w:val="24"/>
        </w:rPr>
        <w:t>ásledující priority a iniciativy</w:t>
      </w:r>
      <w:r w:rsidR="00047CEE">
        <w:rPr>
          <w:rFonts w:ascii="Calibri" w:hAnsi="Calibri" w:cs="Calibri"/>
          <w:sz w:val="24"/>
          <w:szCs w:val="24"/>
        </w:rPr>
        <w:t xml:space="preserve"> Strategie Evropa 2020</w:t>
      </w:r>
      <w:r w:rsidR="0042083D" w:rsidRPr="0042083D">
        <w:rPr>
          <w:rFonts w:ascii="Calibri" w:hAnsi="Calibri" w:cs="Calibri"/>
          <w:sz w:val="24"/>
          <w:szCs w:val="24"/>
        </w:rPr>
        <w:t xml:space="preserve"> se přímo či nepřímo vztahují k</w:t>
      </w:r>
      <w:r w:rsidR="00BF322A">
        <w:rPr>
          <w:rFonts w:ascii="Calibri" w:hAnsi="Calibri" w:cs="Calibri"/>
          <w:sz w:val="24"/>
          <w:szCs w:val="24"/>
        </w:rPr>
        <w:t> </w:t>
      </w:r>
      <w:r w:rsidR="0042083D" w:rsidRPr="0042083D">
        <w:rPr>
          <w:rFonts w:ascii="Calibri" w:hAnsi="Calibri" w:cs="Calibri"/>
          <w:sz w:val="24"/>
          <w:szCs w:val="24"/>
        </w:rPr>
        <w:t>O</w:t>
      </w:r>
      <w:r w:rsidR="00BF322A">
        <w:rPr>
          <w:rFonts w:ascii="Calibri" w:hAnsi="Calibri" w:cs="Calibri"/>
          <w:sz w:val="24"/>
          <w:szCs w:val="24"/>
        </w:rPr>
        <w:t xml:space="preserve">P </w:t>
      </w:r>
      <w:r w:rsidR="0042083D" w:rsidRPr="0042083D">
        <w:rPr>
          <w:rFonts w:ascii="Calibri" w:hAnsi="Calibri" w:cs="Calibri"/>
          <w:sz w:val="24"/>
          <w:szCs w:val="24"/>
        </w:rPr>
        <w:t>Podnikání a inovace pro konkurenceschopnost</w:t>
      </w:r>
      <w:r w:rsidR="0084403D">
        <w:rPr>
          <w:rFonts w:ascii="Calibri" w:hAnsi="Calibri" w:cs="Calibri"/>
          <w:sz w:val="24"/>
          <w:szCs w:val="24"/>
        </w:rPr>
        <w:t xml:space="preserve">. </w:t>
      </w:r>
    </w:p>
    <w:p w:rsidR="0042083D" w:rsidRPr="00A2151E" w:rsidRDefault="00A2151E" w:rsidP="00A2151E">
      <w:pPr>
        <w:overflowPunct/>
        <w:autoSpaceDE/>
        <w:autoSpaceDN/>
        <w:adjustRightInd/>
        <w:jc w:val="both"/>
        <w:textAlignment w:val="auto"/>
        <w:rPr>
          <w:rFonts w:ascii="Calibri" w:hAnsi="Calibri" w:cs="Calibri"/>
          <w:b/>
          <w:sz w:val="28"/>
          <w:szCs w:val="24"/>
        </w:rPr>
      </w:pPr>
      <w:r w:rsidRPr="00A2151E">
        <w:rPr>
          <w:rFonts w:ascii="Calibri" w:hAnsi="Calibri" w:cs="Calibri"/>
          <w:b/>
          <w:sz w:val="28"/>
          <w:szCs w:val="24"/>
        </w:rPr>
        <w:t>I.</w:t>
      </w:r>
      <w:r w:rsidRPr="00A2151E">
        <w:rPr>
          <w:rFonts w:ascii="Calibri" w:hAnsi="Calibri" w:cs="Calibri"/>
          <w:b/>
          <w:sz w:val="28"/>
          <w:szCs w:val="24"/>
        </w:rPr>
        <w:tab/>
      </w:r>
      <w:r w:rsidR="0042083D" w:rsidRPr="00A2151E">
        <w:rPr>
          <w:rFonts w:ascii="Calibri" w:hAnsi="Calibri" w:cs="Calibri"/>
          <w:b/>
          <w:sz w:val="28"/>
          <w:szCs w:val="24"/>
        </w:rPr>
        <w:t>Inteligentní růst</w:t>
      </w:r>
    </w:p>
    <w:p w:rsidR="0042083D" w:rsidRPr="00D66FF7" w:rsidRDefault="0042083D" w:rsidP="00851D6E">
      <w:pPr>
        <w:numPr>
          <w:ilvl w:val="1"/>
          <w:numId w:val="15"/>
        </w:numPr>
        <w:overflowPunct/>
        <w:autoSpaceDE/>
        <w:autoSpaceDN/>
        <w:adjustRightInd/>
        <w:jc w:val="both"/>
        <w:textAlignment w:val="auto"/>
        <w:rPr>
          <w:rFonts w:ascii="Calibri" w:hAnsi="Calibri" w:cs="Calibri"/>
          <w:sz w:val="24"/>
          <w:szCs w:val="24"/>
        </w:rPr>
      </w:pPr>
      <w:r w:rsidRPr="00D66FF7">
        <w:rPr>
          <w:rFonts w:ascii="Calibri" w:hAnsi="Calibri" w:cs="Calibri"/>
          <w:i/>
          <w:iCs/>
          <w:sz w:val="24"/>
          <w:szCs w:val="24"/>
        </w:rPr>
        <w:t>„</w:t>
      </w:r>
      <w:r w:rsidRPr="00D66FF7">
        <w:rPr>
          <w:rFonts w:ascii="Calibri" w:hAnsi="Calibri" w:cs="Calibri"/>
          <w:b/>
          <w:i/>
          <w:iCs/>
          <w:sz w:val="24"/>
          <w:szCs w:val="24"/>
        </w:rPr>
        <w:t>Inovace v Unii</w:t>
      </w:r>
      <w:r w:rsidRPr="00D66FF7">
        <w:rPr>
          <w:rFonts w:ascii="Calibri" w:hAnsi="Calibri" w:cs="Calibri"/>
          <w:i/>
          <w:iCs/>
          <w:sz w:val="24"/>
          <w:szCs w:val="24"/>
        </w:rPr>
        <w:t>“</w:t>
      </w:r>
      <w:r w:rsidRPr="00D66FF7">
        <w:rPr>
          <w:rFonts w:ascii="Calibri" w:hAnsi="Calibri" w:cs="Calibri"/>
          <w:sz w:val="24"/>
          <w:szCs w:val="24"/>
        </w:rPr>
        <w:t xml:space="preserve"> – zlepšení rámcových podmínek a přístupu k financování výzkumu a inovací, čímž by se zajistilo, aby se z inovativních nápadů staly výrobky a služby vytvářející růst a pracovní místa.</w:t>
      </w:r>
    </w:p>
    <w:p w:rsidR="00047CEE" w:rsidRDefault="00047CEE" w:rsidP="00047CEE">
      <w:pPr>
        <w:overflowPunct/>
        <w:autoSpaceDE/>
        <w:autoSpaceDN/>
        <w:adjustRightInd/>
        <w:jc w:val="both"/>
        <w:textAlignment w:val="auto"/>
        <w:rPr>
          <w:rFonts w:ascii="Calibri" w:hAnsi="Calibri" w:cs="Calibri"/>
          <w:sz w:val="24"/>
          <w:szCs w:val="24"/>
        </w:rPr>
      </w:pPr>
    </w:p>
    <w:p w:rsidR="0016532E" w:rsidRPr="00D66FF7" w:rsidRDefault="0016532E" w:rsidP="0016532E">
      <w:pPr>
        <w:contextualSpacing/>
        <w:jc w:val="both"/>
        <w:rPr>
          <w:rFonts w:ascii="Calibri" w:hAnsi="Calibri" w:cs="Calibri"/>
          <w:sz w:val="24"/>
        </w:rPr>
      </w:pPr>
      <w:r w:rsidRPr="00D66FF7">
        <w:rPr>
          <w:rFonts w:ascii="Calibri" w:hAnsi="Calibri" w:cs="Calibri"/>
          <w:sz w:val="24"/>
        </w:rPr>
        <w:t>Dosavadní centra světové ekonomiky, Evropská unie, USA a Japonsko, jako celek ztrácí v posledních 10 letech konkurenceschopnost. EU si před rozvíjejícími se ekonomikami udržuje náskok jen u výrobků vyžadujících low and high intermediate skills, zatímco u výrobků vyžadujících vysokou kvalifikovanost je podíl EU na světovém trhu atakován Čínou.</w:t>
      </w:r>
      <w:r w:rsidR="004D5AB4" w:rsidRPr="00D66FF7">
        <w:rPr>
          <w:rFonts w:ascii="Calibri" w:hAnsi="Calibri" w:cs="Calibri"/>
          <w:sz w:val="24"/>
        </w:rPr>
        <w:t xml:space="preserve"> </w:t>
      </w:r>
      <w:r w:rsidRPr="00D66FF7">
        <w:rPr>
          <w:rFonts w:ascii="Calibri" w:hAnsi="Calibri" w:cs="Calibri"/>
          <w:sz w:val="24"/>
        </w:rPr>
        <w:t>Samotná technologická náročnost výroby již tedy k úspěchu v budoucnu nebude stačit. Přestože si EU před Čínou zachovává svůj nepatrný náskok v oblasti exportu výrobků s vysokým obsahem kvalifikované pracovní síly, u výrobků s vysokou technologi</w:t>
      </w:r>
      <w:r w:rsidR="00120489" w:rsidRPr="00D66FF7">
        <w:rPr>
          <w:rFonts w:ascii="Calibri" w:hAnsi="Calibri" w:cs="Calibri"/>
          <w:sz w:val="24"/>
        </w:rPr>
        <w:t>ckou náročností již svůj náskok</w:t>
      </w:r>
      <w:r w:rsidRPr="00D66FF7">
        <w:rPr>
          <w:rFonts w:ascii="Calibri" w:hAnsi="Calibri" w:cs="Calibri"/>
          <w:sz w:val="24"/>
        </w:rPr>
        <w:t xml:space="preserve"> za posledních deset let ztratila.</w:t>
      </w:r>
      <w:r w:rsidR="00120489" w:rsidRPr="00D66FF7">
        <w:rPr>
          <w:rFonts w:ascii="Calibri" w:hAnsi="Calibri" w:cs="Calibri"/>
          <w:sz w:val="24"/>
        </w:rPr>
        <w:t xml:space="preserve"> </w:t>
      </w:r>
      <w:r w:rsidRPr="00D66FF7">
        <w:rPr>
          <w:rFonts w:ascii="Calibri" w:hAnsi="Calibri" w:cs="Calibri"/>
          <w:sz w:val="24"/>
        </w:rPr>
        <w:t>V následujícím období již nebude konkurenceschopnost ekonomiky spočívat na její kvalifikační a technologické způsobilosti – tato podmínka bude pouze nutná, nikoliv postačující. Konkurenceschopnost bude založena především na inovačních schopnostech spočívajících ve včasném rozeznání vznikající globální poptávky a adekvátní reakce na nové trendy. Úspěšné ekonomiky budou ty, které budou mít inovační a internacionalizované firmy a pro jejich vznik a působení vytvoří potřebné podmínky.</w:t>
      </w:r>
    </w:p>
    <w:p w:rsidR="0016532E" w:rsidRPr="00D66FF7" w:rsidRDefault="0016532E" w:rsidP="0016532E">
      <w:pPr>
        <w:contextualSpacing/>
        <w:jc w:val="both"/>
        <w:rPr>
          <w:rFonts w:ascii="Calibri" w:hAnsi="Calibri" w:cs="Calibri"/>
          <w:sz w:val="24"/>
        </w:rPr>
      </w:pPr>
    </w:p>
    <w:p w:rsidR="0016532E" w:rsidRPr="0016532E" w:rsidRDefault="0016532E" w:rsidP="0016532E">
      <w:pPr>
        <w:contextualSpacing/>
        <w:jc w:val="both"/>
        <w:rPr>
          <w:rFonts w:ascii="Calibri" w:hAnsi="Calibri" w:cs="Calibri"/>
          <w:sz w:val="24"/>
        </w:rPr>
      </w:pPr>
      <w:r w:rsidRPr="00D66FF7">
        <w:rPr>
          <w:rFonts w:ascii="Calibri" w:hAnsi="Calibri" w:cs="Calibri"/>
          <w:sz w:val="24"/>
        </w:rPr>
        <w:t>K tomu, aby Česká republika uspěla v globální soutěži, rozhodně nestačí, aby využívala svou výhodnou geografickou polohu a potenciál jednotného evropského trhu. Je nutné přicházet s vlastními inovativními řešeními a navíc je dokázat prosadit na trhu. ČR se musí snažit vytěžit maximum ze svých předností, ale zároveň si uvědomovat své slabé stránky a nedostatky proměnit v příležitosti. Mezi hlavní bariéry rozvoje inovačních aktivit patří kromě nízké inovační poptávky českých firem rovněž nedostatečný rozsah financování VaVaI, který se v posledních letech významně proměnil zejména díky zahraničním investicím.</w:t>
      </w:r>
      <w:r w:rsidR="00120489" w:rsidRPr="00D66FF7">
        <w:rPr>
          <w:rFonts w:ascii="Calibri" w:hAnsi="Calibri" w:cs="Calibri"/>
          <w:sz w:val="24"/>
        </w:rPr>
        <w:t xml:space="preserve"> </w:t>
      </w:r>
      <w:r w:rsidRPr="00D66FF7">
        <w:rPr>
          <w:rFonts w:ascii="Calibri" w:hAnsi="Calibri" w:cs="Calibri"/>
          <w:sz w:val="24"/>
        </w:rPr>
        <w:t>Přitom je všeobecně známo, že hlavní funkční specializaci ČR v rámci světové ekonomiky lze charakterizovat jako výrobní základnu pro trhy v Evropě a blízkém okolí. Endogenní podnikatelský sektor je slabý a jeho rozvoj silně závislý na poptávce ze strany nadnárodních společností umístěných v samotné ČR a jejím blízk</w:t>
      </w:r>
      <w:r w:rsidRPr="00456806">
        <w:rPr>
          <w:rFonts w:ascii="Calibri" w:hAnsi="Calibri" w:cs="Calibri"/>
          <w:sz w:val="24"/>
        </w:rPr>
        <w:t>ém okolí.</w:t>
      </w:r>
      <w:r w:rsidR="0030405B" w:rsidRPr="00456806">
        <w:rPr>
          <w:rStyle w:val="Znakapoznpodarou"/>
          <w:rFonts w:ascii="Calibri" w:hAnsi="Calibri" w:cs="Calibri"/>
          <w:sz w:val="24"/>
        </w:rPr>
        <w:footnoteReference w:id="4"/>
      </w:r>
      <w:r w:rsidRPr="0016532E">
        <w:rPr>
          <w:rFonts w:ascii="Calibri" w:hAnsi="Calibri" w:cs="Calibri"/>
          <w:sz w:val="24"/>
        </w:rPr>
        <w:t xml:space="preserve"> V této souvislosti a v kontextu rostoucích cen práce a dalších vstupů do výroby je základní výzvou pro ČR schopnost vytvářet a nabízet podmínky pro lokalizaci takových aktivit zahraničních firem, u nichž hrají kvalifikace a </w:t>
      </w:r>
      <w:r w:rsidRPr="0016532E">
        <w:rPr>
          <w:rFonts w:ascii="Calibri" w:hAnsi="Calibri" w:cs="Calibri"/>
          <w:sz w:val="24"/>
        </w:rPr>
        <w:lastRenderedPageBreak/>
        <w:t>dovednosti lidí spolu s tvorbou nových znalostí relativně vyšší roli než samotné ceny vstupů a blízkost hlavním evropským trhům.</w:t>
      </w:r>
    </w:p>
    <w:p w:rsidR="0016532E" w:rsidRPr="0016532E" w:rsidRDefault="0016532E" w:rsidP="0016532E">
      <w:pPr>
        <w:contextualSpacing/>
        <w:jc w:val="both"/>
        <w:rPr>
          <w:rFonts w:ascii="Calibri" w:hAnsi="Calibri" w:cs="Calibri"/>
          <w:sz w:val="24"/>
        </w:rPr>
      </w:pPr>
    </w:p>
    <w:p w:rsidR="0016532E" w:rsidRPr="0016532E" w:rsidRDefault="0016532E" w:rsidP="00787800">
      <w:pPr>
        <w:pStyle w:val="Odstavecseseznamem"/>
        <w:ind w:left="0"/>
        <w:jc w:val="both"/>
        <w:rPr>
          <w:rFonts w:ascii="Calibri" w:hAnsi="Calibri" w:cs="Calibri"/>
          <w:sz w:val="24"/>
        </w:rPr>
      </w:pPr>
      <w:r w:rsidRPr="0016532E">
        <w:rPr>
          <w:rFonts w:ascii="Calibri" w:hAnsi="Calibri" w:cs="Calibri"/>
          <w:sz w:val="24"/>
        </w:rPr>
        <w:t>Rostoucí turbulence na finančních trzích ukazují, že se česká ekonomika nemůže spoléhat pouze na odbyt v zemích tradičních obchodních partnerů, které tvoří především sousední země EU. J</w:t>
      </w:r>
      <w:r w:rsidRPr="00D66FF7">
        <w:rPr>
          <w:rFonts w:ascii="Calibri" w:hAnsi="Calibri" w:cs="Calibri"/>
          <w:sz w:val="24"/>
        </w:rPr>
        <w:t>e třeba vnímat příležitosti ve všech teritoriích a oborech, a navíc přicházet s vlastními řešeními. Endogenní podnikatelský sektor však zatím tvoří především podniky vzdálené v hodnotových řetězcích od koncových trhů a závislé na importu technologií. Je zde proto obrovský prostor pro veřejné intervence, které by měly napomoci české ekonomice nastoupit cestu vedoucí mezi nejvyspělejší ekonomiky světa.</w:t>
      </w:r>
    </w:p>
    <w:p w:rsidR="00D95F88" w:rsidRDefault="00D95F88" w:rsidP="00787800">
      <w:pPr>
        <w:pStyle w:val="Odstavecseseznamem"/>
        <w:ind w:left="0"/>
        <w:jc w:val="both"/>
        <w:rPr>
          <w:rFonts w:ascii="Calibri" w:hAnsi="Calibri" w:cs="Calibri"/>
          <w:sz w:val="24"/>
        </w:rPr>
      </w:pPr>
    </w:p>
    <w:p w:rsidR="00787800" w:rsidRPr="00787800" w:rsidRDefault="00787800" w:rsidP="00787800">
      <w:pPr>
        <w:pStyle w:val="Odstavecseseznamem"/>
        <w:ind w:left="0"/>
        <w:jc w:val="both"/>
        <w:rPr>
          <w:rFonts w:ascii="Calibri" w:hAnsi="Calibri" w:cs="Calibri"/>
          <w:sz w:val="24"/>
        </w:rPr>
      </w:pPr>
      <w:r w:rsidRPr="00787800">
        <w:rPr>
          <w:rFonts w:ascii="Calibri" w:hAnsi="Calibri" w:cs="Calibri"/>
          <w:sz w:val="24"/>
        </w:rPr>
        <w:t>Aktuální analýzy inovační výkonnosti ukazují, že výkonnost České republiky je stále pod průměrem celé EU27 a řadí se spolu s Řeckem, Maďarskem či Slovenskem mezi tzv. mírné inovátory (viz Innovation Union Scoreboard 2011). Na předních pozicích inovační výkonnosti se umísťují země, v jejichž národních výzkumných a inovačních systémech hrají hlavní roli aktivity podniků a spolupráce soukromé a veřejné sféry. Mezi zjišťovanými indikátory jsou velmi významné indikátory firemních investic – především podnikové výdaje na výzkum a vývoj a další indikátory podnikových aktivit – tj. duševní vlastnictví a propojenost a podnikavost, kam patří podíl MSP provádějících inovace interně, podíl MSP spolupracujících s ostatními podniky a indikátor poukazující na silné vazby mezi výzkumnou sférou a podniky – počet výzkumných publikací vytvořených v partnerství privátní a veřejné sféry.</w:t>
      </w:r>
    </w:p>
    <w:p w:rsidR="00787800" w:rsidRDefault="00787800" w:rsidP="00787800">
      <w:pPr>
        <w:overflowPunct/>
        <w:textAlignment w:val="auto"/>
        <w:rPr>
          <w:rFonts w:ascii="PFSquareSansPro-Bold" w:hAnsi="PFSquareSansPro-Bold" w:cs="PFSquareSansPro-Bold"/>
          <w:b/>
          <w:bCs/>
          <w:sz w:val="18"/>
          <w:szCs w:val="18"/>
        </w:rPr>
      </w:pPr>
    </w:p>
    <w:p w:rsidR="00787800" w:rsidRPr="00787800" w:rsidRDefault="00787800" w:rsidP="00787800">
      <w:pPr>
        <w:pStyle w:val="Titulek"/>
        <w:keepNext/>
        <w:rPr>
          <w:rFonts w:ascii="Calibri" w:hAnsi="Calibri" w:cs="Calibri"/>
        </w:rPr>
      </w:pPr>
      <w:r w:rsidRPr="00FB6BDB">
        <w:rPr>
          <w:rFonts w:ascii="Calibri" w:hAnsi="Calibri" w:cs="Calibri"/>
        </w:rPr>
        <w:t xml:space="preserve">Graf </w:t>
      </w:r>
      <w:r w:rsidR="008534F0" w:rsidRPr="00FB6BDB">
        <w:rPr>
          <w:rFonts w:ascii="Calibri" w:hAnsi="Calibri" w:cs="Calibri"/>
        </w:rPr>
        <w:fldChar w:fldCharType="begin"/>
      </w:r>
      <w:r w:rsidRPr="00FB6BDB">
        <w:rPr>
          <w:rFonts w:ascii="Calibri" w:hAnsi="Calibri" w:cs="Calibri"/>
        </w:rPr>
        <w:instrText xml:space="preserve"> SEQ Graf \* ARABIC </w:instrText>
      </w:r>
      <w:r w:rsidR="008534F0" w:rsidRPr="00FB6BDB">
        <w:rPr>
          <w:rFonts w:ascii="Calibri" w:hAnsi="Calibri" w:cs="Calibri"/>
        </w:rPr>
        <w:fldChar w:fldCharType="separate"/>
      </w:r>
      <w:r w:rsidR="00D92A26">
        <w:rPr>
          <w:rFonts w:ascii="Calibri" w:hAnsi="Calibri" w:cs="Calibri"/>
          <w:noProof/>
        </w:rPr>
        <w:t>1</w:t>
      </w:r>
      <w:r w:rsidR="008534F0" w:rsidRPr="00FB6BDB">
        <w:rPr>
          <w:rFonts w:ascii="Calibri" w:hAnsi="Calibri" w:cs="Calibri"/>
          <w:noProof/>
        </w:rPr>
        <w:fldChar w:fldCharType="end"/>
      </w:r>
      <w:r w:rsidRPr="00FB6BDB">
        <w:rPr>
          <w:rFonts w:ascii="Calibri" w:hAnsi="Calibri" w:cs="Calibri"/>
        </w:rPr>
        <w:t>: Inov</w:t>
      </w:r>
      <w:r>
        <w:rPr>
          <w:rFonts w:ascii="Calibri" w:hAnsi="Calibri" w:cs="Calibri"/>
        </w:rPr>
        <w:t>ační systém ČR, 2011</w:t>
      </w:r>
    </w:p>
    <w:p w:rsidR="00787800" w:rsidRDefault="00787800" w:rsidP="00787800">
      <w:pPr>
        <w:jc w:val="both"/>
        <w:rPr>
          <w:sz w:val="24"/>
        </w:rPr>
      </w:pPr>
      <w:r>
        <w:rPr>
          <w:noProof/>
          <w:sz w:val="24"/>
        </w:rPr>
        <w:drawing>
          <wp:inline distT="0" distB="0" distL="0" distR="0">
            <wp:extent cx="5760720" cy="240876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408769"/>
                    </a:xfrm>
                    <a:prstGeom prst="rect">
                      <a:avLst/>
                    </a:prstGeom>
                    <a:noFill/>
                    <a:ln>
                      <a:noFill/>
                    </a:ln>
                  </pic:spPr>
                </pic:pic>
              </a:graphicData>
            </a:graphic>
          </wp:inline>
        </w:drawing>
      </w:r>
    </w:p>
    <w:p w:rsidR="00787800" w:rsidRPr="00787800" w:rsidRDefault="00787800" w:rsidP="00787800">
      <w:pPr>
        <w:rPr>
          <w:rFonts w:ascii="Calibri" w:hAnsi="Calibri" w:cs="Calibri"/>
          <w:sz w:val="18"/>
          <w:szCs w:val="18"/>
        </w:rPr>
      </w:pPr>
      <w:r>
        <w:rPr>
          <w:rFonts w:ascii="Calibri" w:hAnsi="Calibri" w:cs="Calibri"/>
          <w:sz w:val="18"/>
          <w:szCs w:val="18"/>
        </w:rPr>
        <w:t xml:space="preserve">Zdroj: </w:t>
      </w:r>
      <w:r w:rsidRPr="00787800">
        <w:rPr>
          <w:rFonts w:ascii="Calibri" w:hAnsi="Calibri" w:cs="Calibri"/>
          <w:sz w:val="18"/>
          <w:szCs w:val="18"/>
        </w:rPr>
        <w:t>I</w:t>
      </w:r>
      <w:r>
        <w:rPr>
          <w:rFonts w:ascii="Calibri" w:hAnsi="Calibri" w:cs="Calibri"/>
          <w:sz w:val="18"/>
          <w:szCs w:val="18"/>
        </w:rPr>
        <w:t>nnovation Union Scoreboard 2011</w:t>
      </w:r>
    </w:p>
    <w:p w:rsidR="00787800" w:rsidRDefault="00787800" w:rsidP="00787800">
      <w:pPr>
        <w:overflowPunct/>
        <w:jc w:val="both"/>
        <w:textAlignment w:val="auto"/>
        <w:rPr>
          <w:sz w:val="24"/>
        </w:rPr>
      </w:pPr>
    </w:p>
    <w:p w:rsidR="00787800" w:rsidRPr="00787800" w:rsidRDefault="00787800" w:rsidP="00787800">
      <w:pPr>
        <w:pStyle w:val="Odstavecseseznamem"/>
        <w:ind w:left="0"/>
        <w:jc w:val="both"/>
        <w:rPr>
          <w:rFonts w:ascii="Calibri" w:hAnsi="Calibri" w:cs="Calibri"/>
          <w:sz w:val="24"/>
        </w:rPr>
      </w:pPr>
      <w:r w:rsidRPr="00787800">
        <w:rPr>
          <w:rFonts w:ascii="Calibri" w:hAnsi="Calibri" w:cs="Calibri"/>
          <w:sz w:val="24"/>
        </w:rPr>
        <w:t xml:space="preserve">Uvedený graf ukazuje na velkou nevyrovnanost inovačního systému ČR, která spadá pod „moderate innovators“, zejména v porovnání s „innovation leaders“, kteří vykazují vyrovnanou výkonnost ve všech sledovaných indikátorech. </w:t>
      </w:r>
    </w:p>
    <w:p w:rsidR="00D95F88" w:rsidRPr="0023642B" w:rsidRDefault="00D95F88" w:rsidP="00D95F88">
      <w:pPr>
        <w:pStyle w:val="Odstavecseseznamem"/>
        <w:ind w:left="0"/>
        <w:jc w:val="both"/>
        <w:rPr>
          <w:rFonts w:ascii="Calibri" w:hAnsi="Calibri" w:cs="Calibri"/>
          <w:sz w:val="24"/>
        </w:rPr>
      </w:pPr>
    </w:p>
    <w:p w:rsidR="00D95F88" w:rsidRDefault="00D95F88" w:rsidP="00D95F88">
      <w:pPr>
        <w:pStyle w:val="Odstavecseseznamem"/>
        <w:ind w:left="0"/>
        <w:jc w:val="both"/>
        <w:rPr>
          <w:rFonts w:ascii="Calibri" w:hAnsi="Calibri" w:cs="Calibri"/>
          <w:sz w:val="24"/>
        </w:rPr>
      </w:pPr>
      <w:r w:rsidRPr="0023642B">
        <w:rPr>
          <w:rFonts w:ascii="Calibri" w:hAnsi="Calibri" w:cs="Calibri"/>
          <w:sz w:val="24"/>
        </w:rPr>
        <w:t>I když se ČR v IUS a dalších statistikách dlouhodobě stále zlepšuje, mj. d</w:t>
      </w:r>
      <w:r w:rsidR="009176DD">
        <w:rPr>
          <w:rFonts w:ascii="Calibri" w:hAnsi="Calibri" w:cs="Calibri"/>
          <w:sz w:val="24"/>
        </w:rPr>
        <w:t xml:space="preserve">íky dosavadní podpoře výzkumu, </w:t>
      </w:r>
      <w:r w:rsidRPr="0023642B">
        <w:rPr>
          <w:rFonts w:ascii="Calibri" w:hAnsi="Calibri" w:cs="Calibri"/>
          <w:sz w:val="24"/>
        </w:rPr>
        <w:t>vývoje</w:t>
      </w:r>
      <w:r w:rsidR="009176DD">
        <w:rPr>
          <w:rFonts w:ascii="Calibri" w:hAnsi="Calibri" w:cs="Calibri"/>
          <w:sz w:val="24"/>
        </w:rPr>
        <w:t xml:space="preserve"> a inovací</w:t>
      </w:r>
      <w:r w:rsidRPr="0023642B">
        <w:rPr>
          <w:rFonts w:ascii="Calibri" w:hAnsi="Calibri" w:cs="Calibri"/>
          <w:sz w:val="24"/>
        </w:rPr>
        <w:t xml:space="preserve"> ze strukturálních fondů, je při podrobnějším pohledu na výsledky patrné, že ČR stále zaostává především v tzv. umožň</w:t>
      </w:r>
      <w:r w:rsidRPr="00D66FF7">
        <w:rPr>
          <w:rFonts w:ascii="Calibri" w:hAnsi="Calibri" w:cs="Calibri"/>
          <w:sz w:val="24"/>
        </w:rPr>
        <w:t xml:space="preserve">ujících faktorech („enablers“ – dostupnost </w:t>
      </w:r>
      <w:r w:rsidRPr="00D66FF7">
        <w:rPr>
          <w:rFonts w:ascii="Calibri" w:hAnsi="Calibri" w:cs="Calibri"/>
          <w:sz w:val="24"/>
        </w:rPr>
        <w:lastRenderedPageBreak/>
        <w:t>kvalifikovaných lidských zdrojů a financí na inovační aktivity) a právě také z pohledu aktivit firem – nejvíce v oblasti ochrany duševního vlastnictví a technologic</w:t>
      </w:r>
      <w:r w:rsidRPr="0023642B">
        <w:rPr>
          <w:rFonts w:ascii="Calibri" w:hAnsi="Calibri" w:cs="Calibri"/>
          <w:sz w:val="24"/>
        </w:rPr>
        <w:t>ké platební bilance (ČR daleko více přebírá technologie ze zahraničí, než je schopna sama do zahraničí poskytnout). Ač tedy celková pozice ČR není v porovnání s ostatními evropskými zeměmi nepříznivá, v pozadí struktury IUS je fakt, že klíčovým zdrojem dosavadní konvergence ČR k ekonomické úrovni EU byl především růst produktivity. Ta však nebyla tažena znalostními faktory, ale především přejímáním vnějších znalostí a technologií (byť kreativně přizpůsobovaných lokálním potřebám) a zvyšováním efektivnosti produkce (snižováním nákladů). V souladu s konceptem inteligentní specializace je proto nutné směřovat intervence především na excelentní vědecké výsledky světov</w:t>
      </w:r>
      <w:r w:rsidRPr="00D66FF7">
        <w:rPr>
          <w:rFonts w:ascii="Calibri" w:hAnsi="Calibri" w:cs="Calibri"/>
          <w:sz w:val="24"/>
        </w:rPr>
        <w:t>ého (příp. evropského) významu a jejich významné přínosy pro soukromou a veřejnou sféru. Zásadním faktorem pro posílení konkurenceschopnosti národního hospodářství je tak přím</w:t>
      </w:r>
      <w:r w:rsidR="009176DD" w:rsidRPr="00D66FF7">
        <w:rPr>
          <w:rFonts w:ascii="Calibri" w:hAnsi="Calibri" w:cs="Calibri"/>
          <w:sz w:val="24"/>
        </w:rPr>
        <w:t xml:space="preserve">á podpora podnikového výzkumu, </w:t>
      </w:r>
      <w:r w:rsidRPr="00D66FF7">
        <w:rPr>
          <w:rFonts w:ascii="Calibri" w:hAnsi="Calibri" w:cs="Calibri"/>
          <w:sz w:val="24"/>
        </w:rPr>
        <w:t>vývoje</w:t>
      </w:r>
      <w:r w:rsidR="009176DD" w:rsidRPr="00D66FF7">
        <w:rPr>
          <w:rFonts w:ascii="Calibri" w:hAnsi="Calibri" w:cs="Calibri"/>
          <w:sz w:val="24"/>
        </w:rPr>
        <w:t xml:space="preserve"> a inovací</w:t>
      </w:r>
      <w:r w:rsidRPr="00D66FF7">
        <w:rPr>
          <w:rFonts w:ascii="Calibri" w:hAnsi="Calibri" w:cs="Calibri"/>
          <w:sz w:val="24"/>
        </w:rPr>
        <w:t>.</w:t>
      </w:r>
    </w:p>
    <w:p w:rsidR="00D95F88" w:rsidRPr="0023642B" w:rsidRDefault="00D95F88" w:rsidP="00D95F88">
      <w:pPr>
        <w:pStyle w:val="Odstavecseseznamem"/>
        <w:ind w:left="0"/>
        <w:jc w:val="both"/>
        <w:rPr>
          <w:rFonts w:ascii="Calibri" w:hAnsi="Calibri" w:cs="Calibri"/>
          <w:sz w:val="24"/>
        </w:rPr>
      </w:pPr>
    </w:p>
    <w:p w:rsidR="00C85220" w:rsidRDefault="00D95F88" w:rsidP="00D95F88">
      <w:pPr>
        <w:pStyle w:val="Odstavecseseznamem"/>
        <w:ind w:left="0"/>
        <w:jc w:val="both"/>
        <w:rPr>
          <w:rFonts w:ascii="Calibri" w:hAnsi="Calibri" w:cs="Calibri"/>
          <w:sz w:val="24"/>
        </w:rPr>
      </w:pPr>
      <w:r w:rsidRPr="0023642B">
        <w:rPr>
          <w:rFonts w:ascii="Calibri" w:hAnsi="Calibri" w:cs="Calibri"/>
          <w:sz w:val="24"/>
        </w:rPr>
        <w:t>Základními konkrétními ukazateli hodnocení znalostní ekonomiky jsou výdaje na výzkum a vývoj a pracovníci výzkumu a vývoje</w:t>
      </w:r>
      <w:r>
        <w:rPr>
          <w:rFonts w:ascii="Calibri" w:hAnsi="Calibri" w:cs="Calibri"/>
          <w:sz w:val="24"/>
        </w:rPr>
        <w:t xml:space="preserve">. </w:t>
      </w:r>
      <w:r w:rsidRPr="0023642B">
        <w:rPr>
          <w:rFonts w:ascii="Calibri" w:hAnsi="Calibri" w:cs="Calibri"/>
          <w:sz w:val="24"/>
        </w:rPr>
        <w:t>Z hlediska výzkumu a vývoje činil podíl výdajů v podnikate</w:t>
      </w:r>
      <w:r w:rsidR="009176DD">
        <w:rPr>
          <w:rFonts w:ascii="Calibri" w:hAnsi="Calibri" w:cs="Calibri"/>
          <w:sz w:val="24"/>
        </w:rPr>
        <w:t xml:space="preserve">lském sektoru </w:t>
      </w:r>
      <w:r w:rsidR="009176DD" w:rsidRPr="00456806">
        <w:rPr>
          <w:rFonts w:ascii="Calibri" w:hAnsi="Calibri" w:cs="Calibri"/>
          <w:sz w:val="24"/>
        </w:rPr>
        <w:t>na HDP v roce 2011</w:t>
      </w:r>
      <w:r w:rsidRPr="00456806">
        <w:rPr>
          <w:rFonts w:ascii="Calibri" w:hAnsi="Calibri" w:cs="Calibri"/>
          <w:sz w:val="24"/>
        </w:rPr>
        <w:t xml:space="preserve"> dle ČSÚ 1</w:t>
      </w:r>
      <w:r w:rsidR="009176DD" w:rsidRPr="00456806">
        <w:rPr>
          <w:rFonts w:ascii="Calibri" w:hAnsi="Calibri" w:cs="Calibri"/>
          <w:sz w:val="24"/>
        </w:rPr>
        <w:t>,12</w:t>
      </w:r>
      <w:r w:rsidRPr="00456806">
        <w:rPr>
          <w:rFonts w:ascii="Calibri" w:hAnsi="Calibri" w:cs="Calibri"/>
          <w:sz w:val="24"/>
        </w:rPr>
        <w:t xml:space="preserve"> %, což v běžn</w:t>
      </w:r>
      <w:r w:rsidRPr="0023642B">
        <w:rPr>
          <w:rFonts w:ascii="Calibri" w:hAnsi="Calibri" w:cs="Calibri"/>
          <w:sz w:val="24"/>
        </w:rPr>
        <w:t>ých cenách odpo</w:t>
      </w:r>
      <w:r w:rsidR="009176DD">
        <w:rPr>
          <w:rFonts w:ascii="Calibri" w:hAnsi="Calibri" w:cs="Calibri"/>
          <w:sz w:val="24"/>
        </w:rPr>
        <w:t>vídá 42</w:t>
      </w:r>
      <w:r w:rsidRPr="0023642B">
        <w:rPr>
          <w:rFonts w:ascii="Calibri" w:hAnsi="Calibri" w:cs="Calibri"/>
          <w:sz w:val="24"/>
        </w:rPr>
        <w:t>,6 m</w:t>
      </w:r>
      <w:r w:rsidR="009176DD">
        <w:rPr>
          <w:rFonts w:ascii="Calibri" w:hAnsi="Calibri" w:cs="Calibri"/>
          <w:sz w:val="24"/>
        </w:rPr>
        <w:t>ld. Kč. V porovnání s rokem 2010</w:t>
      </w:r>
      <w:r w:rsidRPr="0023642B">
        <w:rPr>
          <w:rFonts w:ascii="Calibri" w:hAnsi="Calibri" w:cs="Calibri"/>
          <w:sz w:val="24"/>
        </w:rPr>
        <w:t xml:space="preserve"> došlo k nomináln</w:t>
      </w:r>
      <w:r w:rsidR="009176DD">
        <w:rPr>
          <w:rFonts w:ascii="Calibri" w:hAnsi="Calibri" w:cs="Calibri"/>
          <w:sz w:val="24"/>
        </w:rPr>
        <w:t>ímu nárůstu tohoto ukazatele o 6,03</w:t>
      </w:r>
      <w:r w:rsidRPr="0023642B">
        <w:rPr>
          <w:rFonts w:ascii="Calibri" w:hAnsi="Calibri" w:cs="Calibri"/>
          <w:sz w:val="24"/>
        </w:rPr>
        <w:t xml:space="preserve">5 mld. Kč. Z hlediska zdrojů financování si podnikatelský sektor oproti období 1999 - 2008 neudržel více než 50% podíl na celkových výdajích na VaV. Z druhé strany je pozitivním trendem získávání prostředků na rozvoj VaV i ze zahraničních zdrojů, a to také v rámci </w:t>
      </w:r>
      <w:r w:rsidR="00280384">
        <w:rPr>
          <w:rFonts w:ascii="Calibri" w:hAnsi="Calibri" w:cs="Calibri"/>
          <w:sz w:val="24"/>
        </w:rPr>
        <w:t>programů a fondů EU. V roce 2011</w:t>
      </w:r>
      <w:r w:rsidRPr="0023642B">
        <w:rPr>
          <w:rFonts w:ascii="Calibri" w:hAnsi="Calibri" w:cs="Calibri"/>
          <w:sz w:val="24"/>
        </w:rPr>
        <w:t xml:space="preserve"> se již zahraniční zdroje podílely na financování VaV plnými </w:t>
      </w:r>
      <w:r w:rsidR="00280384">
        <w:rPr>
          <w:rFonts w:ascii="Calibri" w:hAnsi="Calibri" w:cs="Calibri"/>
          <w:sz w:val="24"/>
        </w:rPr>
        <w:t>15,2</w:t>
      </w:r>
      <w:r w:rsidRPr="0023642B">
        <w:rPr>
          <w:rFonts w:ascii="Calibri" w:hAnsi="Calibri" w:cs="Calibri"/>
          <w:sz w:val="24"/>
        </w:rPr>
        <w:t xml:space="preserve"> %. </w:t>
      </w:r>
      <w:r w:rsidR="00C85220" w:rsidRPr="00C85220">
        <w:rPr>
          <w:rFonts w:ascii="Calibri" w:hAnsi="Calibri" w:cs="Calibri"/>
          <w:sz w:val="24"/>
        </w:rPr>
        <w:t>Relativně silná závislost znalostních a inovačních sektorů na zahraničních subjektech je dalším z faktorů, který může mít positivní vliv na posílení meziregionálních vazeb jak v rámci ČR, tak mezi členskými státy EU. Intervence ze strukturálních fondů by tak paralelně s národními a zahraničními zdroji napomáhaly zvyšovat kvalitativní základnu inovativních kapacit VaV, což by sebou přinášelo další synergické efekty vedoucí ke zvyšování konkurenceschopnosti národního hospodářství.</w:t>
      </w:r>
    </w:p>
    <w:p w:rsidR="00C85220" w:rsidRDefault="00C85220" w:rsidP="00D95F88">
      <w:pPr>
        <w:pStyle w:val="Odstavecseseznamem"/>
        <w:ind w:left="0"/>
        <w:jc w:val="both"/>
        <w:rPr>
          <w:rFonts w:ascii="Calibri" w:hAnsi="Calibri" w:cs="Calibri"/>
          <w:sz w:val="24"/>
        </w:rPr>
      </w:pPr>
    </w:p>
    <w:p w:rsidR="00D95F88" w:rsidRDefault="00D95F88" w:rsidP="00D95F88">
      <w:pPr>
        <w:pStyle w:val="Odstavecseseznamem"/>
        <w:ind w:left="0"/>
        <w:jc w:val="both"/>
        <w:rPr>
          <w:rFonts w:ascii="Calibri" w:hAnsi="Calibri" w:cs="Calibri"/>
          <w:sz w:val="24"/>
        </w:rPr>
      </w:pPr>
      <w:r w:rsidRPr="0023642B">
        <w:rPr>
          <w:rFonts w:ascii="Calibri" w:hAnsi="Calibri" w:cs="Calibri"/>
          <w:sz w:val="24"/>
        </w:rPr>
        <w:t>Ačkoliv</w:t>
      </w:r>
      <w:r w:rsidR="00280384">
        <w:rPr>
          <w:rFonts w:ascii="Calibri" w:hAnsi="Calibri" w:cs="Calibri"/>
          <w:sz w:val="24"/>
        </w:rPr>
        <w:t xml:space="preserve"> je</w:t>
      </w:r>
      <w:r w:rsidRPr="0023642B">
        <w:rPr>
          <w:rFonts w:ascii="Calibri" w:hAnsi="Calibri" w:cs="Calibri"/>
          <w:sz w:val="24"/>
        </w:rPr>
        <w:t xml:space="preserve"> podíl výdajů podnikatelského sektoru na ukazat</w:t>
      </w:r>
      <w:r w:rsidRPr="00456806">
        <w:rPr>
          <w:rFonts w:ascii="Calibri" w:hAnsi="Calibri" w:cs="Calibri"/>
          <w:sz w:val="24"/>
        </w:rPr>
        <w:t>eli GERD (celkových</w:t>
      </w:r>
      <w:r w:rsidR="00280384" w:rsidRPr="00456806">
        <w:rPr>
          <w:rFonts w:ascii="Calibri" w:hAnsi="Calibri" w:cs="Calibri"/>
          <w:sz w:val="24"/>
        </w:rPr>
        <w:t xml:space="preserve"> výdajích na VaV) okolo 50 % </w:t>
      </w:r>
      <w:r w:rsidRPr="00456806">
        <w:rPr>
          <w:rFonts w:ascii="Calibri" w:hAnsi="Calibri" w:cs="Calibri"/>
          <w:sz w:val="24"/>
        </w:rPr>
        <w:t>v mezinárodním srovnání dobrý výsledek, zůstává v Česku</w:t>
      </w:r>
      <w:r w:rsidRPr="0023642B">
        <w:rPr>
          <w:rFonts w:ascii="Calibri" w:hAnsi="Calibri" w:cs="Calibri"/>
          <w:sz w:val="24"/>
        </w:rPr>
        <w:t xml:space="preserve"> nízký celkový podíl celkových výdajů na VaV na HDP (1</w:t>
      </w:r>
      <w:r w:rsidR="00280384">
        <w:rPr>
          <w:rFonts w:ascii="Calibri" w:hAnsi="Calibri" w:cs="Calibri"/>
          <w:sz w:val="24"/>
        </w:rPr>
        <w:t>,86</w:t>
      </w:r>
      <w:r w:rsidRPr="0023642B">
        <w:rPr>
          <w:rFonts w:ascii="Calibri" w:hAnsi="Calibri" w:cs="Calibri"/>
          <w:sz w:val="24"/>
        </w:rPr>
        <w:t xml:space="preserve"> %, </w:t>
      </w:r>
      <w:r w:rsidR="0049315C">
        <w:rPr>
          <w:rFonts w:ascii="Calibri" w:hAnsi="Calibri" w:cs="Calibri"/>
          <w:sz w:val="24"/>
        </w:rPr>
        <w:t>cíl Evropy 2020 jsou 3%</w:t>
      </w:r>
      <w:r w:rsidRPr="0023642B">
        <w:rPr>
          <w:rFonts w:ascii="Calibri" w:hAnsi="Calibri" w:cs="Calibri"/>
          <w:sz w:val="24"/>
        </w:rPr>
        <w:t>). V podstatě shodně jako výdaje na VaV se dlouhodobě vyvíjí i počet výzkumných pracovníků. I podle tohoto ukazatele lze ČR zařadit mezi skupinu zemí s nižší úrovní kapacit VaV ale s rychlejším růstem.</w:t>
      </w:r>
    </w:p>
    <w:p w:rsidR="00787800" w:rsidRDefault="00787800" w:rsidP="00D95F88">
      <w:pPr>
        <w:pStyle w:val="Odstavecseseznamem"/>
        <w:ind w:left="0"/>
        <w:jc w:val="both"/>
        <w:rPr>
          <w:rFonts w:ascii="Calibri" w:hAnsi="Calibri" w:cs="Calibri"/>
          <w:sz w:val="24"/>
        </w:rPr>
      </w:pPr>
    </w:p>
    <w:p w:rsidR="00787800" w:rsidRDefault="00787800" w:rsidP="00D95F88">
      <w:pPr>
        <w:pStyle w:val="Odstavecseseznamem"/>
        <w:ind w:left="0"/>
        <w:jc w:val="both"/>
        <w:rPr>
          <w:rFonts w:ascii="Calibri" w:hAnsi="Calibri" w:cs="Calibri"/>
          <w:sz w:val="24"/>
        </w:rPr>
      </w:pPr>
      <w:r w:rsidRPr="00787800">
        <w:rPr>
          <w:rFonts w:ascii="Calibri" w:hAnsi="Calibri" w:cs="Calibri"/>
          <w:sz w:val="24"/>
        </w:rPr>
        <w:t>Z analýzy vyplývá, že vzniká potřeba podporovat diverzifikaci VaVaI v ČR v aplikační sféře. Kromě v současné době několika málo odvětví dominantních ve VaV disponují VaV potenciálem i některá další, přičemž se nejedná vždy jen o high-tech výrobu. I low-tech či mid-tech odvětví, která jsou v ČR zdaleka nejvýznamnější, disponují potenciálem pro rozvoj inovačních a VaV aktivit.</w:t>
      </w:r>
    </w:p>
    <w:p w:rsidR="00D95F88" w:rsidRPr="0023642B" w:rsidRDefault="00D95F88" w:rsidP="00D95F88">
      <w:pPr>
        <w:pStyle w:val="Odstavecseseznamem"/>
        <w:ind w:left="0"/>
        <w:jc w:val="both"/>
        <w:rPr>
          <w:rFonts w:ascii="Calibri" w:hAnsi="Calibri" w:cs="Calibri"/>
          <w:sz w:val="24"/>
        </w:rPr>
      </w:pPr>
    </w:p>
    <w:p w:rsidR="00D95F88" w:rsidRPr="0023642B" w:rsidRDefault="00D95F88" w:rsidP="00D95F88">
      <w:pPr>
        <w:pStyle w:val="Odstavecseseznamem"/>
        <w:ind w:left="0"/>
        <w:jc w:val="both"/>
        <w:rPr>
          <w:rFonts w:ascii="Calibri" w:hAnsi="Calibri" w:cs="Calibri"/>
          <w:sz w:val="24"/>
        </w:rPr>
      </w:pPr>
      <w:r w:rsidRPr="0023642B">
        <w:rPr>
          <w:rFonts w:ascii="Calibri" w:hAnsi="Calibri" w:cs="Calibri"/>
          <w:sz w:val="24"/>
        </w:rPr>
        <w:t>Z hlediska jednotlivých odvětví je největší část výdajů na VaV v podnikatelském sektoru realizována ve zpracovatelském</w:t>
      </w:r>
      <w:r w:rsidR="004F250E">
        <w:rPr>
          <w:rFonts w:ascii="Calibri" w:hAnsi="Calibri" w:cs="Calibri"/>
          <w:sz w:val="24"/>
        </w:rPr>
        <w:t xml:space="preserve"> průmyslu – v roce 2011</w:t>
      </w:r>
      <w:r w:rsidRPr="0023642B">
        <w:rPr>
          <w:rFonts w:ascii="Calibri" w:hAnsi="Calibri" w:cs="Calibri"/>
          <w:sz w:val="24"/>
        </w:rPr>
        <w:t xml:space="preserve"> tvořil podíl zpraco</w:t>
      </w:r>
      <w:r w:rsidR="004F250E">
        <w:rPr>
          <w:rFonts w:ascii="Calibri" w:hAnsi="Calibri" w:cs="Calibri"/>
          <w:sz w:val="24"/>
        </w:rPr>
        <w:t>vatelského průmyslu přibližně 64</w:t>
      </w:r>
      <w:r w:rsidRPr="0023642B">
        <w:rPr>
          <w:rFonts w:ascii="Calibri" w:hAnsi="Calibri" w:cs="Calibri"/>
          <w:sz w:val="24"/>
        </w:rPr>
        <w:t xml:space="preserve"> % celkových podnikatelských výdajů na </w:t>
      </w:r>
      <w:r w:rsidRPr="00FB6BDB">
        <w:rPr>
          <w:rFonts w:ascii="Calibri" w:hAnsi="Calibri" w:cs="Calibri"/>
          <w:sz w:val="24"/>
        </w:rPr>
        <w:t xml:space="preserve">VaV (viz graf </w:t>
      </w:r>
      <w:r w:rsidR="00456806" w:rsidRPr="00FB6BDB">
        <w:rPr>
          <w:rFonts w:ascii="Calibri" w:hAnsi="Calibri" w:cs="Calibri"/>
          <w:sz w:val="24"/>
        </w:rPr>
        <w:t>2</w:t>
      </w:r>
      <w:r w:rsidRPr="00FB6BDB">
        <w:rPr>
          <w:rFonts w:ascii="Calibri" w:hAnsi="Calibri" w:cs="Calibri"/>
          <w:sz w:val="24"/>
        </w:rPr>
        <w:t>). Výz</w:t>
      </w:r>
      <w:r w:rsidRPr="0023642B">
        <w:rPr>
          <w:rFonts w:ascii="Calibri" w:hAnsi="Calibri" w:cs="Calibri"/>
          <w:sz w:val="24"/>
        </w:rPr>
        <w:t xml:space="preserve">namnou roli hrála ale i skupina informačních a komunikačních činností (sekce J), jejíž podíl se navíc od roku </w:t>
      </w:r>
      <w:r w:rsidR="00A9734B">
        <w:rPr>
          <w:rFonts w:ascii="Calibri" w:hAnsi="Calibri" w:cs="Calibri"/>
          <w:sz w:val="24"/>
        </w:rPr>
        <w:t>2006</w:t>
      </w:r>
      <w:r w:rsidRPr="0023642B">
        <w:rPr>
          <w:rFonts w:ascii="Calibri" w:hAnsi="Calibri" w:cs="Calibri"/>
          <w:sz w:val="24"/>
        </w:rPr>
        <w:t xml:space="preserve"> zvýši</w:t>
      </w:r>
      <w:r w:rsidR="00A9734B">
        <w:rPr>
          <w:rFonts w:ascii="Calibri" w:hAnsi="Calibri" w:cs="Calibri"/>
          <w:sz w:val="24"/>
        </w:rPr>
        <w:t>l z 8,6 % na 11,6</w:t>
      </w:r>
      <w:r w:rsidRPr="0023642B">
        <w:rPr>
          <w:rFonts w:ascii="Calibri" w:hAnsi="Calibri" w:cs="Calibri"/>
          <w:sz w:val="24"/>
        </w:rPr>
        <w:t xml:space="preserve"> %. Ve významné míře se jedná o vývojová centra v oblasti IT a také </w:t>
      </w:r>
      <w:r w:rsidRPr="0023642B">
        <w:rPr>
          <w:rFonts w:ascii="Calibri" w:hAnsi="Calibri" w:cs="Calibri"/>
          <w:sz w:val="24"/>
        </w:rPr>
        <w:lastRenderedPageBreak/>
        <w:t>centra strategických služeb a technologická centra.  Naopak výdaje na VaV ve skupině podniků s předmětem podnikání přímo „výzkum a vývoj“ (nejčastěji VaV v oblasti přírodních</w:t>
      </w:r>
      <w:r w:rsidR="00A9734B">
        <w:rPr>
          <w:rFonts w:ascii="Calibri" w:hAnsi="Calibri" w:cs="Calibri"/>
          <w:sz w:val="24"/>
        </w:rPr>
        <w:t xml:space="preserve"> a technických věd) od roku 2007</w:t>
      </w:r>
      <w:r w:rsidRPr="0023642B">
        <w:rPr>
          <w:rFonts w:ascii="Calibri" w:hAnsi="Calibri" w:cs="Calibri"/>
          <w:sz w:val="24"/>
        </w:rPr>
        <w:t xml:space="preserve"> v relativním vyjádření poklesly z</w:t>
      </w:r>
      <w:r w:rsidR="00A9734B">
        <w:rPr>
          <w:rFonts w:ascii="Calibri" w:hAnsi="Calibri" w:cs="Calibri"/>
          <w:sz w:val="24"/>
        </w:rPr>
        <w:t> 14,4 % na 11,7</w:t>
      </w:r>
      <w:r w:rsidRPr="0023642B">
        <w:rPr>
          <w:rFonts w:ascii="Calibri" w:hAnsi="Calibri" w:cs="Calibri"/>
          <w:sz w:val="24"/>
        </w:rPr>
        <w:t xml:space="preserve"> % podnik</w:t>
      </w:r>
      <w:r w:rsidR="00A9734B">
        <w:rPr>
          <w:rFonts w:ascii="Calibri" w:hAnsi="Calibri" w:cs="Calibri"/>
          <w:sz w:val="24"/>
        </w:rPr>
        <w:t>atelských VaV výdajů v roce 2011</w:t>
      </w:r>
      <w:r w:rsidRPr="0023642B">
        <w:rPr>
          <w:rFonts w:ascii="Calibri" w:hAnsi="Calibri" w:cs="Calibri"/>
          <w:sz w:val="24"/>
        </w:rPr>
        <w:t>.</w:t>
      </w:r>
    </w:p>
    <w:p w:rsidR="00D95F88" w:rsidRPr="0023642B" w:rsidRDefault="00D95F88" w:rsidP="00D95F88">
      <w:pPr>
        <w:rPr>
          <w:rFonts w:ascii="Calibri" w:hAnsi="Calibri" w:cs="Calibri"/>
        </w:rPr>
      </w:pPr>
    </w:p>
    <w:p w:rsidR="00D95F88" w:rsidRPr="0023642B" w:rsidRDefault="00D95F88" w:rsidP="00D95F88">
      <w:pPr>
        <w:pStyle w:val="Titulek"/>
        <w:keepNext/>
        <w:rPr>
          <w:rFonts w:ascii="Calibri" w:hAnsi="Calibri" w:cs="Calibri"/>
        </w:rPr>
      </w:pPr>
      <w:r w:rsidRPr="00FB6BDB">
        <w:rPr>
          <w:rFonts w:ascii="Calibri" w:hAnsi="Calibri" w:cs="Calibri"/>
        </w:rPr>
        <w:t xml:space="preserve">Graf </w:t>
      </w:r>
      <w:r w:rsidR="008534F0" w:rsidRPr="00FB6BDB">
        <w:rPr>
          <w:rFonts w:ascii="Calibri" w:hAnsi="Calibri" w:cs="Calibri"/>
        </w:rPr>
        <w:fldChar w:fldCharType="begin"/>
      </w:r>
      <w:r w:rsidRPr="00FB6BDB">
        <w:rPr>
          <w:rFonts w:ascii="Calibri" w:hAnsi="Calibri" w:cs="Calibri"/>
        </w:rPr>
        <w:instrText xml:space="preserve"> SEQ Graf \* ARABIC </w:instrText>
      </w:r>
      <w:r w:rsidR="008534F0" w:rsidRPr="00FB6BDB">
        <w:rPr>
          <w:rFonts w:ascii="Calibri" w:hAnsi="Calibri" w:cs="Calibri"/>
        </w:rPr>
        <w:fldChar w:fldCharType="separate"/>
      </w:r>
      <w:r w:rsidR="00D92A26">
        <w:rPr>
          <w:rFonts w:ascii="Calibri" w:hAnsi="Calibri" w:cs="Calibri"/>
          <w:noProof/>
        </w:rPr>
        <w:t>2</w:t>
      </w:r>
      <w:r w:rsidR="008534F0" w:rsidRPr="00FB6BDB">
        <w:rPr>
          <w:rFonts w:ascii="Calibri" w:hAnsi="Calibri" w:cs="Calibri"/>
          <w:noProof/>
        </w:rPr>
        <w:fldChar w:fldCharType="end"/>
      </w:r>
      <w:r w:rsidRPr="00FB6BDB">
        <w:rPr>
          <w:rFonts w:ascii="Calibri" w:hAnsi="Calibri" w:cs="Calibri"/>
        </w:rPr>
        <w:t>: Výda</w:t>
      </w:r>
      <w:r w:rsidRPr="0023642B">
        <w:rPr>
          <w:rFonts w:ascii="Calibri" w:hAnsi="Calibri" w:cs="Calibri"/>
        </w:rPr>
        <w:t>je na VaV v podnikatelském sektoru podle odvětvových sekcí a velikosti výdajů na VaV, 200</w:t>
      </w:r>
      <w:r w:rsidR="00A9734B">
        <w:rPr>
          <w:rFonts w:ascii="Calibri" w:hAnsi="Calibri" w:cs="Calibri"/>
        </w:rPr>
        <w:t>6</w:t>
      </w:r>
      <w:r w:rsidRPr="0023642B">
        <w:rPr>
          <w:rFonts w:ascii="Calibri" w:hAnsi="Calibri" w:cs="Calibri"/>
        </w:rPr>
        <w:t>-201</w:t>
      </w:r>
      <w:r w:rsidR="00A9734B">
        <w:rPr>
          <w:rFonts w:ascii="Calibri" w:hAnsi="Calibri" w:cs="Calibri"/>
        </w:rPr>
        <w:t>1</w:t>
      </w:r>
    </w:p>
    <w:p w:rsidR="00D95F88" w:rsidRPr="0023642B" w:rsidRDefault="002C4DA9" w:rsidP="00D95F88">
      <w:pPr>
        <w:rPr>
          <w:rFonts w:ascii="Calibri" w:hAnsi="Calibri" w:cs="Calibri"/>
          <w:szCs w:val="24"/>
        </w:rPr>
      </w:pPr>
      <w:r>
        <w:rPr>
          <w:rFonts w:ascii="Calibri" w:hAnsi="Calibri" w:cs="Calibri"/>
          <w:noProof/>
          <w:szCs w:val="24"/>
        </w:rPr>
        <w:drawing>
          <wp:inline distT="0" distB="0" distL="0" distR="0">
            <wp:extent cx="5831205" cy="4123690"/>
            <wp:effectExtent l="0" t="0" r="0" b="0"/>
            <wp:docPr id="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1205" cy="4123690"/>
                    </a:xfrm>
                    <a:prstGeom prst="rect">
                      <a:avLst/>
                    </a:prstGeom>
                    <a:noFill/>
                    <a:ln>
                      <a:noFill/>
                    </a:ln>
                  </pic:spPr>
                </pic:pic>
              </a:graphicData>
            </a:graphic>
          </wp:inline>
        </w:drawing>
      </w:r>
    </w:p>
    <w:p w:rsidR="00D95F88" w:rsidRPr="0023642B" w:rsidRDefault="00D95F88" w:rsidP="00D95F88">
      <w:pPr>
        <w:rPr>
          <w:rFonts w:ascii="Calibri" w:hAnsi="Calibri" w:cs="Calibri"/>
          <w:sz w:val="18"/>
          <w:szCs w:val="18"/>
        </w:rPr>
      </w:pPr>
      <w:r w:rsidRPr="0023642B">
        <w:rPr>
          <w:rFonts w:ascii="Calibri" w:hAnsi="Calibri" w:cs="Calibri"/>
          <w:sz w:val="18"/>
          <w:szCs w:val="18"/>
        </w:rPr>
        <w:t>Zdroj: ČSÚ – Ukazatele výzkumu a vývoje</w:t>
      </w:r>
    </w:p>
    <w:p w:rsidR="00D95F88" w:rsidRPr="0023642B" w:rsidRDefault="00D95F88" w:rsidP="00D95F88">
      <w:pPr>
        <w:rPr>
          <w:rFonts w:ascii="Calibri" w:hAnsi="Calibri" w:cs="Calibri"/>
          <w:sz w:val="18"/>
          <w:szCs w:val="18"/>
        </w:rPr>
      </w:pPr>
    </w:p>
    <w:p w:rsidR="00D95F88" w:rsidRDefault="00D95F88" w:rsidP="00D95F88">
      <w:pPr>
        <w:pStyle w:val="Odstavecseseznamem"/>
        <w:ind w:left="0"/>
        <w:jc w:val="both"/>
        <w:rPr>
          <w:rFonts w:ascii="Calibri" w:hAnsi="Calibri" w:cs="Calibri"/>
          <w:sz w:val="24"/>
        </w:rPr>
      </w:pPr>
      <w:r w:rsidRPr="0023642B">
        <w:rPr>
          <w:rFonts w:ascii="Calibri" w:hAnsi="Calibri" w:cs="Calibri"/>
          <w:sz w:val="24"/>
        </w:rPr>
        <w:t>Z hlediska vnitřní odvětvové struktury jsou výdaje na VaV v průmyslu významně koncentrovány v odvětví výroby dopravn</w:t>
      </w:r>
      <w:r w:rsidR="0054260A">
        <w:rPr>
          <w:rFonts w:ascii="Calibri" w:hAnsi="Calibri" w:cs="Calibri"/>
          <w:sz w:val="24"/>
        </w:rPr>
        <w:t>ích prostředků, a to zhruba ze 5</w:t>
      </w:r>
      <w:r w:rsidRPr="0023642B">
        <w:rPr>
          <w:rFonts w:ascii="Calibri" w:hAnsi="Calibri" w:cs="Calibri"/>
          <w:sz w:val="24"/>
        </w:rPr>
        <w:t>0 %. Taková koncentrace významně snižuje celkový inovační, resp. VaV potenciál českého průmyslu a naopak dokládá jeho fragmentárnost. Data z šetření ČSÚ ukazují, že aktivitami VaV se v ČR zatím zabývá pouze úzká skupina subjektů (cca. 2 500 pracovišť), jejíž výdaje jsou sice v absolutních hodnotách významné, pro posilování konkurenceschopnosti celé ekonomiky je však třeba rovnoměrnějšího a celkově robustnějšího sektoru inovačně zaměřených podniků</w:t>
      </w:r>
      <w:r w:rsidR="00A220D2">
        <w:rPr>
          <w:rFonts w:ascii="Calibri" w:hAnsi="Calibri" w:cs="Calibri"/>
          <w:sz w:val="24"/>
        </w:rPr>
        <w:t xml:space="preserve"> v duchu konceptu inteligentní specializace</w:t>
      </w:r>
      <w:r w:rsidRPr="0023642B">
        <w:rPr>
          <w:rFonts w:ascii="Calibri" w:hAnsi="Calibri" w:cs="Calibri"/>
          <w:sz w:val="24"/>
        </w:rPr>
        <w:t>. Například i z hlediska vyšší odolnosti VaV sektoru proti cyklicitě – dominance několika málo subjektů či odvětví není prospěšná z hlediska dlouhodobé udržitelnosti systému VaV (na úrovni aplikační sféry – na úrovni excelence v základním výzkumu je naopak potřebná).</w:t>
      </w:r>
    </w:p>
    <w:p w:rsidR="0074273A" w:rsidRDefault="0074273A" w:rsidP="00D95F88">
      <w:pPr>
        <w:pStyle w:val="Odstavecseseznamem"/>
        <w:ind w:left="0"/>
        <w:jc w:val="both"/>
        <w:rPr>
          <w:rFonts w:ascii="Calibri" w:hAnsi="Calibri" w:cs="Calibri"/>
          <w:sz w:val="24"/>
        </w:rPr>
      </w:pPr>
    </w:p>
    <w:p w:rsidR="0074273A" w:rsidRDefault="0074273A" w:rsidP="0074273A">
      <w:pPr>
        <w:contextualSpacing/>
        <w:jc w:val="both"/>
        <w:rPr>
          <w:rFonts w:ascii="Calibri" w:hAnsi="Calibri" w:cs="Calibri"/>
          <w:sz w:val="24"/>
        </w:rPr>
      </w:pPr>
      <w:r w:rsidRPr="0074273A">
        <w:rPr>
          <w:rFonts w:ascii="Calibri" w:hAnsi="Calibri" w:cs="Calibri"/>
          <w:sz w:val="24"/>
        </w:rPr>
        <w:t>Hlavní závěry Regional Innovation Scoreboard 2009 (Regionálního inovačního skóre 2009) potvrzují významné rozdíly v inovační výkonnosti mezi regiony EU, přičemž ČR patří v tomto ohledu mezi země s nejvyššími regionálními disparitami</w:t>
      </w:r>
      <w:r w:rsidRPr="00E56293">
        <w:rPr>
          <w:rFonts w:ascii="Calibri" w:hAnsi="Calibri" w:cs="Calibri"/>
          <w:sz w:val="24"/>
        </w:rPr>
        <w:t xml:space="preserve">. Největší kapacity VaV jsou z hlediska </w:t>
      </w:r>
      <w:r w:rsidRPr="00E56293">
        <w:rPr>
          <w:rFonts w:ascii="Calibri" w:hAnsi="Calibri" w:cs="Calibri"/>
          <w:sz w:val="24"/>
        </w:rPr>
        <w:lastRenderedPageBreak/>
        <w:t>počtu pracovníků VaV a výdajů na VaV koncentrovány v Praze, Středočeském a Jihomoravském kraji. To je ovlivněno zejména lokací</w:t>
      </w:r>
      <w:r w:rsidRPr="0074273A">
        <w:rPr>
          <w:rFonts w:ascii="Calibri" w:hAnsi="Calibri" w:cs="Calibri"/>
          <w:sz w:val="24"/>
        </w:rPr>
        <w:t xml:space="preserve"> veřejných výzkumných institucí ve spojení s vysokou koncentrací uskutečněných výdajů ve veřejném sektoru. Tento stav sebou přináší z hlediska efektivnosti využití vložených zdrojů do výše zmíněných krajů kromě nadprůměrné kvalitativní náročnosti realizovaných znalostních aktivit rovněž vysoké efekty vynaložených výdajů s nadregionálními př</w:t>
      </w:r>
      <w:r w:rsidRPr="00E56293">
        <w:rPr>
          <w:rFonts w:ascii="Calibri" w:hAnsi="Calibri" w:cs="Calibri"/>
          <w:sz w:val="24"/>
        </w:rPr>
        <w:t xml:space="preserve">ínosy. Za hlavní problém lze v případě Prahy a Jihomoravského kraje považovat oblast komercionalizace výstupů VaVaI, což dokládá relativně nízký počet podnikových patentů, tržeb z prodeje inovací nebo podíl high-tech a technologických služeb na vývozu. Je proto nutné orientovat intervence kohezní politiky ve směru posílení spolupráce sektoru </w:t>
      </w:r>
      <w:r w:rsidR="004F250E" w:rsidRPr="00E56293">
        <w:rPr>
          <w:rFonts w:ascii="Calibri" w:hAnsi="Calibri" w:cs="Calibri"/>
          <w:sz w:val="24"/>
        </w:rPr>
        <w:t>VaVaI a podnikatelského sektoru v duchu konceptu inteligentní specializace.</w:t>
      </w:r>
    </w:p>
    <w:p w:rsidR="004F250E" w:rsidRDefault="004F250E" w:rsidP="0074273A">
      <w:pPr>
        <w:contextualSpacing/>
        <w:jc w:val="both"/>
        <w:rPr>
          <w:rFonts w:ascii="Calibri" w:hAnsi="Calibri" w:cs="Calibri"/>
          <w:sz w:val="24"/>
        </w:rPr>
      </w:pPr>
    </w:p>
    <w:p w:rsidR="004F250E" w:rsidRPr="0074273A" w:rsidRDefault="004F250E" w:rsidP="004F250E">
      <w:pPr>
        <w:contextualSpacing/>
        <w:jc w:val="both"/>
        <w:rPr>
          <w:rFonts w:ascii="Calibri" w:hAnsi="Calibri" w:cs="Calibri"/>
          <w:sz w:val="24"/>
          <w:szCs w:val="24"/>
        </w:rPr>
      </w:pPr>
      <w:r w:rsidRPr="00E56293">
        <w:rPr>
          <w:rFonts w:ascii="Calibri" w:hAnsi="Calibri" w:cs="Calibri"/>
          <w:sz w:val="24"/>
          <w:szCs w:val="24"/>
        </w:rPr>
        <w:t>Široká skupina regionů zahrnující Královéhradecký, Liberecký, Pardubický, Plzeňský a Zlínský kraj je charakteristická poměrně dobrými hodnotami jak faktorů konkurenceschopnosti podniků, tak výstupu konkurenceschopnosti podniků. Nižší</w:t>
      </w:r>
      <w:r w:rsidRPr="0074273A">
        <w:rPr>
          <w:rFonts w:ascii="Calibri" w:hAnsi="Calibri" w:cs="Calibri"/>
          <w:sz w:val="24"/>
          <w:szCs w:val="24"/>
        </w:rPr>
        <w:t xml:space="preserve"> hodnoty týkající se faktoru podnikatelského prostředí jsou dány jednak nižším zastoupením sofistikovaných oborů kódů J a K klasifikace N</w:t>
      </w:r>
      <w:r w:rsidRPr="00456806">
        <w:rPr>
          <w:rFonts w:ascii="Calibri" w:hAnsi="Calibri" w:cs="Calibri"/>
          <w:sz w:val="24"/>
          <w:szCs w:val="24"/>
        </w:rPr>
        <w:t>ACE</w:t>
      </w:r>
      <w:r w:rsidRPr="00456806">
        <w:rPr>
          <w:rFonts w:ascii="Calibri" w:hAnsi="Calibri" w:cs="Calibri"/>
          <w:sz w:val="24"/>
          <w:szCs w:val="24"/>
          <w:vertAlign w:val="superscript"/>
        </w:rPr>
        <w:footnoteReference w:id="5"/>
      </w:r>
      <w:r w:rsidRPr="00456806">
        <w:rPr>
          <w:rFonts w:ascii="Calibri" w:hAnsi="Calibri" w:cs="Calibri"/>
          <w:sz w:val="24"/>
          <w:szCs w:val="24"/>
        </w:rPr>
        <w:t xml:space="preserve"> v kontextu postavení krajů v rámci regionální hierarchie České republiky a jednak nízkým počtem fungující</w:t>
      </w:r>
      <w:r w:rsidRPr="0074273A">
        <w:rPr>
          <w:rFonts w:ascii="Calibri" w:hAnsi="Calibri" w:cs="Calibri"/>
          <w:sz w:val="24"/>
          <w:szCs w:val="24"/>
        </w:rPr>
        <w:t>ch klastrů. Specifické postavení zaujímá Pardubický kraj a to jednak vzhledem k vysokým hodnotám ukazatelů vztažených k podnikatelskému VaVaI a jednak internacionalizaci v oblasti vývozu respektive reinvestovaného zisku. Tyto skutečnosti se následně promítají do vysokých hodnot výstupu podnikové konkurenceschopnosti, a to zejména v rámci patentů respektive vývozu high-tech zboží a technologických služeb. Z uvedených poznatků lze spatřovat rozvojový potenciál uvedených krajů založený na inovativním podnikatelském sektoru a to jak v tradičních, tak nově se rozvíjejících odvětvích.</w:t>
      </w:r>
    </w:p>
    <w:p w:rsidR="0074273A" w:rsidRPr="0074273A" w:rsidRDefault="0074273A" w:rsidP="0074273A">
      <w:pPr>
        <w:contextualSpacing/>
        <w:jc w:val="both"/>
        <w:rPr>
          <w:rFonts w:ascii="Calibri" w:hAnsi="Calibri" w:cs="Calibri"/>
          <w:sz w:val="24"/>
        </w:rPr>
      </w:pPr>
    </w:p>
    <w:p w:rsidR="0074273A" w:rsidRPr="0074273A" w:rsidRDefault="0074273A" w:rsidP="00923B75">
      <w:pPr>
        <w:spacing w:before="120"/>
        <w:contextualSpacing/>
        <w:jc w:val="both"/>
        <w:rPr>
          <w:rFonts w:ascii="Calibri" w:hAnsi="Calibri" w:cs="Calibri"/>
          <w:sz w:val="24"/>
        </w:rPr>
      </w:pPr>
      <w:r w:rsidRPr="0074273A">
        <w:rPr>
          <w:rFonts w:ascii="Calibri" w:hAnsi="Calibri" w:cs="Calibri"/>
          <w:sz w:val="24"/>
        </w:rPr>
        <w:t>Naopak relativní podrozvinutost znalostních kapacit ostatních regionů může oslabit územně specifické efekty pro růst regionální konkurenceschopnosti. Východiskem by tak měla být kromě podpory stávajících rozvinutých kapacit VaV i podpora užší specializace a služeb inovačních kapacit v méně rozvinutých regionech, které disponují výrazně nižší startovací základnou.</w:t>
      </w:r>
      <w:r w:rsidR="00A220D2">
        <w:rPr>
          <w:rFonts w:ascii="Calibri" w:hAnsi="Calibri" w:cs="Calibri"/>
          <w:sz w:val="24"/>
        </w:rPr>
        <w:t xml:space="preserve"> Intervence do těchto regionů tak budou vycházet z konceptu inteligen</w:t>
      </w:r>
      <w:r w:rsidR="00FC2F0E">
        <w:rPr>
          <w:rFonts w:ascii="Calibri" w:hAnsi="Calibri" w:cs="Calibri"/>
          <w:sz w:val="24"/>
        </w:rPr>
        <w:t>tní specializace, který definuje relevantní obory podnikatelské činnosti s vyšší přidanou hodnotou vedoucí k růstu regionální konkurenceschopnosti.</w:t>
      </w:r>
    </w:p>
    <w:p w:rsidR="0074273A" w:rsidRPr="0074273A" w:rsidRDefault="0074273A" w:rsidP="00923B75">
      <w:pPr>
        <w:contextualSpacing/>
        <w:jc w:val="both"/>
        <w:rPr>
          <w:rFonts w:ascii="Calibri" w:hAnsi="Calibri" w:cs="Calibri"/>
          <w:sz w:val="24"/>
        </w:rPr>
      </w:pPr>
    </w:p>
    <w:p w:rsidR="0074273A" w:rsidRPr="0074273A" w:rsidRDefault="0074273A" w:rsidP="00923B75">
      <w:pPr>
        <w:jc w:val="both"/>
        <w:rPr>
          <w:rFonts w:ascii="Calibri" w:hAnsi="Calibri" w:cs="Calibri"/>
          <w:sz w:val="24"/>
          <w:szCs w:val="24"/>
        </w:rPr>
      </w:pPr>
      <w:r w:rsidRPr="00E56293">
        <w:rPr>
          <w:rFonts w:ascii="Calibri" w:hAnsi="Calibri" w:cs="Calibri"/>
          <w:sz w:val="24"/>
          <w:szCs w:val="24"/>
        </w:rPr>
        <w:t>Společným znakem strukturálně postižených regionů zastoupených Moravskoslezským krajem a Ústeckým krajem jsou velmi nízké hodnoty vztahující se k relativnímu počtu jak podnikatelských subjektů, tak podnikajících osob. Jako vysoce relevantní se tak jeví aktivity zaměřené na zvyšování podnikatelské aktivity v obou regionech. V současné době lze v Moravskoslezském kraji identifikovat potenciál rozvoje nových odvětví stimulova</w:t>
      </w:r>
      <w:r w:rsidRPr="0074273A">
        <w:rPr>
          <w:rFonts w:ascii="Calibri" w:hAnsi="Calibri" w:cs="Calibri"/>
          <w:sz w:val="24"/>
          <w:szCs w:val="24"/>
        </w:rPr>
        <w:t xml:space="preserve">ných rovněž přímými zahraničními investicemi či novými infrastrukturními projekty VaVaI (např. IT technologie, automobilový průmysl). Rovněž pro Ústecký kraj je charakteristický poměrně slabě vyvinutý systém VaVaI, kdy inovační aktivity jsou soustředěny zejména v podnikatelském sektoru, jehož struktura byla ovlivněna relativně vysokým přílivem přímých zahraničních </w:t>
      </w:r>
      <w:r w:rsidRPr="0074273A">
        <w:rPr>
          <w:rFonts w:ascii="Calibri" w:hAnsi="Calibri" w:cs="Calibri"/>
          <w:sz w:val="24"/>
          <w:szCs w:val="24"/>
        </w:rPr>
        <w:lastRenderedPageBreak/>
        <w:t>investic</w:t>
      </w:r>
      <w:r w:rsidRPr="00E56293">
        <w:rPr>
          <w:rFonts w:ascii="Calibri" w:hAnsi="Calibri" w:cs="Calibri"/>
          <w:sz w:val="24"/>
          <w:szCs w:val="24"/>
        </w:rPr>
        <w:t>. Z hlediska dalšího rozvoje krajů však lze považovat za žádoucí hledání nových možností diverzifikace odvětvové základny na bázi myšlenky inteligentní specializace.</w:t>
      </w:r>
    </w:p>
    <w:p w:rsidR="0074273A" w:rsidRPr="0074273A" w:rsidRDefault="0074273A" w:rsidP="0074273A">
      <w:pPr>
        <w:jc w:val="both"/>
        <w:rPr>
          <w:rFonts w:ascii="Calibri" w:hAnsi="Calibri" w:cs="Calibri"/>
          <w:sz w:val="24"/>
          <w:szCs w:val="24"/>
        </w:rPr>
      </w:pPr>
    </w:p>
    <w:p w:rsidR="0074273A" w:rsidRPr="0074273A" w:rsidRDefault="0074273A" w:rsidP="00760884">
      <w:pPr>
        <w:jc w:val="both"/>
        <w:rPr>
          <w:rFonts w:ascii="Calibri" w:hAnsi="Calibri" w:cs="Calibri"/>
          <w:sz w:val="24"/>
          <w:szCs w:val="24"/>
        </w:rPr>
      </w:pPr>
      <w:r w:rsidRPr="00E56293">
        <w:rPr>
          <w:rFonts w:ascii="Calibri" w:hAnsi="Calibri" w:cs="Calibri"/>
          <w:sz w:val="24"/>
          <w:szCs w:val="24"/>
        </w:rPr>
        <w:t>Nejhorší hodnoty týkající se faktorů i výstupu konkurenceschopnosti podniků vykazují Olomoucký kraj, Kraj Vysočina, Jihočeský kraj a Karlovarský kraj. Významným determinujícím faktorem se v tomto ohledu jeví inovativnost podnikatelského sektoru, která je nízká zejména v případě Jihočeského kraje a Karlovarského kraje. Tato skutečnost se následně negativně projevuje rovněž v indikátorech výstupu vztažených ke kon</w:t>
      </w:r>
      <w:r w:rsidRPr="0074273A">
        <w:rPr>
          <w:rFonts w:ascii="Calibri" w:hAnsi="Calibri" w:cs="Calibri"/>
          <w:sz w:val="24"/>
          <w:szCs w:val="24"/>
        </w:rPr>
        <w:t>kurenceschopnosti podniků. Mírně lepší hodnoty indikátorů faktoru inovujícího podnikatelského sektoru v případě Kraje Vysočina jsou dány relativně vysokým podílem inovujících firem, který se promítá zejména do příjmů z prodeje inovací, nikoliv však do dalších indikátorů výstupu. Posilování inovačních předpokladů podnikatelského sektoru se jeví zásadním předpokladem konkurenceschopných podniků i v případě této skupiny krajů České republiky. S ohledem na slabě rozvinutý sektor VaVaI a terciárního vzdělávání se přitom nabízí možnost hledat možnosti v dalších odvětvích.</w:t>
      </w:r>
    </w:p>
    <w:p w:rsidR="0074273A" w:rsidRPr="0074273A" w:rsidRDefault="0074273A" w:rsidP="0074273A">
      <w:pPr>
        <w:contextualSpacing/>
        <w:jc w:val="both"/>
        <w:rPr>
          <w:rFonts w:ascii="Calibri" w:hAnsi="Calibri" w:cs="Calibri"/>
          <w:sz w:val="24"/>
        </w:rPr>
      </w:pPr>
    </w:p>
    <w:p w:rsidR="0074273A" w:rsidRPr="0074273A" w:rsidRDefault="0074273A" w:rsidP="0074273A">
      <w:pPr>
        <w:keepNext/>
        <w:spacing w:after="200"/>
        <w:jc w:val="both"/>
        <w:rPr>
          <w:rFonts w:ascii="Calibri" w:hAnsi="Calibri" w:cs="Calibri"/>
          <w:b/>
          <w:bCs/>
          <w:color w:val="4F81BD"/>
          <w:sz w:val="18"/>
          <w:szCs w:val="18"/>
        </w:rPr>
      </w:pPr>
      <w:r w:rsidRPr="00FB6BDB">
        <w:rPr>
          <w:rFonts w:ascii="Calibri" w:hAnsi="Calibri" w:cs="Calibri"/>
          <w:b/>
          <w:bCs/>
          <w:color w:val="4F81BD"/>
          <w:sz w:val="18"/>
          <w:szCs w:val="18"/>
        </w:rPr>
        <w:t xml:space="preserve">Graf </w:t>
      </w:r>
      <w:r w:rsidR="008534F0" w:rsidRPr="00FB6BDB">
        <w:rPr>
          <w:rFonts w:ascii="Calibri" w:hAnsi="Calibri" w:cs="Calibri"/>
          <w:b/>
          <w:bCs/>
          <w:color w:val="4F81BD"/>
          <w:sz w:val="18"/>
          <w:szCs w:val="18"/>
        </w:rPr>
        <w:fldChar w:fldCharType="begin"/>
      </w:r>
      <w:r w:rsidRPr="00FB6BDB">
        <w:rPr>
          <w:rFonts w:ascii="Calibri" w:hAnsi="Calibri" w:cs="Calibri"/>
          <w:b/>
          <w:bCs/>
          <w:color w:val="4F81BD"/>
          <w:sz w:val="18"/>
          <w:szCs w:val="18"/>
        </w:rPr>
        <w:instrText xml:space="preserve"> SEQ Graf \* ARABIC </w:instrText>
      </w:r>
      <w:r w:rsidR="008534F0" w:rsidRPr="00FB6BDB">
        <w:rPr>
          <w:rFonts w:ascii="Calibri" w:hAnsi="Calibri" w:cs="Calibri"/>
          <w:b/>
          <w:bCs/>
          <w:color w:val="4F81BD"/>
          <w:sz w:val="18"/>
          <w:szCs w:val="18"/>
        </w:rPr>
        <w:fldChar w:fldCharType="separate"/>
      </w:r>
      <w:r w:rsidR="00D92A26">
        <w:rPr>
          <w:rFonts w:ascii="Calibri" w:hAnsi="Calibri" w:cs="Calibri"/>
          <w:b/>
          <w:bCs/>
          <w:noProof/>
          <w:color w:val="4F81BD"/>
          <w:sz w:val="18"/>
          <w:szCs w:val="18"/>
        </w:rPr>
        <w:t>3</w:t>
      </w:r>
      <w:r w:rsidR="008534F0" w:rsidRPr="00FB6BDB">
        <w:rPr>
          <w:rFonts w:ascii="Calibri" w:hAnsi="Calibri" w:cs="Calibri"/>
          <w:b/>
          <w:bCs/>
          <w:noProof/>
          <w:color w:val="4F81BD"/>
          <w:sz w:val="18"/>
          <w:szCs w:val="18"/>
        </w:rPr>
        <w:fldChar w:fldCharType="end"/>
      </w:r>
      <w:r w:rsidRPr="00FB6BDB">
        <w:rPr>
          <w:rFonts w:ascii="Calibri" w:hAnsi="Calibri" w:cs="Calibri"/>
          <w:b/>
          <w:bCs/>
          <w:color w:val="4F81BD"/>
          <w:sz w:val="18"/>
          <w:szCs w:val="18"/>
        </w:rPr>
        <w:t>: Výdaje na</w:t>
      </w:r>
      <w:r w:rsidRPr="0074273A">
        <w:rPr>
          <w:rFonts w:ascii="Calibri" w:hAnsi="Calibri" w:cs="Calibri"/>
          <w:b/>
          <w:bCs/>
          <w:color w:val="4F81BD"/>
          <w:sz w:val="18"/>
          <w:szCs w:val="18"/>
        </w:rPr>
        <w:t xml:space="preserve"> VaV v krajích CR podle sektoru provádění, 2011</w:t>
      </w:r>
    </w:p>
    <w:p w:rsidR="0074273A" w:rsidRPr="0074273A" w:rsidRDefault="002C4DA9" w:rsidP="0074273A">
      <w:pPr>
        <w:contextualSpacing/>
        <w:jc w:val="both"/>
        <w:rPr>
          <w:rFonts w:ascii="Calibri" w:hAnsi="Calibri" w:cs="Calibri"/>
          <w:sz w:val="24"/>
        </w:rPr>
      </w:pPr>
      <w:r>
        <w:rPr>
          <w:rFonts w:ascii="Calibri" w:hAnsi="Calibri" w:cs="Calibri"/>
          <w:noProof/>
        </w:rPr>
        <w:drawing>
          <wp:inline distT="0" distB="0" distL="0" distR="0">
            <wp:extent cx="5462905" cy="3293110"/>
            <wp:effectExtent l="0" t="0" r="23495" b="21590"/>
            <wp:docPr id="17"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273A" w:rsidRPr="0074273A" w:rsidRDefault="0074273A" w:rsidP="0074273A">
      <w:pPr>
        <w:contextualSpacing/>
        <w:jc w:val="both"/>
        <w:rPr>
          <w:rFonts w:ascii="Calibri" w:hAnsi="Calibri" w:cs="Calibri"/>
          <w:sz w:val="18"/>
          <w:szCs w:val="18"/>
        </w:rPr>
      </w:pPr>
      <w:r w:rsidRPr="0074273A">
        <w:rPr>
          <w:rFonts w:ascii="Calibri" w:hAnsi="Calibri" w:cs="Calibri"/>
          <w:sz w:val="18"/>
          <w:szCs w:val="18"/>
        </w:rPr>
        <w:t>Zdroj: ČSÚ</w:t>
      </w:r>
    </w:p>
    <w:p w:rsidR="0074273A" w:rsidRPr="0023642B" w:rsidRDefault="0074273A" w:rsidP="00D95F88">
      <w:pPr>
        <w:pStyle w:val="Odstavecseseznamem"/>
        <w:ind w:left="0"/>
        <w:jc w:val="both"/>
        <w:rPr>
          <w:rFonts w:ascii="Calibri" w:hAnsi="Calibri" w:cs="Calibri"/>
          <w:sz w:val="24"/>
        </w:rPr>
      </w:pPr>
    </w:p>
    <w:p w:rsidR="00D95F88" w:rsidRPr="0023642B" w:rsidRDefault="00D95F88" w:rsidP="00D95F88">
      <w:pPr>
        <w:pStyle w:val="Odstavecseseznamem"/>
        <w:ind w:left="0"/>
        <w:jc w:val="both"/>
        <w:rPr>
          <w:rFonts w:ascii="Calibri" w:hAnsi="Calibri" w:cs="Calibri"/>
          <w:sz w:val="24"/>
        </w:rPr>
      </w:pPr>
    </w:p>
    <w:p w:rsidR="00D95F88" w:rsidRPr="0023642B" w:rsidRDefault="00D95F88" w:rsidP="00D95F88">
      <w:pPr>
        <w:pStyle w:val="Odstavecseseznamem"/>
        <w:ind w:left="0"/>
        <w:contextualSpacing w:val="0"/>
        <w:jc w:val="both"/>
        <w:rPr>
          <w:rFonts w:ascii="Calibri" w:hAnsi="Calibri" w:cs="Calibri"/>
          <w:sz w:val="24"/>
        </w:rPr>
      </w:pPr>
      <w:r w:rsidRPr="003F59D2">
        <w:rPr>
          <w:rFonts w:ascii="Calibri" w:hAnsi="Calibri" w:cs="Calibri"/>
          <w:b/>
          <w:sz w:val="24"/>
        </w:rPr>
        <w:t>Identifikovaný problém č. 1</w:t>
      </w:r>
      <w:r w:rsidRPr="003F59D2">
        <w:rPr>
          <w:rFonts w:ascii="Calibri" w:hAnsi="Calibri" w:cs="Calibri"/>
          <w:sz w:val="24"/>
        </w:rPr>
        <w:t>: Celkově nízké výdaje na VaV v poměru k</w:t>
      </w:r>
      <w:r w:rsidR="00BE1A34" w:rsidRPr="003F59D2">
        <w:rPr>
          <w:rFonts w:ascii="Calibri" w:hAnsi="Calibri" w:cs="Calibri"/>
          <w:sz w:val="24"/>
        </w:rPr>
        <w:t> </w:t>
      </w:r>
      <w:r w:rsidRPr="003F59D2">
        <w:rPr>
          <w:rFonts w:ascii="Calibri" w:hAnsi="Calibri" w:cs="Calibri"/>
          <w:sz w:val="24"/>
        </w:rPr>
        <w:t>HDP</w:t>
      </w:r>
      <w:r w:rsidR="00BE1A34" w:rsidRPr="003F59D2">
        <w:rPr>
          <w:rFonts w:ascii="Calibri" w:hAnsi="Calibri" w:cs="Calibri"/>
          <w:sz w:val="24"/>
        </w:rPr>
        <w:t xml:space="preserve"> a</w:t>
      </w:r>
      <w:r w:rsidRPr="003F59D2">
        <w:rPr>
          <w:rFonts w:ascii="Calibri" w:hAnsi="Calibri" w:cs="Calibri"/>
          <w:sz w:val="24"/>
        </w:rPr>
        <w:t xml:space="preserve"> nízká diverzifikace výdajů na VaV v po</w:t>
      </w:r>
      <w:r w:rsidR="00BE1A34" w:rsidRPr="003F59D2">
        <w:rPr>
          <w:rFonts w:ascii="Calibri" w:hAnsi="Calibri" w:cs="Calibri"/>
          <w:sz w:val="24"/>
        </w:rPr>
        <w:t>dnikovém sektoru vedou k omezené komercionalizaci výsledků VaVaI.</w:t>
      </w:r>
      <w:r w:rsidR="00FE0041" w:rsidRPr="003F59D2">
        <w:rPr>
          <w:rFonts w:ascii="Calibri" w:hAnsi="Calibri" w:cs="Calibri"/>
          <w:sz w:val="24"/>
        </w:rPr>
        <w:t xml:space="preserve"> Vazba na tematický cíl</w:t>
      </w:r>
      <w:r w:rsidR="00FE0041">
        <w:rPr>
          <w:rFonts w:ascii="Calibri" w:hAnsi="Calibri" w:cs="Calibri"/>
          <w:sz w:val="24"/>
        </w:rPr>
        <w:t xml:space="preserve"> 1, in</w:t>
      </w:r>
      <w:r w:rsidR="00FE0041" w:rsidRPr="00FB6BDB">
        <w:rPr>
          <w:rFonts w:ascii="Calibri" w:hAnsi="Calibri" w:cs="Calibri"/>
          <w:sz w:val="24"/>
        </w:rPr>
        <w:t xml:space="preserve">vestiční prioritu 1b (nařízení o ERDF, článek 5, odst. (1) bod </w:t>
      </w:r>
      <w:r w:rsidR="00350F5A" w:rsidRPr="00FB6BDB">
        <w:rPr>
          <w:rFonts w:ascii="Calibri" w:hAnsi="Calibri" w:cs="Calibri"/>
          <w:sz w:val="24"/>
        </w:rPr>
        <w:t>(</w:t>
      </w:r>
      <w:r w:rsidR="00FE0041" w:rsidRPr="00FB6BDB">
        <w:rPr>
          <w:rFonts w:ascii="Calibri" w:hAnsi="Calibri" w:cs="Calibri"/>
          <w:sz w:val="24"/>
        </w:rPr>
        <w:t>b)</w:t>
      </w:r>
    </w:p>
    <w:p w:rsidR="00D95F88" w:rsidRPr="0023642B" w:rsidRDefault="00D95F88" w:rsidP="00923B75">
      <w:pPr>
        <w:pStyle w:val="Odstavecseseznamem"/>
        <w:ind w:left="0"/>
        <w:jc w:val="both"/>
        <w:rPr>
          <w:rFonts w:ascii="Calibri" w:hAnsi="Calibri" w:cs="Calibri"/>
          <w:sz w:val="24"/>
        </w:rPr>
      </w:pPr>
    </w:p>
    <w:p w:rsidR="00D95F88" w:rsidRPr="0023642B" w:rsidRDefault="00D95F88" w:rsidP="00D95F88">
      <w:pPr>
        <w:pStyle w:val="Odstavecseseznamem"/>
        <w:ind w:left="0"/>
        <w:contextualSpacing w:val="0"/>
        <w:jc w:val="both"/>
        <w:rPr>
          <w:rFonts w:ascii="Calibri" w:hAnsi="Calibri" w:cs="Calibri"/>
          <w:sz w:val="24"/>
        </w:rPr>
      </w:pPr>
      <w:r w:rsidRPr="0023642B">
        <w:rPr>
          <w:rFonts w:ascii="Calibri" w:hAnsi="Calibri" w:cs="Calibri"/>
          <w:sz w:val="24"/>
        </w:rPr>
        <w:t>N</w:t>
      </w:r>
      <w:r w:rsidRPr="003F59D2">
        <w:rPr>
          <w:rFonts w:ascii="Calibri" w:hAnsi="Calibri" w:cs="Calibri"/>
          <w:sz w:val="24"/>
        </w:rPr>
        <w:t xml:space="preserve">ízkým celkovým výdajům na VaV v ČR odpovídá i nízká aktivita v oblasti </w:t>
      </w:r>
      <w:r w:rsidR="00D94A07" w:rsidRPr="003F59D2">
        <w:rPr>
          <w:rFonts w:ascii="Calibri" w:hAnsi="Calibri" w:cs="Calibri"/>
          <w:sz w:val="24"/>
        </w:rPr>
        <w:t>i</w:t>
      </w:r>
      <w:r w:rsidRPr="003F59D2">
        <w:rPr>
          <w:rFonts w:ascii="Calibri" w:hAnsi="Calibri" w:cs="Calibri"/>
          <w:sz w:val="24"/>
        </w:rPr>
        <w:t xml:space="preserve">ntellectual </w:t>
      </w:r>
      <w:r w:rsidR="00D94A07" w:rsidRPr="003F59D2">
        <w:rPr>
          <w:rFonts w:ascii="Calibri" w:hAnsi="Calibri" w:cs="Calibri"/>
          <w:sz w:val="24"/>
        </w:rPr>
        <w:t>p</w:t>
      </w:r>
      <w:r w:rsidRPr="003F59D2">
        <w:rPr>
          <w:rFonts w:ascii="Calibri" w:hAnsi="Calibri" w:cs="Calibri"/>
          <w:sz w:val="24"/>
        </w:rPr>
        <w:t xml:space="preserve">roperty </w:t>
      </w:r>
      <w:r w:rsidR="00D94A07" w:rsidRPr="003F59D2">
        <w:rPr>
          <w:rFonts w:ascii="Calibri" w:hAnsi="Calibri" w:cs="Calibri"/>
          <w:sz w:val="24"/>
        </w:rPr>
        <w:t>r</w:t>
      </w:r>
      <w:r w:rsidRPr="003F59D2">
        <w:rPr>
          <w:rFonts w:ascii="Calibri" w:hAnsi="Calibri" w:cs="Calibri"/>
          <w:sz w:val="24"/>
        </w:rPr>
        <w:t>igh</w:t>
      </w:r>
      <w:r w:rsidRPr="00456806">
        <w:rPr>
          <w:rFonts w:ascii="Calibri" w:hAnsi="Calibri" w:cs="Calibri"/>
          <w:sz w:val="24"/>
        </w:rPr>
        <w:t>ts</w:t>
      </w:r>
      <w:r w:rsidR="00D94A07" w:rsidRPr="00456806">
        <w:rPr>
          <w:rFonts w:ascii="Calibri" w:hAnsi="Calibri" w:cs="Calibri"/>
          <w:sz w:val="24"/>
        </w:rPr>
        <w:t xml:space="preserve"> (IPR</w:t>
      </w:r>
      <w:r w:rsidRPr="00456806">
        <w:rPr>
          <w:rFonts w:ascii="Calibri" w:hAnsi="Calibri" w:cs="Calibri"/>
          <w:sz w:val="24"/>
        </w:rPr>
        <w:t>)</w:t>
      </w:r>
      <w:r w:rsidR="00D94A07" w:rsidRPr="00456806">
        <w:rPr>
          <w:rFonts w:ascii="Calibri" w:hAnsi="Calibri" w:cs="Calibri"/>
          <w:sz w:val="24"/>
        </w:rPr>
        <w:t xml:space="preserve">. </w:t>
      </w:r>
      <w:r w:rsidRPr="00456806">
        <w:rPr>
          <w:rFonts w:ascii="Calibri" w:hAnsi="Calibri" w:cs="Calibri"/>
          <w:sz w:val="24"/>
        </w:rPr>
        <w:t>Podle ú</w:t>
      </w:r>
      <w:r w:rsidRPr="003F59D2">
        <w:rPr>
          <w:rFonts w:ascii="Calibri" w:hAnsi="Calibri" w:cs="Calibri"/>
          <w:sz w:val="24"/>
        </w:rPr>
        <w:t xml:space="preserve">dajů </w:t>
      </w:r>
      <w:r w:rsidRPr="0023642B">
        <w:rPr>
          <w:rFonts w:ascii="Calibri" w:hAnsi="Calibri" w:cs="Calibri"/>
          <w:sz w:val="24"/>
        </w:rPr>
        <w:t xml:space="preserve">Úřadu průmyslového vlastnictví navíc počet patentů udělených úřadem přihlašovatelům z ČR od roku 2003 příliš neroste, výjimkou byly pouze roky 2009 </w:t>
      </w:r>
      <w:r w:rsidRPr="0023642B">
        <w:rPr>
          <w:rFonts w:ascii="Calibri" w:hAnsi="Calibri" w:cs="Calibri"/>
          <w:sz w:val="24"/>
        </w:rPr>
        <w:lastRenderedPageBreak/>
        <w:t>a 2011, kdy byl počet přiznaných patentů o něco vyšší než v předchozích letech. Počet patentů Evropského patentového úřadu udělených českým subjektům vykazuje již určitý pozvolný růst. Po přepočtu na počet obyvatel ale získává Česká republika, např. méně než 2 % počtu patentů udělených Švýcarsku a necelá 3 % patentů udělených Švédsku, Německu či Finsku.</w:t>
      </w:r>
      <w:r>
        <w:rPr>
          <w:rFonts w:ascii="Calibri" w:hAnsi="Calibri" w:cs="Calibri"/>
          <w:sz w:val="24"/>
        </w:rPr>
        <w:t xml:space="preserve"> </w:t>
      </w:r>
      <w:r w:rsidRPr="0023642B">
        <w:rPr>
          <w:rFonts w:ascii="Calibri" w:hAnsi="Calibri" w:cs="Calibri"/>
          <w:sz w:val="24"/>
        </w:rPr>
        <w:t xml:space="preserve">Počet patentových přihlášek u EPO na milion obyvatel tak dosahuje v ČR zatím pouze 12,2 % průměru EU 27. V roce 2010 bylo v ČR dle šetření ČSÚ zjištěno 424 prodaných licencí na patenty nebo užitné vzory, za které bylo inkasováno celkem </w:t>
      </w:r>
      <w:smartTag w:uri="urn:schemas-microsoft-com:office:smarttags" w:element="metricconverter">
        <w:smartTagPr>
          <w:attr w:name="ProductID" w:val="1 508 mil"/>
        </w:smartTagPr>
        <w:r w:rsidRPr="0023642B">
          <w:rPr>
            <w:rFonts w:ascii="Calibri" w:hAnsi="Calibri" w:cs="Calibri"/>
            <w:sz w:val="24"/>
          </w:rPr>
          <w:t>1 508 mil</w:t>
        </w:r>
      </w:smartTag>
      <w:r w:rsidRPr="0023642B">
        <w:rPr>
          <w:rFonts w:ascii="Calibri" w:hAnsi="Calibri" w:cs="Calibri"/>
          <w:sz w:val="24"/>
        </w:rPr>
        <w:t>. Kč. Z celkového počtu prodaných licencí na patenty a užitné vzory bylo v roce 2010 nově uzavřeno 92 licenčních smluv. 86 % licencí bylo uzavřeno mezi subjekty z ČR. Mezi zahraničními partnery dominují Slovensko, USA a Německo. Nabyvatelé ze Spojených států, ačkoli tvořili pouze 2% podíl, poskytli 89 % všech inkasovaných poplatků.</w:t>
      </w:r>
    </w:p>
    <w:p w:rsidR="00D95F88" w:rsidRPr="0023642B" w:rsidRDefault="00D95F88" w:rsidP="00D95F88">
      <w:pPr>
        <w:pStyle w:val="Odstavecseseznamem"/>
        <w:ind w:left="0"/>
        <w:jc w:val="both"/>
        <w:rPr>
          <w:rFonts w:ascii="Calibri" w:hAnsi="Calibri" w:cs="Calibri"/>
          <w:sz w:val="24"/>
        </w:rPr>
      </w:pPr>
    </w:p>
    <w:p w:rsidR="00D95F88" w:rsidRDefault="00D95F88" w:rsidP="00D95F88">
      <w:pPr>
        <w:pStyle w:val="Odstavecseseznamem"/>
        <w:ind w:left="0"/>
        <w:contextualSpacing w:val="0"/>
        <w:jc w:val="both"/>
        <w:rPr>
          <w:rFonts w:ascii="Calibri" w:hAnsi="Calibri" w:cs="Calibri"/>
          <w:sz w:val="24"/>
        </w:rPr>
      </w:pPr>
      <w:r w:rsidRPr="003F59D2">
        <w:rPr>
          <w:rFonts w:ascii="Calibri" w:hAnsi="Calibri" w:cs="Calibri"/>
          <w:b/>
          <w:sz w:val="24"/>
        </w:rPr>
        <w:t>Identifikovaný problém č. 2</w:t>
      </w:r>
      <w:r w:rsidRPr="003F59D2">
        <w:rPr>
          <w:rFonts w:ascii="Calibri" w:hAnsi="Calibri" w:cs="Calibri"/>
          <w:sz w:val="24"/>
        </w:rPr>
        <w:t>: Nízká aktivita v oblasti práv průmyslového vlastnictví a související nízká aktivita v oblasti transferů technologií.</w:t>
      </w:r>
      <w:r w:rsidR="007768F1" w:rsidRPr="003F59D2">
        <w:rPr>
          <w:rFonts w:ascii="Calibri" w:hAnsi="Calibri" w:cs="Calibri"/>
          <w:sz w:val="24"/>
        </w:rPr>
        <w:t xml:space="preserve"> </w:t>
      </w:r>
      <w:r w:rsidR="00FE0041" w:rsidRPr="003F59D2">
        <w:rPr>
          <w:rFonts w:ascii="Calibri" w:hAnsi="Calibri" w:cs="Calibri"/>
          <w:sz w:val="24"/>
        </w:rPr>
        <w:t>Vazba</w:t>
      </w:r>
      <w:r w:rsidR="00FE0041" w:rsidRPr="00FE0041">
        <w:rPr>
          <w:rFonts w:ascii="Calibri" w:hAnsi="Calibri" w:cs="Calibri"/>
          <w:sz w:val="24"/>
        </w:rPr>
        <w:t xml:space="preserve"> na tematický cíl 1, investiční prioritu 1b </w:t>
      </w:r>
      <w:r w:rsidR="00FE0041" w:rsidRPr="00FB6BDB">
        <w:rPr>
          <w:rFonts w:ascii="Calibri" w:hAnsi="Calibri" w:cs="Calibri"/>
          <w:sz w:val="24"/>
        </w:rPr>
        <w:t xml:space="preserve">(nařízení o ERDF, článek 5, odst. (1) bod </w:t>
      </w:r>
      <w:r w:rsidR="00350F5A" w:rsidRPr="00FB6BDB">
        <w:rPr>
          <w:rFonts w:ascii="Calibri" w:hAnsi="Calibri" w:cs="Calibri"/>
          <w:sz w:val="24"/>
        </w:rPr>
        <w:t>(</w:t>
      </w:r>
      <w:r w:rsidR="00FE0041" w:rsidRPr="00FB6BDB">
        <w:rPr>
          <w:rFonts w:ascii="Calibri" w:hAnsi="Calibri" w:cs="Calibri"/>
          <w:sz w:val="24"/>
        </w:rPr>
        <w:t>b)</w:t>
      </w:r>
    </w:p>
    <w:p w:rsidR="00FE0041" w:rsidRPr="0023642B" w:rsidRDefault="00FE0041" w:rsidP="00923B75">
      <w:pPr>
        <w:pStyle w:val="Odstavecseseznamem"/>
        <w:ind w:left="0"/>
        <w:contextualSpacing w:val="0"/>
        <w:jc w:val="both"/>
        <w:rPr>
          <w:rFonts w:ascii="Calibri" w:hAnsi="Calibri" w:cs="Calibri"/>
          <w:sz w:val="24"/>
        </w:rPr>
      </w:pPr>
    </w:p>
    <w:p w:rsidR="004E4383" w:rsidRDefault="00D95F88" w:rsidP="004E4383">
      <w:pPr>
        <w:pStyle w:val="Odstavecseseznamem"/>
        <w:ind w:left="0"/>
        <w:contextualSpacing w:val="0"/>
        <w:jc w:val="both"/>
        <w:rPr>
          <w:rFonts w:ascii="Calibri" w:hAnsi="Calibri" w:cs="Calibri"/>
          <w:sz w:val="24"/>
        </w:rPr>
      </w:pPr>
      <w:r w:rsidRPr="0023642B">
        <w:rPr>
          <w:rFonts w:ascii="Calibri" w:hAnsi="Calibri" w:cs="Calibri"/>
          <w:sz w:val="24"/>
        </w:rPr>
        <w:t xml:space="preserve">Jedním z důvodů nízké aktivity v oblasti IPR je také nízký počet </w:t>
      </w:r>
      <w:r w:rsidR="00986D8F">
        <w:rPr>
          <w:rFonts w:ascii="Calibri" w:hAnsi="Calibri" w:cs="Calibri"/>
          <w:sz w:val="24"/>
        </w:rPr>
        <w:t>ino</w:t>
      </w:r>
      <w:r w:rsidR="00986D8F" w:rsidRPr="003F59D2">
        <w:rPr>
          <w:rFonts w:ascii="Calibri" w:hAnsi="Calibri" w:cs="Calibri"/>
          <w:sz w:val="24"/>
        </w:rPr>
        <w:t>vačně orientovaných</w:t>
      </w:r>
      <w:r w:rsidR="007768F1" w:rsidRPr="003F59D2">
        <w:rPr>
          <w:rFonts w:ascii="Calibri" w:hAnsi="Calibri" w:cs="Calibri"/>
          <w:sz w:val="24"/>
        </w:rPr>
        <w:t xml:space="preserve"> </w:t>
      </w:r>
      <w:r w:rsidR="00BE1A34" w:rsidRPr="003F59D2">
        <w:rPr>
          <w:rFonts w:ascii="Calibri" w:hAnsi="Calibri" w:cs="Calibri"/>
          <w:sz w:val="24"/>
        </w:rPr>
        <w:t>start-up</w:t>
      </w:r>
      <w:r w:rsidRPr="003F59D2">
        <w:rPr>
          <w:rFonts w:ascii="Calibri" w:hAnsi="Calibri" w:cs="Calibri"/>
          <w:sz w:val="24"/>
        </w:rPr>
        <w:t xml:space="preserve"> firem pra</w:t>
      </w:r>
      <w:r w:rsidRPr="0023642B">
        <w:rPr>
          <w:rFonts w:ascii="Calibri" w:hAnsi="Calibri" w:cs="Calibri"/>
          <w:sz w:val="24"/>
        </w:rPr>
        <w:t xml:space="preserve">menící mj. z nedostatečné podpory tržních souvislostí </w:t>
      </w:r>
      <w:r w:rsidR="00986D8F">
        <w:rPr>
          <w:rFonts w:ascii="Calibri" w:hAnsi="Calibri" w:cs="Calibri"/>
          <w:sz w:val="24"/>
        </w:rPr>
        <w:t xml:space="preserve">zejména </w:t>
      </w:r>
      <w:r w:rsidRPr="0023642B">
        <w:rPr>
          <w:rFonts w:ascii="Calibri" w:hAnsi="Calibri" w:cs="Calibri"/>
          <w:sz w:val="24"/>
        </w:rPr>
        <w:t xml:space="preserve">při vzdělávání v technických oborech. </w:t>
      </w:r>
      <w:r w:rsidR="00986D8F">
        <w:rPr>
          <w:rFonts w:ascii="Calibri" w:hAnsi="Calibri" w:cs="Calibri"/>
          <w:sz w:val="24"/>
        </w:rPr>
        <w:t>Klíčovým p</w:t>
      </w:r>
      <w:r w:rsidRPr="0023642B">
        <w:rPr>
          <w:rFonts w:ascii="Calibri" w:hAnsi="Calibri" w:cs="Calibri"/>
          <w:sz w:val="24"/>
        </w:rPr>
        <w:t>roblémem je také dostupnost soukromých prostředků pro rozvoj především early stage podniků.</w:t>
      </w:r>
      <w:r w:rsidR="004E4383">
        <w:rPr>
          <w:rFonts w:ascii="Calibri" w:hAnsi="Calibri" w:cs="Calibri"/>
          <w:sz w:val="24"/>
        </w:rPr>
        <w:t xml:space="preserve"> </w:t>
      </w:r>
      <w:r w:rsidR="004E4383" w:rsidRPr="004E4383">
        <w:rPr>
          <w:rFonts w:ascii="Calibri" w:hAnsi="Calibri" w:cs="Calibri"/>
          <w:sz w:val="24"/>
        </w:rPr>
        <w:t>Vývoj počtu a celkové výše investic rizikového kapitálu zaznamenal v ČR vzestupný trend po přijetí zákona č. 189/2004 Sb., o kolektivním investování, a to zejména od roku 2007. Finanční krize však rozvíjející se trh rychle oslabila. Podíl rizikového kapitálu na celkových investicích do private equity (veřejně neobchodované společnosti) v České republice byl v průměru let 2007-2010 pouze 3,2 %, což je hluboko pod evropskou úrovní cca. 12 %.</w:t>
      </w:r>
    </w:p>
    <w:p w:rsidR="004E4383" w:rsidRPr="004E4383" w:rsidRDefault="004E4383" w:rsidP="004E4383">
      <w:pPr>
        <w:pStyle w:val="Odstavecseseznamem"/>
        <w:ind w:left="0"/>
        <w:contextualSpacing w:val="0"/>
        <w:jc w:val="both"/>
        <w:rPr>
          <w:rFonts w:ascii="Calibri" w:hAnsi="Calibri" w:cs="Calibri"/>
          <w:sz w:val="24"/>
        </w:rPr>
      </w:pPr>
    </w:p>
    <w:p w:rsidR="00FB7AF1" w:rsidRDefault="004E4383" w:rsidP="00FB7AF1">
      <w:pPr>
        <w:pStyle w:val="Odstavecseseznamem"/>
        <w:ind w:left="0"/>
        <w:contextualSpacing w:val="0"/>
        <w:jc w:val="both"/>
        <w:rPr>
          <w:rFonts w:ascii="Calibri" w:hAnsi="Calibri" w:cs="Calibri"/>
          <w:sz w:val="24"/>
        </w:rPr>
      </w:pPr>
      <w:r w:rsidRPr="004E4383">
        <w:rPr>
          <w:rFonts w:ascii="Calibri" w:hAnsi="Calibri" w:cs="Calibri"/>
          <w:sz w:val="24"/>
        </w:rPr>
        <w:t>Zvláště složitá je situace ve financování počátečních fází podnikání (tzv. seed a start-up). V letech 2008</w:t>
      </w:r>
      <w:r w:rsidR="007768F1">
        <w:rPr>
          <w:rFonts w:ascii="Calibri" w:hAnsi="Calibri" w:cs="Calibri"/>
          <w:sz w:val="24"/>
        </w:rPr>
        <w:t xml:space="preserve"> - 2</w:t>
      </w:r>
      <w:r w:rsidRPr="004E4383">
        <w:rPr>
          <w:rFonts w:ascii="Calibri" w:hAnsi="Calibri" w:cs="Calibri"/>
          <w:sz w:val="24"/>
        </w:rPr>
        <w:t>011 se investice fondů rizikového kapitálu do těchto fází objevují jen sporadicky, spíše jso</w:t>
      </w:r>
      <w:r w:rsidRPr="008B49A9">
        <w:rPr>
          <w:rFonts w:ascii="Calibri" w:hAnsi="Calibri" w:cs="Calibri"/>
          <w:sz w:val="24"/>
        </w:rPr>
        <w:t xml:space="preserve">u v této oblasti aktivní jen business angels, privátně operující tzv. </w:t>
      </w:r>
      <w:r w:rsidR="007768F1" w:rsidRPr="008B49A9">
        <w:rPr>
          <w:rFonts w:ascii="Calibri" w:hAnsi="Calibri" w:cs="Calibri"/>
          <w:sz w:val="24"/>
        </w:rPr>
        <w:t>high n</w:t>
      </w:r>
      <w:r w:rsidRPr="008B49A9">
        <w:rPr>
          <w:rFonts w:ascii="Calibri" w:hAnsi="Calibri" w:cs="Calibri"/>
          <w:sz w:val="24"/>
        </w:rPr>
        <w:t>et-</w:t>
      </w:r>
      <w:r w:rsidR="007768F1" w:rsidRPr="008B49A9">
        <w:rPr>
          <w:rFonts w:ascii="Calibri" w:hAnsi="Calibri" w:cs="Calibri"/>
          <w:sz w:val="24"/>
        </w:rPr>
        <w:t>w</w:t>
      </w:r>
      <w:r w:rsidRPr="008B49A9">
        <w:rPr>
          <w:rFonts w:ascii="Calibri" w:hAnsi="Calibri" w:cs="Calibri"/>
          <w:sz w:val="24"/>
        </w:rPr>
        <w:t xml:space="preserve">orth </w:t>
      </w:r>
      <w:r w:rsidR="007768F1" w:rsidRPr="008B49A9">
        <w:rPr>
          <w:rFonts w:ascii="Calibri" w:hAnsi="Calibri" w:cs="Calibri"/>
          <w:sz w:val="24"/>
        </w:rPr>
        <w:t>i</w:t>
      </w:r>
      <w:r w:rsidRPr="008B49A9">
        <w:rPr>
          <w:rFonts w:ascii="Calibri" w:hAnsi="Calibri" w:cs="Calibri"/>
          <w:sz w:val="24"/>
        </w:rPr>
        <w:t>Individuals</w:t>
      </w:r>
      <w:r w:rsidR="007768F1" w:rsidRPr="008B49A9">
        <w:rPr>
          <w:rFonts w:ascii="Calibri" w:hAnsi="Calibri" w:cs="Calibri"/>
          <w:sz w:val="24"/>
        </w:rPr>
        <w:t xml:space="preserve"> (HNWI</w:t>
      </w:r>
      <w:r w:rsidRPr="008B49A9">
        <w:rPr>
          <w:rFonts w:ascii="Calibri" w:hAnsi="Calibri" w:cs="Calibri"/>
          <w:sz w:val="24"/>
        </w:rPr>
        <w:t>), fyzické osoby nabízející financování v řádu max. několika milionů korun výměnou za obchodní podíl. Fondy rizikového kapitálu oproti tomu v ČR obvykle investují do pozdějších fází rozvoje firem v průměru 50</w:t>
      </w:r>
      <w:r w:rsidR="007768F1" w:rsidRPr="008B49A9">
        <w:rPr>
          <w:rFonts w:ascii="Calibri" w:hAnsi="Calibri" w:cs="Calibri"/>
          <w:sz w:val="24"/>
        </w:rPr>
        <w:t xml:space="preserve"> </w:t>
      </w:r>
      <w:r w:rsidRPr="008B49A9">
        <w:rPr>
          <w:rFonts w:ascii="Calibri" w:hAnsi="Calibri" w:cs="Calibri"/>
          <w:sz w:val="24"/>
        </w:rPr>
        <w:t>-</w:t>
      </w:r>
      <w:r w:rsidR="007768F1" w:rsidRPr="008B49A9">
        <w:rPr>
          <w:rFonts w:ascii="Calibri" w:hAnsi="Calibri" w:cs="Calibri"/>
          <w:sz w:val="24"/>
        </w:rPr>
        <w:t xml:space="preserve"> </w:t>
      </w:r>
      <w:smartTag w:uri="urn:schemas-microsoft-com:office:smarttags" w:element="metricconverter">
        <w:smartTagPr>
          <w:attr w:name="ProductID" w:val="100 mil"/>
        </w:smartTagPr>
        <w:r w:rsidRPr="008B49A9">
          <w:rPr>
            <w:rFonts w:ascii="Calibri" w:hAnsi="Calibri" w:cs="Calibri"/>
            <w:sz w:val="24"/>
          </w:rPr>
          <w:t>100 mil</w:t>
        </w:r>
      </w:smartTag>
      <w:r w:rsidRPr="008B49A9">
        <w:rPr>
          <w:rFonts w:ascii="Calibri" w:hAnsi="Calibri" w:cs="Calibri"/>
          <w:sz w:val="24"/>
        </w:rPr>
        <w:t xml:space="preserve">. Kč. Vzniká tak  tzv. equity gap, mezera na finančním trhu, kde není trh schopen efektivně alokovat zdroje ve prospěch začínajících inovativně orientovaných společností. </w:t>
      </w:r>
      <w:r w:rsidR="00D95F88" w:rsidRPr="008B49A9">
        <w:rPr>
          <w:rFonts w:ascii="Calibri" w:hAnsi="Calibri" w:cs="Calibri"/>
          <w:sz w:val="24"/>
        </w:rPr>
        <w:t>Z hlediska dostupnosti finančních prostředků pro rozvoj a zakládání inovačních podniků</w:t>
      </w:r>
      <w:r w:rsidRPr="008B49A9">
        <w:rPr>
          <w:rFonts w:ascii="Calibri" w:hAnsi="Calibri" w:cs="Calibri"/>
          <w:sz w:val="24"/>
        </w:rPr>
        <w:t xml:space="preserve"> tak</w:t>
      </w:r>
      <w:r w:rsidR="00D95F88" w:rsidRPr="008B49A9">
        <w:rPr>
          <w:rFonts w:ascii="Calibri" w:hAnsi="Calibri" w:cs="Calibri"/>
          <w:sz w:val="24"/>
        </w:rPr>
        <w:t xml:space="preserve"> existuje v ČR nedostatečná hloubka finančního zprostředkování, která celkově negativně ovlivňuje míru investic a budoucí vybavenost ekonomiky ČR kapitálem. Souhrnná hodnota všech akciových společností obchodovaných na českých kapitálových trzích (ve vztahu k HDP) je v porovnání se zahraničím velmi nízká. Podniky tradičně prostředky na svůj rozvoj získávají především prostřednictvím bankovních úvěrů. Český finanční sektor je sice v současnosti ziskový a dobře kapitalizovaný a ustál prakticky bez potíží finanční a ekonomickou krizi, ale nelze od něho ve větším rozsahu očekávat ochotu financovat rizikové projekty zakládání a rozvoje firem s vysokým inovačním potenciálem. V oblasti úvěrů a záruk se to týká především projektů založení nových firem nebo i projektů rozvoje stávajících malých a středních podniků</w:t>
      </w:r>
      <w:r w:rsidR="00CC6745" w:rsidRPr="008B49A9">
        <w:rPr>
          <w:rFonts w:ascii="Calibri" w:hAnsi="Calibri" w:cs="Calibri"/>
          <w:sz w:val="24"/>
        </w:rPr>
        <w:t xml:space="preserve"> (MSP)</w:t>
      </w:r>
      <w:r w:rsidR="00D95F88" w:rsidRPr="008B49A9">
        <w:rPr>
          <w:rFonts w:ascii="Calibri" w:hAnsi="Calibri" w:cs="Calibri"/>
          <w:sz w:val="24"/>
        </w:rPr>
        <w:t>.</w:t>
      </w:r>
      <w:r w:rsidR="00FB7AF1" w:rsidRPr="008B49A9">
        <w:rPr>
          <w:rFonts w:ascii="Calibri" w:hAnsi="Calibri" w:cs="Calibri"/>
          <w:sz w:val="24"/>
        </w:rPr>
        <w:t xml:space="preserve"> Investoři jsou tak málo ochotní přistoupit na riziko v podobě investice v řádech desítek milionů korun do začínajících </w:t>
      </w:r>
      <w:r w:rsidR="00FB7AF1" w:rsidRPr="008B49A9">
        <w:rPr>
          <w:rFonts w:ascii="Calibri" w:hAnsi="Calibri" w:cs="Calibri"/>
          <w:sz w:val="24"/>
        </w:rPr>
        <w:lastRenderedPageBreak/>
        <w:t>inovativních společností bez historie, často s nezkušeným týmem. Investoři mají připraven dostatek kapitálu na investice, ale nenalézají dostatek investičních příležitostí, které splňují jejich požadavky. Oproti tomu začínající inovativní MSP se většinou příliš</w:t>
      </w:r>
      <w:r w:rsidR="00FB7AF1" w:rsidRPr="00FB7AF1">
        <w:rPr>
          <w:rFonts w:ascii="Calibri" w:hAnsi="Calibri" w:cs="Calibri"/>
          <w:sz w:val="24"/>
        </w:rPr>
        <w:t xml:space="preserve"> orientují na technologii a opomíjejí obchodní stránku podnikání, často nemají kvalitně zpracovaný business plán, čímž se snižuje jejich atraktivita pro potenciální investory.</w:t>
      </w:r>
    </w:p>
    <w:p w:rsidR="00D95F88" w:rsidRPr="0023642B" w:rsidRDefault="00D95F88" w:rsidP="00D95F88">
      <w:pPr>
        <w:pStyle w:val="Odstavecseseznamem"/>
        <w:ind w:left="0"/>
        <w:jc w:val="both"/>
        <w:rPr>
          <w:rFonts w:ascii="Calibri" w:hAnsi="Calibri" w:cs="Calibri"/>
          <w:sz w:val="24"/>
        </w:rPr>
      </w:pPr>
    </w:p>
    <w:p w:rsidR="00D95F88" w:rsidRPr="0023642B" w:rsidRDefault="00160E8B" w:rsidP="00D95F88">
      <w:pPr>
        <w:pStyle w:val="Odstavecseseznamem"/>
        <w:ind w:left="0"/>
        <w:contextualSpacing w:val="0"/>
        <w:jc w:val="both"/>
        <w:rPr>
          <w:rFonts w:ascii="Calibri" w:hAnsi="Calibri" w:cs="Calibri"/>
          <w:sz w:val="24"/>
        </w:rPr>
      </w:pPr>
      <w:r>
        <w:rPr>
          <w:rFonts w:ascii="Calibri" w:hAnsi="Calibri" w:cs="Calibri"/>
          <w:sz w:val="24"/>
        </w:rPr>
        <w:t>V Česku však v</w:t>
      </w:r>
      <w:r w:rsidR="00D95F88" w:rsidRPr="00160E8B">
        <w:rPr>
          <w:rFonts w:ascii="Calibri" w:hAnsi="Calibri" w:cs="Calibri"/>
          <w:sz w:val="24"/>
        </w:rPr>
        <w:t xml:space="preserve"> oblasti rizikového kapitálu dochází k významnému selhání trhu, když v rámci early stage</w:t>
      </w:r>
      <w:r w:rsidR="00D95F88" w:rsidRPr="0023642B">
        <w:rPr>
          <w:rFonts w:ascii="Calibri" w:hAnsi="Calibri" w:cs="Calibri"/>
          <w:sz w:val="24"/>
        </w:rPr>
        <w:t xml:space="preserve"> podniků (ca. do 2 let po založení – fáze start-up a seed) nedochází dle oficiálních statistik vůbec k jejich zainvestování ze strany private equity/venture capital fondů. Dle statistik Eurostatu patří ČR v tomto ohledu mezi nejhorší ze všech zemí EHP a Švýcarska zahrnutých do sledování.</w:t>
      </w:r>
    </w:p>
    <w:p w:rsidR="00D95F88" w:rsidRPr="0023642B" w:rsidRDefault="00D95F88" w:rsidP="00D95F88">
      <w:pPr>
        <w:rPr>
          <w:rFonts w:ascii="Calibri" w:hAnsi="Calibri" w:cs="Calibri"/>
        </w:rPr>
      </w:pPr>
    </w:p>
    <w:p w:rsidR="00D95F88" w:rsidRPr="0023642B" w:rsidRDefault="00D95F88" w:rsidP="00D95F88">
      <w:pPr>
        <w:pStyle w:val="Titulek"/>
        <w:keepNext/>
        <w:rPr>
          <w:rFonts w:ascii="Calibri" w:hAnsi="Calibri" w:cs="Calibri"/>
        </w:rPr>
      </w:pPr>
      <w:r w:rsidRPr="00FB6BDB">
        <w:rPr>
          <w:rFonts w:ascii="Calibri" w:hAnsi="Calibri" w:cs="Calibri"/>
        </w:rPr>
        <w:t xml:space="preserve">Tabulka </w:t>
      </w:r>
      <w:r w:rsidR="008534F0" w:rsidRPr="00FB6BDB">
        <w:rPr>
          <w:rFonts w:ascii="Calibri" w:hAnsi="Calibri" w:cs="Calibri"/>
        </w:rPr>
        <w:fldChar w:fldCharType="begin"/>
      </w:r>
      <w:r w:rsidRPr="00FB6BDB">
        <w:rPr>
          <w:rFonts w:ascii="Calibri" w:hAnsi="Calibri" w:cs="Calibri"/>
        </w:rPr>
        <w:instrText xml:space="preserve"> SEQ Tabulka \* ARABIC </w:instrText>
      </w:r>
      <w:r w:rsidR="008534F0" w:rsidRPr="00FB6BDB">
        <w:rPr>
          <w:rFonts w:ascii="Calibri" w:hAnsi="Calibri" w:cs="Calibri"/>
        </w:rPr>
        <w:fldChar w:fldCharType="separate"/>
      </w:r>
      <w:r w:rsidR="00D92A26">
        <w:rPr>
          <w:rFonts w:ascii="Calibri" w:hAnsi="Calibri" w:cs="Calibri"/>
          <w:noProof/>
        </w:rPr>
        <w:t>1</w:t>
      </w:r>
      <w:r w:rsidR="008534F0" w:rsidRPr="00FB6BDB">
        <w:rPr>
          <w:rFonts w:ascii="Calibri" w:hAnsi="Calibri" w:cs="Calibri"/>
          <w:noProof/>
        </w:rPr>
        <w:fldChar w:fldCharType="end"/>
      </w:r>
      <w:r w:rsidRPr="00FB6BDB">
        <w:rPr>
          <w:rFonts w:ascii="Calibri" w:hAnsi="Calibri" w:cs="Calibri"/>
        </w:rPr>
        <w:t>: Srovn</w:t>
      </w:r>
      <w:r w:rsidRPr="0023642B">
        <w:rPr>
          <w:rFonts w:ascii="Calibri" w:hAnsi="Calibri" w:cs="Calibri"/>
        </w:rPr>
        <w:t>ání poskytování rizikového kapitálu podnikům v early stage jako % HDP</w:t>
      </w:r>
    </w:p>
    <w:tbl>
      <w:tblPr>
        <w:tblW w:w="0" w:type="auto"/>
        <w:tblInd w:w="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70" w:type="dxa"/>
          <w:right w:w="70" w:type="dxa"/>
        </w:tblCellMar>
        <w:tblLook w:val="04A0"/>
      </w:tblPr>
      <w:tblGrid>
        <w:gridCol w:w="1456"/>
        <w:gridCol w:w="596"/>
        <w:gridCol w:w="596"/>
        <w:gridCol w:w="596"/>
        <w:gridCol w:w="596"/>
        <w:gridCol w:w="596"/>
        <w:gridCol w:w="718"/>
      </w:tblGrid>
      <w:tr w:rsidR="00D95F88" w:rsidRPr="0022503D">
        <w:trPr>
          <w:trHeight w:val="600"/>
          <w:tblHeader/>
        </w:trPr>
        <w:tc>
          <w:tcPr>
            <w:tcW w:w="0" w:type="auto"/>
            <w:shd w:val="clear" w:color="4F81BD" w:fill="4F81BD"/>
            <w:vAlign w:val="center"/>
          </w:tcPr>
          <w:p w:rsidR="00D95F88" w:rsidRPr="0023642B" w:rsidRDefault="00D95F88" w:rsidP="00F02FD8">
            <w:pPr>
              <w:spacing w:before="100" w:beforeAutospacing="1" w:after="100" w:afterAutospacing="1"/>
              <w:rPr>
                <w:rFonts w:ascii="Calibri" w:hAnsi="Calibri" w:cs="Calibri"/>
                <w:b/>
                <w:bCs/>
                <w:color w:val="FFFFFF"/>
              </w:rPr>
            </w:pPr>
            <w:r w:rsidRPr="0023642B">
              <w:rPr>
                <w:rFonts w:ascii="Calibri" w:hAnsi="Calibri" w:cs="Calibri"/>
                <w:b/>
                <w:bCs/>
                <w:color w:val="FFFFFF"/>
              </w:rPr>
              <w:t>Země</w:t>
            </w:r>
          </w:p>
        </w:tc>
        <w:tc>
          <w:tcPr>
            <w:tcW w:w="0" w:type="auto"/>
            <w:shd w:val="clear" w:color="4F81BD" w:fill="4F81BD"/>
            <w:vAlign w:val="center"/>
          </w:tcPr>
          <w:p w:rsidR="00D95F88" w:rsidRPr="0023642B" w:rsidRDefault="00D95F88" w:rsidP="00F02FD8">
            <w:pPr>
              <w:spacing w:before="100" w:beforeAutospacing="1" w:after="100" w:afterAutospacing="1"/>
              <w:rPr>
                <w:rFonts w:ascii="Calibri" w:hAnsi="Calibri" w:cs="Calibri"/>
                <w:b/>
                <w:bCs/>
                <w:color w:val="FFFFFF"/>
              </w:rPr>
            </w:pPr>
            <w:r w:rsidRPr="0023642B">
              <w:rPr>
                <w:rFonts w:ascii="Calibri" w:hAnsi="Calibri" w:cs="Calibri"/>
                <w:b/>
                <w:bCs/>
                <w:color w:val="FFFFFF"/>
              </w:rPr>
              <w:t>2007</w:t>
            </w:r>
          </w:p>
        </w:tc>
        <w:tc>
          <w:tcPr>
            <w:tcW w:w="0" w:type="auto"/>
            <w:shd w:val="clear" w:color="4F81BD" w:fill="4F81BD"/>
            <w:vAlign w:val="center"/>
          </w:tcPr>
          <w:p w:rsidR="00D95F88" w:rsidRPr="0023642B" w:rsidRDefault="00D95F88" w:rsidP="00F02FD8">
            <w:pPr>
              <w:spacing w:before="100" w:beforeAutospacing="1" w:after="100" w:afterAutospacing="1"/>
              <w:rPr>
                <w:rFonts w:ascii="Calibri" w:hAnsi="Calibri" w:cs="Calibri"/>
                <w:b/>
                <w:bCs/>
                <w:color w:val="FFFFFF"/>
              </w:rPr>
            </w:pPr>
            <w:r w:rsidRPr="0023642B">
              <w:rPr>
                <w:rFonts w:ascii="Calibri" w:hAnsi="Calibri" w:cs="Calibri"/>
                <w:b/>
                <w:bCs/>
                <w:color w:val="FFFFFF"/>
              </w:rPr>
              <w:t>2008</w:t>
            </w:r>
          </w:p>
        </w:tc>
        <w:tc>
          <w:tcPr>
            <w:tcW w:w="0" w:type="auto"/>
            <w:shd w:val="clear" w:color="4F81BD" w:fill="4F81BD"/>
            <w:vAlign w:val="center"/>
          </w:tcPr>
          <w:p w:rsidR="00D95F88" w:rsidRPr="0023642B" w:rsidRDefault="00D95F88" w:rsidP="00F02FD8">
            <w:pPr>
              <w:spacing w:before="100" w:beforeAutospacing="1" w:after="100" w:afterAutospacing="1"/>
              <w:rPr>
                <w:rFonts w:ascii="Calibri" w:hAnsi="Calibri" w:cs="Calibri"/>
                <w:b/>
                <w:bCs/>
                <w:color w:val="FFFFFF"/>
              </w:rPr>
            </w:pPr>
            <w:r w:rsidRPr="0023642B">
              <w:rPr>
                <w:rFonts w:ascii="Calibri" w:hAnsi="Calibri" w:cs="Calibri"/>
                <w:b/>
                <w:bCs/>
                <w:color w:val="FFFFFF"/>
              </w:rPr>
              <w:t>2009</w:t>
            </w:r>
          </w:p>
        </w:tc>
        <w:tc>
          <w:tcPr>
            <w:tcW w:w="0" w:type="auto"/>
            <w:shd w:val="clear" w:color="4F81BD" w:fill="4F81BD"/>
            <w:vAlign w:val="center"/>
          </w:tcPr>
          <w:p w:rsidR="00D95F88" w:rsidRPr="0023642B" w:rsidRDefault="00D95F88" w:rsidP="00F02FD8">
            <w:pPr>
              <w:spacing w:before="100" w:beforeAutospacing="1" w:after="100" w:afterAutospacing="1"/>
              <w:rPr>
                <w:rFonts w:ascii="Calibri" w:hAnsi="Calibri" w:cs="Calibri"/>
                <w:b/>
                <w:bCs/>
                <w:color w:val="FFFFFF"/>
              </w:rPr>
            </w:pPr>
            <w:r w:rsidRPr="0023642B">
              <w:rPr>
                <w:rFonts w:ascii="Calibri" w:hAnsi="Calibri" w:cs="Calibri"/>
                <w:b/>
                <w:bCs/>
                <w:color w:val="FFFFFF"/>
              </w:rPr>
              <w:t>2010</w:t>
            </w:r>
          </w:p>
        </w:tc>
        <w:tc>
          <w:tcPr>
            <w:tcW w:w="0" w:type="auto"/>
            <w:shd w:val="clear" w:color="4F81BD" w:fill="4F81BD"/>
            <w:vAlign w:val="center"/>
          </w:tcPr>
          <w:p w:rsidR="00D95F88" w:rsidRPr="0023642B" w:rsidRDefault="00D95F88" w:rsidP="00F02FD8">
            <w:pPr>
              <w:spacing w:before="100" w:beforeAutospacing="1" w:after="100" w:afterAutospacing="1"/>
              <w:rPr>
                <w:rFonts w:ascii="Calibri" w:hAnsi="Calibri" w:cs="Calibri"/>
                <w:b/>
                <w:bCs/>
                <w:color w:val="FFFFFF"/>
              </w:rPr>
            </w:pPr>
            <w:r w:rsidRPr="0023642B">
              <w:rPr>
                <w:rFonts w:ascii="Calibri" w:hAnsi="Calibri" w:cs="Calibri"/>
                <w:b/>
                <w:bCs/>
                <w:color w:val="FFFFFF"/>
              </w:rPr>
              <w:t>2011</w:t>
            </w:r>
          </w:p>
        </w:tc>
        <w:tc>
          <w:tcPr>
            <w:tcW w:w="718" w:type="dxa"/>
            <w:shd w:val="clear" w:color="4F81BD" w:fill="4F81BD"/>
            <w:vAlign w:val="center"/>
          </w:tcPr>
          <w:p w:rsidR="00D95F88" w:rsidRPr="0023642B" w:rsidRDefault="00D95F88" w:rsidP="00F02FD8">
            <w:pPr>
              <w:spacing w:before="100" w:beforeAutospacing="1" w:after="100" w:afterAutospacing="1"/>
              <w:rPr>
                <w:rFonts w:ascii="Calibri" w:hAnsi="Calibri" w:cs="Calibri"/>
                <w:b/>
                <w:bCs/>
                <w:color w:val="FFFFFF"/>
              </w:rPr>
            </w:pPr>
            <w:r w:rsidRPr="0023642B">
              <w:rPr>
                <w:rFonts w:ascii="Calibri" w:hAnsi="Calibri" w:cs="Calibri"/>
                <w:b/>
                <w:bCs/>
                <w:color w:val="FFFFFF"/>
              </w:rPr>
              <w:t>Pořadí</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Denmark</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0,084</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0,073</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0,052</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0,059</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0,065</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1.</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Sweden</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0,127</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0,104</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0,072</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0,067</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0,061</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2.</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Norway</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0,132</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0,144</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0,091</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0,051</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0,05</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3.</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United Kingdom</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0,076</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0,103</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0,056</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0,047</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0,047</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4.</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Finland</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0,075</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0,061</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0,05</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0,054</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0,041</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5.</w:t>
            </w:r>
          </w:p>
        </w:tc>
      </w:tr>
      <w:tr w:rsidR="00D95F88" w:rsidRPr="0022503D">
        <w:trPr>
          <w:trHeight w:val="290"/>
        </w:trPr>
        <w:tc>
          <w:tcPr>
            <w:tcW w:w="0" w:type="auto"/>
            <w:shd w:val="clear" w:color="auto" w:fill="auto"/>
            <w:noWrap/>
            <w:vAlign w:val="bottom"/>
          </w:tcPr>
          <w:p w:rsidR="00D95F88" w:rsidRPr="0023642B" w:rsidRDefault="00D95F88" w:rsidP="00F02FD8">
            <w:pPr>
              <w:spacing w:before="100" w:beforeAutospacing="1" w:after="100" w:afterAutospacing="1"/>
              <w:rPr>
                <w:rFonts w:ascii="Calibri" w:hAnsi="Calibri" w:cs="Calibri"/>
                <w:b/>
                <w:bCs/>
                <w:color w:val="000000"/>
              </w:rPr>
            </w:pPr>
            <w:r w:rsidRPr="0023642B">
              <w:rPr>
                <w:rFonts w:ascii="Calibri" w:hAnsi="Calibri" w:cs="Calibri"/>
                <w:b/>
                <w:bCs/>
                <w:color w:val="000000"/>
              </w:rPr>
              <w:t>(…)</w:t>
            </w:r>
          </w:p>
        </w:tc>
        <w:tc>
          <w:tcPr>
            <w:tcW w:w="0" w:type="auto"/>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w:t>
            </w:r>
          </w:p>
        </w:tc>
        <w:tc>
          <w:tcPr>
            <w:tcW w:w="0" w:type="auto"/>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w:t>
            </w:r>
          </w:p>
        </w:tc>
        <w:tc>
          <w:tcPr>
            <w:tcW w:w="0" w:type="auto"/>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w:t>
            </w:r>
          </w:p>
        </w:tc>
        <w:tc>
          <w:tcPr>
            <w:tcW w:w="0" w:type="auto"/>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w:t>
            </w:r>
          </w:p>
        </w:tc>
        <w:tc>
          <w:tcPr>
            <w:tcW w:w="0" w:type="auto"/>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Poland</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0,006</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0,016</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0,001</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0,002</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0,006</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17.</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Czech Republic</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0,002</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0,003</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0,001</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0,008</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0,005</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18.</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Greece</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0,001</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0,001</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0,007</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0,004</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color w:val="000000"/>
              </w:rPr>
            </w:pPr>
            <w:r w:rsidRPr="0023642B">
              <w:rPr>
                <w:rFonts w:ascii="Calibri" w:hAnsi="Calibri" w:cs="Calibri"/>
                <w:color w:val="000000"/>
              </w:rPr>
              <w:t>19.</w:t>
            </w:r>
          </w:p>
        </w:tc>
      </w:tr>
      <w:tr w:rsidR="00D95F88" w:rsidRPr="0022503D">
        <w:trPr>
          <w:trHeight w:val="290"/>
        </w:trPr>
        <w:tc>
          <w:tcPr>
            <w:tcW w:w="0" w:type="auto"/>
            <w:shd w:val="clear" w:color="auto" w:fill="auto"/>
            <w:noWrap/>
            <w:vAlign w:val="bottom"/>
          </w:tcPr>
          <w:p w:rsidR="00D95F88" w:rsidRPr="0023642B" w:rsidRDefault="00D95F88" w:rsidP="00F02FD8">
            <w:pPr>
              <w:rPr>
                <w:rFonts w:ascii="Calibri" w:hAnsi="Calibri" w:cs="Calibri"/>
              </w:rPr>
            </w:pPr>
            <w:r w:rsidRPr="0023642B">
              <w:rPr>
                <w:rFonts w:ascii="Calibri" w:hAnsi="Calibri" w:cs="Calibri"/>
              </w:rPr>
              <w:t>Italy</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0,007</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0,003</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0,004</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0,004</w:t>
            </w:r>
          </w:p>
        </w:tc>
        <w:tc>
          <w:tcPr>
            <w:tcW w:w="0" w:type="auto"/>
            <w:shd w:val="clear" w:color="auto" w:fill="auto"/>
            <w:noWrap/>
            <w:vAlign w:val="bottom"/>
          </w:tcPr>
          <w:p w:rsidR="00D95F88" w:rsidRPr="0023642B" w:rsidRDefault="00D95F88" w:rsidP="00F02FD8">
            <w:pPr>
              <w:jc w:val="right"/>
              <w:rPr>
                <w:rFonts w:ascii="Calibri" w:hAnsi="Calibri" w:cs="Calibri"/>
              </w:rPr>
            </w:pPr>
            <w:r w:rsidRPr="0023642B">
              <w:rPr>
                <w:rFonts w:ascii="Calibri" w:hAnsi="Calibri" w:cs="Calibri"/>
              </w:rPr>
              <w:t>0,003</w:t>
            </w:r>
          </w:p>
        </w:tc>
        <w:tc>
          <w:tcPr>
            <w:tcW w:w="718" w:type="dxa"/>
            <w:shd w:val="clear" w:color="auto" w:fill="auto"/>
            <w:noWrap/>
            <w:vAlign w:val="bottom"/>
          </w:tcPr>
          <w:p w:rsidR="00D95F88" w:rsidRPr="0023642B" w:rsidRDefault="00D95F88" w:rsidP="00F02FD8">
            <w:pPr>
              <w:spacing w:before="100" w:beforeAutospacing="1" w:after="100" w:afterAutospacing="1"/>
              <w:rPr>
                <w:rFonts w:ascii="Calibri" w:hAnsi="Calibri" w:cs="Calibri"/>
                <w:bCs/>
                <w:color w:val="000000"/>
              </w:rPr>
            </w:pPr>
            <w:r w:rsidRPr="0023642B">
              <w:rPr>
                <w:rFonts w:ascii="Calibri" w:hAnsi="Calibri" w:cs="Calibri"/>
                <w:bCs/>
                <w:color w:val="000000"/>
              </w:rPr>
              <w:t>20.</w:t>
            </w:r>
          </w:p>
        </w:tc>
      </w:tr>
    </w:tbl>
    <w:p w:rsidR="00D95F88" w:rsidRPr="0023642B" w:rsidRDefault="00D95F88" w:rsidP="00D95F88">
      <w:pPr>
        <w:rPr>
          <w:rFonts w:ascii="Calibri" w:hAnsi="Calibri" w:cs="Calibri"/>
          <w:sz w:val="18"/>
          <w:szCs w:val="18"/>
        </w:rPr>
      </w:pPr>
      <w:r w:rsidRPr="0023642B">
        <w:rPr>
          <w:rFonts w:ascii="Calibri" w:hAnsi="Calibri" w:cs="Calibri"/>
          <w:sz w:val="18"/>
          <w:szCs w:val="18"/>
        </w:rPr>
        <w:t>Zdroj: Eurostat</w:t>
      </w:r>
    </w:p>
    <w:p w:rsidR="00D95F88" w:rsidRPr="0023642B" w:rsidRDefault="00D95F88" w:rsidP="00D95F88">
      <w:pPr>
        <w:rPr>
          <w:rFonts w:ascii="Calibri" w:hAnsi="Calibri" w:cs="Calibri"/>
          <w:sz w:val="18"/>
          <w:szCs w:val="18"/>
        </w:rPr>
      </w:pPr>
    </w:p>
    <w:p w:rsidR="00FE0041" w:rsidRPr="00FB6BDB" w:rsidRDefault="00D95F88" w:rsidP="00D95F88">
      <w:pPr>
        <w:pStyle w:val="Odstavecseseznamem"/>
        <w:ind w:left="0"/>
        <w:contextualSpacing w:val="0"/>
        <w:jc w:val="both"/>
        <w:rPr>
          <w:rFonts w:ascii="Calibri" w:hAnsi="Calibri" w:cs="Calibri"/>
          <w:sz w:val="24"/>
        </w:rPr>
      </w:pPr>
      <w:r w:rsidRPr="00160E8B">
        <w:rPr>
          <w:rFonts w:ascii="Calibri" w:hAnsi="Calibri" w:cs="Calibri"/>
          <w:b/>
          <w:sz w:val="24"/>
        </w:rPr>
        <w:t>Identifikovaný problém č. 3</w:t>
      </w:r>
      <w:r w:rsidRPr="00160E8B">
        <w:rPr>
          <w:rFonts w:ascii="Calibri" w:hAnsi="Calibri" w:cs="Calibri"/>
          <w:sz w:val="24"/>
        </w:rPr>
        <w:t xml:space="preserve">: Nízký počet </w:t>
      </w:r>
      <w:r w:rsidR="00986D8F" w:rsidRPr="00160E8B">
        <w:rPr>
          <w:rFonts w:ascii="Calibri" w:hAnsi="Calibri" w:cs="Calibri"/>
          <w:sz w:val="24"/>
        </w:rPr>
        <w:t>inovačně</w:t>
      </w:r>
      <w:r w:rsidRPr="00160E8B">
        <w:rPr>
          <w:rFonts w:ascii="Calibri" w:hAnsi="Calibri" w:cs="Calibri"/>
          <w:sz w:val="24"/>
        </w:rPr>
        <w:t xml:space="preserve"> orientovaných </w:t>
      </w:r>
      <w:r w:rsidR="00986D8F" w:rsidRPr="00160E8B">
        <w:rPr>
          <w:rFonts w:ascii="Calibri" w:hAnsi="Calibri" w:cs="Calibri"/>
          <w:sz w:val="24"/>
        </w:rPr>
        <w:t>start-up</w:t>
      </w:r>
      <w:r w:rsidRPr="00160E8B">
        <w:rPr>
          <w:rFonts w:ascii="Calibri" w:hAnsi="Calibri" w:cs="Calibri"/>
          <w:sz w:val="24"/>
        </w:rPr>
        <w:t xml:space="preserve"> podniků </w:t>
      </w:r>
      <w:r w:rsidR="00986D8F" w:rsidRPr="00160E8B">
        <w:rPr>
          <w:rFonts w:ascii="Calibri" w:hAnsi="Calibri" w:cs="Calibri"/>
          <w:sz w:val="24"/>
        </w:rPr>
        <w:t xml:space="preserve">a technologicky zaměřených firem </w:t>
      </w:r>
      <w:r w:rsidRPr="00160E8B">
        <w:rPr>
          <w:rFonts w:ascii="Calibri" w:hAnsi="Calibri" w:cs="Calibri"/>
          <w:sz w:val="24"/>
        </w:rPr>
        <w:t>obecně.</w:t>
      </w:r>
      <w:r w:rsidR="007768F1" w:rsidRPr="00160E8B">
        <w:rPr>
          <w:rFonts w:ascii="Calibri" w:hAnsi="Calibri" w:cs="Calibri"/>
          <w:sz w:val="24"/>
        </w:rPr>
        <w:t xml:space="preserve"> </w:t>
      </w:r>
      <w:r w:rsidR="00FE0041" w:rsidRPr="00160E8B">
        <w:rPr>
          <w:rFonts w:ascii="Calibri" w:hAnsi="Calibri" w:cs="Calibri"/>
          <w:sz w:val="24"/>
        </w:rPr>
        <w:t xml:space="preserve">Vazba na tematický cíl 1, investiční prioritu 1b </w:t>
      </w:r>
      <w:r w:rsidR="00FE0041" w:rsidRPr="00FB6BDB">
        <w:rPr>
          <w:rFonts w:ascii="Calibri" w:hAnsi="Calibri" w:cs="Calibri"/>
          <w:sz w:val="24"/>
        </w:rPr>
        <w:t xml:space="preserve">(nařízení o ERDF, článek 5, odst. (1) bod </w:t>
      </w:r>
      <w:r w:rsidR="00350F5A" w:rsidRPr="00FB6BDB">
        <w:rPr>
          <w:rFonts w:ascii="Calibri" w:hAnsi="Calibri" w:cs="Calibri"/>
          <w:sz w:val="24"/>
        </w:rPr>
        <w:t>(</w:t>
      </w:r>
      <w:r w:rsidR="00FE0041" w:rsidRPr="00FB6BDB">
        <w:rPr>
          <w:rFonts w:ascii="Calibri" w:hAnsi="Calibri" w:cs="Calibri"/>
          <w:sz w:val="24"/>
        </w:rPr>
        <w:t>b)</w:t>
      </w:r>
    </w:p>
    <w:p w:rsidR="00D95F88" w:rsidRPr="00FB6BDB" w:rsidRDefault="00D95F88" w:rsidP="00D95F88">
      <w:pPr>
        <w:pStyle w:val="Odstavecseseznamem"/>
        <w:ind w:left="0"/>
        <w:contextualSpacing w:val="0"/>
        <w:jc w:val="both"/>
        <w:rPr>
          <w:rFonts w:ascii="Calibri" w:hAnsi="Calibri" w:cs="Calibri"/>
          <w:sz w:val="24"/>
        </w:rPr>
      </w:pPr>
    </w:p>
    <w:p w:rsidR="00FE0041" w:rsidRPr="0023642B" w:rsidRDefault="00D95F88" w:rsidP="00D95F88">
      <w:pPr>
        <w:pStyle w:val="Odstavecseseznamem"/>
        <w:ind w:left="0"/>
        <w:contextualSpacing w:val="0"/>
        <w:jc w:val="both"/>
        <w:rPr>
          <w:rFonts w:ascii="Calibri" w:hAnsi="Calibri" w:cs="Calibri"/>
          <w:sz w:val="24"/>
        </w:rPr>
      </w:pPr>
      <w:r w:rsidRPr="00FB6BDB">
        <w:rPr>
          <w:rFonts w:ascii="Calibri" w:hAnsi="Calibri" w:cs="Calibri"/>
          <w:b/>
          <w:sz w:val="24"/>
        </w:rPr>
        <w:t>Identifikovaný problém č. 4:</w:t>
      </w:r>
      <w:r w:rsidRPr="00FB6BDB">
        <w:rPr>
          <w:rFonts w:ascii="Calibri" w:hAnsi="Calibri" w:cs="Calibri"/>
          <w:sz w:val="24"/>
        </w:rPr>
        <w:t xml:space="preserve"> Nedostatečná dostupnost financí pro projekty založení a rozvoje inovačních podniků.</w:t>
      </w:r>
      <w:r w:rsidR="007768F1" w:rsidRPr="00FB6BDB">
        <w:rPr>
          <w:rFonts w:ascii="Calibri" w:hAnsi="Calibri" w:cs="Calibri"/>
          <w:sz w:val="24"/>
        </w:rPr>
        <w:t xml:space="preserve"> </w:t>
      </w:r>
      <w:r w:rsidR="00FE0041" w:rsidRPr="00FB6BDB">
        <w:rPr>
          <w:rFonts w:ascii="Calibri" w:hAnsi="Calibri" w:cs="Calibri"/>
          <w:sz w:val="24"/>
        </w:rPr>
        <w:t xml:space="preserve">Vazba na tematický cíl 1, investiční prioritu 1b (nařízení o ERDF, článek 5, odst. (1) bod </w:t>
      </w:r>
      <w:r w:rsidR="00350F5A" w:rsidRPr="00FB6BDB">
        <w:rPr>
          <w:rFonts w:ascii="Calibri" w:hAnsi="Calibri" w:cs="Calibri"/>
          <w:sz w:val="24"/>
        </w:rPr>
        <w:t>(</w:t>
      </w:r>
      <w:r w:rsidR="00FE0041" w:rsidRPr="00FB6BDB">
        <w:rPr>
          <w:rFonts w:ascii="Calibri" w:hAnsi="Calibri" w:cs="Calibri"/>
          <w:sz w:val="24"/>
        </w:rPr>
        <w:t>b)</w:t>
      </w:r>
    </w:p>
    <w:p w:rsidR="00D95F88" w:rsidRPr="0023642B" w:rsidRDefault="00D95F88" w:rsidP="00923B75">
      <w:pPr>
        <w:pStyle w:val="Odstavecseseznamem"/>
        <w:ind w:left="0"/>
        <w:contextualSpacing w:val="0"/>
        <w:jc w:val="both"/>
        <w:rPr>
          <w:rFonts w:ascii="Calibri" w:hAnsi="Calibri" w:cs="Calibri"/>
          <w:sz w:val="24"/>
        </w:rPr>
      </w:pPr>
    </w:p>
    <w:p w:rsidR="00D95F88" w:rsidRPr="0023642B" w:rsidRDefault="00D95F88" w:rsidP="00D95F88">
      <w:pPr>
        <w:pStyle w:val="Odstavecseseznamem"/>
        <w:ind w:left="0"/>
        <w:contextualSpacing w:val="0"/>
        <w:jc w:val="both"/>
        <w:rPr>
          <w:rFonts w:ascii="Calibri" w:hAnsi="Calibri" w:cs="Calibri"/>
          <w:sz w:val="24"/>
        </w:rPr>
      </w:pPr>
      <w:r w:rsidRPr="0023642B">
        <w:rPr>
          <w:rFonts w:ascii="Calibri" w:hAnsi="Calibri" w:cs="Calibri"/>
          <w:sz w:val="24"/>
        </w:rPr>
        <w:t>Ze srovnání evropského šetření o inovacíc</w:t>
      </w:r>
      <w:r w:rsidRPr="00160E8B">
        <w:rPr>
          <w:rFonts w:ascii="Calibri" w:hAnsi="Calibri" w:cs="Calibri"/>
          <w:sz w:val="24"/>
        </w:rPr>
        <w:t>h Community Innovation Surve</w:t>
      </w:r>
      <w:r w:rsidRPr="008B49A9">
        <w:rPr>
          <w:rFonts w:ascii="Calibri" w:hAnsi="Calibri" w:cs="Calibri"/>
          <w:sz w:val="24"/>
        </w:rPr>
        <w:t>y</w:t>
      </w:r>
      <w:r w:rsidR="007768F1" w:rsidRPr="008B49A9">
        <w:rPr>
          <w:rFonts w:ascii="Calibri" w:hAnsi="Calibri" w:cs="Calibri"/>
          <w:sz w:val="24"/>
        </w:rPr>
        <w:t xml:space="preserve"> (CIS) </w:t>
      </w:r>
      <w:r w:rsidRPr="008B49A9">
        <w:rPr>
          <w:rFonts w:ascii="Calibri" w:hAnsi="Calibri" w:cs="Calibri"/>
          <w:sz w:val="24"/>
        </w:rPr>
        <w:t>v</w:t>
      </w:r>
      <w:r w:rsidRPr="00160E8B">
        <w:rPr>
          <w:rFonts w:ascii="Calibri" w:hAnsi="Calibri" w:cs="Calibri"/>
          <w:sz w:val="24"/>
        </w:rPr>
        <w:t xml:space="preserve">yplývá, že </w:t>
      </w:r>
      <w:r w:rsidRPr="0023642B">
        <w:rPr>
          <w:rFonts w:ascii="Calibri" w:hAnsi="Calibri" w:cs="Calibri"/>
          <w:sz w:val="24"/>
        </w:rPr>
        <w:t xml:space="preserve">více než třetina českých podniků provádí inovace, především technické, ale i netechnické, a řadí se v tomto ohledu k nejlepším v EU. To se však zatím významně nepromítá ve znalostní náročnosti české produkce, kde převládají, zvláště v endogenním podnikatelském sektoru (tedy v podnikatelském sektoru bez zahrnutí poboček a afilací nadnárodních korporací), výrobky méně náročné na znalosti. Je to způsobeno především kvalitou zaváděných inovací, která stále není schopna generovat významnější množství nových technologií, jak vyplývá např. z vysoce negativní technologické platební bilance ČR. Z druhé strany, pozice ČR v žebříčku IUS zaměřeném na inovativnost ekonomik EU ukazuje, že se situace postupně </w:t>
      </w:r>
      <w:r w:rsidRPr="0023642B">
        <w:rPr>
          <w:rFonts w:ascii="Calibri" w:hAnsi="Calibri" w:cs="Calibri"/>
          <w:sz w:val="24"/>
        </w:rPr>
        <w:lastRenderedPageBreak/>
        <w:t>zlepšuje – ČR se řadí k zemím s nižší úrovní sledovaných ukazatelů inovativnosti, u velké části z nich však dochází ke zlepšení, mj. díky dosavadní podpoře ze strukturálních fondů EU.</w:t>
      </w:r>
    </w:p>
    <w:p w:rsidR="00D95F88" w:rsidRPr="0023642B" w:rsidRDefault="00D95F88" w:rsidP="00923B75">
      <w:pPr>
        <w:pStyle w:val="Odstavecseseznamem"/>
        <w:ind w:left="0"/>
        <w:contextualSpacing w:val="0"/>
        <w:jc w:val="both"/>
        <w:rPr>
          <w:rFonts w:ascii="Calibri" w:hAnsi="Calibri" w:cs="Calibri"/>
          <w:sz w:val="24"/>
        </w:rPr>
      </w:pPr>
    </w:p>
    <w:p w:rsidR="00FE0041" w:rsidRPr="0023642B" w:rsidRDefault="00D95F88" w:rsidP="00D95F88">
      <w:pPr>
        <w:pStyle w:val="Odstavecseseznamem"/>
        <w:ind w:left="0"/>
        <w:contextualSpacing w:val="0"/>
        <w:jc w:val="both"/>
        <w:rPr>
          <w:rFonts w:ascii="Calibri" w:hAnsi="Calibri" w:cs="Calibri"/>
          <w:sz w:val="24"/>
        </w:rPr>
      </w:pPr>
      <w:r w:rsidRPr="00160E8B">
        <w:rPr>
          <w:rFonts w:ascii="Calibri" w:hAnsi="Calibri" w:cs="Calibri"/>
          <w:b/>
          <w:sz w:val="24"/>
        </w:rPr>
        <w:t>Identifikovaný problém č. 5:</w:t>
      </w:r>
      <w:r w:rsidRPr="00160E8B">
        <w:rPr>
          <w:rFonts w:ascii="Calibri" w:hAnsi="Calibri" w:cs="Calibri"/>
          <w:sz w:val="24"/>
        </w:rPr>
        <w:t xml:space="preserve"> Nízký podíl inovací vyšších řádů při zavádění technických inovací, nízký podíl netechnických </w:t>
      </w:r>
      <w:r w:rsidRPr="00FB6BDB">
        <w:rPr>
          <w:rFonts w:ascii="Calibri" w:hAnsi="Calibri" w:cs="Calibri"/>
          <w:sz w:val="24"/>
        </w:rPr>
        <w:t>inovací.</w:t>
      </w:r>
      <w:r w:rsidR="007768F1" w:rsidRPr="00FB6BDB">
        <w:rPr>
          <w:rFonts w:ascii="Calibri" w:hAnsi="Calibri" w:cs="Calibri"/>
          <w:sz w:val="24"/>
        </w:rPr>
        <w:t xml:space="preserve"> </w:t>
      </w:r>
      <w:r w:rsidR="00FE0041" w:rsidRPr="00FB6BDB">
        <w:rPr>
          <w:rFonts w:ascii="Calibri" w:hAnsi="Calibri" w:cs="Calibri"/>
          <w:sz w:val="24"/>
        </w:rPr>
        <w:t xml:space="preserve">Vazba na tematický cíl 1, investiční prioritu 1b (nařízení o ERDF, článek 5, odst. (1) bod </w:t>
      </w:r>
      <w:r w:rsidR="00350F5A" w:rsidRPr="00FB6BDB">
        <w:rPr>
          <w:rFonts w:ascii="Calibri" w:hAnsi="Calibri" w:cs="Calibri"/>
          <w:sz w:val="24"/>
        </w:rPr>
        <w:t>(</w:t>
      </w:r>
      <w:r w:rsidR="00FE0041" w:rsidRPr="00FB6BDB">
        <w:rPr>
          <w:rFonts w:ascii="Calibri" w:hAnsi="Calibri" w:cs="Calibri"/>
          <w:sz w:val="24"/>
        </w:rPr>
        <w:t>b)</w:t>
      </w:r>
    </w:p>
    <w:p w:rsidR="00D95F88" w:rsidRPr="0023642B" w:rsidRDefault="00D95F88" w:rsidP="00923B75">
      <w:pPr>
        <w:pStyle w:val="Odstavecseseznamem"/>
        <w:ind w:left="0"/>
        <w:contextualSpacing w:val="0"/>
        <w:jc w:val="both"/>
        <w:rPr>
          <w:rFonts w:ascii="Calibri" w:hAnsi="Calibri" w:cs="Calibri"/>
          <w:sz w:val="24"/>
        </w:rPr>
      </w:pPr>
    </w:p>
    <w:p w:rsidR="00D95F88" w:rsidRDefault="00D95F88" w:rsidP="00D95F88">
      <w:pPr>
        <w:pStyle w:val="Odstavecseseznamem"/>
        <w:ind w:left="0"/>
        <w:contextualSpacing w:val="0"/>
        <w:jc w:val="both"/>
        <w:rPr>
          <w:rFonts w:ascii="Calibri" w:hAnsi="Calibri" w:cs="Calibri"/>
          <w:sz w:val="24"/>
        </w:rPr>
      </w:pPr>
      <w:r w:rsidRPr="0023642B">
        <w:rPr>
          <w:rFonts w:ascii="Calibri" w:hAnsi="Calibri" w:cs="Calibri"/>
          <w:sz w:val="24"/>
        </w:rPr>
        <w:t>V oblasti VaV a inovací je také potřeba z hlediska podnikatelského sektoru analyzovat stávající stav inovační infrastruktury, která slouží k podpoře přenosů technologií mezi výzkumnou a podnikatelskou sférou a také obecně k rozvoji inovačního podnikání tím, že inovačním podnikům poskytuje prostory a služby. Zajištění speciálních služeb představuje hlavním přidanou hodnotu, kterou tato infrastruktura poskytuje</w:t>
      </w:r>
      <w:r w:rsidRPr="00160E8B">
        <w:rPr>
          <w:rFonts w:ascii="Calibri" w:hAnsi="Calibri" w:cs="Calibri"/>
          <w:sz w:val="24"/>
        </w:rPr>
        <w:t>. Analýza inovační infrastruktury se ve smyslu tohoto vymezení zaměřuje na vědeckotechnické a techn</w:t>
      </w:r>
      <w:r w:rsidR="00986D8F" w:rsidRPr="00160E8B">
        <w:rPr>
          <w:rFonts w:ascii="Calibri" w:hAnsi="Calibri" w:cs="Calibri"/>
          <w:sz w:val="24"/>
        </w:rPr>
        <w:t>ologické parky, podnikatelská inovační centra a</w:t>
      </w:r>
      <w:r w:rsidRPr="00160E8B">
        <w:rPr>
          <w:rFonts w:ascii="Calibri" w:hAnsi="Calibri" w:cs="Calibri"/>
          <w:sz w:val="24"/>
        </w:rPr>
        <w:t xml:space="preserve"> inovační podnikatelské inkubát</w:t>
      </w:r>
      <w:r w:rsidRPr="008B49A9">
        <w:rPr>
          <w:rFonts w:ascii="Calibri" w:hAnsi="Calibri" w:cs="Calibri"/>
          <w:sz w:val="24"/>
        </w:rPr>
        <w:t>ory.</w:t>
      </w:r>
      <w:r w:rsidR="0030405B" w:rsidRPr="008B49A9">
        <w:rPr>
          <w:rStyle w:val="Znakapoznpodarou"/>
          <w:rFonts w:ascii="Calibri" w:hAnsi="Calibri" w:cs="Calibri"/>
          <w:sz w:val="24"/>
        </w:rPr>
        <w:footnoteReference w:id="6"/>
      </w:r>
    </w:p>
    <w:p w:rsidR="00D95F88" w:rsidRPr="0023642B" w:rsidRDefault="00D95F88" w:rsidP="00D95F88">
      <w:pPr>
        <w:pStyle w:val="Odstavecseseznamem"/>
        <w:ind w:left="0"/>
        <w:jc w:val="both"/>
        <w:rPr>
          <w:rFonts w:ascii="Calibri" w:hAnsi="Calibri" w:cs="Calibri"/>
          <w:sz w:val="24"/>
        </w:rPr>
      </w:pPr>
    </w:p>
    <w:p w:rsidR="00D95F88" w:rsidRPr="0023642B" w:rsidRDefault="00D95F88" w:rsidP="00D95F88">
      <w:pPr>
        <w:pStyle w:val="Titulek"/>
        <w:keepNext/>
        <w:rPr>
          <w:rFonts w:ascii="Calibri" w:hAnsi="Calibri" w:cs="Calibri"/>
        </w:rPr>
      </w:pPr>
      <w:r w:rsidRPr="00FB6BDB">
        <w:rPr>
          <w:rFonts w:ascii="Calibri" w:hAnsi="Calibri" w:cs="Calibri"/>
        </w:rPr>
        <w:t xml:space="preserve">Tabulka </w:t>
      </w:r>
      <w:r w:rsidR="008534F0" w:rsidRPr="00FB6BDB">
        <w:rPr>
          <w:rFonts w:ascii="Calibri" w:hAnsi="Calibri" w:cs="Calibri"/>
        </w:rPr>
        <w:fldChar w:fldCharType="begin"/>
      </w:r>
      <w:r w:rsidRPr="00FB6BDB">
        <w:rPr>
          <w:rFonts w:ascii="Calibri" w:hAnsi="Calibri" w:cs="Calibri"/>
        </w:rPr>
        <w:instrText xml:space="preserve"> SEQ Tabulka \* ARABIC </w:instrText>
      </w:r>
      <w:r w:rsidR="008534F0" w:rsidRPr="00FB6BDB">
        <w:rPr>
          <w:rFonts w:ascii="Calibri" w:hAnsi="Calibri" w:cs="Calibri"/>
        </w:rPr>
        <w:fldChar w:fldCharType="separate"/>
      </w:r>
      <w:r w:rsidR="00D92A26">
        <w:rPr>
          <w:rFonts w:ascii="Calibri" w:hAnsi="Calibri" w:cs="Calibri"/>
          <w:noProof/>
        </w:rPr>
        <w:t>2</w:t>
      </w:r>
      <w:r w:rsidR="008534F0" w:rsidRPr="00FB6BDB">
        <w:rPr>
          <w:rFonts w:ascii="Calibri" w:hAnsi="Calibri" w:cs="Calibri"/>
          <w:noProof/>
        </w:rPr>
        <w:fldChar w:fldCharType="end"/>
      </w:r>
      <w:r w:rsidRPr="00FB6BDB">
        <w:rPr>
          <w:rFonts w:ascii="Calibri" w:hAnsi="Calibri" w:cs="Calibri"/>
        </w:rPr>
        <w:t>: Roz</w:t>
      </w:r>
      <w:r w:rsidRPr="0023642B">
        <w:rPr>
          <w:rFonts w:ascii="Calibri" w:hAnsi="Calibri" w:cs="Calibri"/>
        </w:rPr>
        <w:t>ložení prvků inovační infrastruktury v ČR dle zřizovatele</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2970"/>
        <w:gridCol w:w="2970"/>
      </w:tblGrid>
      <w:tr w:rsidR="00D95F88" w:rsidRPr="0022503D">
        <w:tc>
          <w:tcPr>
            <w:tcW w:w="3088" w:type="dxa"/>
            <w:vMerge w:val="restart"/>
          </w:tcPr>
          <w:p w:rsidR="00D95F88" w:rsidRPr="0023642B" w:rsidRDefault="00D95F88" w:rsidP="00F02FD8">
            <w:pPr>
              <w:rPr>
                <w:rFonts w:ascii="Calibri" w:hAnsi="Calibri" w:cs="Calibri"/>
                <w:b/>
                <w:color w:val="333399"/>
              </w:rPr>
            </w:pPr>
            <w:r w:rsidRPr="0023642B">
              <w:rPr>
                <w:rFonts w:ascii="Calibri" w:hAnsi="Calibri" w:cs="Calibri"/>
                <w:b/>
                <w:color w:val="333399"/>
              </w:rPr>
              <w:t>Zřizovatel</w:t>
            </w:r>
          </w:p>
        </w:tc>
        <w:tc>
          <w:tcPr>
            <w:tcW w:w="5940" w:type="dxa"/>
            <w:gridSpan w:val="2"/>
          </w:tcPr>
          <w:p w:rsidR="00D95F88" w:rsidRPr="0023642B" w:rsidRDefault="00D95F88" w:rsidP="00F02FD8">
            <w:pPr>
              <w:jc w:val="center"/>
              <w:rPr>
                <w:rFonts w:ascii="Calibri" w:hAnsi="Calibri" w:cs="Calibri"/>
                <w:b/>
                <w:color w:val="333399"/>
              </w:rPr>
            </w:pPr>
            <w:r w:rsidRPr="0023642B">
              <w:rPr>
                <w:rFonts w:ascii="Calibri" w:hAnsi="Calibri" w:cs="Calibri"/>
                <w:b/>
                <w:color w:val="333399"/>
              </w:rPr>
              <w:t>Počet</w:t>
            </w:r>
          </w:p>
        </w:tc>
      </w:tr>
      <w:tr w:rsidR="00D95F88" w:rsidRPr="0022503D">
        <w:tc>
          <w:tcPr>
            <w:tcW w:w="3088" w:type="dxa"/>
            <w:vMerge/>
          </w:tcPr>
          <w:p w:rsidR="00D95F88" w:rsidRPr="0023642B" w:rsidRDefault="00D95F88" w:rsidP="00F02FD8">
            <w:pPr>
              <w:jc w:val="center"/>
              <w:rPr>
                <w:rFonts w:ascii="Calibri" w:hAnsi="Calibri" w:cs="Calibri"/>
                <w:b/>
                <w:color w:val="333399"/>
              </w:rPr>
            </w:pPr>
          </w:p>
        </w:tc>
        <w:tc>
          <w:tcPr>
            <w:tcW w:w="2970" w:type="dxa"/>
          </w:tcPr>
          <w:p w:rsidR="00D95F88" w:rsidRPr="0023642B" w:rsidRDefault="00D95F88" w:rsidP="00F02FD8">
            <w:pPr>
              <w:jc w:val="center"/>
              <w:rPr>
                <w:rFonts w:ascii="Calibri" w:hAnsi="Calibri" w:cs="Calibri"/>
                <w:b/>
                <w:color w:val="333399"/>
              </w:rPr>
            </w:pPr>
            <w:r w:rsidRPr="0023642B">
              <w:rPr>
                <w:rFonts w:ascii="Calibri" w:hAnsi="Calibri" w:cs="Calibri"/>
                <w:b/>
                <w:color w:val="333399"/>
              </w:rPr>
              <w:t>abs.</w:t>
            </w:r>
          </w:p>
        </w:tc>
        <w:tc>
          <w:tcPr>
            <w:tcW w:w="2970" w:type="dxa"/>
          </w:tcPr>
          <w:p w:rsidR="00D95F88" w:rsidRPr="0023642B" w:rsidRDefault="00D95F88" w:rsidP="00F02FD8">
            <w:pPr>
              <w:jc w:val="center"/>
              <w:rPr>
                <w:rFonts w:ascii="Calibri" w:hAnsi="Calibri" w:cs="Calibri"/>
                <w:b/>
                <w:color w:val="333399"/>
              </w:rPr>
            </w:pPr>
            <w:r w:rsidRPr="0023642B">
              <w:rPr>
                <w:rFonts w:ascii="Calibri" w:hAnsi="Calibri" w:cs="Calibri"/>
                <w:b/>
                <w:color w:val="333399"/>
              </w:rPr>
              <w:t>rel.</w:t>
            </w:r>
          </w:p>
        </w:tc>
      </w:tr>
      <w:tr w:rsidR="00D95F88" w:rsidRPr="0022503D">
        <w:tc>
          <w:tcPr>
            <w:tcW w:w="3088" w:type="dxa"/>
          </w:tcPr>
          <w:p w:rsidR="00D95F88" w:rsidRPr="0023642B" w:rsidRDefault="00D95F88" w:rsidP="00F02FD8">
            <w:pPr>
              <w:rPr>
                <w:rFonts w:ascii="Calibri" w:hAnsi="Calibri" w:cs="Calibri"/>
              </w:rPr>
            </w:pPr>
            <w:r w:rsidRPr="0023642B">
              <w:rPr>
                <w:rFonts w:ascii="Calibri" w:hAnsi="Calibri" w:cs="Calibri"/>
              </w:rPr>
              <w:t>VŠ</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10</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16,7%</w:t>
            </w:r>
          </w:p>
        </w:tc>
      </w:tr>
      <w:tr w:rsidR="00D95F88" w:rsidRPr="0022503D">
        <w:tc>
          <w:tcPr>
            <w:tcW w:w="3088" w:type="dxa"/>
          </w:tcPr>
          <w:p w:rsidR="00D95F88" w:rsidRPr="0023642B" w:rsidRDefault="00D95F88" w:rsidP="00F02FD8">
            <w:pPr>
              <w:rPr>
                <w:rFonts w:ascii="Calibri" w:hAnsi="Calibri" w:cs="Calibri"/>
              </w:rPr>
            </w:pPr>
            <w:r w:rsidRPr="0023642B">
              <w:rPr>
                <w:rFonts w:ascii="Calibri" w:hAnsi="Calibri" w:cs="Calibri"/>
              </w:rPr>
              <w:t>Město/Kraj</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12</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20,0%</w:t>
            </w:r>
          </w:p>
        </w:tc>
      </w:tr>
      <w:tr w:rsidR="00D95F88" w:rsidRPr="0022503D">
        <w:tc>
          <w:tcPr>
            <w:tcW w:w="3088" w:type="dxa"/>
          </w:tcPr>
          <w:p w:rsidR="00D95F88" w:rsidRPr="0023642B" w:rsidRDefault="00D95F88" w:rsidP="00F02FD8">
            <w:pPr>
              <w:rPr>
                <w:rFonts w:ascii="Calibri" w:hAnsi="Calibri" w:cs="Calibri"/>
              </w:rPr>
            </w:pPr>
            <w:r w:rsidRPr="0023642B">
              <w:rPr>
                <w:rFonts w:ascii="Calibri" w:hAnsi="Calibri" w:cs="Calibri"/>
              </w:rPr>
              <w:t>Státní podnik/AV</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5</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8,3%</w:t>
            </w:r>
          </w:p>
        </w:tc>
      </w:tr>
      <w:tr w:rsidR="00D95F88" w:rsidRPr="0022503D">
        <w:tc>
          <w:tcPr>
            <w:tcW w:w="3088" w:type="dxa"/>
          </w:tcPr>
          <w:p w:rsidR="00D95F88" w:rsidRPr="0023642B" w:rsidRDefault="00D95F88" w:rsidP="00F02FD8">
            <w:pPr>
              <w:rPr>
                <w:rFonts w:ascii="Calibri" w:hAnsi="Calibri" w:cs="Calibri"/>
              </w:rPr>
            </w:pPr>
            <w:r w:rsidRPr="0023642B">
              <w:rPr>
                <w:rFonts w:ascii="Calibri" w:hAnsi="Calibri" w:cs="Calibri"/>
              </w:rPr>
              <w:t>Soukromý</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22</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36,7%</w:t>
            </w:r>
          </w:p>
        </w:tc>
      </w:tr>
      <w:tr w:rsidR="00D95F88" w:rsidRPr="0022503D">
        <w:tc>
          <w:tcPr>
            <w:tcW w:w="3088" w:type="dxa"/>
          </w:tcPr>
          <w:p w:rsidR="00D95F88" w:rsidRPr="0023642B" w:rsidRDefault="00D95F88" w:rsidP="00F02FD8">
            <w:pPr>
              <w:rPr>
                <w:rFonts w:ascii="Calibri" w:hAnsi="Calibri" w:cs="Calibri"/>
              </w:rPr>
            </w:pPr>
            <w:r w:rsidRPr="0023642B">
              <w:rPr>
                <w:rFonts w:ascii="Calibri" w:hAnsi="Calibri" w:cs="Calibri"/>
              </w:rPr>
              <w:t>kombinace</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11</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18,3%</w:t>
            </w:r>
          </w:p>
        </w:tc>
      </w:tr>
      <w:tr w:rsidR="00D95F88" w:rsidRPr="0022503D">
        <w:tc>
          <w:tcPr>
            <w:tcW w:w="3088" w:type="dxa"/>
          </w:tcPr>
          <w:p w:rsidR="00D95F88" w:rsidRPr="0023642B" w:rsidRDefault="00D95F88" w:rsidP="00F02FD8">
            <w:pPr>
              <w:rPr>
                <w:rFonts w:ascii="Calibri" w:hAnsi="Calibri" w:cs="Calibri"/>
                <w:b/>
              </w:rPr>
            </w:pPr>
            <w:r w:rsidRPr="0023642B">
              <w:rPr>
                <w:rFonts w:ascii="Calibri" w:hAnsi="Calibri" w:cs="Calibri"/>
                <w:b/>
              </w:rPr>
              <w:t>Celkem</w:t>
            </w:r>
          </w:p>
        </w:tc>
        <w:tc>
          <w:tcPr>
            <w:tcW w:w="2970" w:type="dxa"/>
          </w:tcPr>
          <w:p w:rsidR="00D95F88" w:rsidRPr="0023642B" w:rsidRDefault="00D95F88" w:rsidP="00F02FD8">
            <w:pPr>
              <w:jc w:val="center"/>
              <w:rPr>
                <w:rFonts w:ascii="Calibri" w:hAnsi="Calibri" w:cs="Calibri"/>
                <w:b/>
              </w:rPr>
            </w:pPr>
            <w:r w:rsidRPr="0023642B">
              <w:rPr>
                <w:rFonts w:ascii="Calibri" w:hAnsi="Calibri" w:cs="Calibri"/>
                <w:b/>
              </w:rPr>
              <w:t>60</w:t>
            </w:r>
          </w:p>
        </w:tc>
        <w:tc>
          <w:tcPr>
            <w:tcW w:w="2970" w:type="dxa"/>
          </w:tcPr>
          <w:p w:rsidR="00D95F88" w:rsidRPr="0023642B" w:rsidRDefault="00D95F88" w:rsidP="00F02FD8">
            <w:pPr>
              <w:jc w:val="center"/>
              <w:rPr>
                <w:rFonts w:ascii="Calibri" w:hAnsi="Calibri" w:cs="Calibri"/>
              </w:rPr>
            </w:pPr>
            <w:r w:rsidRPr="0023642B">
              <w:rPr>
                <w:rFonts w:ascii="Calibri" w:hAnsi="Calibri" w:cs="Calibri"/>
              </w:rPr>
              <w:t>100,0%</w:t>
            </w:r>
          </w:p>
        </w:tc>
      </w:tr>
    </w:tbl>
    <w:p w:rsidR="00D95F88" w:rsidRPr="0023642B" w:rsidRDefault="00D95F88" w:rsidP="00D95F88">
      <w:pPr>
        <w:spacing w:after="120" w:line="288" w:lineRule="auto"/>
        <w:rPr>
          <w:rFonts w:ascii="Calibri" w:hAnsi="Calibri" w:cs="Calibri"/>
          <w:sz w:val="18"/>
          <w:szCs w:val="24"/>
        </w:rPr>
      </w:pPr>
      <w:r w:rsidRPr="0023642B">
        <w:rPr>
          <w:rFonts w:ascii="Calibri" w:hAnsi="Calibri" w:cs="Calibri"/>
          <w:sz w:val="18"/>
          <w:szCs w:val="24"/>
        </w:rPr>
        <w:t>Zdroj: Společnost vědeckotechnických parků ČR, vlastní šetření BermanGroup</w:t>
      </w:r>
    </w:p>
    <w:p w:rsidR="0030405B" w:rsidRDefault="00D95F88" w:rsidP="00D95F88">
      <w:pPr>
        <w:pStyle w:val="Odstavecseseznamem"/>
        <w:ind w:left="0"/>
        <w:contextualSpacing w:val="0"/>
        <w:jc w:val="both"/>
        <w:rPr>
          <w:rFonts w:ascii="Calibri" w:hAnsi="Calibri" w:cs="Calibri"/>
          <w:sz w:val="24"/>
        </w:rPr>
      </w:pPr>
      <w:r w:rsidRPr="0023642B">
        <w:rPr>
          <w:rFonts w:ascii="Calibri" w:hAnsi="Calibri" w:cs="Calibri"/>
          <w:sz w:val="24"/>
        </w:rPr>
        <w:t>Regionální distribuce zařízení inovační infrastruktury je nerovnoměrná, a to jak z hlediska počtu zařízení, tak při relativním pohledu v přepočtu na 100 tis. obyvatel. Převa</w:t>
      </w:r>
      <w:r w:rsidR="0030405B">
        <w:rPr>
          <w:rFonts w:ascii="Calibri" w:hAnsi="Calibri" w:cs="Calibri"/>
          <w:sz w:val="24"/>
        </w:rPr>
        <w:t>ha Středočeského kraje je především</w:t>
      </w:r>
      <w:r w:rsidRPr="0023642B">
        <w:rPr>
          <w:rFonts w:ascii="Calibri" w:hAnsi="Calibri" w:cs="Calibri"/>
          <w:sz w:val="24"/>
        </w:rPr>
        <w:t xml:space="preserve"> důsledkem blízkosti Prahy a skutečnosti, že v Praze je horší možnost podpory této infrastruktury z veřejných zdrojů. Nadprůměrné množství zaříze</w:t>
      </w:r>
      <w:r w:rsidR="0030405B">
        <w:rPr>
          <w:rFonts w:ascii="Calibri" w:hAnsi="Calibri" w:cs="Calibri"/>
          <w:sz w:val="24"/>
        </w:rPr>
        <w:t>ní inovační infrastruktury je pak na</w:t>
      </w:r>
      <w:r w:rsidRPr="0023642B">
        <w:rPr>
          <w:rFonts w:ascii="Calibri" w:hAnsi="Calibri" w:cs="Calibri"/>
          <w:sz w:val="24"/>
        </w:rPr>
        <w:t xml:space="preserve"> Moravě, což ukazuje na to, že v</w:t>
      </w:r>
      <w:r w:rsidR="0030405B">
        <w:rPr>
          <w:rFonts w:ascii="Calibri" w:hAnsi="Calibri" w:cs="Calibri"/>
          <w:sz w:val="24"/>
        </w:rPr>
        <w:t>e vybraných</w:t>
      </w:r>
      <w:r w:rsidRPr="0023642B">
        <w:rPr>
          <w:rFonts w:ascii="Calibri" w:hAnsi="Calibri" w:cs="Calibri"/>
          <w:sz w:val="24"/>
        </w:rPr>
        <w:t xml:space="preserve"> regionech</w:t>
      </w:r>
      <w:r w:rsidR="0030405B">
        <w:rPr>
          <w:rFonts w:ascii="Calibri" w:hAnsi="Calibri" w:cs="Calibri"/>
          <w:sz w:val="24"/>
        </w:rPr>
        <w:t xml:space="preserve"> s inovačním potenciálem</w:t>
      </w:r>
      <w:r w:rsidRPr="0023642B">
        <w:rPr>
          <w:rFonts w:ascii="Calibri" w:hAnsi="Calibri" w:cs="Calibri"/>
          <w:sz w:val="24"/>
        </w:rPr>
        <w:t xml:space="preserve"> je inovační podnikání chápáno jako jedna z významných cest rozvoje.  Stejně tak je na Moravě a Praze a jejím okolí usazeno 60 % z celkového počtu organizací/firem umístěných v  inovační infrastruktuře v ČR a pracuje v nich 70 % všech zaměstnanců.</w:t>
      </w:r>
    </w:p>
    <w:p w:rsidR="00D95F88" w:rsidRDefault="0030405B" w:rsidP="00923B75">
      <w:pPr>
        <w:pStyle w:val="Odstavecseseznamem"/>
        <w:ind w:left="0"/>
        <w:contextualSpacing w:val="0"/>
        <w:jc w:val="both"/>
        <w:rPr>
          <w:rFonts w:ascii="Calibri" w:hAnsi="Calibri" w:cs="Calibri"/>
          <w:sz w:val="24"/>
        </w:rPr>
      </w:pPr>
      <w:r>
        <w:rPr>
          <w:rFonts w:ascii="Calibri" w:hAnsi="Calibri" w:cs="Calibri"/>
          <w:sz w:val="24"/>
        </w:rPr>
        <w:t xml:space="preserve"> </w:t>
      </w:r>
    </w:p>
    <w:p w:rsidR="00D95F88" w:rsidRPr="0023642B" w:rsidRDefault="00D95F88" w:rsidP="00D95F88">
      <w:pPr>
        <w:pStyle w:val="Odstavecseseznamem"/>
        <w:ind w:left="0"/>
        <w:contextualSpacing w:val="0"/>
        <w:jc w:val="both"/>
        <w:rPr>
          <w:rFonts w:ascii="Calibri" w:hAnsi="Calibri" w:cs="Calibri"/>
          <w:sz w:val="24"/>
        </w:rPr>
      </w:pPr>
      <w:r w:rsidRPr="0023642B">
        <w:rPr>
          <w:rFonts w:ascii="Calibri" w:hAnsi="Calibri" w:cs="Calibri"/>
          <w:sz w:val="24"/>
        </w:rPr>
        <w:t>Celková obsazenost existujících zařízení je poměrně vysoká, když cca 60% zařízení a 50% dostupných ploch je obsazeno z více než 80%. Tato skutečnost ukazuje na to, že je potřeba zařízení v jednotlivých regionech nezanedbatelná a inovační infrastruktura z t</w:t>
      </w:r>
      <w:r w:rsidR="0030405B">
        <w:rPr>
          <w:rFonts w:ascii="Calibri" w:hAnsi="Calibri" w:cs="Calibri"/>
          <w:sz w:val="24"/>
        </w:rPr>
        <w:t>ohoto pohledu plní svou funkci.</w:t>
      </w:r>
      <w:r w:rsidRPr="0023642B">
        <w:rPr>
          <w:rFonts w:ascii="Calibri" w:hAnsi="Calibri" w:cs="Calibri"/>
          <w:sz w:val="24"/>
        </w:rPr>
        <w:t xml:space="preserve"> </w:t>
      </w:r>
      <w:r w:rsidRPr="00160E8B">
        <w:rPr>
          <w:rFonts w:ascii="Calibri" w:hAnsi="Calibri" w:cs="Calibri"/>
          <w:sz w:val="24"/>
        </w:rPr>
        <w:t>Kvalita inovační infrastruktury je dána především službami, které jsou poskytovány firmám v ní umístěným, tedy rozsahem služeb a jejich kvalitou. Nepřímým obrazem kvality zařízení je také struktura firem, které jsou v něm usídleny.</w:t>
      </w:r>
      <w:r w:rsidRPr="0023642B">
        <w:rPr>
          <w:rFonts w:ascii="Calibri" w:hAnsi="Calibri" w:cs="Calibri"/>
          <w:sz w:val="24"/>
        </w:rPr>
        <w:t xml:space="preserve"> </w:t>
      </w:r>
    </w:p>
    <w:p w:rsidR="00D95F88" w:rsidRDefault="00D95F88" w:rsidP="00D95F88">
      <w:pPr>
        <w:pStyle w:val="Odstavecseseznamem"/>
        <w:ind w:left="0"/>
        <w:jc w:val="both"/>
        <w:rPr>
          <w:rFonts w:ascii="Calibri" w:hAnsi="Calibri" w:cs="Calibri"/>
          <w:sz w:val="24"/>
        </w:rPr>
      </w:pPr>
    </w:p>
    <w:p w:rsidR="00D95F88" w:rsidRPr="0023642B" w:rsidRDefault="00D95F88" w:rsidP="00D95F88">
      <w:pPr>
        <w:pStyle w:val="Odstavecseseznamem"/>
        <w:ind w:left="0"/>
        <w:contextualSpacing w:val="0"/>
        <w:jc w:val="both"/>
        <w:rPr>
          <w:rFonts w:ascii="Calibri" w:hAnsi="Calibri" w:cs="Calibri"/>
          <w:sz w:val="24"/>
        </w:rPr>
      </w:pPr>
      <w:r w:rsidRPr="0023642B">
        <w:rPr>
          <w:rFonts w:ascii="Calibri" w:hAnsi="Calibri" w:cs="Calibri"/>
          <w:sz w:val="24"/>
        </w:rPr>
        <w:lastRenderedPageBreak/>
        <w:t>Rozsah služeb poskytovaných jednotlivými zařízeními je velký, služby se soustřeďují do oblasti technické a na poradenství, a to včetně specializovaných poradenství, např. patentového a technologického. Rovněž rozsah dílen a laboratoří, které jsou v zařízeních poskytovány, je značný, tyto služby poskytuje cca 75% zařízení. Určitou otázkou je kvalita, resp. obsahové zaměření poskytovaných služeb, jejich reálné využívání klienty inovační infrastruktury a jejich přínos ke zvýšení konkurenceschopnosti v zařízení umístěných firem. Zlepšení kvality služeb by</w:t>
      </w:r>
      <w:r w:rsidR="0030405B">
        <w:rPr>
          <w:rFonts w:ascii="Calibri" w:hAnsi="Calibri" w:cs="Calibri"/>
          <w:sz w:val="24"/>
        </w:rPr>
        <w:t xml:space="preserve"> tak</w:t>
      </w:r>
      <w:r w:rsidRPr="0023642B">
        <w:rPr>
          <w:rFonts w:ascii="Calibri" w:hAnsi="Calibri" w:cs="Calibri"/>
          <w:sz w:val="24"/>
        </w:rPr>
        <w:t xml:space="preserve"> ještě více zatraktivnilo stávající infrastrukturu pro projekty založení a rozvoje firem orientovaných jednoznačně do oblasti inovací. </w:t>
      </w:r>
    </w:p>
    <w:p w:rsidR="00D95F88" w:rsidRPr="0023642B" w:rsidRDefault="00D95F88" w:rsidP="00D95F88">
      <w:pPr>
        <w:pStyle w:val="Odstavecseseznamem"/>
        <w:ind w:left="0"/>
        <w:contextualSpacing w:val="0"/>
        <w:jc w:val="both"/>
        <w:rPr>
          <w:rFonts w:ascii="Calibri" w:hAnsi="Calibri" w:cs="Calibri"/>
          <w:sz w:val="24"/>
        </w:rPr>
      </w:pPr>
    </w:p>
    <w:p w:rsidR="00FE0041" w:rsidRPr="0023642B" w:rsidRDefault="00D95F88" w:rsidP="00D95F88">
      <w:pPr>
        <w:pStyle w:val="Odstavecseseznamem"/>
        <w:ind w:left="0"/>
        <w:contextualSpacing w:val="0"/>
        <w:jc w:val="both"/>
        <w:rPr>
          <w:rFonts w:ascii="Calibri" w:hAnsi="Calibri" w:cs="Calibri"/>
          <w:sz w:val="24"/>
        </w:rPr>
      </w:pPr>
      <w:r w:rsidRPr="00160E8B">
        <w:rPr>
          <w:rFonts w:ascii="Calibri" w:hAnsi="Calibri" w:cs="Calibri"/>
          <w:b/>
          <w:sz w:val="24"/>
        </w:rPr>
        <w:t>Identifikovaný problém č. 6</w:t>
      </w:r>
      <w:r w:rsidRPr="00160E8B">
        <w:rPr>
          <w:rFonts w:ascii="Calibri" w:hAnsi="Calibri" w:cs="Calibri"/>
          <w:sz w:val="24"/>
        </w:rPr>
        <w:t>: Je možné zefektivnit využití inovační infrastruktury z hlediska kvality poskytovaných služeb a struktury usazených podniků.</w:t>
      </w:r>
      <w:r w:rsidR="007768F1" w:rsidRPr="00160E8B">
        <w:rPr>
          <w:rFonts w:ascii="Calibri" w:hAnsi="Calibri" w:cs="Calibri"/>
          <w:sz w:val="24"/>
        </w:rPr>
        <w:t xml:space="preserve"> </w:t>
      </w:r>
      <w:r w:rsidR="00FE0041" w:rsidRPr="00160E8B">
        <w:rPr>
          <w:rFonts w:ascii="Calibri" w:hAnsi="Calibri" w:cs="Calibri"/>
          <w:sz w:val="24"/>
        </w:rPr>
        <w:t>V</w:t>
      </w:r>
      <w:r w:rsidR="00FE0041">
        <w:rPr>
          <w:rFonts w:ascii="Calibri" w:hAnsi="Calibri" w:cs="Calibri"/>
          <w:sz w:val="24"/>
        </w:rPr>
        <w:t>azba na tematický cíl 1, investiční prioritu 1</w:t>
      </w:r>
      <w:r w:rsidR="00FE0041" w:rsidRPr="00FB6BDB">
        <w:rPr>
          <w:rFonts w:ascii="Calibri" w:hAnsi="Calibri" w:cs="Calibri"/>
          <w:sz w:val="24"/>
        </w:rPr>
        <w:t xml:space="preserve">b (nařízení o ERDF, článek 5, odst. (1) bod </w:t>
      </w:r>
      <w:r w:rsidR="00350F5A" w:rsidRPr="00FB6BDB">
        <w:rPr>
          <w:rFonts w:ascii="Calibri" w:hAnsi="Calibri" w:cs="Calibri"/>
          <w:sz w:val="24"/>
        </w:rPr>
        <w:t>(</w:t>
      </w:r>
      <w:r w:rsidR="00FE0041" w:rsidRPr="00FB6BDB">
        <w:rPr>
          <w:rFonts w:ascii="Calibri" w:hAnsi="Calibri" w:cs="Calibri"/>
          <w:sz w:val="24"/>
        </w:rPr>
        <w:t>b)</w:t>
      </w:r>
    </w:p>
    <w:p w:rsidR="00D95F88" w:rsidRPr="0023642B" w:rsidRDefault="00D95F88" w:rsidP="00923B75">
      <w:pPr>
        <w:pStyle w:val="Odstavecseseznamem"/>
        <w:ind w:left="0"/>
        <w:jc w:val="both"/>
        <w:rPr>
          <w:rFonts w:ascii="Calibri" w:hAnsi="Calibri" w:cs="Calibri"/>
          <w:sz w:val="24"/>
        </w:rPr>
      </w:pPr>
    </w:p>
    <w:p w:rsidR="00D95F88" w:rsidRPr="00160E8B" w:rsidRDefault="00D95F88" w:rsidP="00D95F88">
      <w:pPr>
        <w:pStyle w:val="Odstavecseseznamem"/>
        <w:ind w:left="0"/>
        <w:jc w:val="both"/>
        <w:rPr>
          <w:rFonts w:ascii="Calibri" w:hAnsi="Calibri" w:cs="Calibri"/>
          <w:sz w:val="24"/>
        </w:rPr>
      </w:pPr>
      <w:r w:rsidRPr="0023642B">
        <w:rPr>
          <w:rFonts w:ascii="Calibri" w:hAnsi="Calibri" w:cs="Calibri"/>
          <w:sz w:val="24"/>
        </w:rPr>
        <w:t>Další oblastí, která řeší návaznost věde</w:t>
      </w:r>
      <w:r w:rsidRPr="00160E8B">
        <w:rPr>
          <w:rFonts w:ascii="Calibri" w:hAnsi="Calibri" w:cs="Calibri"/>
          <w:sz w:val="24"/>
        </w:rPr>
        <w:t>ckovýzkumné a podnikatelské sféry v inovačním řetězci</w:t>
      </w:r>
      <w:r w:rsidR="00C85220" w:rsidRPr="00160E8B">
        <w:rPr>
          <w:rFonts w:ascii="Calibri" w:hAnsi="Calibri" w:cs="Calibri"/>
          <w:sz w:val="24"/>
        </w:rPr>
        <w:t xml:space="preserve"> jako výše zmíněná inovační infrastruktura</w:t>
      </w:r>
      <w:r w:rsidRPr="00160E8B">
        <w:rPr>
          <w:rFonts w:ascii="Calibri" w:hAnsi="Calibri" w:cs="Calibri"/>
          <w:sz w:val="24"/>
        </w:rPr>
        <w:t>, je oblast klastrů a technologických platforem. Klastry a platformy mají potenciál realiz</w:t>
      </w:r>
      <w:r w:rsidRPr="0023642B">
        <w:rPr>
          <w:rFonts w:ascii="Calibri" w:hAnsi="Calibri" w:cs="Calibri"/>
          <w:sz w:val="24"/>
        </w:rPr>
        <w:t>ovat spolupráci aplikační a výzkumné sféry na bázi partnerských projektů a vytváření dlouhodobé spolupráce, především ve VaV</w:t>
      </w:r>
      <w:r w:rsidR="00C85220">
        <w:rPr>
          <w:rFonts w:ascii="Calibri" w:hAnsi="Calibri" w:cs="Calibri"/>
          <w:sz w:val="24"/>
        </w:rPr>
        <w:t>aI</w:t>
      </w:r>
      <w:r w:rsidRPr="0023642B">
        <w:rPr>
          <w:rFonts w:ascii="Calibri" w:hAnsi="Calibri" w:cs="Calibri"/>
          <w:sz w:val="24"/>
        </w:rPr>
        <w:t>. Tato spolupráce má význam i z hlediska vzniku neformálních vazeb a přenosu nekodifikovatelných znalostí (např. rozvoj znalostí vědeckovýzkumných pracovníků v oblasti podnikání, následné cílení výzkumu na tržně využitelné aplikace). Založení a rozvoj těchto partnerství bylo a je v ČR podporováno jak v rámci OPPP a OPPI, tak částečně i v rámci dalších národních a evropských programů. Intenzita partnerských vazeb nicméně zatím stále není na dostatečné úrovni a neefektivní spolupráce ve VaV</w:t>
      </w:r>
      <w:r w:rsidR="00C85220">
        <w:rPr>
          <w:rFonts w:ascii="Calibri" w:hAnsi="Calibri" w:cs="Calibri"/>
          <w:sz w:val="24"/>
        </w:rPr>
        <w:t>aI</w:t>
      </w:r>
      <w:r w:rsidRPr="0023642B">
        <w:rPr>
          <w:rFonts w:ascii="Calibri" w:hAnsi="Calibri" w:cs="Calibri"/>
          <w:sz w:val="24"/>
        </w:rPr>
        <w:t xml:space="preserve"> je proto i nadále chápána jako jedna z bariér dalšího pokroku ČR ve znalostní ekono</w:t>
      </w:r>
      <w:r w:rsidRPr="00160E8B">
        <w:rPr>
          <w:rFonts w:ascii="Calibri" w:hAnsi="Calibri" w:cs="Calibri"/>
          <w:sz w:val="24"/>
        </w:rPr>
        <w:t>mice. Rozvoj a zlepšení vzájemné spolupráce soukromého sektoru a vědeckovýzkumné sféry ve výrobě a službách je tak významnou prioritou.</w:t>
      </w:r>
    </w:p>
    <w:p w:rsidR="00D95F88" w:rsidRPr="00160E8B" w:rsidRDefault="00D95F88" w:rsidP="00D95F88">
      <w:pPr>
        <w:pStyle w:val="Odstavecseseznamem"/>
        <w:ind w:left="0"/>
        <w:jc w:val="both"/>
        <w:rPr>
          <w:rFonts w:ascii="Calibri" w:hAnsi="Calibri" w:cs="Calibri"/>
          <w:sz w:val="24"/>
        </w:rPr>
      </w:pPr>
    </w:p>
    <w:p w:rsidR="00FE0041" w:rsidRPr="0016532E" w:rsidRDefault="00D95F88" w:rsidP="00506B31">
      <w:pPr>
        <w:pStyle w:val="Odstavecseseznamem"/>
        <w:ind w:left="0"/>
        <w:jc w:val="both"/>
        <w:rPr>
          <w:rFonts w:ascii="Calibri" w:hAnsi="Calibri" w:cs="Calibri"/>
          <w:sz w:val="24"/>
        </w:rPr>
      </w:pPr>
      <w:r w:rsidRPr="00160E8B">
        <w:rPr>
          <w:rFonts w:ascii="Calibri" w:hAnsi="Calibri" w:cs="Calibri"/>
          <w:b/>
          <w:sz w:val="24"/>
        </w:rPr>
        <w:t>Identifikovaný problém č. 7</w:t>
      </w:r>
      <w:r w:rsidRPr="00160E8B">
        <w:rPr>
          <w:rFonts w:ascii="Calibri" w:hAnsi="Calibri" w:cs="Calibri"/>
          <w:sz w:val="24"/>
        </w:rPr>
        <w:t>: Nedostatečná intenzita partnerství mezi vědeckovýzkumnou a podnikatel</w:t>
      </w:r>
      <w:r w:rsidRPr="00FB6BDB">
        <w:rPr>
          <w:rFonts w:ascii="Calibri" w:hAnsi="Calibri" w:cs="Calibri"/>
          <w:sz w:val="24"/>
        </w:rPr>
        <w:t>skou sférou.</w:t>
      </w:r>
      <w:r w:rsidR="00BC53A8" w:rsidRPr="00FB6BDB">
        <w:rPr>
          <w:rFonts w:ascii="Calibri" w:hAnsi="Calibri" w:cs="Calibri"/>
          <w:sz w:val="24"/>
        </w:rPr>
        <w:t xml:space="preserve"> </w:t>
      </w:r>
      <w:r w:rsidR="00FE0041" w:rsidRPr="00FB6BDB">
        <w:rPr>
          <w:rFonts w:ascii="Calibri" w:hAnsi="Calibri" w:cs="Calibri"/>
          <w:sz w:val="24"/>
        </w:rPr>
        <w:t xml:space="preserve">Vazba na tematický cíl 1, investiční prioritu 1b (nařízení o ERDF, článek 5, odst. (1) bod </w:t>
      </w:r>
      <w:r w:rsidR="00350F5A" w:rsidRPr="00FB6BDB">
        <w:rPr>
          <w:rFonts w:ascii="Calibri" w:hAnsi="Calibri" w:cs="Calibri"/>
          <w:sz w:val="24"/>
        </w:rPr>
        <w:t>(</w:t>
      </w:r>
      <w:r w:rsidR="00FE0041" w:rsidRPr="00FB6BDB">
        <w:rPr>
          <w:rFonts w:ascii="Calibri" w:hAnsi="Calibri" w:cs="Calibri"/>
          <w:sz w:val="24"/>
        </w:rPr>
        <w:t>b)</w:t>
      </w:r>
    </w:p>
    <w:p w:rsidR="007A778A" w:rsidRDefault="007A778A" w:rsidP="00506B31">
      <w:pPr>
        <w:overflowPunct/>
        <w:autoSpaceDE/>
        <w:autoSpaceDN/>
        <w:adjustRightInd/>
        <w:ind w:left="1077"/>
        <w:jc w:val="both"/>
        <w:textAlignment w:val="auto"/>
        <w:rPr>
          <w:rFonts w:ascii="Calibri" w:hAnsi="Calibri" w:cs="Calibri"/>
          <w:iCs/>
          <w:sz w:val="24"/>
          <w:szCs w:val="24"/>
        </w:rPr>
      </w:pPr>
    </w:p>
    <w:p w:rsidR="00506B31" w:rsidRPr="00A2151E" w:rsidRDefault="00A2151E" w:rsidP="00A2151E">
      <w:pPr>
        <w:overflowPunct/>
        <w:autoSpaceDE/>
        <w:autoSpaceDN/>
        <w:adjustRightInd/>
        <w:jc w:val="both"/>
        <w:textAlignment w:val="auto"/>
        <w:rPr>
          <w:rFonts w:ascii="Calibri" w:hAnsi="Calibri" w:cs="Calibri"/>
          <w:b/>
          <w:sz w:val="28"/>
          <w:szCs w:val="24"/>
        </w:rPr>
      </w:pPr>
      <w:r w:rsidRPr="00A2151E">
        <w:rPr>
          <w:rFonts w:ascii="Calibri" w:hAnsi="Calibri" w:cs="Calibri"/>
          <w:b/>
          <w:sz w:val="28"/>
          <w:szCs w:val="24"/>
        </w:rPr>
        <w:t>II.</w:t>
      </w:r>
      <w:r w:rsidRPr="00A2151E">
        <w:rPr>
          <w:rFonts w:ascii="Calibri" w:hAnsi="Calibri" w:cs="Calibri"/>
          <w:b/>
          <w:sz w:val="28"/>
          <w:szCs w:val="24"/>
        </w:rPr>
        <w:tab/>
      </w:r>
      <w:r w:rsidR="00506B31" w:rsidRPr="00A2151E">
        <w:rPr>
          <w:rFonts w:ascii="Calibri" w:hAnsi="Calibri" w:cs="Calibri"/>
          <w:b/>
          <w:sz w:val="28"/>
          <w:szCs w:val="24"/>
        </w:rPr>
        <w:t>Inteligentní růst</w:t>
      </w:r>
    </w:p>
    <w:p w:rsidR="007A778A" w:rsidRPr="00160E8B" w:rsidRDefault="007A778A" w:rsidP="00851D6E">
      <w:pPr>
        <w:numPr>
          <w:ilvl w:val="1"/>
          <w:numId w:val="15"/>
        </w:numPr>
        <w:overflowPunct/>
        <w:autoSpaceDE/>
        <w:autoSpaceDN/>
        <w:adjustRightInd/>
        <w:jc w:val="both"/>
        <w:textAlignment w:val="auto"/>
        <w:rPr>
          <w:rFonts w:ascii="Calibri" w:hAnsi="Calibri" w:cs="Calibri"/>
          <w:sz w:val="24"/>
          <w:szCs w:val="24"/>
        </w:rPr>
      </w:pPr>
      <w:r w:rsidRPr="00160E8B">
        <w:rPr>
          <w:rFonts w:ascii="Calibri" w:hAnsi="Calibri" w:cs="Calibri"/>
          <w:i/>
          <w:iCs/>
          <w:sz w:val="24"/>
          <w:szCs w:val="24"/>
        </w:rPr>
        <w:t xml:space="preserve"> </w:t>
      </w:r>
      <w:r w:rsidRPr="0038738E">
        <w:rPr>
          <w:rFonts w:ascii="Calibri" w:hAnsi="Calibri" w:cs="Calibri"/>
          <w:b/>
          <w:i/>
          <w:iCs/>
          <w:sz w:val="24"/>
          <w:szCs w:val="24"/>
        </w:rPr>
        <w:t>„Digitální agenda pro Evropu“</w:t>
      </w:r>
      <w:r w:rsidRPr="0038738E">
        <w:rPr>
          <w:rStyle w:val="Znakapoznpodarou"/>
          <w:rFonts w:ascii="Calibri" w:hAnsi="Calibri" w:cs="Calibri"/>
          <w:b/>
          <w:i/>
          <w:iCs/>
          <w:sz w:val="24"/>
          <w:szCs w:val="24"/>
        </w:rPr>
        <w:footnoteReference w:id="7"/>
      </w:r>
      <w:r w:rsidRPr="00160E8B">
        <w:rPr>
          <w:rFonts w:ascii="Calibri" w:hAnsi="Calibri" w:cs="Calibri"/>
          <w:sz w:val="24"/>
          <w:szCs w:val="24"/>
        </w:rPr>
        <w:t xml:space="preserve"> – urychlení rozvoje vysokorychlostního internetu a využití jednotného digitálního trhu domácnostmi a podniky.</w:t>
      </w:r>
    </w:p>
    <w:p w:rsidR="007A778A" w:rsidRDefault="007A778A" w:rsidP="00BC53A8">
      <w:pPr>
        <w:overflowPunct/>
        <w:autoSpaceDE/>
        <w:autoSpaceDN/>
        <w:adjustRightInd/>
        <w:jc w:val="both"/>
        <w:textAlignment w:val="auto"/>
        <w:rPr>
          <w:rFonts w:ascii="Calibri" w:hAnsi="Calibri" w:cs="Calibri"/>
          <w:sz w:val="24"/>
          <w:szCs w:val="24"/>
        </w:rPr>
      </w:pPr>
    </w:p>
    <w:p w:rsidR="007A778A" w:rsidRDefault="007A778A" w:rsidP="00CD1E6A">
      <w:pPr>
        <w:pStyle w:val="Odstavecseseznamem"/>
        <w:ind w:left="0"/>
        <w:contextualSpacing w:val="0"/>
        <w:jc w:val="both"/>
        <w:rPr>
          <w:rFonts w:ascii="Calibri" w:hAnsi="Calibri" w:cs="Calibri"/>
          <w:sz w:val="24"/>
        </w:rPr>
      </w:pPr>
      <w:r w:rsidRPr="00CD1E6A">
        <w:rPr>
          <w:rFonts w:ascii="Calibri" w:hAnsi="Calibri" w:cs="Calibri"/>
          <w:sz w:val="24"/>
        </w:rPr>
        <w:t>Sofistikované produkty v oblasti informačních komunikačních technolo</w:t>
      </w:r>
      <w:r w:rsidRPr="008B49A9">
        <w:rPr>
          <w:rFonts w:ascii="Calibri" w:hAnsi="Calibri" w:cs="Calibri"/>
          <w:sz w:val="24"/>
        </w:rPr>
        <w:t>gií (ICT) a s</w:t>
      </w:r>
      <w:r w:rsidRPr="00CD1E6A">
        <w:rPr>
          <w:rFonts w:ascii="Calibri" w:hAnsi="Calibri" w:cs="Calibri"/>
          <w:sz w:val="24"/>
        </w:rPr>
        <w:t xml:space="preserve">ouvisející služby, jsou považovány za prvky základního významu, bez nichž nelze efektivně realizovat žádné podnikatelské záměry ani zvyšovat kvalitu života společnosti. ICT rovněž přispívají významným podílem ke zvyšování hrubého domácího produktu a vedou při efektivním využívání ke zvyšování produktivity ekonomiky jako celku. Zároveň bez dostatečně rozvinuté a dostupné technologické základny, tj. zejména bez vybudované adekvátní infrastruktury umožňující vysokorychlostní přístup k internetu, by efekty z využívání ICT ve výrobních i nevýrobních procesech byly na podstatně nižší úrovni. Absence informačních technologií, moderních elektronických komunikací a neadekvátní vzdělanost obyvatelstva ve využívání ICT, </w:t>
      </w:r>
      <w:r w:rsidRPr="00CD1E6A">
        <w:rPr>
          <w:rFonts w:ascii="Calibri" w:hAnsi="Calibri" w:cs="Calibri"/>
          <w:sz w:val="24"/>
        </w:rPr>
        <w:lastRenderedPageBreak/>
        <w:t>jejichž aktivity přímo nebo nepřímo závisí na ICT, by ve všech sektorech omezovala nebo i blokovala většinu vnitrostátních i mezinárodních aktivit České republiky.</w:t>
      </w:r>
    </w:p>
    <w:p w:rsidR="00B4254E" w:rsidRPr="00CD1E6A" w:rsidRDefault="00B4254E" w:rsidP="00CD1E6A">
      <w:pPr>
        <w:pStyle w:val="Odstavecseseznamem"/>
        <w:ind w:left="0"/>
        <w:contextualSpacing w:val="0"/>
        <w:jc w:val="both"/>
        <w:rPr>
          <w:rFonts w:ascii="Calibri" w:hAnsi="Calibri" w:cs="Calibri"/>
          <w:sz w:val="24"/>
        </w:rPr>
      </w:pPr>
    </w:p>
    <w:p w:rsidR="007A778A" w:rsidRDefault="007A778A" w:rsidP="00CD1E6A">
      <w:pPr>
        <w:pStyle w:val="Odstavecseseznamem"/>
        <w:ind w:left="0"/>
        <w:contextualSpacing w:val="0"/>
        <w:jc w:val="both"/>
        <w:rPr>
          <w:rFonts w:ascii="Calibri" w:hAnsi="Calibri" w:cs="Calibri"/>
          <w:sz w:val="24"/>
        </w:rPr>
      </w:pPr>
      <w:r w:rsidRPr="00CD1E6A">
        <w:rPr>
          <w:rFonts w:ascii="Calibri" w:hAnsi="Calibri" w:cs="Calibri"/>
          <w:sz w:val="24"/>
        </w:rPr>
        <w:t xml:space="preserve">Dostupnost vysokorychlostního přístupu k internetu má strategický význam pro růst a inovace České republiky ve všech odvětvích hospodářství a pro sociální a územní soudržnost. </w:t>
      </w:r>
      <w:r w:rsidR="004B0D33">
        <w:rPr>
          <w:rFonts w:ascii="Calibri" w:hAnsi="Calibri" w:cs="Calibri"/>
          <w:sz w:val="24"/>
        </w:rPr>
        <w:t>R</w:t>
      </w:r>
      <w:r w:rsidR="004B0D33" w:rsidRPr="00CD1E6A">
        <w:rPr>
          <w:rFonts w:ascii="Calibri" w:hAnsi="Calibri" w:cs="Calibri"/>
          <w:sz w:val="24"/>
        </w:rPr>
        <w:t>ovněž umožňuje rozvoj nových druhů podnikání a </w:t>
      </w:r>
      <w:r w:rsidR="004B0D33">
        <w:rPr>
          <w:rFonts w:ascii="Calibri" w:hAnsi="Calibri" w:cs="Calibri"/>
          <w:sz w:val="24"/>
        </w:rPr>
        <w:t xml:space="preserve">umožňuje </w:t>
      </w:r>
      <w:r w:rsidR="004B0D33" w:rsidRPr="00CD1E6A">
        <w:rPr>
          <w:rFonts w:ascii="Calibri" w:hAnsi="Calibri" w:cs="Calibri"/>
          <w:sz w:val="24"/>
        </w:rPr>
        <w:t>produkovat nové digitální služby.</w:t>
      </w:r>
      <w:r w:rsidR="004B0D33">
        <w:rPr>
          <w:rFonts w:ascii="Calibri" w:hAnsi="Calibri" w:cs="Calibri"/>
          <w:sz w:val="24"/>
        </w:rPr>
        <w:t xml:space="preserve"> </w:t>
      </w:r>
      <w:r w:rsidRPr="00CD1E6A">
        <w:rPr>
          <w:rFonts w:ascii="Calibri" w:hAnsi="Calibri" w:cs="Calibri"/>
          <w:sz w:val="24"/>
        </w:rPr>
        <w:t xml:space="preserve">Základní infrastruktura pro informační a komunikační technologie nemá v České republice </w:t>
      </w:r>
      <w:r w:rsidRPr="000F778E">
        <w:rPr>
          <w:rFonts w:ascii="Calibri" w:hAnsi="Calibri" w:cs="Calibri"/>
          <w:sz w:val="24"/>
        </w:rPr>
        <w:t>dostatečné geografické pokrytí, zejména pokud se jedná o přístupové sítě nové generace (</w:t>
      </w:r>
      <w:r w:rsidR="00BC53A8" w:rsidRPr="000F778E">
        <w:rPr>
          <w:rFonts w:ascii="Calibri" w:hAnsi="Calibri" w:cs="Calibri"/>
          <w:sz w:val="24"/>
        </w:rPr>
        <w:t>next generation access infrastructu</w:t>
      </w:r>
      <w:r w:rsidR="00BC53A8" w:rsidRPr="008B49A9">
        <w:rPr>
          <w:rFonts w:ascii="Calibri" w:hAnsi="Calibri" w:cs="Calibri"/>
          <w:sz w:val="24"/>
        </w:rPr>
        <w:t>res, NG</w:t>
      </w:r>
      <w:r w:rsidRPr="008B49A9">
        <w:rPr>
          <w:rFonts w:ascii="Calibri" w:hAnsi="Calibri" w:cs="Calibri"/>
          <w:sz w:val="24"/>
        </w:rPr>
        <w:t>A)</w:t>
      </w:r>
      <w:r w:rsidRPr="000F778E">
        <w:rPr>
          <w:rFonts w:ascii="Calibri" w:hAnsi="Calibri" w:cs="Calibri"/>
          <w:sz w:val="24"/>
        </w:rPr>
        <w:t xml:space="preserve"> pro vy</w:t>
      </w:r>
      <w:r w:rsidRPr="00CD1E6A">
        <w:rPr>
          <w:rFonts w:ascii="Calibri" w:hAnsi="Calibri" w:cs="Calibri"/>
          <w:sz w:val="24"/>
        </w:rPr>
        <w:t>sokorychlostní přístup k internetu, za vyspělými zeměmi zaostává rovněž v parametrech rychlosti a kvalitě poskytovaných služeb. T</w:t>
      </w:r>
      <w:r w:rsidR="0097753A">
        <w:rPr>
          <w:rFonts w:ascii="Calibri" w:hAnsi="Calibri" w:cs="Calibri"/>
          <w:sz w:val="24"/>
        </w:rPr>
        <w:t>o</w:t>
      </w:r>
      <w:r w:rsidRPr="00CD1E6A">
        <w:rPr>
          <w:rFonts w:ascii="Calibri" w:hAnsi="Calibri" w:cs="Calibri"/>
          <w:sz w:val="24"/>
        </w:rPr>
        <w:t xml:space="preserve"> ilustru</w:t>
      </w:r>
      <w:r w:rsidRPr="00FB6BDB">
        <w:rPr>
          <w:rFonts w:ascii="Calibri" w:hAnsi="Calibri" w:cs="Calibri"/>
          <w:sz w:val="24"/>
        </w:rPr>
        <w:t>je i následující graf, který</w:t>
      </w:r>
      <w:r w:rsidRPr="00CD1E6A">
        <w:rPr>
          <w:rFonts w:ascii="Calibri" w:hAnsi="Calibri" w:cs="Calibri"/>
          <w:sz w:val="24"/>
        </w:rPr>
        <w:t xml:space="preserve"> zobrazuje penetraci fixního přístupu k internetu v jednotlivých členských státech EU z hlediska základní rychlosti připojení a vysokorychlostního připojení, tj. nad 30 Mbit/s.</w:t>
      </w:r>
    </w:p>
    <w:p w:rsidR="004B321F" w:rsidRDefault="004B321F" w:rsidP="00CD1E6A">
      <w:pPr>
        <w:pStyle w:val="Odstavecseseznamem"/>
        <w:ind w:left="0"/>
        <w:jc w:val="both"/>
        <w:rPr>
          <w:rFonts w:ascii="Calibri" w:hAnsi="Calibri" w:cs="Calibri"/>
          <w:sz w:val="24"/>
        </w:rPr>
      </w:pPr>
    </w:p>
    <w:p w:rsidR="007A778A" w:rsidRDefault="007A778A" w:rsidP="007A778A">
      <w:pPr>
        <w:pStyle w:val="Titulek"/>
        <w:keepNext/>
        <w:jc w:val="both"/>
      </w:pPr>
      <w:r w:rsidRPr="00FB6BDB">
        <w:t xml:space="preserve">Graf </w:t>
      </w:r>
      <w:fldSimple w:instr=" SEQ Graf \* ARABIC ">
        <w:r w:rsidR="00D92A26">
          <w:rPr>
            <w:noProof/>
          </w:rPr>
          <w:t>4</w:t>
        </w:r>
      </w:fldSimple>
      <w:r w:rsidRPr="00FB6BDB">
        <w:t>: Pen</w:t>
      </w:r>
      <w:r>
        <w:t xml:space="preserve">etrace </w:t>
      </w:r>
      <w:r w:rsidRPr="004E6DB1">
        <w:t>základního a vysokorychlostního přístupu k internetu v členských státech EU</w:t>
      </w:r>
      <w:r w:rsidR="004B321F">
        <w:t>, červenec</w:t>
      </w:r>
      <w:r>
        <w:t xml:space="preserve"> 2012</w:t>
      </w:r>
      <w:r w:rsidRPr="004E6DB1">
        <w:t xml:space="preserve"> [%]</w:t>
      </w:r>
    </w:p>
    <w:p w:rsidR="000F778E" w:rsidRPr="00DC70D9" w:rsidRDefault="004B321F" w:rsidP="00DC70D9">
      <w:r>
        <w:rPr>
          <w:rFonts w:ascii="Calibri" w:hAnsi="Calibri" w:cs="Calibri"/>
          <w:b/>
          <w:noProof/>
          <w:sz w:val="24"/>
          <w:szCs w:val="24"/>
        </w:rPr>
        <w:drawing>
          <wp:inline distT="0" distB="0" distL="0" distR="0">
            <wp:extent cx="5756910" cy="257619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2576195"/>
                    </a:xfrm>
                    <a:prstGeom prst="rect">
                      <a:avLst/>
                    </a:prstGeom>
                    <a:noFill/>
                    <a:ln>
                      <a:noFill/>
                    </a:ln>
                  </pic:spPr>
                </pic:pic>
              </a:graphicData>
            </a:graphic>
          </wp:inline>
        </w:drawing>
      </w:r>
    </w:p>
    <w:p w:rsidR="000F7A57" w:rsidRDefault="000F7A57" w:rsidP="00CD1E6A">
      <w:pPr>
        <w:pStyle w:val="Odstavecseseznamem"/>
        <w:ind w:left="0"/>
        <w:jc w:val="both"/>
        <w:rPr>
          <w:rFonts w:ascii="Calibri" w:hAnsi="Calibri" w:cs="Calibri"/>
          <w:sz w:val="18"/>
          <w:szCs w:val="18"/>
        </w:rPr>
      </w:pPr>
      <w:r w:rsidRPr="0023642B">
        <w:rPr>
          <w:rFonts w:ascii="Calibri" w:hAnsi="Calibri" w:cs="Calibri"/>
          <w:sz w:val="18"/>
          <w:szCs w:val="18"/>
        </w:rPr>
        <w:t>Zdroj:</w:t>
      </w:r>
      <w:r>
        <w:rPr>
          <w:rFonts w:ascii="Calibri" w:hAnsi="Calibri" w:cs="Calibri"/>
          <w:sz w:val="18"/>
          <w:szCs w:val="18"/>
        </w:rPr>
        <w:t xml:space="preserve"> </w:t>
      </w:r>
      <w:r w:rsidR="004B321F" w:rsidRPr="008202DA">
        <w:rPr>
          <w:rFonts w:ascii="Calibri" w:hAnsi="Calibri" w:cs="Calibri"/>
          <w:sz w:val="18"/>
          <w:szCs w:val="18"/>
        </w:rPr>
        <w:t>Communications Committee, Work</w:t>
      </w:r>
      <w:r w:rsidR="004B321F">
        <w:rPr>
          <w:rFonts w:ascii="Calibri" w:hAnsi="Calibri" w:cs="Calibri"/>
          <w:sz w:val="18"/>
          <w:szCs w:val="18"/>
        </w:rPr>
        <w:t xml:space="preserve">ing Dokument </w:t>
      </w:r>
      <w:r w:rsidR="004B321F" w:rsidRPr="008202DA">
        <w:rPr>
          <w:rFonts w:ascii="Calibri" w:hAnsi="Calibri" w:cs="Calibri"/>
          <w:sz w:val="18"/>
          <w:szCs w:val="18"/>
        </w:rPr>
        <w:t>18/02/2013</w:t>
      </w:r>
    </w:p>
    <w:p w:rsidR="000F7A57" w:rsidRDefault="000F7A57" w:rsidP="00CD1E6A">
      <w:pPr>
        <w:pStyle w:val="Odstavecseseznamem"/>
        <w:ind w:left="0"/>
        <w:jc w:val="both"/>
        <w:rPr>
          <w:rFonts w:ascii="Calibri" w:hAnsi="Calibri" w:cs="Calibri"/>
          <w:sz w:val="24"/>
        </w:rPr>
      </w:pPr>
    </w:p>
    <w:p w:rsidR="007A778A" w:rsidRDefault="007A778A" w:rsidP="00BC53A8">
      <w:pPr>
        <w:pStyle w:val="Odstavecseseznamem"/>
        <w:ind w:left="0"/>
        <w:contextualSpacing w:val="0"/>
        <w:jc w:val="both"/>
        <w:rPr>
          <w:rFonts w:ascii="Calibri" w:hAnsi="Calibri" w:cs="Calibri"/>
          <w:sz w:val="24"/>
        </w:rPr>
      </w:pPr>
      <w:r w:rsidRPr="00CD1E6A">
        <w:rPr>
          <w:rFonts w:ascii="Calibri" w:hAnsi="Calibri" w:cs="Calibri"/>
          <w:sz w:val="24"/>
        </w:rPr>
        <w:t>Struktura českého hospodářství se svým vysokým podílem regionálně sídlících malých a středních podniků vyžaduje celoplošnou, moderní a kvalitativně vysoce hodnotnou nabídku infrastruktury ICT za konkurenceschopné ceny. Investice do komunikační infrastruktury provádějí na liberalizovaných trzích soukromé subjekty podle hospodářských kritérií, a tudíž především v regionech s vysokou perspektivou poptávky. Návratnost investic do realizace vysokorychlostních přístupových sítí v menších obcích nebo v odlehlých lokalitách je za horizontem reálných možností podnikatelských subjektů. To dále vede k rozšíření tzv. „</w:t>
      </w:r>
      <w:r w:rsidR="00EE71B7">
        <w:rPr>
          <w:rFonts w:ascii="Calibri" w:hAnsi="Calibri" w:cs="Calibri"/>
          <w:sz w:val="24"/>
        </w:rPr>
        <w:t xml:space="preserve">digitální </w:t>
      </w:r>
      <w:r w:rsidRPr="00CD1E6A">
        <w:rPr>
          <w:rFonts w:ascii="Calibri" w:hAnsi="Calibri" w:cs="Calibri"/>
          <w:sz w:val="24"/>
        </w:rPr>
        <w:t>propasti“ mezi venkovskými a městskými oblastmi. Méně obydlené oblasti České republiky by tak mohly zůstat v důsledku kapacitně nedostatečného připojení k internetu – dokonce i při stoupající poptávce – dlouhodobě vyloučeny z hospodářského rozvoje. Jako následek trvající stagnace potom hrozí v postižených oblastech růst nezaměstnanosti a úbytek obyvatelstva. K</w:t>
      </w:r>
      <w:r w:rsidR="002C4477">
        <w:rPr>
          <w:rFonts w:ascii="Calibri" w:hAnsi="Calibri" w:cs="Calibri"/>
          <w:sz w:val="24"/>
        </w:rPr>
        <w:t>e </w:t>
      </w:r>
      <w:r w:rsidRPr="00CD1E6A">
        <w:rPr>
          <w:rFonts w:ascii="Calibri" w:hAnsi="Calibri" w:cs="Calibri"/>
          <w:sz w:val="24"/>
        </w:rPr>
        <w:t>strukturálnímu překonání „</w:t>
      </w:r>
      <w:r w:rsidR="00EE71B7">
        <w:rPr>
          <w:rFonts w:ascii="Calibri" w:hAnsi="Calibri" w:cs="Calibri"/>
          <w:sz w:val="24"/>
        </w:rPr>
        <w:t xml:space="preserve">digitální </w:t>
      </w:r>
      <w:r w:rsidRPr="00CD1E6A">
        <w:rPr>
          <w:rFonts w:ascii="Calibri" w:hAnsi="Calibri" w:cs="Calibri"/>
          <w:sz w:val="24"/>
        </w:rPr>
        <w:t xml:space="preserve">propasti“ z hlediska dostupnosti vysokorychlostního přístupu k internetu </w:t>
      </w:r>
      <w:r w:rsidR="002C4477">
        <w:rPr>
          <w:rFonts w:ascii="Calibri" w:hAnsi="Calibri" w:cs="Calibri"/>
          <w:sz w:val="24"/>
        </w:rPr>
        <w:t>je nutný značná objem</w:t>
      </w:r>
      <w:r w:rsidRPr="00CD1E6A">
        <w:rPr>
          <w:rFonts w:ascii="Calibri" w:hAnsi="Calibri" w:cs="Calibri"/>
          <w:sz w:val="24"/>
        </w:rPr>
        <w:t xml:space="preserve"> finanční</w:t>
      </w:r>
      <w:r w:rsidR="002C4477">
        <w:rPr>
          <w:rFonts w:ascii="Calibri" w:hAnsi="Calibri" w:cs="Calibri"/>
          <w:sz w:val="24"/>
        </w:rPr>
        <w:t>ch prostředků</w:t>
      </w:r>
      <w:r w:rsidRPr="00CD1E6A">
        <w:rPr>
          <w:rFonts w:ascii="Calibri" w:hAnsi="Calibri" w:cs="Calibri"/>
          <w:sz w:val="24"/>
        </w:rPr>
        <w:t xml:space="preserve">, které </w:t>
      </w:r>
      <w:r w:rsidRPr="00CD1E6A">
        <w:rPr>
          <w:rFonts w:ascii="Calibri" w:hAnsi="Calibri" w:cs="Calibri"/>
          <w:sz w:val="24"/>
        </w:rPr>
        <w:lastRenderedPageBreak/>
        <w:t xml:space="preserve">nejsou, co se týče trhu, na základě geografické izolace a nepatrné hustoty obyvatelstva venkovských a odlehlých oblastí, v tomto rozsahu k dispozici. </w:t>
      </w:r>
    </w:p>
    <w:p w:rsidR="00771E47" w:rsidRDefault="00771E47" w:rsidP="00BC53A8">
      <w:pPr>
        <w:pStyle w:val="Odstavecseseznamem"/>
        <w:ind w:left="0"/>
        <w:contextualSpacing w:val="0"/>
        <w:jc w:val="both"/>
        <w:rPr>
          <w:rFonts w:ascii="Calibri" w:hAnsi="Calibri" w:cs="Calibri"/>
          <w:sz w:val="24"/>
        </w:rPr>
      </w:pPr>
    </w:p>
    <w:p w:rsidR="007A778A" w:rsidRPr="00FB6BDB" w:rsidRDefault="007A778A" w:rsidP="00CD1E6A">
      <w:pPr>
        <w:pStyle w:val="Odstavecseseznamem"/>
        <w:ind w:left="0"/>
        <w:contextualSpacing w:val="0"/>
        <w:jc w:val="both"/>
        <w:rPr>
          <w:rFonts w:ascii="Calibri" w:hAnsi="Calibri" w:cs="Calibri"/>
          <w:sz w:val="24"/>
        </w:rPr>
      </w:pPr>
      <w:r w:rsidRPr="00CD1E6A">
        <w:rPr>
          <w:rFonts w:ascii="Calibri" w:hAnsi="Calibri" w:cs="Calibri"/>
          <w:sz w:val="24"/>
        </w:rPr>
        <w:t>Stávající dostupnost vysokorychlostního přístupu k internetu v ČR prostřednictvím optických sítí alespoň rychlostí 30 Mbit/s (s vyloučením hla</w:t>
      </w:r>
      <w:r w:rsidRPr="00FB6BDB">
        <w:rPr>
          <w:rFonts w:ascii="Calibri" w:hAnsi="Calibri" w:cs="Calibri"/>
          <w:sz w:val="24"/>
        </w:rPr>
        <w:t>vního města Prahy) vyplývá z následující tabulky:</w:t>
      </w:r>
    </w:p>
    <w:p w:rsidR="00CD1E6A" w:rsidRPr="00FB6BDB" w:rsidRDefault="00CD1E6A" w:rsidP="00CD1E6A">
      <w:pPr>
        <w:pStyle w:val="Odstavecseseznamem"/>
        <w:ind w:left="0"/>
        <w:jc w:val="both"/>
        <w:rPr>
          <w:rFonts w:ascii="Calibri" w:hAnsi="Calibri" w:cs="Calibri"/>
          <w:sz w:val="24"/>
        </w:rPr>
      </w:pPr>
    </w:p>
    <w:p w:rsidR="007A778A" w:rsidRDefault="007A778A" w:rsidP="007A778A">
      <w:pPr>
        <w:pStyle w:val="Titulek"/>
        <w:keepNext/>
      </w:pPr>
      <w:r w:rsidRPr="00FB6BDB">
        <w:t xml:space="preserve">Tabulka </w:t>
      </w:r>
      <w:fldSimple w:instr=" SEQ Tabulka \* ARABIC ">
        <w:r w:rsidR="00D92A26">
          <w:rPr>
            <w:noProof/>
          </w:rPr>
          <w:t>3</w:t>
        </w:r>
      </w:fldSimple>
      <w:r w:rsidRPr="00FB6BDB">
        <w:t>: Dostupnost vysokorychlostního přístupu k internetu prostře</w:t>
      </w:r>
      <w:r w:rsidRPr="00291625">
        <w:t>dnictvím optických s</w:t>
      </w:r>
      <w:r w:rsidR="004170ED">
        <w:t>ítí alespoň rychlostí 30 Mbit/s</w:t>
      </w:r>
    </w:p>
    <w:p w:rsidR="007A778A" w:rsidRPr="008B2CCD" w:rsidRDefault="002C4DA9" w:rsidP="007A778A">
      <w:pPr>
        <w:jc w:val="center"/>
        <w:rPr>
          <w:rFonts w:ascii="Cambria" w:hAnsi="Cambria"/>
        </w:rPr>
      </w:pPr>
      <w:r>
        <w:rPr>
          <w:rFonts w:ascii="Cambria" w:hAnsi="Cambria"/>
          <w:noProof/>
        </w:rPr>
        <w:drawing>
          <wp:inline distT="0" distB="0" distL="0" distR="0">
            <wp:extent cx="5736590" cy="1871980"/>
            <wp:effectExtent l="0" t="0" r="0" b="0"/>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6590" cy="1871980"/>
                    </a:xfrm>
                    <a:prstGeom prst="rect">
                      <a:avLst/>
                    </a:prstGeom>
                    <a:noFill/>
                    <a:ln>
                      <a:noFill/>
                    </a:ln>
                  </pic:spPr>
                </pic:pic>
              </a:graphicData>
            </a:graphic>
          </wp:inline>
        </w:drawing>
      </w:r>
    </w:p>
    <w:p w:rsidR="004170ED" w:rsidRPr="0023642B" w:rsidRDefault="004170ED" w:rsidP="004170ED">
      <w:pPr>
        <w:rPr>
          <w:rFonts w:ascii="Calibri" w:hAnsi="Calibri" w:cs="Calibri"/>
          <w:sz w:val="18"/>
          <w:szCs w:val="18"/>
        </w:rPr>
      </w:pPr>
      <w:r w:rsidRPr="0023642B">
        <w:rPr>
          <w:rFonts w:ascii="Calibri" w:hAnsi="Calibri" w:cs="Calibri"/>
          <w:sz w:val="18"/>
          <w:szCs w:val="18"/>
        </w:rPr>
        <w:t xml:space="preserve">Zdroj: </w:t>
      </w:r>
      <w:r w:rsidRPr="004170ED">
        <w:rPr>
          <w:rFonts w:ascii="Calibri" w:hAnsi="Calibri" w:cs="Calibri"/>
          <w:sz w:val="18"/>
          <w:szCs w:val="18"/>
        </w:rPr>
        <w:t>Digitální Česko v. 2.0</w:t>
      </w:r>
      <w:r>
        <w:rPr>
          <w:rFonts w:ascii="Calibri" w:hAnsi="Calibri" w:cs="Calibri"/>
          <w:sz w:val="18"/>
          <w:szCs w:val="18"/>
        </w:rPr>
        <w:t xml:space="preserve"> - </w:t>
      </w:r>
      <w:r w:rsidRPr="004170ED">
        <w:rPr>
          <w:rFonts w:ascii="Calibri" w:hAnsi="Calibri" w:cs="Calibri"/>
          <w:sz w:val="18"/>
          <w:szCs w:val="18"/>
        </w:rPr>
        <w:t>Cesta k digitální ekonomice</w:t>
      </w:r>
    </w:p>
    <w:p w:rsidR="007A778A" w:rsidRPr="005F4742" w:rsidRDefault="007A778A" w:rsidP="007A778A">
      <w:pPr>
        <w:jc w:val="both"/>
        <w:rPr>
          <w:rFonts w:ascii="Calibri" w:hAnsi="Calibri" w:cs="Calibri"/>
          <w:sz w:val="22"/>
          <w:szCs w:val="22"/>
        </w:rPr>
      </w:pPr>
    </w:p>
    <w:p w:rsidR="007A778A" w:rsidRDefault="007A778A" w:rsidP="00CD1E6A">
      <w:pPr>
        <w:pStyle w:val="Odstavecseseznamem"/>
        <w:ind w:left="0"/>
        <w:contextualSpacing w:val="0"/>
        <w:jc w:val="both"/>
        <w:rPr>
          <w:rFonts w:ascii="Calibri" w:hAnsi="Calibri" w:cs="Calibri"/>
          <w:sz w:val="24"/>
        </w:rPr>
      </w:pPr>
      <w:r w:rsidRPr="00CD1E6A">
        <w:rPr>
          <w:rFonts w:ascii="Calibri" w:hAnsi="Calibri" w:cs="Calibri"/>
          <w:sz w:val="24"/>
        </w:rPr>
        <w:t>Jedním z cílů Digitální agendy pro Evropu je rozvoj vysokorychlostních přístupových sítí k internetu umožňující přenosové rychlosti 30 Mbit/s do roku 2020 pro všechny obyvatele. Na základě údajů z Českého telekomunikačního úřadu lze konstatovat, že dostupnost infrastruktury, která umožňuje splnit stanovené cíle je velmi nízká;  kabelové sítě jsou dostupné pouze ve 4,22 % obcí a optické sítě jsou dostupné pouze v 5,54 % obcí.</w:t>
      </w:r>
    </w:p>
    <w:p w:rsidR="00BC53A8" w:rsidRPr="00CD1E6A" w:rsidRDefault="00BC53A8" w:rsidP="00CD1E6A">
      <w:pPr>
        <w:pStyle w:val="Odstavecseseznamem"/>
        <w:ind w:left="0"/>
        <w:contextualSpacing w:val="0"/>
        <w:jc w:val="both"/>
        <w:rPr>
          <w:rFonts w:ascii="Calibri" w:hAnsi="Calibri" w:cs="Calibri"/>
          <w:sz w:val="24"/>
        </w:rPr>
      </w:pPr>
    </w:p>
    <w:p w:rsidR="007A778A" w:rsidRPr="00CD1E6A" w:rsidRDefault="007A778A" w:rsidP="00CD1E6A">
      <w:pPr>
        <w:pStyle w:val="Odstavecseseznamem"/>
        <w:ind w:left="0"/>
        <w:contextualSpacing w:val="0"/>
        <w:jc w:val="both"/>
        <w:rPr>
          <w:rFonts w:ascii="Calibri" w:hAnsi="Calibri" w:cs="Calibri"/>
          <w:sz w:val="24"/>
        </w:rPr>
      </w:pPr>
      <w:r w:rsidRPr="00CD1E6A">
        <w:rPr>
          <w:rFonts w:ascii="Calibri" w:hAnsi="Calibri" w:cs="Calibri"/>
          <w:sz w:val="24"/>
        </w:rPr>
        <w:t xml:space="preserve">Pokud jde o základní přístup k internetu (rychlost 2 Mbit/s), i zde je tempo výstavby přístupových sítí poměrně pomalé, což dokládají i hlavní závěry provedených analýz: a) obyvatelé 10,1 % obcí nemají možnost přístupu k internetu, b) obyvatelé 20,4 % obcí mají možnost přístupu k internetu prostřednictvím pouze 1 poskytovatele, c) obyvatelé 69,5 % obcí mají možnost přístupu k internetu prostřednictvím více než jednoho poskytovatele. V rámci jednotlivých krajů je však situace velmi nevyvážená. </w:t>
      </w:r>
      <w:r w:rsidR="002C4477" w:rsidRPr="00CD1E6A">
        <w:rPr>
          <w:rFonts w:ascii="Calibri" w:hAnsi="Calibri" w:cs="Calibri"/>
          <w:sz w:val="24"/>
        </w:rPr>
        <w:t>Tato skutečnost limituje jak občany, tak podnikatelské subjekty a státní instituce v přístupu k informacím a vzájemné komunikaci.</w:t>
      </w:r>
    </w:p>
    <w:p w:rsidR="007A778A" w:rsidRPr="00CD1E6A" w:rsidRDefault="007A778A" w:rsidP="00CD1E6A">
      <w:pPr>
        <w:pStyle w:val="Odstavecseseznamem"/>
        <w:ind w:left="0"/>
        <w:jc w:val="both"/>
        <w:rPr>
          <w:rFonts w:ascii="Calibri" w:hAnsi="Calibri" w:cs="Calibri"/>
          <w:sz w:val="24"/>
        </w:rPr>
      </w:pPr>
    </w:p>
    <w:p w:rsidR="007A778A" w:rsidRDefault="007A778A" w:rsidP="00CD1E6A">
      <w:pPr>
        <w:pStyle w:val="Odstavecseseznamem"/>
        <w:ind w:left="0"/>
        <w:jc w:val="both"/>
        <w:rPr>
          <w:rFonts w:ascii="Calibri" w:hAnsi="Calibri" w:cs="Calibri"/>
          <w:sz w:val="24"/>
        </w:rPr>
      </w:pPr>
      <w:r w:rsidRPr="00CD1E6A">
        <w:rPr>
          <w:rFonts w:ascii="Calibri" w:hAnsi="Calibri" w:cs="Calibri"/>
          <w:sz w:val="24"/>
        </w:rPr>
        <w:t>V České republice doposud chyběl aktivní přístup v koordinaci a stimulaci naplňování cílů souvisejících s Digitální agendou pro Evropu na národní úrovni. Minulé regulační zásahy státu nemotivovaly operátory dostatečně k investicím do přístupových sítí nové generace pro vysokorychlostní přístup k internetu. Selhání tržního mechanismu při investování do těchto sítí v regionech vyvolává nutnou spoluúčast státu, což bude zároveň pozitivně motivovat soukromé investice.</w:t>
      </w:r>
    </w:p>
    <w:p w:rsidR="00EE71B7" w:rsidRDefault="00EE71B7" w:rsidP="00CD1E6A">
      <w:pPr>
        <w:pStyle w:val="Odstavecseseznamem"/>
        <w:ind w:left="0"/>
        <w:jc w:val="both"/>
        <w:rPr>
          <w:rFonts w:ascii="Calibri" w:hAnsi="Calibri" w:cs="Calibri"/>
          <w:sz w:val="24"/>
        </w:rPr>
      </w:pPr>
    </w:p>
    <w:p w:rsidR="00EE71B7" w:rsidRDefault="00EE71B7" w:rsidP="00EE71B7">
      <w:pPr>
        <w:jc w:val="both"/>
        <w:rPr>
          <w:rFonts w:asciiTheme="minorHAnsi" w:hAnsiTheme="minorHAnsi" w:cstheme="minorHAnsi"/>
          <w:sz w:val="24"/>
        </w:rPr>
      </w:pPr>
      <w:r w:rsidRPr="00C73D81">
        <w:rPr>
          <w:rFonts w:asciiTheme="minorHAnsi" w:hAnsiTheme="minorHAnsi" w:cstheme="minorHAnsi"/>
          <w:sz w:val="24"/>
        </w:rPr>
        <w:t xml:space="preserve">Důvěra a bezpečnost jsou zásadními podmínkami pro široké rozšíření ICT, a tím i pro dosažení cílů strategie Evropa 2020 založené na „inteligentním růstu“. Proto je nutné akcentovat potřebu zajištění bezpečnosti a odolnosti ICT infrastruktur cestou zaměření na prevenci, </w:t>
      </w:r>
      <w:r w:rsidRPr="00C73D81">
        <w:rPr>
          <w:rFonts w:asciiTheme="minorHAnsi" w:hAnsiTheme="minorHAnsi" w:cstheme="minorHAnsi"/>
          <w:sz w:val="24"/>
        </w:rPr>
        <w:lastRenderedPageBreak/>
        <w:t xml:space="preserve">připravenost a informovanost. Kybernetická bezpečnost musí být nedílným aspektem v oblasti ICT, neboť se společnost obecně stává závislejší na informačních a komunikačních technologiích, resp. na stabilním propojení prostřednictvím </w:t>
      </w:r>
      <w:r>
        <w:rPr>
          <w:rFonts w:asciiTheme="minorHAnsi" w:hAnsiTheme="minorHAnsi" w:cstheme="minorHAnsi"/>
          <w:sz w:val="24"/>
        </w:rPr>
        <w:t>sítí elektronických komunikací</w:t>
      </w:r>
      <w:r w:rsidRPr="00C73D81">
        <w:rPr>
          <w:rFonts w:asciiTheme="minorHAnsi" w:hAnsiTheme="minorHAnsi" w:cstheme="minorHAnsi"/>
          <w:sz w:val="24"/>
        </w:rPr>
        <w:t>. Hrozby a rizika selhání stěžejní infrastruktury nezbytné pro činnost státu dosáhly takové intenzity, že je nutné přijímat preventivní opatření na národní, evropské i mezinárodní úrovni.</w:t>
      </w:r>
    </w:p>
    <w:p w:rsidR="00EE71B7" w:rsidRDefault="00EE71B7" w:rsidP="00EE71B7">
      <w:pPr>
        <w:pStyle w:val="Odstavecseseznamem"/>
        <w:ind w:left="0"/>
        <w:jc w:val="both"/>
        <w:rPr>
          <w:rFonts w:asciiTheme="minorHAnsi" w:hAnsiTheme="minorHAnsi" w:cstheme="minorHAnsi"/>
          <w:sz w:val="24"/>
        </w:rPr>
      </w:pPr>
    </w:p>
    <w:p w:rsidR="00EE71B7" w:rsidRPr="00CD1E6A" w:rsidRDefault="00EE71B7" w:rsidP="00EE71B7">
      <w:pPr>
        <w:pStyle w:val="Odstavecseseznamem"/>
        <w:ind w:left="0"/>
        <w:jc w:val="both"/>
        <w:rPr>
          <w:rFonts w:ascii="Calibri" w:hAnsi="Calibri" w:cs="Calibri"/>
          <w:sz w:val="24"/>
        </w:rPr>
      </w:pPr>
      <w:r>
        <w:rPr>
          <w:rFonts w:asciiTheme="minorHAnsi" w:hAnsiTheme="minorHAnsi" w:cstheme="minorHAnsi"/>
          <w:sz w:val="24"/>
        </w:rPr>
        <w:t>V únoru 2013 na</w:t>
      </w:r>
      <w:r w:rsidRPr="001174DC">
        <w:rPr>
          <w:rFonts w:asciiTheme="minorHAnsi" w:hAnsiTheme="minorHAnsi" w:cstheme="minorHAnsi"/>
          <w:sz w:val="24"/>
        </w:rPr>
        <w:t xml:space="preserve"> </w:t>
      </w:r>
      <w:r>
        <w:rPr>
          <w:rFonts w:asciiTheme="minorHAnsi" w:hAnsiTheme="minorHAnsi" w:cstheme="minorHAnsi"/>
          <w:sz w:val="24"/>
        </w:rPr>
        <w:t xml:space="preserve">jednání </w:t>
      </w:r>
      <w:r w:rsidRPr="001174DC">
        <w:rPr>
          <w:rFonts w:asciiTheme="minorHAnsi" w:hAnsiTheme="minorHAnsi" w:cstheme="minorHAnsi"/>
          <w:sz w:val="24"/>
        </w:rPr>
        <w:t>Evropské rady</w:t>
      </w:r>
      <w:r>
        <w:rPr>
          <w:rFonts w:asciiTheme="minorHAnsi" w:hAnsiTheme="minorHAnsi" w:cstheme="minorHAnsi"/>
          <w:sz w:val="24"/>
        </w:rPr>
        <w:t xml:space="preserve"> </w:t>
      </w:r>
      <w:r w:rsidRPr="001174DC">
        <w:rPr>
          <w:rFonts w:asciiTheme="minorHAnsi" w:hAnsiTheme="minorHAnsi" w:cstheme="minorHAnsi"/>
          <w:sz w:val="24"/>
        </w:rPr>
        <w:t xml:space="preserve">došlo k dohodě nad </w:t>
      </w:r>
      <w:r>
        <w:rPr>
          <w:rFonts w:asciiTheme="minorHAnsi" w:hAnsiTheme="minorHAnsi" w:cstheme="minorHAnsi"/>
          <w:sz w:val="24"/>
        </w:rPr>
        <w:t>víceletým finančním rámcem</w:t>
      </w:r>
      <w:r w:rsidRPr="001174DC">
        <w:rPr>
          <w:rFonts w:asciiTheme="minorHAnsi" w:hAnsiTheme="minorHAnsi" w:cstheme="minorHAnsi"/>
          <w:sz w:val="24"/>
        </w:rPr>
        <w:t xml:space="preserve"> a zároveň ke snížení finančních prostředků určených v Nástroj</w:t>
      </w:r>
      <w:r>
        <w:rPr>
          <w:rFonts w:asciiTheme="minorHAnsi" w:hAnsiTheme="minorHAnsi" w:cstheme="minorHAnsi"/>
          <w:sz w:val="24"/>
        </w:rPr>
        <w:t>i</w:t>
      </w:r>
      <w:r w:rsidRPr="001174DC">
        <w:rPr>
          <w:rFonts w:asciiTheme="minorHAnsi" w:hAnsiTheme="minorHAnsi" w:cstheme="minorHAnsi"/>
          <w:sz w:val="24"/>
        </w:rPr>
        <w:t xml:space="preserve"> pro propojení Evropy (CEF) na telekomunikační sektor z 9,2 mld. EUR na 1 mld. EUR</w:t>
      </w:r>
      <w:r>
        <w:rPr>
          <w:rFonts w:asciiTheme="minorHAnsi" w:hAnsiTheme="minorHAnsi" w:cstheme="minorHAnsi"/>
          <w:sz w:val="24"/>
        </w:rPr>
        <w:t>.  Na základě dosavadního jednání a vyjádření některých zástupců EK lze předpokládat, že z této částky již nebude směřovat žádná část na internetovou infrastrukturu, vše bude určeno na rozvoj specifických digitálních služeb.</w:t>
      </w:r>
    </w:p>
    <w:p w:rsidR="007A778A" w:rsidRDefault="007A778A" w:rsidP="007A778A">
      <w:pPr>
        <w:overflowPunct/>
        <w:autoSpaceDE/>
        <w:autoSpaceDN/>
        <w:adjustRightInd/>
        <w:jc w:val="both"/>
        <w:textAlignment w:val="auto"/>
        <w:rPr>
          <w:rFonts w:ascii="Calibri" w:hAnsi="Calibri" w:cs="Calibri"/>
          <w:sz w:val="24"/>
          <w:szCs w:val="24"/>
        </w:rPr>
      </w:pPr>
    </w:p>
    <w:p w:rsidR="008E00B1" w:rsidRPr="00FB6BDB" w:rsidRDefault="008E00B1" w:rsidP="008E00B1">
      <w:pPr>
        <w:pStyle w:val="Odstavecseseznamem"/>
        <w:ind w:left="0"/>
        <w:jc w:val="both"/>
        <w:rPr>
          <w:rFonts w:ascii="Calibri" w:hAnsi="Calibri" w:cs="Calibri"/>
          <w:sz w:val="24"/>
        </w:rPr>
      </w:pPr>
      <w:r w:rsidRPr="000F778E">
        <w:rPr>
          <w:rFonts w:ascii="Calibri" w:hAnsi="Calibri" w:cs="Calibri"/>
          <w:b/>
          <w:sz w:val="24"/>
        </w:rPr>
        <w:t>Identifikovaný problém č. 8</w:t>
      </w:r>
      <w:r w:rsidR="007A778A" w:rsidRPr="000F778E">
        <w:rPr>
          <w:rFonts w:ascii="Calibri" w:hAnsi="Calibri" w:cs="Calibri"/>
          <w:b/>
          <w:sz w:val="24"/>
        </w:rPr>
        <w:t>:</w:t>
      </w:r>
      <w:r w:rsidR="007A778A" w:rsidRPr="000F778E">
        <w:rPr>
          <w:rFonts w:ascii="Calibri" w:hAnsi="Calibri" w:cs="Calibri"/>
          <w:sz w:val="24"/>
        </w:rPr>
        <w:t xml:space="preserve"> Chybějící stimulace pro komerční naplňování cílů ze Strategie EU 2020 (a Digitální agendy pro Evr</w:t>
      </w:r>
      <w:r w:rsidR="007A778A" w:rsidRPr="0020636D">
        <w:rPr>
          <w:rFonts w:ascii="Calibri" w:hAnsi="Calibri" w:cs="Calibri"/>
          <w:sz w:val="24"/>
        </w:rPr>
        <w:t xml:space="preserve">opu) a selhání tržního mechanismu při investování </w:t>
      </w:r>
      <w:r w:rsidR="004251CE" w:rsidRPr="004251CE">
        <w:rPr>
          <w:rFonts w:ascii="Calibri" w:hAnsi="Calibri" w:cs="Calibri"/>
          <w:sz w:val="24"/>
        </w:rPr>
        <w:t>přístupových sítí nové generace pro vysokorychlostní přístup k internetu</w:t>
      </w:r>
      <w:r w:rsidR="007A778A" w:rsidRPr="0020636D">
        <w:rPr>
          <w:rFonts w:ascii="Calibri" w:hAnsi="Calibri" w:cs="Calibri"/>
          <w:sz w:val="24"/>
        </w:rPr>
        <w:t xml:space="preserve"> v jednotlivých regionech</w:t>
      </w:r>
      <w:r w:rsidR="00350F5A">
        <w:rPr>
          <w:rFonts w:ascii="Calibri" w:hAnsi="Calibri" w:cs="Calibri"/>
          <w:sz w:val="24"/>
        </w:rPr>
        <w:t xml:space="preserve">. </w:t>
      </w:r>
      <w:r>
        <w:rPr>
          <w:rFonts w:ascii="Calibri" w:hAnsi="Calibri" w:cs="Calibri"/>
          <w:sz w:val="24"/>
        </w:rPr>
        <w:t>Vazba na tematický cíl 2, investiční prio</w:t>
      </w:r>
      <w:r w:rsidRPr="00FB6BDB">
        <w:rPr>
          <w:rFonts w:ascii="Calibri" w:hAnsi="Calibri" w:cs="Calibri"/>
          <w:sz w:val="24"/>
        </w:rPr>
        <w:t xml:space="preserve">ritu 2a (nařízení o ERDF, článek 5, odst. (2) bod </w:t>
      </w:r>
      <w:r w:rsidR="00350F5A" w:rsidRPr="00FB6BDB">
        <w:rPr>
          <w:rFonts w:ascii="Calibri" w:hAnsi="Calibri" w:cs="Calibri"/>
          <w:sz w:val="24"/>
        </w:rPr>
        <w:t>(</w:t>
      </w:r>
      <w:r w:rsidRPr="00FB6BDB">
        <w:rPr>
          <w:rFonts w:ascii="Calibri" w:hAnsi="Calibri" w:cs="Calibri"/>
          <w:sz w:val="24"/>
        </w:rPr>
        <w:t>a)</w:t>
      </w:r>
    </w:p>
    <w:p w:rsidR="008E00B1" w:rsidRPr="00FB6BDB" w:rsidRDefault="008E00B1" w:rsidP="007A778A">
      <w:pPr>
        <w:contextualSpacing/>
        <w:jc w:val="both"/>
        <w:rPr>
          <w:rFonts w:ascii="Calibri" w:hAnsi="Calibri" w:cs="Calibri"/>
          <w:sz w:val="24"/>
        </w:rPr>
      </w:pPr>
    </w:p>
    <w:p w:rsidR="00076EC0" w:rsidRDefault="007A778A" w:rsidP="007A778A">
      <w:pPr>
        <w:jc w:val="both"/>
        <w:rPr>
          <w:rFonts w:ascii="Calibri" w:hAnsi="Calibri" w:cs="Calibri"/>
          <w:sz w:val="24"/>
        </w:rPr>
      </w:pPr>
      <w:r w:rsidRPr="00FB6BDB">
        <w:rPr>
          <w:rFonts w:ascii="Calibri" w:hAnsi="Calibri" w:cs="Calibri"/>
          <w:sz w:val="24"/>
        </w:rPr>
        <w:t>V České republice došlo v posledním desetiletí k velkému rozvoji ICT sektoru, a to jak jeho výrobní části, tak i části služeb. Tento rozvoj byl nastartován zejména zahraničními investicemi. I přes nadprůměrnou produktivitu i dobrou exportní výkonnost těchto podniků, zůstává jejich znalostní intenzita na nízké úrovni se slabým důrazem na specializovanou znalostně náročnou produkci s vysokou přidanou hodnotou. Chybí dostatečná po</w:t>
      </w:r>
      <w:r w:rsidR="006B1039" w:rsidRPr="00FB6BDB">
        <w:rPr>
          <w:rFonts w:ascii="Calibri" w:hAnsi="Calibri" w:cs="Calibri"/>
          <w:sz w:val="24"/>
        </w:rPr>
        <w:t xml:space="preserve">ptávka firem po ICT službách. </w:t>
      </w:r>
      <w:r w:rsidR="00483234" w:rsidRPr="00FB6BDB">
        <w:rPr>
          <w:rFonts w:ascii="Calibri" w:hAnsi="Calibri" w:cs="Calibri"/>
          <w:sz w:val="24"/>
        </w:rPr>
        <w:t>Jak ilustruje následující graf,</w:t>
      </w:r>
      <w:r w:rsidRPr="00FB6BDB">
        <w:rPr>
          <w:rFonts w:ascii="Calibri" w:hAnsi="Calibri" w:cs="Calibri"/>
          <w:sz w:val="24"/>
        </w:rPr>
        <w:t xml:space="preserve"> v oblast</w:t>
      </w:r>
      <w:r w:rsidRPr="0020636D">
        <w:rPr>
          <w:rFonts w:ascii="Calibri" w:hAnsi="Calibri" w:cs="Calibri"/>
          <w:sz w:val="24"/>
        </w:rPr>
        <w:t>i elektronické výměny dat mezi podniky zaostává ČR se svými 23 % podniků uskutečňujících tuto výměnu za EU</w:t>
      </w:r>
      <w:r w:rsidR="00483234">
        <w:rPr>
          <w:rFonts w:ascii="Calibri" w:hAnsi="Calibri" w:cs="Calibri"/>
          <w:sz w:val="24"/>
        </w:rPr>
        <w:t>-27, kde tento poměr činí 51 %.</w:t>
      </w:r>
    </w:p>
    <w:p w:rsidR="00076EC0" w:rsidRDefault="00076EC0" w:rsidP="007A778A">
      <w:pPr>
        <w:contextualSpacing/>
        <w:jc w:val="both"/>
        <w:rPr>
          <w:rFonts w:ascii="Calibri" w:hAnsi="Calibri" w:cs="Calibri"/>
          <w:sz w:val="24"/>
        </w:rPr>
      </w:pPr>
    </w:p>
    <w:p w:rsidR="00DB2F35" w:rsidRPr="00483234" w:rsidRDefault="00DB2F35" w:rsidP="00DB2F35">
      <w:pPr>
        <w:pStyle w:val="Titulek"/>
        <w:keepNext/>
        <w:jc w:val="both"/>
      </w:pPr>
      <w:r w:rsidRPr="00FB6BDB">
        <w:lastRenderedPageBreak/>
        <w:t xml:space="preserve">Graf </w:t>
      </w:r>
      <w:fldSimple w:instr=" SEQ Graf \* ARABIC ">
        <w:r w:rsidR="00D92A26">
          <w:rPr>
            <w:noProof/>
          </w:rPr>
          <w:t>5</w:t>
        </w:r>
      </w:fldSimple>
      <w:r w:rsidRPr="00FB6BDB">
        <w:t>: Elektr</w:t>
      </w:r>
      <w:r w:rsidRPr="00DB2F35">
        <w:t>onická výměna dat mezi podniky v podnikatelském sektoru jednotlivých zemí EU</w:t>
      </w:r>
      <w:r w:rsidR="00483234">
        <w:t>-27</w:t>
      </w:r>
      <w:r w:rsidRPr="00DB2F35">
        <w:t>, leden 2010</w:t>
      </w:r>
      <w:r w:rsidR="00483234">
        <w:t xml:space="preserve"> </w:t>
      </w:r>
      <w:r w:rsidR="00483234" w:rsidRPr="006B41A8">
        <w:t>[%]</w:t>
      </w:r>
    </w:p>
    <w:p w:rsidR="00076EC0" w:rsidRDefault="002C4DA9" w:rsidP="007A778A">
      <w:pPr>
        <w:contextualSpacing/>
        <w:jc w:val="both"/>
        <w:rPr>
          <w:rFonts w:ascii="Calibri" w:hAnsi="Calibri" w:cs="Calibri"/>
          <w:sz w:val="24"/>
        </w:rPr>
      </w:pPr>
      <w:r>
        <w:rPr>
          <w:noProof/>
        </w:rPr>
        <w:drawing>
          <wp:inline distT="0" distB="0" distL="0" distR="0">
            <wp:extent cx="5850890" cy="3810635"/>
            <wp:effectExtent l="0" t="0" r="16510" b="18415"/>
            <wp:docPr id="14"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3A76" w:rsidRPr="0023642B" w:rsidRDefault="009D3A76" w:rsidP="009D3A76">
      <w:pPr>
        <w:rPr>
          <w:rFonts w:ascii="Calibri" w:hAnsi="Calibri" w:cs="Calibri"/>
          <w:sz w:val="18"/>
          <w:szCs w:val="18"/>
        </w:rPr>
      </w:pPr>
      <w:r w:rsidRPr="0023642B">
        <w:rPr>
          <w:rFonts w:ascii="Calibri" w:hAnsi="Calibri" w:cs="Calibri"/>
          <w:sz w:val="18"/>
          <w:szCs w:val="18"/>
        </w:rPr>
        <w:t xml:space="preserve">Zdroj: </w:t>
      </w:r>
      <w:r>
        <w:rPr>
          <w:rFonts w:ascii="Calibri" w:hAnsi="Calibri" w:cs="Calibri"/>
          <w:sz w:val="18"/>
          <w:szCs w:val="18"/>
        </w:rPr>
        <w:t>ČSÚ</w:t>
      </w:r>
    </w:p>
    <w:p w:rsidR="00076EC0" w:rsidRDefault="00076EC0" w:rsidP="007A778A">
      <w:pPr>
        <w:contextualSpacing/>
        <w:jc w:val="both"/>
        <w:rPr>
          <w:rFonts w:ascii="Calibri" w:hAnsi="Calibri" w:cs="Calibri"/>
          <w:sz w:val="24"/>
        </w:rPr>
      </w:pPr>
    </w:p>
    <w:p w:rsidR="004460E9" w:rsidRDefault="004460E9" w:rsidP="007A778A">
      <w:pPr>
        <w:jc w:val="both"/>
        <w:rPr>
          <w:rFonts w:ascii="Calibri" w:hAnsi="Calibri" w:cs="Calibri"/>
          <w:sz w:val="24"/>
        </w:rPr>
      </w:pPr>
      <w:r>
        <w:rPr>
          <w:rFonts w:ascii="Calibri" w:hAnsi="Calibri" w:cs="Calibri"/>
          <w:sz w:val="24"/>
        </w:rPr>
        <w:t>Rovněž v</w:t>
      </w:r>
      <w:r w:rsidR="007A778A" w:rsidRPr="0020636D">
        <w:rPr>
          <w:rFonts w:ascii="Calibri" w:hAnsi="Calibri" w:cs="Calibri"/>
          <w:sz w:val="24"/>
        </w:rPr>
        <w:t xml:space="preserve">e srovnání podílu firem využívajících firemní počítačové sítě a s nimi související technologie </w:t>
      </w:r>
      <w:r w:rsidR="00DF38AE">
        <w:rPr>
          <w:rFonts w:ascii="Calibri" w:hAnsi="Calibri" w:cs="Calibri"/>
          <w:sz w:val="24"/>
        </w:rPr>
        <w:t>Česká republika s</w:t>
      </w:r>
      <w:r w:rsidR="007A778A" w:rsidRPr="0020636D">
        <w:rPr>
          <w:rFonts w:ascii="Calibri" w:hAnsi="Calibri" w:cs="Calibri"/>
          <w:sz w:val="24"/>
        </w:rPr>
        <w:t xml:space="preserve"> 64,5 % </w:t>
      </w:r>
      <w:r w:rsidR="00DF38AE">
        <w:rPr>
          <w:rFonts w:ascii="Calibri" w:hAnsi="Calibri" w:cs="Calibri"/>
          <w:sz w:val="24"/>
        </w:rPr>
        <w:t>zaostává za průměrem EU-27</w:t>
      </w:r>
      <w:r w:rsidR="00624911">
        <w:rPr>
          <w:rFonts w:ascii="Calibri" w:hAnsi="Calibri" w:cs="Calibri"/>
          <w:sz w:val="24"/>
        </w:rPr>
        <w:t xml:space="preserve">, který činí </w:t>
      </w:r>
      <w:r>
        <w:rPr>
          <w:rFonts w:ascii="Calibri" w:hAnsi="Calibri" w:cs="Calibri"/>
          <w:sz w:val="24"/>
        </w:rPr>
        <w:t>76,5 %</w:t>
      </w:r>
      <w:r w:rsidR="00624911">
        <w:rPr>
          <w:rFonts w:ascii="Calibri" w:hAnsi="Calibri" w:cs="Calibri"/>
          <w:sz w:val="24"/>
        </w:rPr>
        <w:t>.</w:t>
      </w:r>
      <w:r w:rsidR="00DF38AE">
        <w:rPr>
          <w:rFonts w:ascii="Calibri" w:hAnsi="Calibri" w:cs="Calibri"/>
          <w:sz w:val="24"/>
        </w:rPr>
        <w:t xml:space="preserve"> </w:t>
      </w:r>
      <w:r w:rsidR="00624911">
        <w:rPr>
          <w:rFonts w:ascii="Calibri" w:hAnsi="Calibri" w:cs="Calibri"/>
          <w:sz w:val="24"/>
        </w:rPr>
        <w:t>Tuto skutečnost</w:t>
      </w:r>
      <w:r w:rsidR="00DF38AE">
        <w:rPr>
          <w:rFonts w:ascii="Calibri" w:hAnsi="Calibri" w:cs="Calibri"/>
          <w:sz w:val="24"/>
        </w:rPr>
        <w:t xml:space="preserve"> </w:t>
      </w:r>
      <w:r w:rsidR="00DF38AE" w:rsidRPr="00FB6BDB">
        <w:rPr>
          <w:rFonts w:ascii="Calibri" w:hAnsi="Calibri" w:cs="Calibri"/>
          <w:sz w:val="24"/>
        </w:rPr>
        <w:t>dokládá následující graf</w:t>
      </w:r>
      <w:r w:rsidRPr="00FB6BDB">
        <w:rPr>
          <w:rFonts w:ascii="Calibri" w:hAnsi="Calibri" w:cs="Calibri"/>
          <w:sz w:val="24"/>
        </w:rPr>
        <w:t>.</w:t>
      </w:r>
    </w:p>
    <w:p w:rsidR="0010210A" w:rsidRDefault="0010210A" w:rsidP="007A778A">
      <w:pPr>
        <w:jc w:val="both"/>
        <w:rPr>
          <w:rFonts w:ascii="Calibri" w:hAnsi="Calibri" w:cs="Calibri"/>
          <w:sz w:val="24"/>
        </w:rPr>
      </w:pPr>
    </w:p>
    <w:p w:rsidR="004460E9" w:rsidRDefault="004460E9" w:rsidP="004460E9">
      <w:pPr>
        <w:pStyle w:val="Titulek"/>
        <w:keepNext/>
        <w:jc w:val="both"/>
      </w:pPr>
      <w:r w:rsidRPr="00FB6BDB">
        <w:lastRenderedPageBreak/>
        <w:t xml:space="preserve">Graf </w:t>
      </w:r>
      <w:fldSimple w:instr=" SEQ Graf \* ARABIC ">
        <w:r w:rsidR="00D92A26">
          <w:rPr>
            <w:noProof/>
          </w:rPr>
          <w:t>6</w:t>
        </w:r>
      </w:fldSimple>
      <w:r w:rsidRPr="00FB6BDB">
        <w:t>: Firem</w:t>
      </w:r>
      <w:r w:rsidRPr="00682A37">
        <w:t>ní počítačová síť v podnikatelském sektoru jednotlivých zemí EU</w:t>
      </w:r>
      <w:r>
        <w:t>-27</w:t>
      </w:r>
      <w:r w:rsidRPr="00682A37">
        <w:t>, leden 2010</w:t>
      </w:r>
      <w:r>
        <w:t xml:space="preserve"> [%]</w:t>
      </w:r>
    </w:p>
    <w:p w:rsidR="004460E9" w:rsidRDefault="002C4DA9" w:rsidP="007A778A">
      <w:pPr>
        <w:contextualSpacing/>
        <w:jc w:val="both"/>
        <w:rPr>
          <w:rFonts w:ascii="Calibri" w:hAnsi="Calibri" w:cs="Calibri"/>
          <w:sz w:val="24"/>
        </w:rPr>
      </w:pPr>
      <w:r>
        <w:rPr>
          <w:noProof/>
        </w:rPr>
        <w:drawing>
          <wp:inline distT="0" distB="0" distL="0" distR="0">
            <wp:extent cx="5255895" cy="3326765"/>
            <wp:effectExtent l="0" t="0" r="20955" b="26035"/>
            <wp:docPr id="7" name="Graf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D3A76" w:rsidRPr="0023642B" w:rsidRDefault="009D3A76" w:rsidP="009D3A76">
      <w:pPr>
        <w:rPr>
          <w:rFonts w:ascii="Calibri" w:hAnsi="Calibri" w:cs="Calibri"/>
          <w:sz w:val="18"/>
          <w:szCs w:val="18"/>
        </w:rPr>
      </w:pPr>
      <w:r w:rsidRPr="0023642B">
        <w:rPr>
          <w:rFonts w:ascii="Calibri" w:hAnsi="Calibri" w:cs="Calibri"/>
          <w:sz w:val="18"/>
          <w:szCs w:val="18"/>
        </w:rPr>
        <w:t xml:space="preserve">Zdroj: </w:t>
      </w:r>
      <w:r>
        <w:rPr>
          <w:rFonts w:ascii="Calibri" w:hAnsi="Calibri" w:cs="Calibri"/>
          <w:sz w:val="18"/>
          <w:szCs w:val="18"/>
        </w:rPr>
        <w:t>ČSÚ</w:t>
      </w:r>
    </w:p>
    <w:p w:rsidR="004460E9" w:rsidRDefault="004460E9" w:rsidP="007A778A">
      <w:pPr>
        <w:contextualSpacing/>
        <w:jc w:val="both"/>
        <w:rPr>
          <w:rFonts w:ascii="Calibri" w:hAnsi="Calibri" w:cs="Calibri"/>
          <w:sz w:val="24"/>
        </w:rPr>
      </w:pPr>
    </w:p>
    <w:p w:rsidR="000123E0" w:rsidRDefault="00624911" w:rsidP="007A778A">
      <w:pPr>
        <w:contextualSpacing/>
        <w:jc w:val="both"/>
        <w:rPr>
          <w:rFonts w:ascii="Calibri" w:hAnsi="Calibri" w:cs="Calibri"/>
          <w:sz w:val="24"/>
        </w:rPr>
      </w:pPr>
      <w:r>
        <w:rPr>
          <w:rFonts w:ascii="Calibri" w:hAnsi="Calibri" w:cs="Calibri"/>
          <w:sz w:val="24"/>
        </w:rPr>
        <w:t>Pokud jde o datová centra,</w:t>
      </w:r>
      <w:r w:rsidR="007A778A" w:rsidRPr="0020636D">
        <w:rPr>
          <w:rFonts w:ascii="Calibri" w:hAnsi="Calibri" w:cs="Calibri"/>
          <w:sz w:val="24"/>
        </w:rPr>
        <w:t xml:space="preserve"> neexistuje na rozdíl od okolních zemí </w:t>
      </w:r>
      <w:r w:rsidR="00EE71B7">
        <w:rPr>
          <w:rFonts w:ascii="Calibri" w:hAnsi="Calibri" w:cs="Calibri"/>
          <w:sz w:val="24"/>
        </w:rPr>
        <w:t xml:space="preserve">jejich </w:t>
      </w:r>
      <w:r w:rsidR="007A778A" w:rsidRPr="0020636D">
        <w:rPr>
          <w:rFonts w:ascii="Calibri" w:hAnsi="Calibri" w:cs="Calibri"/>
          <w:sz w:val="24"/>
        </w:rPr>
        <w:t>přímá podpora, a to i přes to, že ČR je svou zeměpisnou polohou, infrastrukturou a úrovní politické stability pro investory velmi zajímavá.</w:t>
      </w:r>
      <w:r w:rsidR="007A778A">
        <w:rPr>
          <w:rFonts w:ascii="Calibri" w:hAnsi="Calibri" w:cs="Calibri"/>
          <w:sz w:val="24"/>
        </w:rPr>
        <w:t xml:space="preserve"> </w:t>
      </w:r>
    </w:p>
    <w:p w:rsidR="000123E0" w:rsidRDefault="000123E0" w:rsidP="007A778A">
      <w:pPr>
        <w:jc w:val="both"/>
        <w:rPr>
          <w:rFonts w:ascii="Calibri" w:hAnsi="Calibri" w:cs="Calibri"/>
          <w:sz w:val="24"/>
        </w:rPr>
      </w:pPr>
    </w:p>
    <w:p w:rsidR="007A778A" w:rsidRDefault="00624911" w:rsidP="007A778A">
      <w:pPr>
        <w:contextualSpacing/>
        <w:jc w:val="both"/>
        <w:rPr>
          <w:rFonts w:ascii="Calibri" w:hAnsi="Calibri" w:cs="Calibri"/>
          <w:sz w:val="24"/>
        </w:rPr>
      </w:pPr>
      <w:r>
        <w:rPr>
          <w:rFonts w:ascii="Calibri" w:hAnsi="Calibri" w:cs="Calibri"/>
          <w:sz w:val="24"/>
        </w:rPr>
        <w:t>V oblasti ICT sektoru je obecně problém</w:t>
      </w:r>
      <w:r w:rsidR="006B1039">
        <w:rPr>
          <w:rFonts w:ascii="Calibri" w:hAnsi="Calibri" w:cs="Calibri"/>
          <w:sz w:val="24"/>
        </w:rPr>
        <w:t>, že ř</w:t>
      </w:r>
      <w:r w:rsidR="007A778A" w:rsidRPr="0020636D">
        <w:rPr>
          <w:rFonts w:ascii="Calibri" w:hAnsi="Calibri" w:cs="Calibri"/>
          <w:sz w:val="24"/>
        </w:rPr>
        <w:t xml:space="preserve">ada českých firem jsou pouze dodavateli firem zahraničních. České firmy </w:t>
      </w:r>
      <w:r w:rsidR="006B1039">
        <w:rPr>
          <w:rFonts w:ascii="Calibri" w:hAnsi="Calibri" w:cs="Calibri"/>
          <w:sz w:val="24"/>
        </w:rPr>
        <w:t>ve velké míře</w:t>
      </w:r>
      <w:r w:rsidR="007A778A" w:rsidRPr="0020636D">
        <w:rPr>
          <w:rFonts w:ascii="Calibri" w:hAnsi="Calibri" w:cs="Calibri"/>
          <w:sz w:val="24"/>
        </w:rPr>
        <w:t xml:space="preserve"> zůstávají na úrovni tzv. rodinných firem a těm, které chtějí růst</w:t>
      </w:r>
      <w:r w:rsidR="007A778A">
        <w:rPr>
          <w:rFonts w:ascii="Calibri" w:hAnsi="Calibri" w:cs="Calibri"/>
          <w:sz w:val="24"/>
        </w:rPr>
        <w:t>,</w:t>
      </w:r>
      <w:r w:rsidR="007A778A" w:rsidRPr="0020636D">
        <w:rPr>
          <w:rFonts w:ascii="Calibri" w:hAnsi="Calibri" w:cs="Calibri"/>
          <w:sz w:val="24"/>
        </w:rPr>
        <w:t xml:space="preserve"> zase chybí zdroje na expanzi na nové trhy. </w:t>
      </w:r>
      <w:r w:rsidR="006B1039">
        <w:rPr>
          <w:rFonts w:ascii="Calibri" w:hAnsi="Calibri" w:cs="Calibri"/>
          <w:sz w:val="24"/>
        </w:rPr>
        <w:t xml:space="preserve">Lze identifikovat nedostatečnou </w:t>
      </w:r>
      <w:r w:rsidR="007A778A" w:rsidRPr="0020636D">
        <w:rPr>
          <w:rFonts w:ascii="Calibri" w:hAnsi="Calibri" w:cs="Calibri"/>
          <w:sz w:val="24"/>
        </w:rPr>
        <w:t>ins</w:t>
      </w:r>
      <w:r w:rsidR="006B1039">
        <w:rPr>
          <w:rFonts w:ascii="Calibri" w:hAnsi="Calibri" w:cs="Calibri"/>
          <w:sz w:val="24"/>
        </w:rPr>
        <w:t>titucionální podporu</w:t>
      </w:r>
      <w:r w:rsidR="007A778A" w:rsidRPr="0020636D">
        <w:rPr>
          <w:rFonts w:ascii="Calibri" w:hAnsi="Calibri" w:cs="Calibri"/>
          <w:sz w:val="24"/>
        </w:rPr>
        <w:t xml:space="preserve"> ICT sektoru, a to zejména proto, že neexistuje jednotná koncepce pro podporu </w:t>
      </w:r>
      <w:r w:rsidR="006B1039">
        <w:rPr>
          <w:rFonts w:ascii="Calibri" w:hAnsi="Calibri" w:cs="Calibri"/>
          <w:sz w:val="24"/>
        </w:rPr>
        <w:t>této oblasti.</w:t>
      </w:r>
    </w:p>
    <w:p w:rsidR="007A778A" w:rsidRDefault="007A778A" w:rsidP="007A778A">
      <w:pPr>
        <w:contextualSpacing/>
        <w:jc w:val="both"/>
        <w:rPr>
          <w:rFonts w:ascii="Calibri" w:hAnsi="Calibri" w:cs="Calibri"/>
          <w:sz w:val="24"/>
        </w:rPr>
      </w:pPr>
    </w:p>
    <w:p w:rsidR="00350F5A" w:rsidRPr="0016532E" w:rsidRDefault="008E00B1" w:rsidP="00350F5A">
      <w:pPr>
        <w:pStyle w:val="Odstavecseseznamem"/>
        <w:ind w:left="0"/>
        <w:jc w:val="both"/>
        <w:rPr>
          <w:rFonts w:ascii="Calibri" w:hAnsi="Calibri" w:cs="Calibri"/>
          <w:sz w:val="24"/>
        </w:rPr>
      </w:pPr>
      <w:r w:rsidRPr="000F778E">
        <w:rPr>
          <w:rFonts w:ascii="Calibri" w:hAnsi="Calibri" w:cs="Calibri"/>
          <w:b/>
          <w:sz w:val="24"/>
        </w:rPr>
        <w:t>Identifikovaný problém č. 9:</w:t>
      </w:r>
      <w:r w:rsidR="007A778A" w:rsidRPr="000F778E">
        <w:rPr>
          <w:rFonts w:ascii="Calibri" w:hAnsi="Calibri" w:cs="Calibri"/>
          <w:sz w:val="24"/>
        </w:rPr>
        <w:t xml:space="preserve"> Nedos</w:t>
      </w:r>
      <w:r w:rsidR="007A778A" w:rsidRPr="0020636D">
        <w:rPr>
          <w:rFonts w:ascii="Calibri" w:hAnsi="Calibri" w:cs="Calibri"/>
          <w:sz w:val="24"/>
        </w:rPr>
        <w:t>tatečná motivace českých firem pro rozvoj produkce s vysokou přidanou hodnotou a nedostatečná přímá podpora budování datových center a tím snižování nákladů na I</w:t>
      </w:r>
      <w:r w:rsidR="006B1039">
        <w:rPr>
          <w:rFonts w:ascii="Calibri" w:hAnsi="Calibri" w:cs="Calibri"/>
          <w:sz w:val="24"/>
        </w:rPr>
        <w:t>C</w:t>
      </w:r>
      <w:r w:rsidR="007A778A" w:rsidRPr="0020636D">
        <w:rPr>
          <w:rFonts w:ascii="Calibri" w:hAnsi="Calibri" w:cs="Calibri"/>
          <w:sz w:val="24"/>
        </w:rPr>
        <w:t>T</w:t>
      </w:r>
      <w:r w:rsidR="00350F5A">
        <w:rPr>
          <w:rFonts w:ascii="Calibri" w:hAnsi="Calibri" w:cs="Calibri"/>
          <w:sz w:val="24"/>
        </w:rPr>
        <w:t>. Vazba na tematick</w:t>
      </w:r>
      <w:r w:rsidR="00350F5A" w:rsidRPr="00FB6BDB">
        <w:rPr>
          <w:rFonts w:ascii="Calibri" w:hAnsi="Calibri" w:cs="Calibri"/>
          <w:sz w:val="24"/>
        </w:rPr>
        <w:t>ý cíl 2, investiční prioritu 2b (nařízení o ERDF, článek 5, odst. (2) bod (b)</w:t>
      </w:r>
    </w:p>
    <w:p w:rsidR="00F14974" w:rsidRPr="0042083D" w:rsidRDefault="00F14974" w:rsidP="00F14974">
      <w:pPr>
        <w:overflowPunct/>
        <w:autoSpaceDE/>
        <w:autoSpaceDN/>
        <w:adjustRightInd/>
        <w:jc w:val="both"/>
        <w:textAlignment w:val="auto"/>
        <w:rPr>
          <w:rFonts w:ascii="Calibri" w:hAnsi="Calibri" w:cs="Calibri"/>
          <w:sz w:val="24"/>
          <w:szCs w:val="24"/>
        </w:rPr>
      </w:pPr>
    </w:p>
    <w:p w:rsidR="0042083D" w:rsidRPr="00A2151E" w:rsidRDefault="00A2151E" w:rsidP="00A2151E">
      <w:pPr>
        <w:overflowPunct/>
        <w:autoSpaceDE/>
        <w:autoSpaceDN/>
        <w:adjustRightInd/>
        <w:jc w:val="both"/>
        <w:textAlignment w:val="auto"/>
        <w:rPr>
          <w:rFonts w:ascii="Calibri" w:hAnsi="Calibri" w:cs="Calibri"/>
          <w:b/>
          <w:sz w:val="28"/>
          <w:szCs w:val="24"/>
        </w:rPr>
      </w:pPr>
      <w:r w:rsidRPr="00A2151E">
        <w:rPr>
          <w:rFonts w:ascii="Calibri" w:hAnsi="Calibri" w:cs="Calibri"/>
          <w:b/>
          <w:sz w:val="28"/>
          <w:szCs w:val="24"/>
        </w:rPr>
        <w:t>III.</w:t>
      </w:r>
      <w:r w:rsidRPr="00A2151E">
        <w:rPr>
          <w:rFonts w:ascii="Calibri" w:hAnsi="Calibri" w:cs="Calibri"/>
          <w:b/>
          <w:sz w:val="28"/>
          <w:szCs w:val="24"/>
        </w:rPr>
        <w:tab/>
      </w:r>
      <w:r w:rsidR="0042083D" w:rsidRPr="00A2151E">
        <w:rPr>
          <w:rFonts w:ascii="Calibri" w:hAnsi="Calibri" w:cs="Calibri"/>
          <w:b/>
          <w:sz w:val="28"/>
          <w:szCs w:val="24"/>
        </w:rPr>
        <w:t>Udržitelný růst</w:t>
      </w:r>
    </w:p>
    <w:p w:rsidR="0042083D" w:rsidRPr="003B795C" w:rsidRDefault="0042083D" w:rsidP="00851D6E">
      <w:pPr>
        <w:numPr>
          <w:ilvl w:val="1"/>
          <w:numId w:val="15"/>
        </w:numPr>
        <w:overflowPunct/>
        <w:autoSpaceDE/>
        <w:autoSpaceDN/>
        <w:adjustRightInd/>
        <w:jc w:val="both"/>
        <w:textAlignment w:val="auto"/>
        <w:rPr>
          <w:rFonts w:ascii="Calibri" w:hAnsi="Calibri" w:cs="Calibri"/>
          <w:sz w:val="24"/>
          <w:szCs w:val="24"/>
        </w:rPr>
      </w:pPr>
      <w:r w:rsidRPr="0038738E">
        <w:rPr>
          <w:rFonts w:ascii="Calibri" w:hAnsi="Calibri" w:cs="Calibri"/>
          <w:b/>
          <w:sz w:val="24"/>
          <w:szCs w:val="24"/>
        </w:rPr>
        <w:t>„</w:t>
      </w:r>
      <w:r w:rsidRPr="0038738E">
        <w:rPr>
          <w:rFonts w:ascii="Calibri" w:hAnsi="Calibri" w:cs="Calibri"/>
          <w:b/>
          <w:i/>
          <w:iCs/>
          <w:sz w:val="24"/>
          <w:szCs w:val="24"/>
        </w:rPr>
        <w:t>Evropa méně náročná na zdroje</w:t>
      </w:r>
      <w:r w:rsidRPr="0038738E">
        <w:rPr>
          <w:rFonts w:ascii="Calibri" w:hAnsi="Calibri" w:cs="Calibri"/>
          <w:b/>
          <w:sz w:val="24"/>
          <w:szCs w:val="24"/>
        </w:rPr>
        <w:t xml:space="preserve">“ </w:t>
      </w:r>
      <w:r w:rsidRPr="003B795C">
        <w:rPr>
          <w:rFonts w:ascii="Calibri" w:hAnsi="Calibri" w:cs="Calibri"/>
          <w:sz w:val="24"/>
          <w:szCs w:val="24"/>
        </w:rPr>
        <w:t>– podpora oddělení hospodářského růstu od využívání zdrojů, podpora přechodu na nízkouhlíkovou ekonomiku, větší využití obnovitelných zdrojů energie, modernizace odvětví dopravy a podpora energetické účinnosti.</w:t>
      </w:r>
    </w:p>
    <w:p w:rsidR="00F02FD8" w:rsidRDefault="00F02FD8" w:rsidP="00F02FD8">
      <w:pPr>
        <w:overflowPunct/>
        <w:autoSpaceDE/>
        <w:autoSpaceDN/>
        <w:adjustRightInd/>
        <w:jc w:val="both"/>
        <w:textAlignment w:val="auto"/>
        <w:rPr>
          <w:rFonts w:ascii="Calibri" w:hAnsi="Calibri" w:cs="Calibri"/>
          <w:sz w:val="24"/>
          <w:szCs w:val="24"/>
        </w:rPr>
      </w:pPr>
    </w:p>
    <w:p w:rsidR="00F02FD8" w:rsidRDefault="00F02FD8" w:rsidP="00F02FD8">
      <w:pPr>
        <w:contextualSpacing/>
        <w:jc w:val="both"/>
        <w:rPr>
          <w:rFonts w:ascii="Calibri" w:hAnsi="Calibri" w:cs="Calibri"/>
          <w:sz w:val="24"/>
        </w:rPr>
      </w:pPr>
      <w:r w:rsidRPr="00F02FD8">
        <w:rPr>
          <w:rFonts w:ascii="Calibri" w:hAnsi="Calibri" w:cs="Calibri"/>
          <w:sz w:val="24"/>
        </w:rPr>
        <w:t xml:space="preserve">Energetika je klíčovým odvětvím ekonomiky každé vyspělé země a představuje jednu z významných podmínek ekonomického rozvoje a konkurenceschopnosti. Nakládání s energií se dotýká všech sektorů (podnikatelského, veřejného a samozřejmě i domácností) a jejich </w:t>
      </w:r>
      <w:r w:rsidRPr="00F02FD8">
        <w:rPr>
          <w:rFonts w:ascii="Calibri" w:hAnsi="Calibri" w:cs="Calibri"/>
          <w:sz w:val="24"/>
        </w:rPr>
        <w:lastRenderedPageBreak/>
        <w:t>fungování je bez zajištění dostatku, kvality a cenové dostupnosti energie nemyslitelné.</w:t>
      </w:r>
      <w:r w:rsidR="005567F7">
        <w:rPr>
          <w:rFonts w:ascii="Calibri" w:hAnsi="Calibri" w:cs="Calibri"/>
          <w:sz w:val="24"/>
        </w:rPr>
        <w:t xml:space="preserve"> </w:t>
      </w:r>
      <w:r w:rsidRPr="00F02FD8">
        <w:rPr>
          <w:rFonts w:ascii="Calibri" w:hAnsi="Calibri" w:cs="Calibri"/>
          <w:sz w:val="24"/>
        </w:rPr>
        <w:t xml:space="preserve">Energie se jako jeden ze základních výrobních vstupů podílí na produktivitě firem a současně firemní sektor spoluurčuje potřeby v oblasti energetiky. </w:t>
      </w:r>
    </w:p>
    <w:p w:rsidR="00173FEB" w:rsidRDefault="00173FEB" w:rsidP="00F02FD8">
      <w:pPr>
        <w:contextualSpacing/>
        <w:jc w:val="both"/>
        <w:rPr>
          <w:rFonts w:ascii="Calibri" w:hAnsi="Calibri" w:cs="Calibri"/>
          <w:sz w:val="24"/>
        </w:rPr>
      </w:pPr>
    </w:p>
    <w:p w:rsidR="00191DFF" w:rsidRPr="00EE60C9" w:rsidRDefault="00191DFF" w:rsidP="00191DFF">
      <w:pPr>
        <w:pStyle w:val="Titulek"/>
        <w:keepNext/>
        <w:jc w:val="both"/>
      </w:pPr>
      <w:r w:rsidRPr="00FB6BDB">
        <w:t xml:space="preserve">Graf </w:t>
      </w:r>
      <w:fldSimple w:instr=" SEQ Graf \* ARABIC ">
        <w:r w:rsidR="00D92A26">
          <w:rPr>
            <w:noProof/>
          </w:rPr>
          <w:t>7</w:t>
        </w:r>
      </w:fldSimple>
      <w:r w:rsidRPr="00FB6BDB">
        <w:t>: Energetick</w:t>
      </w:r>
      <w:r w:rsidRPr="00EE60C9">
        <w:t>á náročnost</w:t>
      </w:r>
      <w:r w:rsidR="00EE60C9" w:rsidRPr="00EE60C9">
        <w:t xml:space="preserve"> jednotlivých zemí EU-27, 2010 [kilogram ropného ekvivalentu </w:t>
      </w:r>
      <w:r w:rsidR="00500D0E">
        <w:t>n</w:t>
      </w:r>
      <w:r w:rsidR="00EE60C9" w:rsidRPr="00EE60C9">
        <w:t>a 1000 EUR]</w:t>
      </w:r>
    </w:p>
    <w:p w:rsidR="00191DFF" w:rsidRDefault="002C4DA9" w:rsidP="00F02FD8">
      <w:pPr>
        <w:contextualSpacing/>
        <w:jc w:val="both"/>
        <w:rPr>
          <w:rFonts w:ascii="Calibri" w:hAnsi="Calibri" w:cs="Calibri"/>
          <w:sz w:val="24"/>
        </w:rPr>
      </w:pPr>
      <w:r>
        <w:rPr>
          <w:noProof/>
        </w:rPr>
        <w:drawing>
          <wp:inline distT="0" distB="0" distL="0" distR="0">
            <wp:extent cx="5360670" cy="3178175"/>
            <wp:effectExtent l="0" t="0" r="11430" b="22225"/>
            <wp:docPr id="8"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210A" w:rsidRPr="0010210A" w:rsidRDefault="0010210A" w:rsidP="00F02FD8">
      <w:pPr>
        <w:contextualSpacing/>
        <w:jc w:val="both"/>
        <w:rPr>
          <w:rFonts w:ascii="Calibri" w:hAnsi="Calibri" w:cs="Calibri"/>
          <w:sz w:val="18"/>
          <w:szCs w:val="18"/>
        </w:rPr>
      </w:pPr>
      <w:r w:rsidRPr="0010210A">
        <w:rPr>
          <w:rFonts w:ascii="Calibri" w:hAnsi="Calibri" w:cs="Calibri"/>
          <w:sz w:val="18"/>
          <w:szCs w:val="18"/>
        </w:rPr>
        <w:t>Zdroj: Eurostat</w:t>
      </w:r>
    </w:p>
    <w:p w:rsidR="00191DFF" w:rsidRPr="00F02FD8" w:rsidRDefault="00191DFF" w:rsidP="00F02FD8">
      <w:pPr>
        <w:contextualSpacing/>
        <w:jc w:val="both"/>
        <w:rPr>
          <w:rFonts w:ascii="Calibri" w:hAnsi="Calibri" w:cs="Calibri"/>
          <w:sz w:val="24"/>
        </w:rPr>
      </w:pPr>
    </w:p>
    <w:p w:rsidR="00F02FD8" w:rsidRDefault="00191DFF" w:rsidP="00F02FD8">
      <w:pPr>
        <w:contextualSpacing/>
        <w:jc w:val="both"/>
        <w:rPr>
          <w:rFonts w:ascii="Calibri" w:hAnsi="Calibri" w:cs="Calibri"/>
          <w:sz w:val="24"/>
          <w:szCs w:val="24"/>
        </w:rPr>
      </w:pPr>
      <w:r w:rsidRPr="00D36A59">
        <w:rPr>
          <w:rFonts w:ascii="Calibri" w:hAnsi="Calibri" w:cs="Calibri"/>
          <w:sz w:val="24"/>
          <w:szCs w:val="24"/>
        </w:rPr>
        <w:t>Jak vyp</w:t>
      </w:r>
      <w:r w:rsidRPr="00FB6BDB">
        <w:rPr>
          <w:rFonts w:ascii="Calibri" w:hAnsi="Calibri" w:cs="Calibri"/>
          <w:sz w:val="24"/>
          <w:szCs w:val="24"/>
        </w:rPr>
        <w:t>lývá z grafu 7, z</w:t>
      </w:r>
      <w:r w:rsidRPr="00D36A59">
        <w:rPr>
          <w:rFonts w:ascii="Calibri" w:hAnsi="Calibri" w:cs="Calibri"/>
          <w:sz w:val="24"/>
          <w:szCs w:val="24"/>
        </w:rPr>
        <w:t xml:space="preserve"> hlediska</w:t>
      </w:r>
      <w:r w:rsidR="005567F7" w:rsidRPr="00D36A59">
        <w:rPr>
          <w:rFonts w:ascii="Calibri" w:hAnsi="Calibri" w:cs="Calibri"/>
          <w:sz w:val="24"/>
          <w:szCs w:val="24"/>
        </w:rPr>
        <w:t xml:space="preserve"> energetické náročnosti se ČR v současnosti nachází </w:t>
      </w:r>
      <w:r w:rsidRPr="00D36A59">
        <w:rPr>
          <w:rFonts w:ascii="Calibri" w:hAnsi="Calibri" w:cs="Calibri"/>
          <w:sz w:val="24"/>
          <w:szCs w:val="24"/>
        </w:rPr>
        <w:t xml:space="preserve">výrazně </w:t>
      </w:r>
      <w:r w:rsidR="005567F7" w:rsidRPr="00D36A59">
        <w:rPr>
          <w:rFonts w:ascii="Calibri" w:hAnsi="Calibri" w:cs="Calibri"/>
          <w:sz w:val="24"/>
          <w:szCs w:val="24"/>
        </w:rPr>
        <w:t>nad průměrem EU-27. Energetická náročnost tak odpovídá tradiční průmyslové základně ČR mezi členskými státy EU. Při srovnávání je ovšem nutno vzít v potaz rovněž rozdílnou ekonomickou výkonnost srovnávaných zemí, která prostřednictvím nižšího ocenění produktů ovlivňuje parametr energetické náročnosti a dává zkreslený pohled na samotné energetické nároky v té či oné zemi. Z hlediska spotřeby energie na obyvatele i z hlediska spotřeby elektřiny na obyvatele se ČR nachází zhruba v průměru zemí EU. Nadále však existuje poměrně vysoký potenciál úspor ovlivněný nedostatkem finančních prostředků pro investice do úsporných projektů a nedostatek znalostí v oblasti efektivního využívání energie.</w:t>
      </w:r>
    </w:p>
    <w:p w:rsidR="00506B31" w:rsidRPr="00D36A59" w:rsidRDefault="00506B31" w:rsidP="00506B31">
      <w:pPr>
        <w:contextualSpacing/>
        <w:jc w:val="both"/>
        <w:rPr>
          <w:rFonts w:ascii="Calibri" w:hAnsi="Calibri" w:cs="Calibri"/>
          <w:sz w:val="24"/>
          <w:szCs w:val="24"/>
        </w:rPr>
      </w:pPr>
    </w:p>
    <w:p w:rsidR="007F38CC" w:rsidRPr="00F02FD8" w:rsidRDefault="007F38CC" w:rsidP="00F02FD8">
      <w:pPr>
        <w:contextualSpacing/>
        <w:jc w:val="both"/>
        <w:rPr>
          <w:rFonts w:ascii="Calibri" w:hAnsi="Calibri" w:cs="Calibri"/>
          <w:sz w:val="24"/>
        </w:rPr>
      </w:pPr>
      <w:r w:rsidRPr="00D36A59">
        <w:rPr>
          <w:rFonts w:ascii="Calibri" w:hAnsi="Calibri" w:cs="Calibri"/>
          <w:sz w:val="24"/>
          <w:szCs w:val="24"/>
        </w:rPr>
        <w:t>Neefektivní využívání zdrojů a nevyhovující technologická řešení výroby jsou hlavními problémy energetické náročnosti průmyslové základny ČR. Zvláště výrobní firmy hledají možnosti úspor právě v oblasti snížení energetické náročnosti.</w:t>
      </w:r>
    </w:p>
    <w:p w:rsidR="00F02FD8" w:rsidRPr="00CE535B" w:rsidRDefault="00F02FD8" w:rsidP="00F02FD8">
      <w:pPr>
        <w:rPr>
          <w:rFonts w:ascii="Calibri" w:hAnsi="Calibri" w:cs="Calibri"/>
          <w:sz w:val="24"/>
        </w:rPr>
      </w:pPr>
    </w:p>
    <w:p w:rsidR="00CE535B" w:rsidRDefault="00F02FD8" w:rsidP="00F02FD8">
      <w:pPr>
        <w:jc w:val="both"/>
        <w:rPr>
          <w:rFonts w:ascii="Calibri" w:hAnsi="Calibri" w:cs="Calibri"/>
          <w:sz w:val="24"/>
        </w:rPr>
      </w:pPr>
      <w:r w:rsidRPr="00F02FD8">
        <w:rPr>
          <w:rFonts w:ascii="Calibri" w:hAnsi="Calibri" w:cs="Calibri"/>
          <w:sz w:val="24"/>
        </w:rPr>
        <w:t>Jak uvádějí analýzy na základě statis</w:t>
      </w:r>
      <w:r w:rsidRPr="008B49A9">
        <w:rPr>
          <w:rFonts w:ascii="Calibri" w:hAnsi="Calibri" w:cs="Calibri"/>
          <w:sz w:val="24"/>
        </w:rPr>
        <w:t>tik OECD, je ekonomik</w:t>
      </w:r>
      <w:r w:rsidRPr="00F02FD8">
        <w:rPr>
          <w:rFonts w:ascii="Calibri" w:hAnsi="Calibri" w:cs="Calibri"/>
          <w:sz w:val="24"/>
        </w:rPr>
        <w:t>a ČR postižena určitou strukturální nevýho</w:t>
      </w:r>
      <w:r w:rsidRPr="003B795C">
        <w:rPr>
          <w:rFonts w:ascii="Calibri" w:hAnsi="Calibri" w:cs="Calibri"/>
          <w:sz w:val="24"/>
        </w:rPr>
        <w:t xml:space="preserve">dou, kterou představuje relativně nižší výkon ekonomiky, než by naší energetické spotřebě odpovídalo ve srovnání s průměrem v rámci zemí OECD. </w:t>
      </w:r>
      <w:r w:rsidR="00A53702" w:rsidRPr="003B795C">
        <w:rPr>
          <w:rFonts w:ascii="Calibri" w:hAnsi="Calibri" w:cs="Calibri"/>
          <w:sz w:val="24"/>
        </w:rPr>
        <w:t xml:space="preserve">To </w:t>
      </w:r>
      <w:r w:rsidR="00A53702" w:rsidRPr="00FB6BDB">
        <w:rPr>
          <w:rFonts w:ascii="Calibri" w:hAnsi="Calibri" w:cs="Calibri"/>
          <w:sz w:val="24"/>
        </w:rPr>
        <w:t xml:space="preserve">dokládá i graf 8. </w:t>
      </w:r>
      <w:r w:rsidRPr="00FB6BDB">
        <w:rPr>
          <w:rFonts w:ascii="Calibri" w:hAnsi="Calibri" w:cs="Calibri"/>
          <w:sz w:val="24"/>
        </w:rPr>
        <w:t>Podle uvedených analýz je energetická náročnost na jednotku HDP v ČR o 17,2</w:t>
      </w:r>
      <w:r w:rsidR="00CE535B" w:rsidRPr="00FB6BDB">
        <w:rPr>
          <w:rFonts w:ascii="Calibri" w:hAnsi="Calibri" w:cs="Calibri"/>
          <w:sz w:val="24"/>
        </w:rPr>
        <w:t xml:space="preserve"> </w:t>
      </w:r>
      <w:r w:rsidRPr="00FB6BDB">
        <w:rPr>
          <w:rFonts w:ascii="Calibri" w:hAnsi="Calibri" w:cs="Calibri"/>
          <w:sz w:val="24"/>
        </w:rPr>
        <w:t>% vyšší než průměrná</w:t>
      </w:r>
      <w:r w:rsidRPr="00F02FD8">
        <w:rPr>
          <w:rFonts w:ascii="Calibri" w:hAnsi="Calibri" w:cs="Calibri"/>
          <w:sz w:val="24"/>
        </w:rPr>
        <w:t xml:space="preserve"> úroveň zemí OECD a o 61,3</w:t>
      </w:r>
      <w:r w:rsidR="00CE535B">
        <w:rPr>
          <w:rFonts w:ascii="Calibri" w:hAnsi="Calibri" w:cs="Calibri"/>
          <w:sz w:val="24"/>
        </w:rPr>
        <w:t xml:space="preserve"> </w:t>
      </w:r>
      <w:r w:rsidRPr="00F02FD8">
        <w:rPr>
          <w:rFonts w:ascii="Calibri" w:hAnsi="Calibri" w:cs="Calibri"/>
          <w:sz w:val="24"/>
        </w:rPr>
        <w:t>% vyšší než v zemích EU 15, resp. o 53,6</w:t>
      </w:r>
      <w:r w:rsidR="00CE535B">
        <w:rPr>
          <w:rFonts w:ascii="Calibri" w:hAnsi="Calibri" w:cs="Calibri"/>
          <w:sz w:val="24"/>
        </w:rPr>
        <w:t xml:space="preserve"> </w:t>
      </w:r>
      <w:r w:rsidRPr="00F02FD8">
        <w:rPr>
          <w:rFonts w:ascii="Calibri" w:hAnsi="Calibri" w:cs="Calibri"/>
          <w:sz w:val="24"/>
        </w:rPr>
        <w:t>% vyšší, než v zemích EU</w:t>
      </w:r>
      <w:r w:rsidR="00CE535B">
        <w:rPr>
          <w:rFonts w:ascii="Calibri" w:hAnsi="Calibri" w:cs="Calibri"/>
          <w:sz w:val="24"/>
        </w:rPr>
        <w:t xml:space="preserve"> </w:t>
      </w:r>
      <w:r w:rsidRPr="00F02FD8">
        <w:rPr>
          <w:rFonts w:ascii="Calibri" w:hAnsi="Calibri" w:cs="Calibri"/>
          <w:sz w:val="24"/>
        </w:rPr>
        <w:t>27. Přitom spotřeba primární energie na 1 obyvatele je vyšší (jen) o 6,7</w:t>
      </w:r>
      <w:r w:rsidR="00CE535B">
        <w:rPr>
          <w:rFonts w:ascii="Calibri" w:hAnsi="Calibri" w:cs="Calibri"/>
          <w:sz w:val="24"/>
        </w:rPr>
        <w:t xml:space="preserve"> </w:t>
      </w:r>
      <w:r w:rsidRPr="00F02FD8">
        <w:rPr>
          <w:rFonts w:ascii="Calibri" w:hAnsi="Calibri" w:cs="Calibri"/>
          <w:sz w:val="24"/>
        </w:rPr>
        <w:t>%, resp. 17,7</w:t>
      </w:r>
      <w:r w:rsidR="00CE535B">
        <w:rPr>
          <w:rFonts w:ascii="Calibri" w:hAnsi="Calibri" w:cs="Calibri"/>
          <w:sz w:val="24"/>
        </w:rPr>
        <w:t xml:space="preserve"> </w:t>
      </w:r>
      <w:r w:rsidRPr="00F02FD8">
        <w:rPr>
          <w:rFonts w:ascii="Calibri" w:hAnsi="Calibri" w:cs="Calibri"/>
          <w:sz w:val="24"/>
        </w:rPr>
        <w:t>%, resp. 24,1</w:t>
      </w:r>
      <w:r w:rsidR="00CE535B">
        <w:rPr>
          <w:rFonts w:ascii="Calibri" w:hAnsi="Calibri" w:cs="Calibri"/>
          <w:sz w:val="24"/>
        </w:rPr>
        <w:t xml:space="preserve"> </w:t>
      </w:r>
      <w:r w:rsidRPr="00F02FD8">
        <w:rPr>
          <w:rFonts w:ascii="Calibri" w:hAnsi="Calibri" w:cs="Calibri"/>
          <w:sz w:val="24"/>
        </w:rPr>
        <w:t xml:space="preserve">%. Zvýšení HDP na 1 obyvatele na úroveň EU 27, nebo dokonce EU 15, by posunulo ČR do </w:t>
      </w:r>
      <w:r w:rsidRPr="00F02FD8">
        <w:rPr>
          <w:rFonts w:ascii="Calibri" w:hAnsi="Calibri" w:cs="Calibri"/>
          <w:sz w:val="24"/>
        </w:rPr>
        <w:lastRenderedPageBreak/>
        <w:t>zemí nadprůměrně zhodnocující svoji energetickou spotřebu. To tedy znamená, že zvyšování hrubého domácího produktu při zachování spotřeby energie, nebo rychlejší růst HDP než je růst spotřeby energie, což obojí souvisí s růstem produktivity firem a ekonomiky jako celku, je pro českou ekonomiku významným cílem, stejně jako absolutní snižování spotřeby energie. Vysoká energetická náročnost výroby by v případě nárůstu cen energií mohla negativně ovlivnit celkovou konkurenceschopnost Č</w:t>
      </w:r>
      <w:r w:rsidRPr="008B49A9">
        <w:rPr>
          <w:rFonts w:ascii="Calibri" w:hAnsi="Calibri" w:cs="Calibri"/>
          <w:sz w:val="24"/>
        </w:rPr>
        <w:t>R</w:t>
      </w:r>
      <w:r w:rsidRPr="008B49A9">
        <w:rPr>
          <w:rFonts w:ascii="Calibri" w:hAnsi="Calibri" w:cs="Calibri"/>
          <w:sz w:val="24"/>
          <w:vertAlign w:val="superscript"/>
        </w:rPr>
        <w:footnoteReference w:id="8"/>
      </w:r>
      <w:r w:rsidRPr="008B49A9">
        <w:rPr>
          <w:rFonts w:ascii="Calibri" w:hAnsi="Calibri" w:cs="Calibri"/>
          <w:sz w:val="24"/>
        </w:rPr>
        <w:t>.</w:t>
      </w:r>
      <w:r w:rsidRPr="00F02FD8">
        <w:rPr>
          <w:rFonts w:ascii="Calibri" w:hAnsi="Calibri" w:cs="Calibri"/>
          <w:sz w:val="24"/>
        </w:rPr>
        <w:t xml:space="preserve"> </w:t>
      </w:r>
    </w:p>
    <w:p w:rsidR="00CE535B" w:rsidRDefault="00CE535B" w:rsidP="00F02FD8">
      <w:pPr>
        <w:contextualSpacing/>
        <w:jc w:val="both"/>
        <w:rPr>
          <w:rFonts w:ascii="Calibri" w:hAnsi="Calibri" w:cs="Calibri"/>
          <w:sz w:val="24"/>
        </w:rPr>
      </w:pPr>
    </w:p>
    <w:p w:rsidR="00CD1E6A" w:rsidRDefault="00CD1E6A" w:rsidP="00CD1E6A">
      <w:pPr>
        <w:pStyle w:val="Titulek"/>
        <w:keepNext/>
      </w:pPr>
      <w:r w:rsidRPr="00FB6BDB">
        <w:t xml:space="preserve">Graf </w:t>
      </w:r>
      <w:fldSimple w:instr=" SEQ Graf \* ARABIC ">
        <w:r w:rsidR="00D92A26">
          <w:rPr>
            <w:noProof/>
          </w:rPr>
          <w:t>8</w:t>
        </w:r>
      </w:fldSimple>
      <w:r w:rsidRPr="00FB6BDB">
        <w:t>: Závi</w:t>
      </w:r>
      <w:r w:rsidRPr="00FF2244">
        <w:t>slost hodnoty HDP na spotřebě primární energie zemí OECD</w:t>
      </w:r>
    </w:p>
    <w:p w:rsidR="00F02FD8" w:rsidRPr="00F02FD8" w:rsidRDefault="002C4DA9" w:rsidP="00F02FD8">
      <w:pPr>
        <w:rPr>
          <w:rFonts w:ascii="Calibri" w:hAnsi="Calibri" w:cs="Calibri"/>
          <w:noProof/>
        </w:rPr>
      </w:pPr>
      <w:r>
        <w:rPr>
          <w:rFonts w:ascii="Calibri" w:hAnsi="Calibri" w:cs="Calibri"/>
          <w:noProof/>
        </w:rPr>
        <w:drawing>
          <wp:inline distT="0" distB="0" distL="0" distR="0">
            <wp:extent cx="4338955" cy="3105785"/>
            <wp:effectExtent l="0" t="0" r="0" b="0"/>
            <wp:docPr id="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955" cy="3105785"/>
                    </a:xfrm>
                    <a:prstGeom prst="rect">
                      <a:avLst/>
                    </a:prstGeom>
                    <a:noFill/>
                    <a:ln>
                      <a:noFill/>
                    </a:ln>
                  </pic:spPr>
                </pic:pic>
              </a:graphicData>
            </a:graphic>
          </wp:inline>
        </w:drawing>
      </w:r>
    </w:p>
    <w:p w:rsidR="00F02FD8" w:rsidRPr="00F02FD8" w:rsidRDefault="00F02FD8" w:rsidP="00F02FD8">
      <w:pPr>
        <w:rPr>
          <w:rFonts w:ascii="Calibri" w:hAnsi="Calibri" w:cs="Calibri"/>
          <w:sz w:val="18"/>
          <w:szCs w:val="18"/>
        </w:rPr>
      </w:pPr>
      <w:r w:rsidRPr="004A756B">
        <w:rPr>
          <w:rFonts w:ascii="Calibri" w:hAnsi="Calibri" w:cs="Calibri"/>
          <w:noProof/>
          <w:sz w:val="18"/>
          <w:szCs w:val="16"/>
        </w:rPr>
        <w:t xml:space="preserve">Zdroj: </w:t>
      </w:r>
      <w:r w:rsidRPr="00F02FD8">
        <w:rPr>
          <w:rFonts w:ascii="Calibri" w:hAnsi="Calibri" w:cs="Calibri"/>
          <w:sz w:val="18"/>
          <w:szCs w:val="18"/>
        </w:rPr>
        <w:t>Analýza věcných priorit a potřeb jednotlivých oblastí v působnosti MPO pro zaměření podpory ze strukturálních fondů EU v příštím programovacím období (2014+), zpracovatel Berman Group – služby ekonomického rozvoje s.r.o., listopad 2010</w:t>
      </w:r>
    </w:p>
    <w:p w:rsidR="00F02FD8" w:rsidRPr="00F02FD8" w:rsidRDefault="00F02FD8" w:rsidP="00F02FD8">
      <w:pPr>
        <w:rPr>
          <w:rFonts w:ascii="Calibri" w:hAnsi="Calibri" w:cs="Calibri"/>
          <w:sz w:val="18"/>
          <w:szCs w:val="18"/>
        </w:rPr>
      </w:pPr>
    </w:p>
    <w:p w:rsidR="00506B31" w:rsidRPr="0016532E" w:rsidRDefault="00F02FD8" w:rsidP="00506B31">
      <w:pPr>
        <w:pStyle w:val="Odstavecseseznamem"/>
        <w:ind w:left="0"/>
        <w:contextualSpacing w:val="0"/>
        <w:jc w:val="both"/>
        <w:rPr>
          <w:rFonts w:ascii="Calibri" w:hAnsi="Calibri" w:cs="Calibri"/>
          <w:sz w:val="24"/>
        </w:rPr>
      </w:pPr>
      <w:r w:rsidRPr="00CC4819">
        <w:rPr>
          <w:rFonts w:ascii="Calibri" w:hAnsi="Calibri" w:cs="Calibri"/>
          <w:b/>
          <w:sz w:val="24"/>
        </w:rPr>
        <w:t>Identifikovaný problém č. 1</w:t>
      </w:r>
      <w:r w:rsidR="005D6A0A" w:rsidRPr="00CC4819">
        <w:rPr>
          <w:rFonts w:ascii="Calibri" w:hAnsi="Calibri" w:cs="Calibri"/>
          <w:b/>
          <w:sz w:val="24"/>
        </w:rPr>
        <w:t>0</w:t>
      </w:r>
      <w:r w:rsidRPr="00CC4819">
        <w:rPr>
          <w:rFonts w:ascii="Calibri" w:hAnsi="Calibri" w:cs="Calibri"/>
          <w:b/>
          <w:sz w:val="24"/>
        </w:rPr>
        <w:t>:</w:t>
      </w:r>
      <w:r w:rsidRPr="00CC4819">
        <w:rPr>
          <w:rFonts w:ascii="Calibri" w:hAnsi="Calibri" w:cs="Calibri"/>
          <w:sz w:val="24"/>
        </w:rPr>
        <w:t xml:space="preserve"> Pře</w:t>
      </w:r>
      <w:r w:rsidRPr="00F02FD8">
        <w:rPr>
          <w:rFonts w:ascii="Calibri" w:hAnsi="Calibri" w:cs="Calibri"/>
          <w:sz w:val="24"/>
        </w:rPr>
        <w:t>trvávající vysoká energetická náročnost hospodářství.</w:t>
      </w:r>
      <w:r w:rsidR="00506B31">
        <w:rPr>
          <w:rFonts w:ascii="Calibri" w:hAnsi="Calibri" w:cs="Calibri"/>
          <w:sz w:val="24"/>
        </w:rPr>
        <w:t xml:space="preserve"> Vazba na tematický cíl 4, investiční prioritu 4b </w:t>
      </w:r>
      <w:r w:rsidR="00506B31" w:rsidRPr="00FB6BDB">
        <w:rPr>
          <w:rFonts w:ascii="Calibri" w:hAnsi="Calibri" w:cs="Calibri"/>
          <w:sz w:val="24"/>
        </w:rPr>
        <w:t>(nařízení o ERDF, článek 5, odst. (4) bod (b)</w:t>
      </w:r>
    </w:p>
    <w:p w:rsidR="005D6A0A" w:rsidRPr="00F02FD8" w:rsidRDefault="005D6A0A" w:rsidP="00F02FD8">
      <w:pPr>
        <w:jc w:val="both"/>
        <w:rPr>
          <w:rFonts w:ascii="Calibri" w:hAnsi="Calibri" w:cs="Calibri"/>
          <w:sz w:val="24"/>
        </w:rPr>
      </w:pPr>
    </w:p>
    <w:p w:rsidR="0096272B" w:rsidRDefault="00F02FD8" w:rsidP="00F02FD8">
      <w:pPr>
        <w:jc w:val="both"/>
        <w:rPr>
          <w:rFonts w:ascii="Calibri" w:hAnsi="Calibri" w:cs="Calibri"/>
          <w:sz w:val="24"/>
        </w:rPr>
      </w:pPr>
      <w:r w:rsidRPr="00F02FD8">
        <w:rPr>
          <w:rFonts w:ascii="Calibri" w:hAnsi="Calibri" w:cs="Calibri"/>
          <w:sz w:val="24"/>
        </w:rPr>
        <w:t xml:space="preserve">Česká republika má velmi rozvinutý sektor teplárenství, o čemž svědčí i celková délka rozvodů dálkového vytápění </w:t>
      </w:r>
      <w:smartTag w:uri="urn:schemas-microsoft-com:office:smarttags" w:element="metricconverter">
        <w:smartTagPr>
          <w:attr w:name="ProductID" w:val="7ﾠ554 km"/>
        </w:smartTagPr>
        <w:r w:rsidRPr="00F02FD8">
          <w:rPr>
            <w:rFonts w:ascii="Calibri" w:hAnsi="Calibri" w:cs="Calibri"/>
            <w:sz w:val="24"/>
          </w:rPr>
          <w:t>7 554 km</w:t>
        </w:r>
      </w:smartTag>
      <w:r w:rsidRPr="00F02FD8">
        <w:rPr>
          <w:rFonts w:ascii="Calibri" w:hAnsi="Calibri" w:cs="Calibri"/>
          <w:sz w:val="24"/>
        </w:rPr>
        <w:t xml:space="preserve"> k roku 2009 (na základě da</w:t>
      </w:r>
      <w:r w:rsidRPr="008B49A9">
        <w:rPr>
          <w:rFonts w:ascii="Calibri" w:hAnsi="Calibri" w:cs="Calibri"/>
          <w:sz w:val="24"/>
        </w:rPr>
        <w:t xml:space="preserve">t ERÚ). </w:t>
      </w:r>
      <w:r w:rsidR="0096272B" w:rsidRPr="008B49A9">
        <w:rPr>
          <w:rFonts w:ascii="Calibri" w:hAnsi="Calibri" w:cs="Calibri"/>
          <w:sz w:val="24"/>
          <w:szCs w:val="24"/>
        </w:rPr>
        <w:t>So</w:t>
      </w:r>
      <w:r w:rsidR="0096272B" w:rsidRPr="00D36A59">
        <w:rPr>
          <w:rFonts w:ascii="Calibri" w:hAnsi="Calibri" w:cs="Calibri"/>
          <w:sz w:val="24"/>
          <w:szCs w:val="24"/>
        </w:rPr>
        <w:t>ustavy zásobování teplem však byly budovány od 40. let 20. století převážně do konce 80. let 20. století. Parametry těchto soustav odpovídaly vnějším potřebám, které se po roce 1989 změnily. R</w:t>
      </w:r>
      <w:r w:rsidRPr="00F02FD8">
        <w:rPr>
          <w:rFonts w:ascii="Calibri" w:hAnsi="Calibri" w:cs="Calibri"/>
          <w:sz w:val="24"/>
        </w:rPr>
        <w:t>ozvody</w:t>
      </w:r>
      <w:r w:rsidR="0096272B">
        <w:rPr>
          <w:rFonts w:ascii="Calibri" w:hAnsi="Calibri" w:cs="Calibri"/>
          <w:sz w:val="24"/>
        </w:rPr>
        <w:t xml:space="preserve"> dálkového vytápění</w:t>
      </w:r>
      <w:r w:rsidRPr="00F02FD8">
        <w:rPr>
          <w:rFonts w:ascii="Calibri" w:hAnsi="Calibri" w:cs="Calibri"/>
          <w:sz w:val="24"/>
        </w:rPr>
        <w:t xml:space="preserve"> jsou realizovány ze 45,3 % jako teplovodní, z 33,3 % jako horkovodní a z 21,4 % jako parní sítě.</w:t>
      </w:r>
      <w:r w:rsidR="0096272B">
        <w:rPr>
          <w:rFonts w:ascii="Calibri" w:hAnsi="Calibri" w:cs="Calibri"/>
          <w:sz w:val="24"/>
        </w:rPr>
        <w:t xml:space="preserve"> </w:t>
      </w:r>
      <w:r w:rsidRPr="00F02FD8">
        <w:rPr>
          <w:rFonts w:ascii="Calibri" w:hAnsi="Calibri" w:cs="Calibri"/>
          <w:sz w:val="24"/>
        </w:rPr>
        <w:t>Parní sítě jsou historicky umístěny v oblastech s dodávkou technologické páry pro průmyslové podniky</w:t>
      </w:r>
      <w:r w:rsidR="0096272B">
        <w:rPr>
          <w:rFonts w:ascii="Calibri" w:hAnsi="Calibri" w:cs="Calibri"/>
          <w:sz w:val="24"/>
        </w:rPr>
        <w:t xml:space="preserve">. </w:t>
      </w:r>
      <w:r w:rsidR="0096272B" w:rsidRPr="00D36A59">
        <w:rPr>
          <w:rFonts w:ascii="Calibri" w:hAnsi="Calibri" w:cs="Calibri"/>
          <w:sz w:val="24"/>
          <w:szCs w:val="24"/>
        </w:rPr>
        <w:t>Velký počet průmyslových podniků v rámci restrukturalizace průmyslu v 90. letech však zanikl a s tím i potřeba dodávek páry.</w:t>
      </w:r>
      <w:r w:rsidRPr="00F02FD8">
        <w:rPr>
          <w:rFonts w:ascii="Calibri" w:hAnsi="Calibri" w:cs="Calibri"/>
          <w:sz w:val="24"/>
        </w:rPr>
        <w:t xml:space="preserve"> </w:t>
      </w:r>
      <w:r w:rsidR="0096272B">
        <w:rPr>
          <w:rFonts w:ascii="Calibri" w:hAnsi="Calibri" w:cs="Calibri"/>
          <w:sz w:val="24"/>
        </w:rPr>
        <w:t>V</w:t>
      </w:r>
      <w:r w:rsidRPr="00F02FD8">
        <w:rPr>
          <w:rFonts w:ascii="Calibri" w:hAnsi="Calibri" w:cs="Calibri"/>
          <w:sz w:val="24"/>
        </w:rPr>
        <w:t> případech, kdy došlo k omezení či zrušení odběru technologické páry se tyto sítě mj. z provozně-technických důvodů rekonstruují na horkovodní či teplovodní systémy (včetně navazujících energetických zařízení) z důvodu snížení ztrát a zlepšení</w:t>
      </w:r>
      <w:r w:rsidR="0096272B">
        <w:rPr>
          <w:rFonts w:ascii="Calibri" w:hAnsi="Calibri" w:cs="Calibri"/>
          <w:sz w:val="24"/>
        </w:rPr>
        <w:t xml:space="preserve"> provozních parametrů soustavy.</w:t>
      </w:r>
    </w:p>
    <w:p w:rsidR="0096272B" w:rsidRDefault="0096272B" w:rsidP="00F02FD8">
      <w:pPr>
        <w:contextualSpacing/>
        <w:jc w:val="both"/>
        <w:rPr>
          <w:rFonts w:ascii="Calibri" w:hAnsi="Calibri" w:cs="Calibri"/>
          <w:sz w:val="24"/>
        </w:rPr>
      </w:pPr>
    </w:p>
    <w:p w:rsidR="00F02FD8" w:rsidRPr="00FB6BDB" w:rsidRDefault="00F02FD8" w:rsidP="00F02FD8">
      <w:pPr>
        <w:jc w:val="both"/>
        <w:rPr>
          <w:rFonts w:ascii="Calibri" w:hAnsi="Calibri" w:cs="Calibri"/>
          <w:sz w:val="24"/>
        </w:rPr>
      </w:pPr>
      <w:r w:rsidRPr="00F02FD8">
        <w:rPr>
          <w:rFonts w:ascii="Calibri" w:hAnsi="Calibri" w:cs="Calibri"/>
          <w:sz w:val="24"/>
        </w:rPr>
        <w:lastRenderedPageBreak/>
        <w:t>Podpora rekonstrukce stávajících rozvo</w:t>
      </w:r>
      <w:r w:rsidRPr="008B49A9">
        <w:rPr>
          <w:rFonts w:ascii="Calibri" w:hAnsi="Calibri" w:cs="Calibri"/>
          <w:sz w:val="24"/>
        </w:rPr>
        <w:t xml:space="preserve">dů a budování nových tras je žádoucí zejména z důvodu podpory rozvoje vysokoúčinné kombinované výroby elektřiny a tepla (KVET), jejíž nutnou podmínkou je ekonomicky odůvodněná poptávka po tepelné energii, kterou nelze zajistit bez odpovídajících rozvodů dálkového vytápění a také z důvodu podpory energeticky efektivního využívání obnovitelných zdrojů energie </w:t>
      </w:r>
      <w:r w:rsidR="00A3622B" w:rsidRPr="008B49A9">
        <w:rPr>
          <w:rFonts w:ascii="Calibri" w:hAnsi="Calibri" w:cs="Calibri"/>
          <w:sz w:val="24"/>
        </w:rPr>
        <w:t xml:space="preserve">(OZE) </w:t>
      </w:r>
      <w:r w:rsidRPr="008B49A9">
        <w:rPr>
          <w:rFonts w:ascii="Calibri" w:hAnsi="Calibri" w:cs="Calibri"/>
          <w:sz w:val="24"/>
        </w:rPr>
        <w:t xml:space="preserve">a druhotných zdrojů energie </w:t>
      </w:r>
      <w:r w:rsidR="00A3622B" w:rsidRPr="008B49A9">
        <w:rPr>
          <w:rFonts w:ascii="Calibri" w:hAnsi="Calibri" w:cs="Calibri"/>
          <w:sz w:val="24"/>
        </w:rPr>
        <w:t xml:space="preserve">(DZE) </w:t>
      </w:r>
      <w:r w:rsidRPr="008B49A9">
        <w:rPr>
          <w:rFonts w:ascii="Calibri" w:hAnsi="Calibri" w:cs="Calibri"/>
          <w:sz w:val="24"/>
        </w:rPr>
        <w:t>zejména biomasy a energie z odpadu. Investice do rekonstrukcí tepelných sítí přinášejí efekt snižování ztrát při zásobování energiemi, proto díky nim dochází k ze</w:t>
      </w:r>
      <w:r w:rsidRPr="00F02FD8">
        <w:rPr>
          <w:rFonts w:ascii="Calibri" w:hAnsi="Calibri" w:cs="Calibri"/>
          <w:sz w:val="24"/>
        </w:rPr>
        <w:t>fektivnění samotné výroby energií v rámci vysokoúčinné KVET a tím mj. ke snížení emisí skleníkových plynů a ostatních polutantů.</w:t>
      </w:r>
      <w:r w:rsidR="0022325B">
        <w:rPr>
          <w:rFonts w:ascii="Calibri" w:hAnsi="Calibri" w:cs="Calibri"/>
          <w:sz w:val="24"/>
        </w:rPr>
        <w:t xml:space="preserve"> Jak doklád</w:t>
      </w:r>
      <w:r w:rsidR="0022325B" w:rsidRPr="00FB6BDB">
        <w:rPr>
          <w:rFonts w:ascii="Calibri" w:hAnsi="Calibri" w:cs="Calibri"/>
          <w:sz w:val="24"/>
        </w:rPr>
        <w:t>á graf 9, v oblasti kombinované výroby elektřiny a tepla se Česká republika pohybuje lehce nad průměrem EU 27, ovšem oproti zemím s nejrozvinutější KVET dosahuje pouze třetinových výsledků. Potenciál v této oblasti tedy není zdaleka využit.</w:t>
      </w:r>
    </w:p>
    <w:p w:rsidR="00EE245E" w:rsidRPr="00FB6BDB" w:rsidRDefault="00EE245E" w:rsidP="00F02FD8">
      <w:pPr>
        <w:contextualSpacing/>
        <w:jc w:val="both"/>
        <w:rPr>
          <w:rFonts w:ascii="Calibri" w:hAnsi="Calibri" w:cs="Calibri"/>
          <w:sz w:val="24"/>
        </w:rPr>
      </w:pPr>
    </w:p>
    <w:p w:rsidR="00EE245E" w:rsidRDefault="00EE245E" w:rsidP="00EE245E">
      <w:pPr>
        <w:pStyle w:val="Titulek"/>
        <w:keepNext/>
        <w:jc w:val="both"/>
      </w:pPr>
      <w:r w:rsidRPr="00FB6BDB">
        <w:t xml:space="preserve">Graf </w:t>
      </w:r>
      <w:fldSimple w:instr=" SEQ Graf \* ARABIC ">
        <w:r w:rsidR="00D92A26">
          <w:rPr>
            <w:noProof/>
          </w:rPr>
          <w:t>9</w:t>
        </w:r>
      </w:fldSimple>
      <w:r w:rsidRPr="00FB6BDB">
        <w:t>: Kombinovaná výroba elektřiny</w:t>
      </w:r>
      <w:r w:rsidR="0022325B" w:rsidRPr="00FB6BDB">
        <w:t xml:space="preserve"> a tepla v</w:t>
      </w:r>
      <w:r w:rsidRPr="00FB6BDB">
        <w:t xml:space="preserve"> jed</w:t>
      </w:r>
      <w:r w:rsidRPr="00EE60C9">
        <w:t>notlivých zemí</w:t>
      </w:r>
      <w:r w:rsidR="0022325B">
        <w:t>ch</w:t>
      </w:r>
      <w:r w:rsidRPr="00EE60C9">
        <w:t xml:space="preserve"> EU-27, 2010 [</w:t>
      </w:r>
      <w:r w:rsidRPr="00EE245E">
        <w:t>% z hrubé výroby elektřiny</w:t>
      </w:r>
      <w:r w:rsidRPr="00EE60C9">
        <w:t>]</w:t>
      </w:r>
    </w:p>
    <w:p w:rsidR="00EE245E" w:rsidRDefault="002C4DA9" w:rsidP="00F02FD8">
      <w:pPr>
        <w:contextualSpacing/>
        <w:jc w:val="both"/>
        <w:rPr>
          <w:rFonts w:ascii="Calibri" w:hAnsi="Calibri" w:cs="Calibri"/>
          <w:sz w:val="24"/>
        </w:rPr>
      </w:pPr>
      <w:r>
        <w:rPr>
          <w:noProof/>
        </w:rPr>
        <w:drawing>
          <wp:inline distT="0" distB="0" distL="0" distR="0">
            <wp:extent cx="5187950" cy="3351530"/>
            <wp:effectExtent l="0" t="0" r="12700" b="20320"/>
            <wp:docPr id="10" name="Graf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E245E" w:rsidRPr="0010210A" w:rsidRDefault="00EE245E" w:rsidP="00EE245E">
      <w:pPr>
        <w:contextualSpacing/>
        <w:jc w:val="both"/>
        <w:rPr>
          <w:rFonts w:ascii="Calibri" w:hAnsi="Calibri" w:cs="Calibri"/>
          <w:sz w:val="18"/>
          <w:szCs w:val="18"/>
        </w:rPr>
      </w:pPr>
      <w:r w:rsidRPr="0010210A">
        <w:rPr>
          <w:rFonts w:ascii="Calibri" w:hAnsi="Calibri" w:cs="Calibri"/>
          <w:sz w:val="18"/>
          <w:szCs w:val="18"/>
        </w:rPr>
        <w:t>Zdroj: Eurostat</w:t>
      </w:r>
    </w:p>
    <w:p w:rsidR="00EE245E" w:rsidRPr="00CC4819" w:rsidRDefault="00EE245E" w:rsidP="00F02FD8">
      <w:pPr>
        <w:contextualSpacing/>
        <w:jc w:val="both"/>
        <w:rPr>
          <w:rFonts w:ascii="Calibri" w:hAnsi="Calibri" w:cs="Calibri"/>
          <w:sz w:val="24"/>
        </w:rPr>
      </w:pPr>
    </w:p>
    <w:p w:rsidR="0096272B" w:rsidRPr="00CC4819" w:rsidRDefault="0096272B" w:rsidP="0096272B">
      <w:pPr>
        <w:jc w:val="both"/>
        <w:rPr>
          <w:rFonts w:ascii="Calibri" w:hAnsi="Calibri" w:cs="Calibri"/>
          <w:sz w:val="24"/>
        </w:rPr>
      </w:pPr>
      <w:r w:rsidRPr="00CC4819">
        <w:rPr>
          <w:rFonts w:ascii="Calibri" w:hAnsi="Calibri" w:cs="Calibri"/>
          <w:b/>
          <w:sz w:val="24"/>
        </w:rPr>
        <w:t>Identifikovaný problém č. 1</w:t>
      </w:r>
      <w:r w:rsidR="005D6A0A" w:rsidRPr="00CC4819">
        <w:rPr>
          <w:rFonts w:ascii="Calibri" w:hAnsi="Calibri" w:cs="Calibri"/>
          <w:b/>
          <w:sz w:val="24"/>
        </w:rPr>
        <w:t>1</w:t>
      </w:r>
      <w:r w:rsidRPr="00CC4819">
        <w:rPr>
          <w:rFonts w:ascii="Calibri" w:hAnsi="Calibri" w:cs="Calibri"/>
          <w:sz w:val="24"/>
        </w:rPr>
        <w:t>: Nedostatečně efektivní tepelně rozvodná zařízení.</w:t>
      </w:r>
    </w:p>
    <w:p w:rsidR="00506B31" w:rsidRPr="0016532E" w:rsidRDefault="0022325B" w:rsidP="00506B31">
      <w:pPr>
        <w:pStyle w:val="Odstavecseseznamem"/>
        <w:ind w:left="0"/>
        <w:contextualSpacing w:val="0"/>
        <w:jc w:val="both"/>
        <w:rPr>
          <w:rFonts w:ascii="Calibri" w:hAnsi="Calibri" w:cs="Calibri"/>
          <w:sz w:val="24"/>
        </w:rPr>
      </w:pPr>
      <w:r w:rsidRPr="00CC4819">
        <w:rPr>
          <w:rFonts w:ascii="Calibri" w:hAnsi="Calibri" w:cs="Calibri"/>
          <w:b/>
          <w:sz w:val="24"/>
        </w:rPr>
        <w:t xml:space="preserve">Identifikovaný problém č. </w:t>
      </w:r>
      <w:r w:rsidR="005D6A0A" w:rsidRPr="00CC4819">
        <w:rPr>
          <w:rFonts w:ascii="Calibri" w:hAnsi="Calibri" w:cs="Calibri"/>
          <w:b/>
          <w:sz w:val="24"/>
        </w:rPr>
        <w:t>12</w:t>
      </w:r>
      <w:r w:rsidRPr="00CC4819">
        <w:rPr>
          <w:rFonts w:ascii="Calibri" w:hAnsi="Calibri" w:cs="Calibri"/>
          <w:b/>
          <w:sz w:val="24"/>
        </w:rPr>
        <w:t>:</w:t>
      </w:r>
      <w:r w:rsidRPr="00CC4819">
        <w:rPr>
          <w:rFonts w:ascii="Calibri" w:hAnsi="Calibri" w:cs="Calibri"/>
          <w:sz w:val="24"/>
        </w:rPr>
        <w:t xml:space="preserve"> Ne</w:t>
      </w:r>
      <w:r w:rsidRPr="005137F3">
        <w:rPr>
          <w:rFonts w:ascii="Calibri" w:hAnsi="Calibri" w:cs="Calibri"/>
          <w:sz w:val="24"/>
        </w:rPr>
        <w:t>dostatečně využitý potenciál kombinované výroby elektřiny a tepla.</w:t>
      </w:r>
      <w:r w:rsidR="00506B31">
        <w:rPr>
          <w:rFonts w:ascii="Calibri" w:hAnsi="Calibri" w:cs="Calibri"/>
          <w:sz w:val="24"/>
        </w:rPr>
        <w:t xml:space="preserve"> Vazba na tematický cíl 4, investiční prioritu </w:t>
      </w:r>
      <w:r w:rsidR="00506B31" w:rsidRPr="00FB6BDB">
        <w:rPr>
          <w:rFonts w:ascii="Calibri" w:hAnsi="Calibri" w:cs="Calibri"/>
          <w:sz w:val="24"/>
        </w:rPr>
        <w:t>4g (nařízení o ERDF, článek 5, odst. (4) bod (g)</w:t>
      </w:r>
    </w:p>
    <w:p w:rsidR="0022325B" w:rsidRDefault="0022325B" w:rsidP="0022325B">
      <w:pPr>
        <w:jc w:val="both"/>
        <w:rPr>
          <w:rFonts w:ascii="Calibri" w:hAnsi="Calibri" w:cs="Calibri"/>
          <w:sz w:val="24"/>
        </w:rPr>
      </w:pPr>
    </w:p>
    <w:p w:rsidR="000A54B7" w:rsidRDefault="000A54B7" w:rsidP="00F02FD8">
      <w:pPr>
        <w:jc w:val="both"/>
        <w:rPr>
          <w:rFonts w:ascii="Calibri" w:hAnsi="Calibri" w:cs="Calibri"/>
          <w:sz w:val="24"/>
        </w:rPr>
      </w:pPr>
      <w:r w:rsidRPr="000A54B7">
        <w:rPr>
          <w:rFonts w:ascii="Calibri" w:hAnsi="Calibri" w:cs="Calibri"/>
          <w:sz w:val="24"/>
        </w:rPr>
        <w:t xml:space="preserve">Energetika je oblastí, která prochází bouřlivým vývojem, a to především z hlediska struktury zdrojů. Restrukturalizace zdrojové základy </w:t>
      </w:r>
      <w:r>
        <w:rPr>
          <w:rFonts w:ascii="Calibri" w:hAnsi="Calibri" w:cs="Calibri"/>
          <w:sz w:val="24"/>
        </w:rPr>
        <w:t xml:space="preserve">(zejména posun směrem k vyššímu využívání obnovitelných zdrojů) </w:t>
      </w:r>
      <w:r w:rsidRPr="000A54B7">
        <w:rPr>
          <w:rFonts w:ascii="Calibri" w:hAnsi="Calibri" w:cs="Calibri"/>
          <w:sz w:val="24"/>
        </w:rPr>
        <w:t>i nárůst a změna charakteru odběrných míst (tepelná čerpadla, elektrom</w:t>
      </w:r>
      <w:r>
        <w:rPr>
          <w:rFonts w:ascii="Calibri" w:hAnsi="Calibri" w:cs="Calibri"/>
          <w:sz w:val="24"/>
        </w:rPr>
        <w:t>o</w:t>
      </w:r>
      <w:r w:rsidRPr="000A54B7">
        <w:rPr>
          <w:rFonts w:ascii="Calibri" w:hAnsi="Calibri" w:cs="Calibri"/>
          <w:sz w:val="24"/>
        </w:rPr>
        <w:t>bilita, smart grids)</w:t>
      </w:r>
      <w:r>
        <w:rPr>
          <w:rFonts w:ascii="Calibri" w:hAnsi="Calibri" w:cs="Calibri"/>
          <w:sz w:val="24"/>
        </w:rPr>
        <w:t xml:space="preserve"> </w:t>
      </w:r>
      <w:r w:rsidRPr="000A54B7">
        <w:rPr>
          <w:rFonts w:ascii="Calibri" w:hAnsi="Calibri" w:cs="Calibri"/>
          <w:sz w:val="24"/>
        </w:rPr>
        <w:t>s sebou přináší také změněné nároky na přenosové a distribuční sítě, především z hlediska jejich stability.</w:t>
      </w:r>
      <w:r>
        <w:rPr>
          <w:rFonts w:ascii="Calibri" w:hAnsi="Calibri" w:cs="Calibri"/>
          <w:sz w:val="24"/>
        </w:rPr>
        <w:t xml:space="preserve"> </w:t>
      </w:r>
      <w:r w:rsidRPr="00F02FD8">
        <w:rPr>
          <w:rFonts w:ascii="Calibri" w:hAnsi="Calibri" w:cs="Calibri"/>
          <w:sz w:val="24"/>
        </w:rPr>
        <w:t>Rozvoj soustavy musí zajistit bezpečnost provozování soustavy s ohledem na rostoucí požadavky odběratelů elektřiny.</w:t>
      </w:r>
    </w:p>
    <w:p w:rsidR="000A54B7" w:rsidRDefault="000A54B7" w:rsidP="00F02FD8">
      <w:pPr>
        <w:contextualSpacing/>
        <w:jc w:val="both"/>
        <w:rPr>
          <w:rFonts w:ascii="Calibri" w:hAnsi="Calibri" w:cs="Calibri"/>
          <w:sz w:val="24"/>
        </w:rPr>
      </w:pPr>
    </w:p>
    <w:p w:rsidR="000A54B7" w:rsidRDefault="000A54B7" w:rsidP="00F02FD8">
      <w:pPr>
        <w:contextualSpacing/>
        <w:jc w:val="both"/>
        <w:rPr>
          <w:rFonts w:ascii="Calibri" w:hAnsi="Calibri" w:cs="Calibri"/>
          <w:sz w:val="24"/>
        </w:rPr>
      </w:pPr>
      <w:r w:rsidRPr="000A54B7">
        <w:rPr>
          <w:rFonts w:ascii="Calibri" w:hAnsi="Calibri" w:cs="Calibri"/>
          <w:sz w:val="24"/>
        </w:rPr>
        <w:lastRenderedPageBreak/>
        <w:t>Existence obrovského množství zastaralých distribučních soustav napříč ČR znamená mimořádnou zátěž pro přenos energie a zapříč</w:t>
      </w:r>
      <w:r>
        <w:rPr>
          <w:rFonts w:ascii="Calibri" w:hAnsi="Calibri" w:cs="Calibri"/>
          <w:sz w:val="24"/>
        </w:rPr>
        <w:t>i</w:t>
      </w:r>
      <w:r w:rsidRPr="000A54B7">
        <w:rPr>
          <w:rFonts w:ascii="Calibri" w:hAnsi="Calibri" w:cs="Calibri"/>
          <w:sz w:val="24"/>
        </w:rPr>
        <w:t xml:space="preserve">ňuje vysokou ztrátovost. Problémovými oblastmi jsou především oblast distribuce a přenosu elektřiny. Zejména se jedná o klíčové uzly soustav a téměř nulové využití inteligentních sítí jako regulačního prvku. V případě přenosové soustavy jsou vedení a uzly ohrožené přetížením v důsledku neplánovaných toků elektřiny z okolních států. V případě distribučních soustav jsou to navíc vedení a další prvky (např. trafostanice) hlavně v koncových sítích (vn a nn) a v okrajových oblastech.  </w:t>
      </w:r>
    </w:p>
    <w:p w:rsidR="000A54B7" w:rsidRDefault="000A54B7" w:rsidP="00F02FD8">
      <w:pPr>
        <w:jc w:val="both"/>
        <w:rPr>
          <w:rFonts w:ascii="Calibri" w:hAnsi="Calibri" w:cs="Calibri"/>
          <w:sz w:val="24"/>
        </w:rPr>
      </w:pPr>
    </w:p>
    <w:p w:rsidR="00F02FD8" w:rsidRPr="00D36A59" w:rsidRDefault="00F02FD8" w:rsidP="00A3622B">
      <w:pPr>
        <w:contextualSpacing/>
        <w:jc w:val="both"/>
        <w:rPr>
          <w:rFonts w:ascii="Calibri" w:hAnsi="Calibri" w:cs="Calibri"/>
          <w:sz w:val="24"/>
          <w:highlight w:val="lightGray"/>
        </w:rPr>
      </w:pPr>
      <w:r w:rsidRPr="00CC4819">
        <w:rPr>
          <w:rFonts w:ascii="Calibri" w:hAnsi="Calibri" w:cs="Calibri"/>
          <w:b/>
          <w:sz w:val="24"/>
        </w:rPr>
        <w:t>Identifikovaný problém č. 1</w:t>
      </w:r>
      <w:r w:rsidR="00A3600A" w:rsidRPr="00CC4819">
        <w:rPr>
          <w:rFonts w:ascii="Calibri" w:hAnsi="Calibri" w:cs="Calibri"/>
          <w:b/>
          <w:sz w:val="24"/>
        </w:rPr>
        <w:t>3</w:t>
      </w:r>
      <w:r w:rsidRPr="00CC4819">
        <w:rPr>
          <w:rFonts w:ascii="Calibri" w:hAnsi="Calibri" w:cs="Calibri"/>
          <w:b/>
          <w:sz w:val="24"/>
        </w:rPr>
        <w:t>:</w:t>
      </w:r>
      <w:r w:rsidRPr="00CC4819">
        <w:rPr>
          <w:rFonts w:ascii="Calibri" w:hAnsi="Calibri" w:cs="Calibri"/>
          <w:sz w:val="24"/>
        </w:rPr>
        <w:t xml:space="preserve"> N</w:t>
      </w:r>
      <w:r w:rsidRPr="000A54B7">
        <w:rPr>
          <w:rFonts w:ascii="Calibri" w:hAnsi="Calibri" w:cs="Calibri"/>
          <w:sz w:val="24"/>
        </w:rPr>
        <w:t>edostatečná adaptace přenosových a distribučních sítí na změnu zdrojové základny v</w:t>
      </w:r>
      <w:r w:rsidR="000A54B7">
        <w:rPr>
          <w:rFonts w:ascii="Calibri" w:hAnsi="Calibri" w:cs="Calibri"/>
          <w:sz w:val="24"/>
        </w:rPr>
        <w:t> </w:t>
      </w:r>
      <w:r w:rsidRPr="000A54B7">
        <w:rPr>
          <w:rFonts w:ascii="Calibri" w:hAnsi="Calibri" w:cs="Calibri"/>
          <w:sz w:val="24"/>
        </w:rPr>
        <w:t>energetice</w:t>
      </w:r>
      <w:r w:rsidR="000A54B7">
        <w:rPr>
          <w:rFonts w:ascii="Calibri" w:hAnsi="Calibri" w:cs="Calibri"/>
          <w:sz w:val="24"/>
        </w:rPr>
        <w:t xml:space="preserve"> a </w:t>
      </w:r>
      <w:r w:rsidR="000A54B7" w:rsidRPr="000A54B7">
        <w:rPr>
          <w:rFonts w:ascii="Calibri" w:hAnsi="Calibri" w:cs="Calibri"/>
          <w:sz w:val="24"/>
        </w:rPr>
        <w:t>nárůst a změn</w:t>
      </w:r>
      <w:r w:rsidR="000A54B7">
        <w:rPr>
          <w:rFonts w:ascii="Calibri" w:hAnsi="Calibri" w:cs="Calibri"/>
          <w:sz w:val="24"/>
        </w:rPr>
        <w:t>u</w:t>
      </w:r>
      <w:r w:rsidR="000A54B7" w:rsidRPr="000A54B7">
        <w:rPr>
          <w:rFonts w:ascii="Calibri" w:hAnsi="Calibri" w:cs="Calibri"/>
          <w:sz w:val="24"/>
        </w:rPr>
        <w:t xml:space="preserve"> charakteru odběrných míst</w:t>
      </w:r>
      <w:r w:rsidRPr="000A54B7">
        <w:rPr>
          <w:rFonts w:ascii="Calibri" w:hAnsi="Calibri" w:cs="Calibri"/>
          <w:sz w:val="24"/>
        </w:rPr>
        <w:t>.</w:t>
      </w:r>
      <w:r w:rsidR="00A3622B">
        <w:rPr>
          <w:rFonts w:ascii="Calibri" w:hAnsi="Calibri" w:cs="Calibri"/>
          <w:sz w:val="24"/>
        </w:rPr>
        <w:t xml:space="preserve"> Vazba na tematický cíl 4, investiční prioritu 4d </w:t>
      </w:r>
      <w:r w:rsidR="00A3622B" w:rsidRPr="00FE0041">
        <w:rPr>
          <w:rFonts w:ascii="Calibri" w:hAnsi="Calibri" w:cs="Calibri"/>
          <w:sz w:val="24"/>
        </w:rPr>
        <w:t>(nařízení o ERDF, článek 5, odst. (</w:t>
      </w:r>
      <w:r w:rsidR="00A3622B">
        <w:rPr>
          <w:rFonts w:ascii="Calibri" w:hAnsi="Calibri" w:cs="Calibri"/>
          <w:sz w:val="24"/>
        </w:rPr>
        <w:t>4</w:t>
      </w:r>
      <w:r w:rsidR="00A3622B" w:rsidRPr="00FE0041">
        <w:rPr>
          <w:rFonts w:ascii="Calibri" w:hAnsi="Calibri" w:cs="Calibri"/>
          <w:sz w:val="24"/>
        </w:rPr>
        <w:t xml:space="preserve">) bod </w:t>
      </w:r>
      <w:r w:rsidR="00A3622B">
        <w:rPr>
          <w:rFonts w:ascii="Calibri" w:hAnsi="Calibri" w:cs="Calibri"/>
          <w:sz w:val="24"/>
        </w:rPr>
        <w:t>(d)</w:t>
      </w:r>
    </w:p>
    <w:p w:rsidR="004360D5" w:rsidRPr="00F02FD8" w:rsidRDefault="004360D5" w:rsidP="00A3622B">
      <w:pPr>
        <w:contextualSpacing/>
        <w:jc w:val="both"/>
        <w:rPr>
          <w:rFonts w:ascii="Calibri" w:hAnsi="Calibri" w:cs="Calibri"/>
          <w:sz w:val="24"/>
        </w:rPr>
      </w:pPr>
    </w:p>
    <w:p w:rsidR="00F02FD8" w:rsidRPr="00FB6BDB" w:rsidRDefault="004C2491" w:rsidP="00A3622B">
      <w:pPr>
        <w:contextualSpacing/>
        <w:jc w:val="both"/>
        <w:rPr>
          <w:rFonts w:ascii="Calibri" w:hAnsi="Calibri" w:cs="Calibri"/>
          <w:sz w:val="24"/>
        </w:rPr>
      </w:pPr>
      <w:r>
        <w:rPr>
          <w:rFonts w:ascii="Calibri" w:hAnsi="Calibri" w:cs="Calibri"/>
          <w:sz w:val="24"/>
        </w:rPr>
        <w:t>Jak již bylo naznačeno, p</w:t>
      </w:r>
      <w:r w:rsidR="00F02FD8" w:rsidRPr="00F02FD8">
        <w:rPr>
          <w:rFonts w:ascii="Calibri" w:hAnsi="Calibri" w:cs="Calibri"/>
          <w:sz w:val="24"/>
        </w:rPr>
        <w:t xml:space="preserve">roblematika přenosových sítí je úzce spojena s využíváním obnovitelných a obecně alternativních zdrojů energie. Celkem je možno v ČR k roku 2030 získávat 320 </w:t>
      </w:r>
      <w:r w:rsidR="00F02FD8" w:rsidRPr="008B49A9">
        <w:rPr>
          <w:rFonts w:ascii="Calibri" w:hAnsi="Calibri" w:cs="Calibri"/>
          <w:sz w:val="24"/>
        </w:rPr>
        <w:t>PJ en</w:t>
      </w:r>
      <w:r w:rsidR="00F02FD8" w:rsidRPr="00F02FD8">
        <w:rPr>
          <w:rFonts w:ascii="Calibri" w:hAnsi="Calibri" w:cs="Calibri"/>
          <w:sz w:val="24"/>
        </w:rPr>
        <w:t>ergie z obnovitelných zdrojů energie, v dlouhodobém horizontu pak 448 PJ</w:t>
      </w:r>
      <w:r w:rsidR="00A74A71">
        <w:rPr>
          <w:rFonts w:ascii="Calibri" w:hAnsi="Calibri" w:cs="Calibri"/>
          <w:sz w:val="24"/>
        </w:rPr>
        <w:t>, což ukazuj</w:t>
      </w:r>
      <w:r w:rsidR="00A74A71" w:rsidRPr="00FB6BDB">
        <w:rPr>
          <w:rFonts w:ascii="Calibri" w:hAnsi="Calibri" w:cs="Calibri"/>
          <w:sz w:val="24"/>
        </w:rPr>
        <w:t>e následující tabulka</w:t>
      </w:r>
      <w:r w:rsidR="00F02FD8" w:rsidRPr="00FB6BDB">
        <w:rPr>
          <w:rFonts w:ascii="Calibri" w:hAnsi="Calibri" w:cs="Calibri"/>
          <w:sz w:val="24"/>
        </w:rPr>
        <w:t xml:space="preserve">. </w:t>
      </w:r>
    </w:p>
    <w:p w:rsidR="00F02FD8" w:rsidRPr="00FB6BDB" w:rsidRDefault="00F02FD8" w:rsidP="00F02FD8">
      <w:pPr>
        <w:contextualSpacing/>
        <w:jc w:val="both"/>
        <w:rPr>
          <w:rFonts w:ascii="Calibri" w:hAnsi="Calibri" w:cs="Calibri"/>
          <w:sz w:val="24"/>
        </w:rPr>
      </w:pPr>
    </w:p>
    <w:p w:rsidR="00F02FD8" w:rsidRPr="00F02FD8" w:rsidRDefault="00F02FD8" w:rsidP="00F02FD8">
      <w:pPr>
        <w:keepNext/>
        <w:spacing w:after="200"/>
        <w:rPr>
          <w:rFonts w:ascii="Calibri" w:hAnsi="Calibri" w:cs="Calibri"/>
          <w:b/>
          <w:bCs/>
          <w:color w:val="4F81BD"/>
          <w:sz w:val="18"/>
          <w:szCs w:val="18"/>
        </w:rPr>
      </w:pPr>
      <w:r w:rsidRPr="00FB6BDB">
        <w:rPr>
          <w:rFonts w:ascii="Calibri" w:hAnsi="Calibri" w:cs="Calibri"/>
          <w:b/>
          <w:bCs/>
          <w:color w:val="4F81BD"/>
          <w:sz w:val="18"/>
          <w:szCs w:val="18"/>
        </w:rPr>
        <w:t xml:space="preserve">Tabulka </w:t>
      </w:r>
      <w:r w:rsidR="008534F0" w:rsidRPr="00FB6BDB">
        <w:rPr>
          <w:rFonts w:ascii="Calibri" w:hAnsi="Calibri" w:cs="Calibri"/>
          <w:b/>
          <w:bCs/>
          <w:color w:val="4F81BD"/>
          <w:sz w:val="18"/>
          <w:szCs w:val="18"/>
        </w:rPr>
        <w:fldChar w:fldCharType="begin"/>
      </w:r>
      <w:r w:rsidRPr="00FB6BDB">
        <w:rPr>
          <w:rFonts w:ascii="Calibri" w:hAnsi="Calibri" w:cs="Calibri"/>
          <w:b/>
          <w:bCs/>
          <w:color w:val="4F81BD"/>
          <w:sz w:val="18"/>
          <w:szCs w:val="18"/>
        </w:rPr>
        <w:instrText xml:space="preserve"> SEQ Tabulka \* ARABIC </w:instrText>
      </w:r>
      <w:r w:rsidR="008534F0" w:rsidRPr="00FB6BDB">
        <w:rPr>
          <w:rFonts w:ascii="Calibri" w:hAnsi="Calibri" w:cs="Calibri"/>
          <w:b/>
          <w:bCs/>
          <w:color w:val="4F81BD"/>
          <w:sz w:val="18"/>
          <w:szCs w:val="18"/>
        </w:rPr>
        <w:fldChar w:fldCharType="separate"/>
      </w:r>
      <w:r w:rsidR="00D92A26">
        <w:rPr>
          <w:rFonts w:ascii="Calibri" w:hAnsi="Calibri" w:cs="Calibri"/>
          <w:b/>
          <w:bCs/>
          <w:noProof/>
          <w:color w:val="4F81BD"/>
          <w:sz w:val="18"/>
          <w:szCs w:val="18"/>
        </w:rPr>
        <w:t>4</w:t>
      </w:r>
      <w:r w:rsidR="008534F0" w:rsidRPr="00FB6BDB">
        <w:rPr>
          <w:rFonts w:ascii="Calibri" w:hAnsi="Calibri" w:cs="Calibri"/>
          <w:b/>
          <w:bCs/>
          <w:noProof/>
          <w:color w:val="4F81BD"/>
          <w:sz w:val="18"/>
          <w:szCs w:val="18"/>
        </w:rPr>
        <w:fldChar w:fldCharType="end"/>
      </w:r>
      <w:r w:rsidRPr="00FB6BDB">
        <w:rPr>
          <w:rFonts w:ascii="Calibri" w:hAnsi="Calibri" w:cs="Calibri"/>
          <w:b/>
          <w:bCs/>
          <w:color w:val="4F81BD"/>
          <w:sz w:val="18"/>
          <w:szCs w:val="18"/>
        </w:rPr>
        <w:t>: Dlouhod</w:t>
      </w:r>
      <w:r w:rsidRPr="00F02FD8">
        <w:rPr>
          <w:rFonts w:ascii="Calibri" w:hAnsi="Calibri" w:cs="Calibri"/>
          <w:b/>
          <w:bCs/>
          <w:color w:val="4F81BD"/>
          <w:sz w:val="18"/>
          <w:szCs w:val="18"/>
        </w:rPr>
        <w:t>obý výhled primární energie z obnovitelných zdrojů</w:t>
      </w:r>
    </w:p>
    <w:p w:rsidR="00F02FD8" w:rsidRPr="00F02FD8" w:rsidRDefault="002C4DA9" w:rsidP="00F02FD8">
      <w:pPr>
        <w:spacing w:line="312" w:lineRule="auto"/>
        <w:rPr>
          <w:rFonts w:ascii="Calibri" w:hAnsi="Calibri" w:cs="Calibri"/>
          <w:szCs w:val="22"/>
        </w:rPr>
      </w:pPr>
      <w:r>
        <w:rPr>
          <w:rFonts w:ascii="Calibri" w:hAnsi="Calibri" w:cs="Calibri"/>
          <w:noProof/>
          <w:szCs w:val="22"/>
        </w:rPr>
        <w:drawing>
          <wp:inline distT="0" distB="0" distL="0" distR="0">
            <wp:extent cx="5745480" cy="1138555"/>
            <wp:effectExtent l="38100" t="38100" r="26670" b="23495"/>
            <wp:docPr id="11"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5480" cy="1138555"/>
                    </a:xfrm>
                    <a:prstGeom prst="rect">
                      <a:avLst/>
                    </a:prstGeom>
                    <a:noFill/>
                    <a:ln w="28575" cmpd="sng">
                      <a:solidFill>
                        <a:srgbClr val="000000"/>
                      </a:solidFill>
                      <a:miter lim="800000"/>
                      <a:headEnd/>
                      <a:tailEnd/>
                    </a:ln>
                    <a:effectLst/>
                  </pic:spPr>
                </pic:pic>
              </a:graphicData>
            </a:graphic>
          </wp:inline>
        </w:drawing>
      </w:r>
    </w:p>
    <w:p w:rsidR="00F02FD8" w:rsidRPr="00F02FD8" w:rsidRDefault="00F02FD8" w:rsidP="00F02FD8">
      <w:pPr>
        <w:spacing w:after="120" w:line="288" w:lineRule="auto"/>
        <w:rPr>
          <w:rFonts w:ascii="Calibri" w:hAnsi="Calibri" w:cs="Calibri"/>
          <w:sz w:val="18"/>
          <w:szCs w:val="16"/>
        </w:rPr>
      </w:pPr>
      <w:r w:rsidRPr="00F02FD8">
        <w:rPr>
          <w:rFonts w:ascii="Calibri" w:hAnsi="Calibri" w:cs="Calibri"/>
          <w:sz w:val="18"/>
          <w:szCs w:val="16"/>
        </w:rPr>
        <w:t>Zdroj: Zpráva nezávislé odborné komise pro posouzení energetických potřeb ČR (NEK)</w:t>
      </w:r>
    </w:p>
    <w:p w:rsidR="00F02FD8" w:rsidRPr="00F02FD8" w:rsidRDefault="00F02FD8" w:rsidP="00F02FD8">
      <w:pPr>
        <w:jc w:val="both"/>
        <w:rPr>
          <w:rFonts w:ascii="Calibri" w:hAnsi="Calibri" w:cs="Calibri"/>
          <w:sz w:val="24"/>
        </w:rPr>
      </w:pPr>
      <w:r w:rsidRPr="00F02FD8">
        <w:rPr>
          <w:rFonts w:ascii="Calibri" w:hAnsi="Calibri" w:cs="Calibri"/>
          <w:sz w:val="24"/>
        </w:rPr>
        <w:t xml:space="preserve">Výše uvedené hodnoty využitelné primární energie z obnovitelných zdrojů jsou čísly maximálními pro dosavadní dlouhodobý průměr vnějších přírodních podmínek a pro dnes známé technologie. Skutečné dosažitelné hodnoty jsou závislé na reálných přírodních podmínkách, jaké budou v daných letech, a ty se mohou významně odchylovat od dlouhodobé predikce, zejména pro jednotlivé druhy OZE. </w:t>
      </w:r>
      <w:r w:rsidR="00A74A71" w:rsidRPr="00F02FD8">
        <w:rPr>
          <w:rFonts w:ascii="Calibri" w:hAnsi="Calibri" w:cs="Calibri"/>
          <w:sz w:val="24"/>
        </w:rPr>
        <w:t>Předpokladem je</w:t>
      </w:r>
      <w:r w:rsidR="00A74A71">
        <w:rPr>
          <w:rFonts w:ascii="Calibri" w:hAnsi="Calibri" w:cs="Calibri"/>
          <w:sz w:val="24"/>
        </w:rPr>
        <w:t xml:space="preserve"> rovněž to</w:t>
      </w:r>
      <w:r w:rsidR="00A74A71" w:rsidRPr="00F02FD8">
        <w:rPr>
          <w:rFonts w:ascii="Calibri" w:hAnsi="Calibri" w:cs="Calibri"/>
          <w:sz w:val="24"/>
        </w:rPr>
        <w:t>, že bude dosavadním tempem pokračovat rychlý technologický vývoj zařízení pro využití obnovitelných zdrojů a systémů skladování energií.</w:t>
      </w:r>
    </w:p>
    <w:p w:rsidR="00F02FD8" w:rsidRPr="00F02FD8" w:rsidRDefault="00F02FD8" w:rsidP="00F02FD8">
      <w:pPr>
        <w:jc w:val="both"/>
        <w:rPr>
          <w:rFonts w:ascii="Calibri" w:hAnsi="Calibri" w:cs="Calibri"/>
          <w:sz w:val="24"/>
        </w:rPr>
      </w:pPr>
    </w:p>
    <w:p w:rsidR="00F02FD8" w:rsidRPr="00F02FD8" w:rsidRDefault="00F02FD8" w:rsidP="00F02FD8">
      <w:pPr>
        <w:jc w:val="both"/>
        <w:rPr>
          <w:rFonts w:ascii="Calibri" w:hAnsi="Calibri" w:cs="Calibri"/>
          <w:sz w:val="24"/>
        </w:rPr>
      </w:pPr>
      <w:r w:rsidRPr="007D0179">
        <w:rPr>
          <w:rFonts w:ascii="Calibri" w:hAnsi="Calibri" w:cs="Calibri"/>
          <w:sz w:val="24"/>
        </w:rPr>
        <w:t>Obnovitelné zdroje energie v České republice musí být rozvíjeny jako důležitá součást energetického mixu, protože nepro</w:t>
      </w:r>
      <w:r w:rsidRPr="00F02FD8">
        <w:rPr>
          <w:rFonts w:ascii="Calibri" w:hAnsi="Calibri" w:cs="Calibri"/>
          <w:sz w:val="24"/>
        </w:rPr>
        <w:t>dukují nové emise skleníkových plynů, představují jediné v současné době dostupné energetické zdroje, které jsou prakticky nevyčerpatelné a snižují naši závislost na dovozech paliv a energie. K energetické bezpečnosti přispívá i výrazná decentralizovanost obnovitelných zdrojů.</w:t>
      </w:r>
    </w:p>
    <w:p w:rsidR="00F02FD8" w:rsidRPr="00F02FD8" w:rsidRDefault="00F02FD8" w:rsidP="00F02FD8">
      <w:pPr>
        <w:jc w:val="both"/>
        <w:rPr>
          <w:rFonts w:ascii="Calibri" w:hAnsi="Calibri" w:cs="Calibri"/>
          <w:sz w:val="24"/>
        </w:rPr>
      </w:pPr>
    </w:p>
    <w:p w:rsidR="00F02FD8" w:rsidRPr="00F02FD8" w:rsidRDefault="00F02FD8" w:rsidP="00F02FD8">
      <w:pPr>
        <w:jc w:val="both"/>
        <w:rPr>
          <w:rFonts w:ascii="Calibri" w:hAnsi="Calibri" w:cs="Calibri"/>
          <w:sz w:val="24"/>
        </w:rPr>
      </w:pPr>
      <w:r w:rsidRPr="00F02FD8">
        <w:rPr>
          <w:rFonts w:ascii="Calibri" w:hAnsi="Calibri" w:cs="Calibri"/>
          <w:sz w:val="24"/>
        </w:rPr>
        <w:t>Vývoj posledních let ukazuje, že s podporou obnovitelných zdrojů energie je nutné zacházet opatrně a rozložit ji mezi jednotlivé zdroje tak, aby byl vytvořen skutečně efektivní energetický mix. Podpora rozvoje obnovitelných zdrojů energie musí zohlednit připravenost sítí, reálnou ekonomickou efektivnost a také dopad na některá jiná odvětví v případě biomasy.</w:t>
      </w:r>
    </w:p>
    <w:p w:rsidR="00F02FD8" w:rsidRPr="00F02FD8" w:rsidRDefault="00F02FD8" w:rsidP="00F02FD8">
      <w:pPr>
        <w:jc w:val="both"/>
        <w:rPr>
          <w:rFonts w:ascii="Calibri" w:hAnsi="Calibri" w:cs="Calibri"/>
          <w:sz w:val="24"/>
        </w:rPr>
      </w:pPr>
    </w:p>
    <w:p w:rsidR="00A3622B" w:rsidRPr="0016532E" w:rsidRDefault="00A74A71" w:rsidP="00A3622B">
      <w:pPr>
        <w:pStyle w:val="Odstavecseseznamem"/>
        <w:ind w:left="0"/>
        <w:contextualSpacing w:val="0"/>
        <w:jc w:val="both"/>
        <w:rPr>
          <w:rFonts w:ascii="Calibri" w:hAnsi="Calibri" w:cs="Calibri"/>
          <w:sz w:val="24"/>
        </w:rPr>
      </w:pPr>
      <w:r w:rsidRPr="007D0179">
        <w:rPr>
          <w:rFonts w:ascii="Calibri" w:hAnsi="Calibri" w:cs="Calibri"/>
          <w:b/>
          <w:sz w:val="24"/>
        </w:rPr>
        <w:lastRenderedPageBreak/>
        <w:t>Identifikovaný problém č. 14</w:t>
      </w:r>
      <w:r w:rsidR="00F02FD8" w:rsidRPr="007D0179">
        <w:rPr>
          <w:rFonts w:ascii="Calibri" w:hAnsi="Calibri" w:cs="Calibri"/>
          <w:b/>
          <w:sz w:val="24"/>
        </w:rPr>
        <w:t>:</w:t>
      </w:r>
      <w:r w:rsidR="00F02FD8" w:rsidRPr="007D0179">
        <w:rPr>
          <w:rFonts w:ascii="Calibri" w:hAnsi="Calibri" w:cs="Calibri"/>
          <w:sz w:val="24"/>
        </w:rPr>
        <w:t xml:space="preserve"> Zefektivnění využívání obnovitelných zdrojů v podnicích.</w:t>
      </w:r>
      <w:r w:rsidR="00A3622B" w:rsidRPr="007D0179">
        <w:rPr>
          <w:rFonts w:ascii="Calibri" w:hAnsi="Calibri" w:cs="Calibri"/>
          <w:sz w:val="24"/>
        </w:rPr>
        <w:t xml:space="preserve"> Vazba na tematický cíl 4, inve</w:t>
      </w:r>
      <w:r w:rsidR="00A3622B" w:rsidRPr="00FB6BDB">
        <w:rPr>
          <w:rFonts w:ascii="Calibri" w:hAnsi="Calibri" w:cs="Calibri"/>
          <w:sz w:val="24"/>
        </w:rPr>
        <w:t xml:space="preserve">stiční prioritu 4a (nařízení o ERDF, článek 5, odst. (4) bod </w:t>
      </w:r>
      <w:r w:rsidR="00DA18C6" w:rsidRPr="00FB6BDB">
        <w:rPr>
          <w:rFonts w:ascii="Calibri" w:hAnsi="Calibri" w:cs="Calibri"/>
          <w:sz w:val="24"/>
        </w:rPr>
        <w:t>(</w:t>
      </w:r>
      <w:r w:rsidR="00A3622B" w:rsidRPr="00FB6BDB">
        <w:rPr>
          <w:rFonts w:ascii="Calibri" w:hAnsi="Calibri" w:cs="Calibri"/>
          <w:sz w:val="24"/>
        </w:rPr>
        <w:t xml:space="preserve">a) a investiční prioritu 4b (nařízení o ERDF, článek 5, odst. (4) bod </w:t>
      </w:r>
      <w:r w:rsidR="00DA18C6" w:rsidRPr="00FB6BDB">
        <w:rPr>
          <w:rFonts w:ascii="Calibri" w:hAnsi="Calibri" w:cs="Calibri"/>
          <w:sz w:val="24"/>
        </w:rPr>
        <w:t>(</w:t>
      </w:r>
      <w:r w:rsidR="00A3622B" w:rsidRPr="00FB6BDB">
        <w:rPr>
          <w:rFonts w:ascii="Calibri" w:hAnsi="Calibri" w:cs="Calibri"/>
          <w:sz w:val="24"/>
        </w:rPr>
        <w:t>b)</w:t>
      </w:r>
    </w:p>
    <w:p w:rsidR="00F02FD8" w:rsidRDefault="00F02FD8" w:rsidP="00F02FD8">
      <w:pPr>
        <w:jc w:val="both"/>
        <w:rPr>
          <w:rFonts w:ascii="Calibri" w:hAnsi="Calibri" w:cs="Calibri"/>
          <w:sz w:val="24"/>
        </w:rPr>
      </w:pPr>
    </w:p>
    <w:p w:rsidR="00173FEB" w:rsidRDefault="00173FEB" w:rsidP="00173FEB">
      <w:pPr>
        <w:jc w:val="both"/>
        <w:rPr>
          <w:rFonts w:ascii="Calibri" w:hAnsi="Calibri" w:cs="Calibri"/>
          <w:sz w:val="24"/>
        </w:rPr>
      </w:pPr>
      <w:r w:rsidRPr="00DA20C1">
        <w:rPr>
          <w:rFonts w:ascii="Calibri" w:hAnsi="Calibri" w:cs="Calibri"/>
          <w:sz w:val="24"/>
        </w:rPr>
        <w:t xml:space="preserve">Energetika má pro ekonomiku ČR </w:t>
      </w:r>
      <w:r w:rsidR="00DA20C1" w:rsidRPr="00DA20C1">
        <w:rPr>
          <w:rFonts w:ascii="Calibri" w:hAnsi="Calibri" w:cs="Calibri"/>
          <w:sz w:val="24"/>
        </w:rPr>
        <w:t xml:space="preserve">jako celek </w:t>
      </w:r>
      <w:r w:rsidRPr="00DA20C1">
        <w:rPr>
          <w:rFonts w:ascii="Calibri" w:hAnsi="Calibri" w:cs="Calibri"/>
          <w:sz w:val="24"/>
        </w:rPr>
        <w:t>obzvlášť klíčový význam. Konkurenční schopnost průmyslu a zajištění přiměřené životní úrovně je obecně možné dosáhnout kromě využití levné pracovní síly</w:t>
      </w:r>
      <w:r w:rsidR="00DA20C1" w:rsidRPr="00DA20C1">
        <w:rPr>
          <w:rFonts w:ascii="Calibri" w:hAnsi="Calibri" w:cs="Calibri"/>
          <w:sz w:val="24"/>
        </w:rPr>
        <w:t>, kterou ČR postupně ztrácí</w:t>
      </w:r>
      <w:r w:rsidRPr="00DA20C1">
        <w:rPr>
          <w:rFonts w:ascii="Calibri" w:hAnsi="Calibri" w:cs="Calibri"/>
          <w:sz w:val="24"/>
        </w:rPr>
        <w:t xml:space="preserve">, </w:t>
      </w:r>
      <w:r w:rsidR="00DA20C1" w:rsidRPr="00DA20C1">
        <w:rPr>
          <w:rFonts w:ascii="Calibri" w:hAnsi="Calibri" w:cs="Calibri"/>
          <w:sz w:val="24"/>
        </w:rPr>
        <w:t xml:space="preserve">mimo jiné také pomocí </w:t>
      </w:r>
      <w:r w:rsidRPr="00DA20C1">
        <w:rPr>
          <w:rFonts w:ascii="Calibri" w:hAnsi="Calibri" w:cs="Calibri"/>
          <w:sz w:val="24"/>
        </w:rPr>
        <w:t>kvalifikované pracovní síly a know how</w:t>
      </w:r>
      <w:r w:rsidR="00DA20C1" w:rsidRPr="00DA20C1">
        <w:rPr>
          <w:rFonts w:ascii="Calibri" w:hAnsi="Calibri" w:cs="Calibri"/>
          <w:sz w:val="24"/>
        </w:rPr>
        <w:t>. Z</w:t>
      </w:r>
      <w:r w:rsidRPr="00DA20C1">
        <w:rPr>
          <w:rFonts w:ascii="Calibri" w:hAnsi="Calibri" w:cs="Calibri"/>
          <w:sz w:val="24"/>
        </w:rPr>
        <w:t>de je prostor</w:t>
      </w:r>
      <w:r w:rsidR="00DA20C1" w:rsidRPr="00DA20C1">
        <w:rPr>
          <w:rFonts w:ascii="Calibri" w:hAnsi="Calibri" w:cs="Calibri"/>
          <w:sz w:val="24"/>
        </w:rPr>
        <w:t xml:space="preserve"> ke zlepšení</w:t>
      </w:r>
      <w:r w:rsidRPr="00DA20C1">
        <w:rPr>
          <w:rFonts w:ascii="Calibri" w:hAnsi="Calibri" w:cs="Calibri"/>
          <w:sz w:val="24"/>
        </w:rPr>
        <w:t xml:space="preserve">, </w:t>
      </w:r>
      <w:r w:rsidR="00DA20C1" w:rsidRPr="00DA20C1">
        <w:rPr>
          <w:rFonts w:ascii="Calibri" w:hAnsi="Calibri" w:cs="Calibri"/>
          <w:sz w:val="24"/>
        </w:rPr>
        <w:t>ovšem</w:t>
      </w:r>
      <w:r w:rsidRPr="00DA20C1">
        <w:rPr>
          <w:rFonts w:ascii="Calibri" w:hAnsi="Calibri" w:cs="Calibri"/>
          <w:sz w:val="24"/>
        </w:rPr>
        <w:t xml:space="preserve"> ČR za posledních 50 let ztratila své pozice a nízká finanční podpora výzkumu a vývoje tento odstup dále prohlubuje</w:t>
      </w:r>
      <w:r w:rsidR="00DA20C1" w:rsidRPr="00DA20C1">
        <w:rPr>
          <w:rFonts w:ascii="Calibri" w:hAnsi="Calibri" w:cs="Calibri"/>
          <w:sz w:val="24"/>
        </w:rPr>
        <w:t>.</w:t>
      </w:r>
    </w:p>
    <w:p w:rsidR="00173FEB" w:rsidRPr="00F02FD8" w:rsidRDefault="00173FEB" w:rsidP="00173FEB">
      <w:pPr>
        <w:jc w:val="both"/>
        <w:rPr>
          <w:rFonts w:ascii="Calibri" w:hAnsi="Calibri" w:cs="Calibri"/>
          <w:sz w:val="24"/>
        </w:rPr>
      </w:pPr>
    </w:p>
    <w:p w:rsidR="00435528" w:rsidRPr="00F02FD8" w:rsidRDefault="00435528" w:rsidP="00173FEB">
      <w:pPr>
        <w:jc w:val="both"/>
        <w:rPr>
          <w:rFonts w:ascii="Calibri" w:hAnsi="Calibri" w:cs="Calibri"/>
          <w:sz w:val="24"/>
        </w:rPr>
      </w:pPr>
      <w:r w:rsidRPr="00435528">
        <w:rPr>
          <w:rFonts w:ascii="Calibri" w:hAnsi="Calibri" w:cs="Calibri"/>
          <w:sz w:val="24"/>
        </w:rPr>
        <w:t>Slabinou inovačního prostředí pro oblast energetiky, která je základní podmínkou energetické konkurenceschopnosti v</w:t>
      </w:r>
      <w:r w:rsidR="00DA20C1">
        <w:rPr>
          <w:rFonts w:ascii="Calibri" w:hAnsi="Calibri" w:cs="Calibri"/>
          <w:sz w:val="24"/>
        </w:rPr>
        <w:t> </w:t>
      </w:r>
      <w:r w:rsidRPr="00435528">
        <w:rPr>
          <w:rFonts w:ascii="Calibri" w:hAnsi="Calibri" w:cs="Calibri"/>
          <w:sz w:val="24"/>
        </w:rPr>
        <w:t>ČR</w:t>
      </w:r>
      <w:r w:rsidR="00DA20C1">
        <w:rPr>
          <w:rFonts w:ascii="Calibri" w:hAnsi="Calibri" w:cs="Calibri"/>
          <w:sz w:val="24"/>
        </w:rPr>
        <w:t>,</w:t>
      </w:r>
      <w:r w:rsidRPr="00435528">
        <w:rPr>
          <w:rFonts w:ascii="Calibri" w:hAnsi="Calibri" w:cs="Calibri"/>
          <w:sz w:val="24"/>
        </w:rPr>
        <w:t xml:space="preserve"> je nedostatečné propojení výzkumné a firemní sféry. Tento nedostatek vychází především z finanční náročnosti výzkumných aktivit, jejich existence je zastíněna nutností udržení podnikatelské produkce. Tato je bohužel v ČR zast</w:t>
      </w:r>
      <w:r>
        <w:rPr>
          <w:rFonts w:ascii="Calibri" w:hAnsi="Calibri" w:cs="Calibri"/>
          <w:sz w:val="24"/>
        </w:rPr>
        <w:t>o</w:t>
      </w:r>
      <w:r w:rsidRPr="00435528">
        <w:rPr>
          <w:rFonts w:ascii="Calibri" w:hAnsi="Calibri" w:cs="Calibri"/>
          <w:sz w:val="24"/>
        </w:rPr>
        <w:t>upena spíše na nižších hodnotových stupních a při sebemenším snížení výroby ve prospěch investic do výzkumu může dojít k její stagnaci vlivem zahraniční konkurence.</w:t>
      </w:r>
    </w:p>
    <w:p w:rsidR="00435528" w:rsidRDefault="00435528" w:rsidP="00173FEB">
      <w:pPr>
        <w:contextualSpacing/>
        <w:jc w:val="both"/>
        <w:rPr>
          <w:rFonts w:ascii="Calibri" w:hAnsi="Calibri" w:cs="Calibri"/>
          <w:sz w:val="24"/>
        </w:rPr>
      </w:pPr>
    </w:p>
    <w:p w:rsidR="00173FEB" w:rsidRPr="00F02FD8" w:rsidRDefault="00DA20C1" w:rsidP="00173FEB">
      <w:pPr>
        <w:jc w:val="both"/>
        <w:rPr>
          <w:rFonts w:ascii="Calibri" w:hAnsi="Calibri" w:cs="Calibri"/>
          <w:sz w:val="24"/>
        </w:rPr>
      </w:pPr>
      <w:r>
        <w:rPr>
          <w:rFonts w:ascii="Calibri" w:hAnsi="Calibri" w:cs="Calibri"/>
          <w:sz w:val="24"/>
        </w:rPr>
        <w:t xml:space="preserve">Je zřejmé, </w:t>
      </w:r>
      <w:r w:rsidRPr="007D0179">
        <w:rPr>
          <w:rFonts w:ascii="Calibri" w:hAnsi="Calibri" w:cs="Calibri"/>
          <w:sz w:val="24"/>
        </w:rPr>
        <w:t>že</w:t>
      </w:r>
      <w:r w:rsidR="00435528" w:rsidRPr="007D0179">
        <w:rPr>
          <w:rFonts w:ascii="Calibri" w:hAnsi="Calibri" w:cs="Calibri"/>
          <w:sz w:val="24"/>
        </w:rPr>
        <w:t xml:space="preserve"> ČR existuje značný potenciál výzkumu a vývoje v energetice, který se může týkat různých oblastí </w:t>
      </w:r>
      <w:r w:rsidRPr="007D0179">
        <w:rPr>
          <w:rFonts w:ascii="Calibri" w:hAnsi="Calibri" w:cs="Calibri"/>
          <w:sz w:val="24"/>
        </w:rPr>
        <w:t>tohoto</w:t>
      </w:r>
      <w:r w:rsidR="00435528" w:rsidRPr="007D0179">
        <w:rPr>
          <w:rFonts w:ascii="Calibri" w:hAnsi="Calibri" w:cs="Calibri"/>
          <w:sz w:val="24"/>
        </w:rPr>
        <w:t xml:space="preserve"> odvětví (např. výzkum dalšího využití obnovitelných zdroj</w:t>
      </w:r>
      <w:r w:rsidR="00435528" w:rsidRPr="00F02FD8">
        <w:rPr>
          <w:rFonts w:ascii="Calibri" w:hAnsi="Calibri" w:cs="Calibri"/>
          <w:sz w:val="24"/>
        </w:rPr>
        <w:t>ů energie, výzkum vodíkového hospodářství, účast na dlouhodobém výzkumu a vývoji jaderné fúze, výzku</w:t>
      </w:r>
      <w:r w:rsidR="002572F4">
        <w:rPr>
          <w:rFonts w:ascii="Calibri" w:hAnsi="Calibri" w:cs="Calibri"/>
          <w:sz w:val="24"/>
        </w:rPr>
        <w:t>m pro zajištění úspor energie</w:t>
      </w:r>
      <w:r w:rsidR="00435528" w:rsidRPr="00F02FD8">
        <w:rPr>
          <w:rFonts w:ascii="Calibri" w:hAnsi="Calibri" w:cs="Calibri"/>
          <w:sz w:val="24"/>
        </w:rPr>
        <w:t xml:space="preserve"> </w:t>
      </w:r>
      <w:r w:rsidR="002572F4">
        <w:rPr>
          <w:rFonts w:ascii="Calibri" w:hAnsi="Calibri" w:cs="Calibri"/>
          <w:sz w:val="24"/>
        </w:rPr>
        <w:t>atd.</w:t>
      </w:r>
      <w:r w:rsidR="00435528" w:rsidRPr="00F02FD8">
        <w:rPr>
          <w:rFonts w:ascii="Calibri" w:hAnsi="Calibri" w:cs="Calibri"/>
          <w:sz w:val="24"/>
        </w:rPr>
        <w:t>).</w:t>
      </w:r>
      <w:r w:rsidR="002572F4">
        <w:rPr>
          <w:rFonts w:ascii="Calibri" w:hAnsi="Calibri" w:cs="Calibri"/>
          <w:sz w:val="24"/>
        </w:rPr>
        <w:t xml:space="preserve"> </w:t>
      </w:r>
      <w:r w:rsidR="00173FEB" w:rsidRPr="00F02FD8">
        <w:rPr>
          <w:rFonts w:ascii="Calibri" w:hAnsi="Calibri" w:cs="Calibri"/>
          <w:sz w:val="24"/>
        </w:rPr>
        <w:t>Nezanedbatelným, z určitého pohledu možná stejně důležitým efektem tohoto úsilí bude zvýšení exportní konkurenceschopnosti průmyslu v oblasti dodávek pro energetiku a zabezpečení jeho vysoké technické úrovně. V převážné většině oblastí se jedná o špičkový výzkum mající synergický efekt pro celou ekonomiku ČR.</w:t>
      </w:r>
      <w:r w:rsidR="002572F4">
        <w:rPr>
          <w:rFonts w:ascii="Calibri" w:hAnsi="Calibri" w:cs="Calibri"/>
          <w:sz w:val="24"/>
        </w:rPr>
        <w:t xml:space="preserve"> </w:t>
      </w:r>
      <w:r w:rsidR="00173FEB" w:rsidRPr="00F02FD8">
        <w:rPr>
          <w:rFonts w:ascii="Calibri" w:hAnsi="Calibri" w:cs="Calibri"/>
          <w:sz w:val="24"/>
        </w:rPr>
        <w:t xml:space="preserve">Obrovské příležitosti pro průmysl ČR se při zvládnutí nových technologií otevírají </w:t>
      </w:r>
      <w:r w:rsidR="002572F4">
        <w:rPr>
          <w:rFonts w:ascii="Calibri" w:hAnsi="Calibri" w:cs="Calibri"/>
          <w:sz w:val="24"/>
        </w:rPr>
        <w:t xml:space="preserve">také </w:t>
      </w:r>
      <w:r w:rsidR="00173FEB" w:rsidRPr="00F02FD8">
        <w:rPr>
          <w:rFonts w:ascii="Calibri" w:hAnsi="Calibri" w:cs="Calibri"/>
          <w:sz w:val="24"/>
        </w:rPr>
        <w:t>v Asii a v Evropě, kde v letech 2010 – 2050 bude nahrazen téměř veškerý instalovaný výkon v uhelných a jaderných elektrárnách novými zdroji.</w:t>
      </w:r>
      <w:r w:rsidR="006F3601">
        <w:rPr>
          <w:rFonts w:ascii="Calibri" w:hAnsi="Calibri" w:cs="Calibri"/>
          <w:sz w:val="24"/>
        </w:rPr>
        <w:t xml:space="preserve"> </w:t>
      </w:r>
    </w:p>
    <w:p w:rsidR="00173FEB" w:rsidRPr="00F02FD8" w:rsidRDefault="00173FEB" w:rsidP="00173FEB">
      <w:pPr>
        <w:jc w:val="both"/>
        <w:rPr>
          <w:rFonts w:ascii="Calibri" w:hAnsi="Calibri" w:cs="Calibri"/>
          <w:sz w:val="24"/>
        </w:rPr>
      </w:pPr>
    </w:p>
    <w:p w:rsidR="00173FEB" w:rsidRPr="00F02FD8" w:rsidRDefault="00173FEB" w:rsidP="00173FEB">
      <w:pPr>
        <w:jc w:val="both"/>
        <w:rPr>
          <w:rFonts w:ascii="Calibri" w:hAnsi="Calibri" w:cs="Calibri"/>
          <w:sz w:val="24"/>
        </w:rPr>
      </w:pPr>
      <w:r w:rsidRPr="00F02FD8">
        <w:rPr>
          <w:rFonts w:ascii="Calibri" w:hAnsi="Calibri" w:cs="Calibri"/>
          <w:sz w:val="24"/>
        </w:rPr>
        <w:t>Neřešení těchto témat představuje riziko ztráty infrastruktury pro rozvoj bezpečné a efektivní energetiky, riziko snížení dostupnosti efektivních energetických zdrojů, a riziko nedostatku odborníků.</w:t>
      </w:r>
    </w:p>
    <w:p w:rsidR="00173FEB" w:rsidRDefault="00173FEB" w:rsidP="00173FEB">
      <w:pPr>
        <w:jc w:val="both"/>
        <w:rPr>
          <w:rFonts w:ascii="Calibri" w:hAnsi="Calibri" w:cs="Calibri"/>
          <w:sz w:val="24"/>
        </w:rPr>
      </w:pPr>
    </w:p>
    <w:p w:rsidR="00DA20C1" w:rsidRPr="00F02FD8" w:rsidRDefault="00DA20C1" w:rsidP="00DA20C1">
      <w:pPr>
        <w:jc w:val="both"/>
        <w:rPr>
          <w:rFonts w:ascii="Calibri" w:hAnsi="Calibri" w:cs="Calibri"/>
          <w:sz w:val="24"/>
        </w:rPr>
      </w:pPr>
      <w:r w:rsidRPr="007D0179">
        <w:rPr>
          <w:rFonts w:ascii="Calibri" w:hAnsi="Calibri" w:cs="Calibri"/>
          <w:b/>
          <w:sz w:val="24"/>
        </w:rPr>
        <w:t>Identifikovaný problém č. 1</w:t>
      </w:r>
      <w:r w:rsidR="0005757C" w:rsidRPr="007D0179">
        <w:rPr>
          <w:rFonts w:ascii="Calibri" w:hAnsi="Calibri" w:cs="Calibri"/>
          <w:b/>
          <w:sz w:val="24"/>
        </w:rPr>
        <w:t>5</w:t>
      </w:r>
      <w:r w:rsidRPr="007D0179">
        <w:rPr>
          <w:rFonts w:ascii="Calibri" w:hAnsi="Calibri" w:cs="Calibri"/>
          <w:sz w:val="24"/>
        </w:rPr>
        <w:t>: Nedos</w:t>
      </w:r>
      <w:r w:rsidRPr="00DA20C1">
        <w:rPr>
          <w:rFonts w:ascii="Calibri" w:hAnsi="Calibri" w:cs="Calibri"/>
          <w:sz w:val="24"/>
        </w:rPr>
        <w:t>tatečně využitý potenciál výzkumu a vývoje v energetice.</w:t>
      </w:r>
      <w:r w:rsidR="006F3601">
        <w:rPr>
          <w:rFonts w:ascii="Calibri" w:hAnsi="Calibri" w:cs="Calibri"/>
          <w:sz w:val="24"/>
        </w:rPr>
        <w:t xml:space="preserve"> </w:t>
      </w:r>
      <w:r>
        <w:rPr>
          <w:rFonts w:ascii="Calibri" w:hAnsi="Calibri" w:cs="Calibri"/>
          <w:sz w:val="24"/>
        </w:rPr>
        <w:t>Vazba na tematický cíl 4, investiční prior</w:t>
      </w:r>
      <w:r w:rsidRPr="00FB6BDB">
        <w:rPr>
          <w:rFonts w:ascii="Calibri" w:hAnsi="Calibri" w:cs="Calibri"/>
          <w:sz w:val="24"/>
        </w:rPr>
        <w:t xml:space="preserve">itu </w:t>
      </w:r>
      <w:smartTag w:uri="urn:schemas-microsoft-com:office:smarttags" w:element="metricconverter">
        <w:smartTagPr>
          <w:attr w:name="ProductID" w:val="4f"/>
        </w:smartTagPr>
        <w:r w:rsidRPr="00FB6BDB">
          <w:rPr>
            <w:rFonts w:ascii="Calibri" w:hAnsi="Calibri" w:cs="Calibri"/>
            <w:sz w:val="24"/>
          </w:rPr>
          <w:t>4f</w:t>
        </w:r>
      </w:smartTag>
      <w:r w:rsidRPr="00FB6BDB">
        <w:rPr>
          <w:rFonts w:ascii="Calibri" w:hAnsi="Calibri" w:cs="Calibri"/>
          <w:sz w:val="24"/>
        </w:rPr>
        <w:t xml:space="preserve"> (nařízení o ERDF, článek 5, odst. (4) bod </w:t>
      </w:r>
      <w:r w:rsidR="006F3601" w:rsidRPr="00FB6BDB">
        <w:rPr>
          <w:rFonts w:ascii="Calibri" w:hAnsi="Calibri" w:cs="Calibri"/>
          <w:sz w:val="24"/>
        </w:rPr>
        <w:t>(</w:t>
      </w:r>
      <w:r w:rsidRPr="00FB6BDB">
        <w:rPr>
          <w:rFonts w:ascii="Calibri" w:hAnsi="Calibri" w:cs="Calibri"/>
          <w:sz w:val="24"/>
        </w:rPr>
        <w:t>f)</w:t>
      </w:r>
    </w:p>
    <w:p w:rsidR="00DA20C1" w:rsidRPr="00F02FD8" w:rsidRDefault="00DA20C1" w:rsidP="00173FEB">
      <w:pPr>
        <w:contextualSpacing/>
        <w:jc w:val="both"/>
        <w:rPr>
          <w:rFonts w:ascii="Calibri" w:hAnsi="Calibri" w:cs="Calibri"/>
          <w:sz w:val="24"/>
        </w:rPr>
      </w:pPr>
    </w:p>
    <w:p w:rsidR="00775795" w:rsidRPr="00D36A59" w:rsidRDefault="00775795" w:rsidP="001653A7">
      <w:pPr>
        <w:jc w:val="both"/>
        <w:rPr>
          <w:rFonts w:ascii="Calibri" w:hAnsi="Calibri" w:cs="Calibri"/>
          <w:sz w:val="24"/>
          <w:szCs w:val="24"/>
        </w:rPr>
      </w:pPr>
      <w:r w:rsidRPr="00D36A59">
        <w:rPr>
          <w:rFonts w:ascii="Calibri" w:hAnsi="Calibri" w:cs="Calibri"/>
          <w:sz w:val="24"/>
        </w:rPr>
        <w:t>Nižší podíl na inovačních aktivitách v oblasti energetiky, především v malých a středních firmách, snižuje vedle konkurenceschopnosti rovněž i celkový inovační potenciál ČR v oblasti získávání a zpracování druhotných surovin. Tento nedostatek vychází především z finanční náročnosti výzkumných aktivit, jejich existence je zastíněna nutností udržení podnikatelské produkce. Nedostatečná surovinová základna v ČR zatím nevede k apelu na vyšší využití druhotných surovin, především v oblasti jejich inovativního získávání ze zbytků průmyslové výroby a odpadu, v níž má ČR na rozdíl od vyspělejších zemí EU silné nedostatky.</w:t>
      </w:r>
      <w:r w:rsidRPr="00D36A59">
        <w:rPr>
          <w:rFonts w:ascii="Calibri" w:hAnsi="Calibri" w:cs="Calibri"/>
          <w:sz w:val="24"/>
          <w:szCs w:val="24"/>
        </w:rPr>
        <w:t xml:space="preserve"> </w:t>
      </w:r>
    </w:p>
    <w:p w:rsidR="00A21982" w:rsidRPr="00D36A59" w:rsidRDefault="00A21982" w:rsidP="00775795">
      <w:pPr>
        <w:spacing w:line="276" w:lineRule="auto"/>
        <w:jc w:val="both"/>
        <w:rPr>
          <w:rFonts w:ascii="Calibri" w:hAnsi="Calibri" w:cs="Calibri"/>
          <w:sz w:val="24"/>
          <w:szCs w:val="24"/>
        </w:rPr>
      </w:pPr>
    </w:p>
    <w:p w:rsidR="00F02FD8" w:rsidRPr="00D36A59" w:rsidRDefault="00775795" w:rsidP="001653A7">
      <w:pPr>
        <w:jc w:val="both"/>
        <w:rPr>
          <w:rFonts w:ascii="Calibri" w:hAnsi="Calibri" w:cs="Calibri"/>
          <w:sz w:val="24"/>
          <w:szCs w:val="24"/>
        </w:rPr>
      </w:pPr>
      <w:r w:rsidRPr="00D36A59">
        <w:rPr>
          <w:rFonts w:ascii="Calibri" w:hAnsi="Calibri" w:cs="Calibri"/>
          <w:sz w:val="24"/>
          <w:szCs w:val="24"/>
        </w:rPr>
        <w:t xml:space="preserve">Na základě statistického zjišťování ČSÚ o produkci a využívání druhotných surovin za rok 2011 bylo zjištěno, že produkce druhotných surovin se pohybuje v ČR kolem  21,5 mil. tun. Nízké </w:t>
      </w:r>
      <w:r w:rsidRPr="00D36A59">
        <w:rPr>
          <w:rFonts w:ascii="Calibri" w:hAnsi="Calibri" w:cs="Calibri"/>
          <w:sz w:val="24"/>
          <w:szCs w:val="24"/>
        </w:rPr>
        <w:lastRenderedPageBreak/>
        <w:t>využití druhotných surovin jako vstupní suroviny pro další výrobu vykazují zejména komodity plasty (15 %), stavební hmoty (11 %), produkty z energetických procesů (4 %). Recyklované stavební hmoty a produkty z energetických produktů tvoří více jak 70 % celkové produkce druhotných surovin v ČR.</w:t>
      </w:r>
    </w:p>
    <w:p w:rsidR="00775795" w:rsidRDefault="00775795" w:rsidP="00F02FD8">
      <w:pPr>
        <w:jc w:val="both"/>
        <w:rPr>
          <w:rFonts w:ascii="Calibri" w:hAnsi="Calibri" w:cs="Calibri"/>
          <w:sz w:val="24"/>
        </w:rPr>
      </w:pPr>
    </w:p>
    <w:p w:rsidR="006F3601" w:rsidRPr="0016532E" w:rsidRDefault="00DA20C1" w:rsidP="006F3601">
      <w:pPr>
        <w:pStyle w:val="Odstavecseseznamem"/>
        <w:ind w:left="0"/>
        <w:jc w:val="both"/>
        <w:rPr>
          <w:rFonts w:ascii="Calibri" w:hAnsi="Calibri" w:cs="Calibri"/>
          <w:sz w:val="24"/>
        </w:rPr>
      </w:pPr>
      <w:r w:rsidRPr="008A7CB8">
        <w:rPr>
          <w:rFonts w:ascii="Calibri" w:hAnsi="Calibri" w:cs="Calibri"/>
          <w:b/>
          <w:sz w:val="24"/>
        </w:rPr>
        <w:t>Identifikovaný problém č. 1</w:t>
      </w:r>
      <w:r w:rsidR="0005757C" w:rsidRPr="008A7CB8">
        <w:rPr>
          <w:rFonts w:ascii="Calibri" w:hAnsi="Calibri" w:cs="Calibri"/>
          <w:b/>
          <w:sz w:val="24"/>
        </w:rPr>
        <w:t>6</w:t>
      </w:r>
      <w:r w:rsidR="00F02FD8" w:rsidRPr="008A7CB8">
        <w:rPr>
          <w:rFonts w:ascii="Calibri" w:hAnsi="Calibri" w:cs="Calibri"/>
          <w:b/>
          <w:sz w:val="24"/>
        </w:rPr>
        <w:t>:</w:t>
      </w:r>
      <w:r w:rsidR="00F02FD8" w:rsidRPr="008A7CB8">
        <w:rPr>
          <w:rFonts w:ascii="Calibri" w:hAnsi="Calibri" w:cs="Calibri"/>
          <w:sz w:val="24"/>
        </w:rPr>
        <w:t xml:space="preserve"> Ne</w:t>
      </w:r>
      <w:r w:rsidR="00F02FD8" w:rsidRPr="00F02FD8">
        <w:rPr>
          <w:rFonts w:ascii="Calibri" w:hAnsi="Calibri" w:cs="Calibri"/>
          <w:sz w:val="24"/>
        </w:rPr>
        <w:t>dostatečné využívání druhotných surovin.</w:t>
      </w:r>
      <w:r w:rsidR="006F3601">
        <w:rPr>
          <w:rFonts w:ascii="Calibri" w:hAnsi="Calibri" w:cs="Calibri"/>
          <w:sz w:val="24"/>
        </w:rPr>
        <w:t xml:space="preserve"> Vazba na tematický cíl 4, investiční priorit</w:t>
      </w:r>
      <w:r w:rsidR="006F3601" w:rsidRPr="00FB6BDB">
        <w:rPr>
          <w:rFonts w:ascii="Calibri" w:hAnsi="Calibri" w:cs="Calibri"/>
          <w:sz w:val="24"/>
        </w:rPr>
        <w:t xml:space="preserve">u </w:t>
      </w:r>
      <w:smartTag w:uri="urn:schemas-microsoft-com:office:smarttags" w:element="metricconverter">
        <w:smartTagPr>
          <w:attr w:name="ProductID" w:val="4f"/>
        </w:smartTagPr>
        <w:r w:rsidR="006F3601" w:rsidRPr="00FB6BDB">
          <w:rPr>
            <w:rFonts w:ascii="Calibri" w:hAnsi="Calibri" w:cs="Calibri"/>
            <w:sz w:val="24"/>
          </w:rPr>
          <w:t>4f</w:t>
        </w:r>
      </w:smartTag>
      <w:r w:rsidR="006F3601" w:rsidRPr="00FB6BDB">
        <w:rPr>
          <w:rFonts w:ascii="Calibri" w:hAnsi="Calibri" w:cs="Calibri"/>
          <w:sz w:val="24"/>
        </w:rPr>
        <w:t xml:space="preserve"> (nařízení o ERDF, článek 5, odst. (4) bod (f), </w:t>
      </w:r>
      <w:r w:rsidR="00AF1ABD" w:rsidRPr="00FB6BDB">
        <w:rPr>
          <w:rFonts w:ascii="Calibri" w:hAnsi="Calibri" w:cs="Calibri"/>
          <w:sz w:val="24"/>
        </w:rPr>
        <w:t xml:space="preserve">popř.. </w:t>
      </w:r>
      <w:r w:rsidR="006F3601" w:rsidRPr="00FB6BDB">
        <w:rPr>
          <w:rFonts w:ascii="Calibri" w:hAnsi="Calibri" w:cs="Calibri"/>
          <w:sz w:val="24"/>
        </w:rPr>
        <w:t>tematický cíl 6,</w:t>
      </w:r>
      <w:r w:rsidR="007D0179" w:rsidRPr="00FB6BDB">
        <w:rPr>
          <w:rFonts w:ascii="Calibri" w:hAnsi="Calibri" w:cs="Calibri"/>
          <w:sz w:val="24"/>
        </w:rPr>
        <w:t xml:space="preserve"> investiční prioritu 6</w:t>
      </w:r>
      <w:r w:rsidR="006F3601" w:rsidRPr="00FB6BDB">
        <w:rPr>
          <w:rFonts w:ascii="Calibri" w:hAnsi="Calibri" w:cs="Calibri"/>
          <w:sz w:val="24"/>
        </w:rPr>
        <w:t>f (nařízení o ERDF, článek 5, odst. (6) bod (f)</w:t>
      </w:r>
    </w:p>
    <w:p w:rsidR="00F02FD8" w:rsidRDefault="00F02FD8" w:rsidP="00F02FD8">
      <w:pPr>
        <w:overflowPunct/>
        <w:autoSpaceDE/>
        <w:autoSpaceDN/>
        <w:adjustRightInd/>
        <w:jc w:val="both"/>
        <w:textAlignment w:val="auto"/>
        <w:rPr>
          <w:rFonts w:ascii="Calibri" w:hAnsi="Calibri" w:cs="Calibri"/>
          <w:sz w:val="24"/>
          <w:szCs w:val="24"/>
        </w:rPr>
      </w:pPr>
    </w:p>
    <w:p w:rsidR="006F3601" w:rsidRPr="00A2151E" w:rsidRDefault="00A2151E" w:rsidP="00A2151E">
      <w:pPr>
        <w:overflowPunct/>
        <w:autoSpaceDE/>
        <w:autoSpaceDN/>
        <w:adjustRightInd/>
        <w:jc w:val="both"/>
        <w:textAlignment w:val="auto"/>
        <w:rPr>
          <w:rFonts w:ascii="Calibri" w:hAnsi="Calibri" w:cs="Calibri"/>
          <w:b/>
          <w:sz w:val="28"/>
          <w:szCs w:val="24"/>
        </w:rPr>
      </w:pPr>
      <w:r w:rsidRPr="00A2151E">
        <w:rPr>
          <w:rFonts w:ascii="Calibri" w:hAnsi="Calibri" w:cs="Calibri"/>
          <w:b/>
          <w:sz w:val="28"/>
          <w:szCs w:val="24"/>
        </w:rPr>
        <w:t>IV.</w:t>
      </w:r>
      <w:r w:rsidRPr="00A2151E">
        <w:rPr>
          <w:rFonts w:ascii="Calibri" w:hAnsi="Calibri" w:cs="Calibri"/>
          <w:b/>
          <w:sz w:val="28"/>
          <w:szCs w:val="24"/>
        </w:rPr>
        <w:tab/>
      </w:r>
      <w:r w:rsidR="006F3601" w:rsidRPr="00A2151E">
        <w:rPr>
          <w:rFonts w:ascii="Calibri" w:hAnsi="Calibri" w:cs="Calibri"/>
          <w:b/>
          <w:sz w:val="28"/>
          <w:szCs w:val="24"/>
        </w:rPr>
        <w:t>Udržitelný růst</w:t>
      </w:r>
    </w:p>
    <w:p w:rsidR="0042083D" w:rsidRPr="007D0179" w:rsidRDefault="0042083D" w:rsidP="00851D6E">
      <w:pPr>
        <w:numPr>
          <w:ilvl w:val="1"/>
          <w:numId w:val="15"/>
        </w:numPr>
        <w:overflowPunct/>
        <w:autoSpaceDE/>
        <w:autoSpaceDN/>
        <w:adjustRightInd/>
        <w:jc w:val="both"/>
        <w:textAlignment w:val="auto"/>
        <w:rPr>
          <w:rFonts w:ascii="Calibri" w:hAnsi="Calibri" w:cs="Calibri"/>
          <w:sz w:val="24"/>
          <w:szCs w:val="24"/>
        </w:rPr>
      </w:pPr>
      <w:r w:rsidRPr="0038738E">
        <w:rPr>
          <w:rFonts w:ascii="Calibri" w:hAnsi="Calibri" w:cs="Calibri"/>
          <w:b/>
          <w:sz w:val="24"/>
          <w:szCs w:val="24"/>
        </w:rPr>
        <w:t>„</w:t>
      </w:r>
      <w:r w:rsidRPr="0038738E">
        <w:rPr>
          <w:rFonts w:ascii="Calibri" w:hAnsi="Calibri" w:cs="Calibri"/>
          <w:b/>
          <w:i/>
          <w:iCs/>
          <w:sz w:val="24"/>
          <w:szCs w:val="24"/>
        </w:rPr>
        <w:t>Průmyslová politika pro éru globalizace</w:t>
      </w:r>
      <w:r w:rsidRPr="0038738E">
        <w:rPr>
          <w:rFonts w:ascii="Calibri" w:hAnsi="Calibri" w:cs="Calibri"/>
          <w:b/>
          <w:sz w:val="24"/>
          <w:szCs w:val="24"/>
        </w:rPr>
        <w:t>“</w:t>
      </w:r>
      <w:r w:rsidRPr="007D0179">
        <w:rPr>
          <w:rFonts w:ascii="Calibri" w:hAnsi="Calibri" w:cs="Calibri"/>
          <w:sz w:val="24"/>
          <w:szCs w:val="24"/>
        </w:rPr>
        <w:t xml:space="preserve"> – zlepšení podnikatelského prostředí, zejména pro malé a střední podniky, podpora rozvoje silné a udržitelné průmyslové základny, která by byla konkurenceschopná v celosvětovém měřítku.</w:t>
      </w:r>
    </w:p>
    <w:p w:rsidR="00E841B7" w:rsidRDefault="00E841B7" w:rsidP="00E841B7">
      <w:pPr>
        <w:overflowPunct/>
        <w:autoSpaceDE/>
        <w:autoSpaceDN/>
        <w:adjustRightInd/>
        <w:jc w:val="both"/>
        <w:textAlignment w:val="auto"/>
        <w:rPr>
          <w:rFonts w:ascii="Calibri" w:hAnsi="Calibri" w:cs="Calibri"/>
          <w:sz w:val="24"/>
          <w:szCs w:val="24"/>
        </w:rPr>
      </w:pPr>
    </w:p>
    <w:p w:rsidR="00E841B7" w:rsidRPr="0023642B" w:rsidRDefault="00E841B7" w:rsidP="00E841B7">
      <w:pPr>
        <w:pStyle w:val="Odstavecseseznamem"/>
        <w:ind w:left="0"/>
        <w:contextualSpacing w:val="0"/>
        <w:jc w:val="both"/>
        <w:rPr>
          <w:rFonts w:ascii="Calibri" w:hAnsi="Calibri" w:cs="Calibri"/>
          <w:sz w:val="24"/>
        </w:rPr>
      </w:pPr>
      <w:r w:rsidRPr="0023642B">
        <w:rPr>
          <w:rFonts w:ascii="Calibri" w:hAnsi="Calibri" w:cs="Calibri"/>
          <w:sz w:val="24"/>
        </w:rPr>
        <w:t xml:space="preserve">V mezinárodním kontextu zaujímá průmysl ČR stále významnou roli. V posledních letech však díky pokračujícímu procesu specializace dochází k nárůstu podílu služeb a tím klesá závislost české ekonomiky na poptávce v zahraničí. Oblast služeb je tak méně náchylná na externí faktory, které významně ovlivňují zejména průmyslové podniky. Mezi roky </w:t>
      </w:r>
      <w:smartTag w:uri="urn:schemas-microsoft-com:office:smarttags" w:element="metricconverter">
        <w:smartTagPr>
          <w:attr w:name="ProductID" w:val="2006 a"/>
        </w:smartTagPr>
        <w:r w:rsidRPr="0023642B">
          <w:rPr>
            <w:rFonts w:ascii="Calibri" w:hAnsi="Calibri" w:cs="Calibri"/>
            <w:sz w:val="24"/>
          </w:rPr>
          <w:t>2006 a</w:t>
        </w:r>
      </w:smartTag>
      <w:r w:rsidR="00EA0CBF">
        <w:rPr>
          <w:rFonts w:ascii="Calibri" w:hAnsi="Calibri" w:cs="Calibri"/>
          <w:sz w:val="24"/>
        </w:rPr>
        <w:t xml:space="preserve"> 2010 tak docházelo</w:t>
      </w:r>
      <w:r w:rsidRPr="0023642B">
        <w:rPr>
          <w:rFonts w:ascii="Calibri" w:hAnsi="Calibri" w:cs="Calibri"/>
          <w:sz w:val="24"/>
        </w:rPr>
        <w:t xml:space="preserve"> ve většině kr</w:t>
      </w:r>
      <w:r w:rsidRPr="007D0179">
        <w:rPr>
          <w:rFonts w:ascii="Calibri" w:hAnsi="Calibri" w:cs="Calibri"/>
          <w:sz w:val="24"/>
        </w:rPr>
        <w:t xml:space="preserve">ajů </w:t>
      </w:r>
      <w:r w:rsidR="007D0179" w:rsidRPr="007D0179">
        <w:rPr>
          <w:rFonts w:ascii="Calibri" w:hAnsi="Calibri" w:cs="Calibri"/>
          <w:sz w:val="24"/>
        </w:rPr>
        <w:t>ČR</w:t>
      </w:r>
      <w:r w:rsidR="006F3601" w:rsidRPr="007D0179">
        <w:rPr>
          <w:rFonts w:ascii="Calibri" w:hAnsi="Calibri" w:cs="Calibri"/>
          <w:sz w:val="24"/>
        </w:rPr>
        <w:t xml:space="preserve"> </w:t>
      </w:r>
      <w:r w:rsidRPr="007D0179">
        <w:rPr>
          <w:rFonts w:ascii="Calibri" w:hAnsi="Calibri" w:cs="Calibri"/>
          <w:sz w:val="24"/>
        </w:rPr>
        <w:t>ke s</w:t>
      </w:r>
      <w:r w:rsidRPr="0023642B">
        <w:rPr>
          <w:rFonts w:ascii="Calibri" w:hAnsi="Calibri" w:cs="Calibri"/>
          <w:sz w:val="24"/>
        </w:rPr>
        <w:t xml:space="preserve">nižování podílu průmyslu na úkor sektoru služeb. K regionům s významným podílem služeb patří tradičně kromě Prahy Jihomoravský kraj. </w:t>
      </w:r>
    </w:p>
    <w:p w:rsidR="00E841B7" w:rsidRPr="0023642B" w:rsidRDefault="00E841B7" w:rsidP="00E841B7">
      <w:pPr>
        <w:pStyle w:val="Odstavecseseznamem"/>
        <w:ind w:left="0"/>
        <w:contextualSpacing w:val="0"/>
        <w:jc w:val="both"/>
        <w:rPr>
          <w:rFonts w:ascii="Calibri" w:hAnsi="Calibri" w:cs="Calibri"/>
          <w:sz w:val="24"/>
        </w:rPr>
      </w:pPr>
    </w:p>
    <w:p w:rsidR="00E841B7" w:rsidRPr="0023642B" w:rsidRDefault="00E841B7" w:rsidP="00E841B7">
      <w:pPr>
        <w:pStyle w:val="Odstavecseseznamem"/>
        <w:ind w:left="0"/>
        <w:contextualSpacing w:val="0"/>
        <w:jc w:val="both"/>
        <w:rPr>
          <w:rFonts w:ascii="Calibri" w:hAnsi="Calibri" w:cs="Calibri"/>
          <w:sz w:val="24"/>
        </w:rPr>
      </w:pPr>
      <w:r w:rsidRPr="0023642B">
        <w:rPr>
          <w:rFonts w:ascii="Calibri" w:hAnsi="Calibri" w:cs="Calibri"/>
          <w:sz w:val="24"/>
        </w:rPr>
        <w:t xml:space="preserve">Mezi regiony </w:t>
      </w:r>
      <w:r w:rsidR="006F3601" w:rsidRPr="007D0179">
        <w:rPr>
          <w:rFonts w:ascii="Calibri" w:hAnsi="Calibri" w:cs="Calibri"/>
          <w:sz w:val="24"/>
        </w:rPr>
        <w:t xml:space="preserve">ČR </w:t>
      </w:r>
      <w:r w:rsidRPr="007D0179">
        <w:rPr>
          <w:rFonts w:ascii="Calibri" w:hAnsi="Calibri" w:cs="Calibri"/>
          <w:sz w:val="24"/>
        </w:rPr>
        <w:t xml:space="preserve">je </w:t>
      </w:r>
      <w:r w:rsidRPr="0023642B">
        <w:rPr>
          <w:rFonts w:ascii="Calibri" w:hAnsi="Calibri" w:cs="Calibri"/>
          <w:sz w:val="24"/>
        </w:rPr>
        <w:t xml:space="preserve">patrná významná diferenciace sektorů zpracovatelského průmyslu. Ve Středočeském kraji zaujímá silné postavení výroba dopravních prostředků, výroba chemických látek dominuje v Ústeckém kraji, hutnictví je typické pro Moravskoslezský kraj apod. Rozdíly v ekonomické specializaci se rovněž projevují i v zahraničním obchodě. Export se tak v řadě regionů stal motorem jejich růstu. Při jeho hodnocení je ovšem důležité hodnotit také význam sofistikovanějších položek s vyšší přidanou hodnotou jako je podíl zahraničního obchodu s high-tech výrobky. Podíl těchto výrobků je v mnoha regionech na nízké úrovni s výjimkou Prahy, Pardubického a Jihomoravského kraje, kde se jedná především o výpočetní techniku. </w:t>
      </w:r>
    </w:p>
    <w:p w:rsidR="00E841B7" w:rsidRPr="0023642B" w:rsidRDefault="00E841B7" w:rsidP="00E841B7">
      <w:pPr>
        <w:pStyle w:val="Odstavecseseznamem"/>
        <w:ind w:left="0"/>
        <w:jc w:val="both"/>
        <w:rPr>
          <w:rFonts w:ascii="Calibri" w:hAnsi="Calibri" w:cs="Calibri"/>
          <w:sz w:val="24"/>
        </w:rPr>
      </w:pPr>
    </w:p>
    <w:p w:rsidR="00E841B7" w:rsidRPr="0023642B" w:rsidRDefault="00E841B7" w:rsidP="00E841B7">
      <w:pPr>
        <w:pStyle w:val="Titulek"/>
        <w:keepNext/>
        <w:jc w:val="both"/>
        <w:rPr>
          <w:rFonts w:ascii="Calibri" w:hAnsi="Calibri" w:cs="Calibri"/>
        </w:rPr>
      </w:pPr>
      <w:r w:rsidRPr="00FB6BDB">
        <w:rPr>
          <w:rFonts w:ascii="Calibri" w:hAnsi="Calibri" w:cs="Calibri"/>
        </w:rPr>
        <w:lastRenderedPageBreak/>
        <w:t xml:space="preserve">Graf </w:t>
      </w:r>
      <w:r w:rsidR="008534F0" w:rsidRPr="00FB6BDB">
        <w:rPr>
          <w:rFonts w:ascii="Calibri" w:hAnsi="Calibri" w:cs="Calibri"/>
        </w:rPr>
        <w:fldChar w:fldCharType="begin"/>
      </w:r>
      <w:r w:rsidRPr="00FB6BDB">
        <w:rPr>
          <w:rFonts w:ascii="Calibri" w:hAnsi="Calibri" w:cs="Calibri"/>
        </w:rPr>
        <w:instrText xml:space="preserve"> SEQ Graf \* ARABIC </w:instrText>
      </w:r>
      <w:r w:rsidR="008534F0" w:rsidRPr="00FB6BDB">
        <w:rPr>
          <w:rFonts w:ascii="Calibri" w:hAnsi="Calibri" w:cs="Calibri"/>
        </w:rPr>
        <w:fldChar w:fldCharType="separate"/>
      </w:r>
      <w:r w:rsidR="00D92A26">
        <w:rPr>
          <w:rFonts w:ascii="Calibri" w:hAnsi="Calibri" w:cs="Calibri"/>
          <w:noProof/>
        </w:rPr>
        <w:t>10</w:t>
      </w:r>
      <w:r w:rsidR="008534F0" w:rsidRPr="00FB6BDB">
        <w:rPr>
          <w:rFonts w:ascii="Calibri" w:hAnsi="Calibri" w:cs="Calibri"/>
          <w:noProof/>
        </w:rPr>
        <w:fldChar w:fldCharType="end"/>
      </w:r>
      <w:r w:rsidRPr="00FB6BDB">
        <w:rPr>
          <w:rFonts w:ascii="Calibri" w:hAnsi="Calibri" w:cs="Calibri"/>
        </w:rPr>
        <w:t>: Struktu</w:t>
      </w:r>
      <w:r w:rsidRPr="0023642B">
        <w:rPr>
          <w:rFonts w:ascii="Calibri" w:hAnsi="Calibri" w:cs="Calibri"/>
        </w:rPr>
        <w:t>ra hrubé přidané hodnoty podle hlavn</w:t>
      </w:r>
      <w:r w:rsidR="00640467">
        <w:rPr>
          <w:rFonts w:ascii="Calibri" w:hAnsi="Calibri" w:cs="Calibri"/>
        </w:rPr>
        <w:t>ích skupin odvětví a krajů, 2007</w:t>
      </w:r>
      <w:r w:rsidRPr="0023642B">
        <w:rPr>
          <w:rFonts w:ascii="Calibri" w:hAnsi="Calibri" w:cs="Calibri"/>
        </w:rPr>
        <w:t xml:space="preserve"> a</w:t>
      </w:r>
      <w:r w:rsidR="001D3A37">
        <w:rPr>
          <w:rFonts w:ascii="Calibri" w:hAnsi="Calibri" w:cs="Calibri"/>
        </w:rPr>
        <w:t xml:space="preserve"> 2011</w:t>
      </w:r>
    </w:p>
    <w:p w:rsidR="00E841B7" w:rsidRPr="0023642B" w:rsidRDefault="00640467" w:rsidP="00E841B7">
      <w:pPr>
        <w:pStyle w:val="Odstavecseseznamem"/>
        <w:ind w:left="0"/>
        <w:jc w:val="both"/>
        <w:rPr>
          <w:rFonts w:ascii="Calibri" w:hAnsi="Calibri" w:cs="Calibri"/>
          <w:sz w:val="18"/>
          <w:szCs w:val="18"/>
        </w:rPr>
      </w:pPr>
      <w:r>
        <w:rPr>
          <w:noProof/>
        </w:rPr>
        <w:drawing>
          <wp:inline distT="0" distB="0" distL="0" distR="0">
            <wp:extent cx="5849620" cy="3567858"/>
            <wp:effectExtent l="0" t="0" r="17780" b="1397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841B7" w:rsidRPr="0023642B" w:rsidRDefault="00E841B7" w:rsidP="00E841B7">
      <w:pPr>
        <w:tabs>
          <w:tab w:val="left" w:pos="3199"/>
        </w:tabs>
        <w:rPr>
          <w:rFonts w:ascii="Calibri" w:hAnsi="Calibri" w:cs="Calibri"/>
        </w:rPr>
      </w:pPr>
      <w:r w:rsidRPr="0023642B">
        <w:rPr>
          <w:rFonts w:ascii="Calibri" w:hAnsi="Calibri" w:cs="Calibri"/>
        </w:rPr>
        <w:t>Zdroj: ČSÚ</w:t>
      </w:r>
    </w:p>
    <w:p w:rsidR="00E841B7" w:rsidRPr="0023642B" w:rsidRDefault="00E841B7" w:rsidP="00E841B7">
      <w:pPr>
        <w:tabs>
          <w:tab w:val="left" w:pos="3199"/>
        </w:tabs>
        <w:rPr>
          <w:rFonts w:ascii="Calibri" w:hAnsi="Calibri" w:cs="Calibri"/>
        </w:rPr>
      </w:pPr>
    </w:p>
    <w:p w:rsidR="00F02FD8" w:rsidRDefault="006525D0" w:rsidP="00E841B7">
      <w:pPr>
        <w:pStyle w:val="Odstavecseseznamem"/>
        <w:ind w:left="0"/>
        <w:contextualSpacing w:val="0"/>
        <w:jc w:val="both"/>
        <w:rPr>
          <w:rFonts w:ascii="Calibri" w:hAnsi="Calibri" w:cs="Calibri"/>
          <w:sz w:val="24"/>
        </w:rPr>
      </w:pPr>
      <w:r>
        <w:rPr>
          <w:rFonts w:ascii="Calibri" w:hAnsi="Calibri" w:cs="Calibri"/>
          <w:sz w:val="24"/>
        </w:rPr>
        <w:t>Indikativní s</w:t>
      </w:r>
      <w:r w:rsidR="00E841B7" w:rsidRPr="0023642B">
        <w:rPr>
          <w:rFonts w:ascii="Calibri" w:hAnsi="Calibri" w:cs="Calibri"/>
          <w:sz w:val="24"/>
        </w:rPr>
        <w:t>tatistická data potvrzují významné odlišnosti specializací krajů, která je dána zejména charakterem daného odvětví. Jde zejména o stupeň vyspělosti, úroveň zapojení do globálních produkčních sítí, dominanci subjektů pod zahraniční kontrolou a míru autonomie. Intervence by měly být nastaveny tak, aby je regiony mohly využívat flexibilně podle měnících se podmínek na trhu. Pro existenci a rozvoj regionálně koncentrovaných a specifických inovačních kapacit by nemusely být striktně a úzce definované nástroje podpory efektivní</w:t>
      </w:r>
      <w:r w:rsidR="00F02FD8">
        <w:rPr>
          <w:rFonts w:ascii="Calibri" w:hAnsi="Calibri" w:cs="Calibri"/>
          <w:sz w:val="24"/>
        </w:rPr>
        <w:t>.</w:t>
      </w:r>
    </w:p>
    <w:p w:rsidR="00F02FD8" w:rsidRDefault="00F02FD8" w:rsidP="00E841B7">
      <w:pPr>
        <w:pStyle w:val="Odstavecseseznamem"/>
        <w:ind w:left="0"/>
        <w:contextualSpacing w:val="0"/>
        <w:jc w:val="both"/>
        <w:rPr>
          <w:rFonts w:ascii="Calibri" w:hAnsi="Calibri" w:cs="Calibri"/>
          <w:sz w:val="24"/>
        </w:rPr>
      </w:pPr>
    </w:p>
    <w:p w:rsidR="00F02FD8" w:rsidRPr="0023642B" w:rsidRDefault="0023359B" w:rsidP="00F02FD8">
      <w:pPr>
        <w:pStyle w:val="Odstavecseseznamem"/>
        <w:ind w:left="0"/>
        <w:contextualSpacing w:val="0"/>
        <w:jc w:val="both"/>
        <w:rPr>
          <w:rFonts w:ascii="Calibri" w:hAnsi="Calibri" w:cs="Calibri"/>
          <w:sz w:val="24"/>
        </w:rPr>
      </w:pPr>
      <w:r>
        <w:rPr>
          <w:rFonts w:ascii="Calibri" w:hAnsi="Calibri" w:cs="Calibri"/>
          <w:sz w:val="24"/>
        </w:rPr>
        <w:t>P</w:t>
      </w:r>
      <w:r w:rsidR="00F02FD8" w:rsidRPr="0023642B">
        <w:rPr>
          <w:rFonts w:ascii="Calibri" w:hAnsi="Calibri" w:cs="Calibri"/>
          <w:sz w:val="24"/>
        </w:rPr>
        <w:t>odnikatelé plně vnímají potřebu kontinuálního rozvoje vlastních znalostních kapacit pro budování konkurenční výhody, tak za hl</w:t>
      </w:r>
      <w:r w:rsidR="00F02FD8" w:rsidRPr="00CD5981">
        <w:rPr>
          <w:rFonts w:ascii="Calibri" w:hAnsi="Calibri" w:cs="Calibri"/>
          <w:sz w:val="24"/>
        </w:rPr>
        <w:t>avní výzvu považují obchod, obsazení nových trhů a vyhledání nových příležitostí pro uplatnění technických kompetencí svých firem. V této souvislosti upozorňují, že největším problémem dalšího růstu a rozvoje inovací je oblast netechnických kompetencí souvisejících se strategickým řízením, obchodem, práce se zákazníky a vyhledáváním nových příležitostí (např. mimo dosavadní hlavní zaměření). Malé a střední podniky se přitom podílejí na hodnotě hrubého domácího produktu v Če</w:t>
      </w:r>
      <w:r w:rsidR="00F02FD8" w:rsidRPr="0023642B">
        <w:rPr>
          <w:rFonts w:ascii="Calibri" w:hAnsi="Calibri" w:cs="Calibri"/>
          <w:sz w:val="24"/>
        </w:rPr>
        <w:t>ské republice cca 1/3. Z dlouhodobého hlediska se podíl malých a středních podniků na hrubém domácím produktu zvětšuje a v roce 2011 činil 34,94 %. Oproti roku 2010 posílily malé a střední podniky meziročně o cca 4,8 %. Podíl zaměstnanců malých a středních podniků na celkovém počtu zaměstnanců podn</w:t>
      </w:r>
      <w:r>
        <w:rPr>
          <w:rFonts w:ascii="Calibri" w:hAnsi="Calibri" w:cs="Calibri"/>
          <w:sz w:val="24"/>
        </w:rPr>
        <w:t>ikatelské sféry v ČR v roce 2011</w:t>
      </w:r>
      <w:r w:rsidR="00F02FD8" w:rsidRPr="0023642B">
        <w:rPr>
          <w:rFonts w:ascii="Calibri" w:hAnsi="Calibri" w:cs="Calibri"/>
          <w:sz w:val="24"/>
        </w:rPr>
        <w:t xml:space="preserve"> činil 60,85 %.</w:t>
      </w:r>
    </w:p>
    <w:p w:rsidR="00F02FD8" w:rsidRPr="0023642B" w:rsidRDefault="00F02FD8" w:rsidP="00F02FD8">
      <w:pPr>
        <w:rPr>
          <w:rFonts w:ascii="Calibri" w:hAnsi="Calibri" w:cs="Calibri"/>
        </w:rPr>
      </w:pPr>
    </w:p>
    <w:p w:rsidR="00F02FD8" w:rsidRPr="0023642B" w:rsidRDefault="00F02FD8" w:rsidP="00F02FD8">
      <w:pPr>
        <w:pStyle w:val="Titulek"/>
        <w:keepNext/>
        <w:rPr>
          <w:rFonts w:ascii="Calibri" w:hAnsi="Calibri" w:cs="Calibri"/>
        </w:rPr>
      </w:pPr>
      <w:r w:rsidRPr="00FB6BDB">
        <w:rPr>
          <w:rFonts w:ascii="Calibri" w:hAnsi="Calibri" w:cs="Calibri"/>
        </w:rPr>
        <w:lastRenderedPageBreak/>
        <w:t xml:space="preserve">Graf </w:t>
      </w:r>
      <w:r w:rsidR="008534F0" w:rsidRPr="00FB6BDB">
        <w:rPr>
          <w:rFonts w:ascii="Calibri" w:hAnsi="Calibri" w:cs="Calibri"/>
        </w:rPr>
        <w:fldChar w:fldCharType="begin"/>
      </w:r>
      <w:r w:rsidRPr="00FB6BDB">
        <w:rPr>
          <w:rFonts w:ascii="Calibri" w:hAnsi="Calibri" w:cs="Calibri"/>
        </w:rPr>
        <w:instrText xml:space="preserve"> SEQ Graf \* ARABIC </w:instrText>
      </w:r>
      <w:r w:rsidR="008534F0" w:rsidRPr="00FB6BDB">
        <w:rPr>
          <w:rFonts w:ascii="Calibri" w:hAnsi="Calibri" w:cs="Calibri"/>
        </w:rPr>
        <w:fldChar w:fldCharType="separate"/>
      </w:r>
      <w:r w:rsidR="00D92A26">
        <w:rPr>
          <w:rFonts w:ascii="Calibri" w:hAnsi="Calibri" w:cs="Calibri"/>
          <w:noProof/>
        </w:rPr>
        <w:t>11</w:t>
      </w:r>
      <w:r w:rsidR="008534F0" w:rsidRPr="00FB6BDB">
        <w:rPr>
          <w:rFonts w:ascii="Calibri" w:hAnsi="Calibri" w:cs="Calibri"/>
          <w:noProof/>
        </w:rPr>
        <w:fldChar w:fldCharType="end"/>
      </w:r>
      <w:r w:rsidRPr="00FB6BDB">
        <w:rPr>
          <w:rFonts w:ascii="Calibri" w:hAnsi="Calibri" w:cs="Calibri"/>
        </w:rPr>
        <w:t>: Srovnán</w:t>
      </w:r>
      <w:r w:rsidRPr="0023642B">
        <w:rPr>
          <w:rFonts w:ascii="Calibri" w:hAnsi="Calibri" w:cs="Calibri"/>
        </w:rPr>
        <w:t>í významu sektoru MSP dle ekonomických odvětví</w:t>
      </w:r>
    </w:p>
    <w:p w:rsidR="00F02FD8" w:rsidRPr="0023642B" w:rsidRDefault="002C4DA9" w:rsidP="00F02FD8">
      <w:pPr>
        <w:pStyle w:val="Titulek"/>
        <w:rPr>
          <w:rFonts w:ascii="Calibri" w:hAnsi="Calibri" w:cs="Calibri"/>
        </w:rPr>
      </w:pPr>
      <w:r>
        <w:rPr>
          <w:rFonts w:ascii="Calibri" w:hAnsi="Calibri" w:cs="Calibri"/>
          <w:noProof/>
        </w:rPr>
        <w:drawing>
          <wp:inline distT="0" distB="0" distL="0" distR="0">
            <wp:extent cx="5710555" cy="2622550"/>
            <wp:effectExtent l="0" t="0" r="23495" b="25400"/>
            <wp:docPr id="13" name="Graf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F02FD8" w:rsidRPr="0023642B">
        <w:rPr>
          <w:rFonts w:ascii="Calibri" w:hAnsi="Calibri" w:cs="Calibri"/>
        </w:rPr>
        <w:t xml:space="preserve">  </w:t>
      </w:r>
    </w:p>
    <w:p w:rsidR="00F02FD8" w:rsidRPr="0023642B" w:rsidRDefault="00F02FD8" w:rsidP="00F02FD8">
      <w:pPr>
        <w:pStyle w:val="Zdroj"/>
        <w:rPr>
          <w:rFonts w:ascii="Calibri" w:hAnsi="Calibri" w:cs="Calibri"/>
        </w:rPr>
      </w:pPr>
      <w:r w:rsidRPr="0023642B">
        <w:rPr>
          <w:rFonts w:ascii="Calibri" w:hAnsi="Calibri" w:cs="Calibri"/>
        </w:rPr>
        <w:t>Zdroj: Interní data MPO na základě dat ČSÚ</w:t>
      </w:r>
    </w:p>
    <w:p w:rsidR="00F02FD8" w:rsidRPr="0023642B" w:rsidRDefault="00F02FD8" w:rsidP="00F02FD8">
      <w:pPr>
        <w:pStyle w:val="Odstavecseseznamem"/>
        <w:ind w:left="0"/>
        <w:jc w:val="both"/>
        <w:rPr>
          <w:rFonts w:ascii="Calibri" w:hAnsi="Calibri" w:cs="Calibri"/>
          <w:sz w:val="24"/>
        </w:rPr>
      </w:pPr>
      <w:r w:rsidRPr="00CD5981">
        <w:rPr>
          <w:rFonts w:ascii="Calibri" w:hAnsi="Calibri" w:cs="Calibri"/>
          <w:sz w:val="24"/>
        </w:rPr>
        <w:t>Nedostatečně rozvinutý trh podnikatelských služeb představuje bariéru rozvoje domácího (endogenního) podnikatelského sektoru. Ačkoliv</w:t>
      </w:r>
      <w:r w:rsidRPr="0023642B">
        <w:rPr>
          <w:rFonts w:ascii="Calibri" w:hAnsi="Calibri" w:cs="Calibri"/>
          <w:sz w:val="24"/>
        </w:rPr>
        <w:t xml:space="preserve"> většina typických služeb v rozvinutých ekonomikách na trhu existuje, jejich kvalita je nízká a cena obdobných zahraničních služeb vysoká. To podporuje spoléhání se pouze na vlastní kompetence. Ty však nikdy nemohou mít potřebnou kvalitu ve všech potřebných oblastech. Zkušenosti s nízkou kvalitou místních služeb vytváří atmosféru nedůvěry v tento typ služeb, včetně případné nabídky zprostředkování těchto služeb veřejným sektorem.</w:t>
      </w:r>
    </w:p>
    <w:p w:rsidR="00F02FD8" w:rsidRDefault="00F02FD8" w:rsidP="00F02FD8">
      <w:pPr>
        <w:pStyle w:val="Odstavecseseznamem"/>
        <w:ind w:left="0"/>
        <w:jc w:val="both"/>
        <w:rPr>
          <w:rFonts w:ascii="Calibri" w:hAnsi="Calibri" w:cs="Calibri"/>
          <w:sz w:val="24"/>
        </w:rPr>
      </w:pPr>
    </w:p>
    <w:p w:rsidR="00C8384E" w:rsidRPr="00CD5981" w:rsidRDefault="00F02FD8" w:rsidP="00C8384E">
      <w:pPr>
        <w:jc w:val="both"/>
        <w:rPr>
          <w:rFonts w:ascii="Calibri" w:hAnsi="Calibri" w:cs="Calibri"/>
          <w:sz w:val="24"/>
        </w:rPr>
      </w:pPr>
      <w:r w:rsidRPr="00CD5981">
        <w:rPr>
          <w:rFonts w:ascii="Calibri" w:hAnsi="Calibri" w:cs="Calibri"/>
          <w:sz w:val="24"/>
        </w:rPr>
        <w:t xml:space="preserve">Rozvinutost technických kompetencí firem (v technických oblastech jako jsou výroba, konstrukce, design, vývoj apod.) výrazně převyšuje jejich kompetence v oblasti marketingu, inovačního managementu, obchodu a dalších netechnických podnikových funkcí. Posílení a rozvoj netechnických kompetencí podnikatelů a pracovníků zejména domácích firem, a v návaznosti na ně také rozvoj strategických služeb pro podnikání jsou přitom jednou z důležitých průřezových oblastí, protože bez tohoto druhu intervencí budou účinnost a efektivita intervencí nízké a dosahování cílů obtížné. </w:t>
      </w:r>
      <w:r w:rsidR="00824EF5" w:rsidRPr="00CD5981">
        <w:rPr>
          <w:rFonts w:ascii="Calibri" w:hAnsi="Calibri" w:cs="Calibri"/>
          <w:sz w:val="24"/>
        </w:rPr>
        <w:t xml:space="preserve">I po téměř 24 letech budování tržního hospodářství v ČR stále existují následky přerušení kontinuity podnikavosti a to zejména v oblasti rozvoje netechnických kompetencí. </w:t>
      </w:r>
      <w:r w:rsidRPr="00CD5981">
        <w:rPr>
          <w:rFonts w:ascii="Calibri" w:hAnsi="Calibri" w:cs="Calibri"/>
          <w:sz w:val="24"/>
        </w:rPr>
        <w:t>Rozvoj služeb pro (inovační) podnikání je skutečnou výzvou, neboť slabá inovační poptávka a převažující defenzivní / reaktivní strategie firem endogenního sektoru efektivně brání rozvoji kvalitní nabídky služeb na trhu.</w:t>
      </w:r>
      <w:r w:rsidR="00C8384E" w:rsidRPr="00CD5981">
        <w:rPr>
          <w:rFonts w:ascii="Calibri" w:hAnsi="Calibri" w:cs="Calibri"/>
          <w:sz w:val="24"/>
        </w:rPr>
        <w:t xml:space="preserve"> Motivaci domácích firem pro budování konkurenční výhody založené na znalostech je v tomto segmentu možné označit za nízkou, což je dáno i současným postavením podnikatelů v globálních hodnotových řetězcích.</w:t>
      </w:r>
    </w:p>
    <w:p w:rsidR="00C8384E" w:rsidRPr="00CD5981" w:rsidRDefault="00C8384E" w:rsidP="00F02FD8">
      <w:pPr>
        <w:pStyle w:val="Odstavecseseznamem"/>
        <w:ind w:left="0"/>
        <w:contextualSpacing w:val="0"/>
        <w:jc w:val="both"/>
        <w:rPr>
          <w:rFonts w:ascii="Calibri" w:hAnsi="Calibri" w:cs="Calibri"/>
          <w:sz w:val="24"/>
        </w:rPr>
      </w:pPr>
    </w:p>
    <w:p w:rsidR="00C8384E" w:rsidRPr="00CD5981" w:rsidRDefault="00C8384E" w:rsidP="00F02FD8">
      <w:pPr>
        <w:pStyle w:val="Odstavecseseznamem"/>
        <w:ind w:left="0"/>
        <w:contextualSpacing w:val="0"/>
        <w:jc w:val="both"/>
        <w:rPr>
          <w:rFonts w:ascii="Calibri" w:hAnsi="Calibri" w:cs="Calibri"/>
          <w:sz w:val="24"/>
        </w:rPr>
      </w:pPr>
      <w:r w:rsidRPr="00CD5981">
        <w:rPr>
          <w:rFonts w:ascii="Calibri" w:hAnsi="Calibri" w:cs="Calibri"/>
          <w:sz w:val="24"/>
        </w:rPr>
        <w:t xml:space="preserve">Vývozní teritoria MSP jsou značně omezena a soustředí se především na blízké země a členské státy EU, což má nepříznivý vliv na obchodní politiku ČR. V zájmu rozložení rizik a vzhledem k tomu, že se ekonomická situace v Evropě dlouhodobě nepříznivě vyvíjí, je pro MSP prioritou diverzifikovat svůj vývoz a proniknout na nové a perspektivní zahraniční trhy. Kvalitní služby a </w:t>
      </w:r>
      <w:r w:rsidRPr="00CD5981">
        <w:rPr>
          <w:rFonts w:ascii="Calibri" w:hAnsi="Calibri" w:cs="Calibri"/>
          <w:sz w:val="24"/>
        </w:rPr>
        <w:lastRenderedPageBreak/>
        <w:t>zvýšená asistence při obsazování nových exportních oblastí je tedy zcela zásadní pro budoucí prosperitu MSP, protože malá marketingová připravenost firem a nedostatečná konkurenceschopnost jejich produktů přímo zabraňují jejich dalšímu rozvoji a znemožňují maximální využití jejich potenciálu. Podíl MSP na vývozu v roce 2011 byl 51,5%. Nedostatečná nabídka a dostupnost kvalitních služeb je častou příčinou pomalého pronikání MSP na vzdálenější a exotičtější trhy. Další překážkou je i nedostatek finančních prostředků na straně MSP, protože uvedení produktu na nové trhy je velice nákladný proces.</w:t>
      </w:r>
    </w:p>
    <w:p w:rsidR="00F02FD8" w:rsidRPr="00CD5981" w:rsidRDefault="00F02FD8" w:rsidP="00F02FD8">
      <w:pPr>
        <w:pStyle w:val="Odstavecseseznamem"/>
        <w:ind w:left="0"/>
        <w:jc w:val="both"/>
        <w:rPr>
          <w:rFonts w:ascii="Calibri" w:hAnsi="Calibri" w:cs="Calibri"/>
          <w:sz w:val="24"/>
        </w:rPr>
      </w:pPr>
    </w:p>
    <w:p w:rsidR="00F02FD8" w:rsidRPr="0023642B" w:rsidRDefault="00F02FD8" w:rsidP="00F02FD8">
      <w:pPr>
        <w:pStyle w:val="Odstavecseseznamem"/>
        <w:ind w:left="0"/>
        <w:contextualSpacing w:val="0"/>
        <w:jc w:val="both"/>
        <w:rPr>
          <w:rFonts w:ascii="Calibri" w:hAnsi="Calibri" w:cs="Calibri"/>
          <w:sz w:val="24"/>
        </w:rPr>
      </w:pPr>
      <w:r w:rsidRPr="00CD5981">
        <w:rPr>
          <w:rFonts w:ascii="Calibri" w:hAnsi="Calibri" w:cs="Calibri"/>
          <w:sz w:val="24"/>
        </w:rPr>
        <w:t>Otázka podpory služeb pro rozvoj podnikání je zakotvena rovněž ve Strategii mezinárodní konkurenceschopnosti ČR, kde je konstatováno, že pro úspěch českých podnikatelů „nejen doma, ale také na zahraničních trzích, je nezbytné usnadnit jim přístup ke kvalitním informacím relevantním pro podnikání a zabezpečit asistenci v případě, že při podnikání narazí na problémy.“ Bez výrazného posílení kompetencí podniků ve výše uvedených oblastech nebude český podnikový sektor schopen plnit potřebnou roli tahouna ekonomického růstu České republiky. Rozvoj netechnických kompetencí tak představuje do budoucna klíčovou průřezovou prioritu v poskytování podpor v oblasti podpory podnikání (společná zastoupení, role klastrů apod.).</w:t>
      </w:r>
    </w:p>
    <w:p w:rsidR="00F02FD8" w:rsidRPr="0023642B" w:rsidRDefault="00F02FD8" w:rsidP="00F02FD8">
      <w:pPr>
        <w:pStyle w:val="Odstavecseseznamem"/>
        <w:ind w:left="0"/>
        <w:jc w:val="both"/>
        <w:rPr>
          <w:rFonts w:ascii="Calibri" w:hAnsi="Calibri" w:cs="Calibri"/>
          <w:sz w:val="24"/>
        </w:rPr>
      </w:pPr>
      <w:r w:rsidRPr="0023642B">
        <w:rPr>
          <w:rFonts w:ascii="Calibri" w:hAnsi="Calibri" w:cs="Calibri"/>
          <w:sz w:val="24"/>
        </w:rPr>
        <w:t xml:space="preserve"> </w:t>
      </w:r>
    </w:p>
    <w:p w:rsidR="00F02FD8" w:rsidRPr="00CD5981" w:rsidRDefault="00F02FD8" w:rsidP="00F02FD8">
      <w:pPr>
        <w:pStyle w:val="Odstavecseseznamem"/>
        <w:ind w:left="0"/>
        <w:contextualSpacing w:val="0"/>
        <w:jc w:val="both"/>
        <w:rPr>
          <w:rFonts w:ascii="Calibri" w:hAnsi="Calibri" w:cs="Calibri"/>
          <w:sz w:val="24"/>
        </w:rPr>
      </w:pPr>
      <w:r w:rsidRPr="00CD5981">
        <w:rPr>
          <w:rFonts w:ascii="Calibri" w:hAnsi="Calibri" w:cs="Calibri"/>
          <w:b/>
          <w:sz w:val="24"/>
        </w:rPr>
        <w:t xml:space="preserve">Identifikovaný problém č. </w:t>
      </w:r>
      <w:r w:rsidR="0005757C" w:rsidRPr="00CD5981">
        <w:rPr>
          <w:rFonts w:ascii="Calibri" w:hAnsi="Calibri" w:cs="Calibri"/>
          <w:b/>
          <w:sz w:val="24"/>
        </w:rPr>
        <w:t>17</w:t>
      </w:r>
      <w:r w:rsidRPr="00CD5981">
        <w:rPr>
          <w:rFonts w:ascii="Calibri" w:hAnsi="Calibri" w:cs="Calibri"/>
          <w:b/>
          <w:sz w:val="24"/>
        </w:rPr>
        <w:t>:</w:t>
      </w:r>
      <w:r w:rsidRPr="00CD5981">
        <w:rPr>
          <w:rFonts w:ascii="Calibri" w:hAnsi="Calibri" w:cs="Calibri"/>
          <w:sz w:val="24"/>
        </w:rPr>
        <w:t xml:space="preserve"> Dostupnost informací a služeb pro podnikání při vstupu na zahraniční trhy.</w:t>
      </w:r>
    </w:p>
    <w:p w:rsidR="00F02FD8" w:rsidRPr="00CD5981" w:rsidRDefault="00F02FD8" w:rsidP="00F02FD8">
      <w:pPr>
        <w:pStyle w:val="Odstavecseseznamem"/>
        <w:ind w:left="0"/>
        <w:contextualSpacing w:val="0"/>
        <w:jc w:val="both"/>
        <w:rPr>
          <w:rFonts w:ascii="Calibri" w:hAnsi="Calibri" w:cs="Calibri"/>
          <w:sz w:val="24"/>
        </w:rPr>
      </w:pPr>
    </w:p>
    <w:p w:rsidR="00F02FD8" w:rsidRPr="00CD5981" w:rsidRDefault="00F02FD8" w:rsidP="00F02FD8">
      <w:pPr>
        <w:pStyle w:val="Odstavecseseznamem"/>
        <w:ind w:left="0"/>
        <w:contextualSpacing w:val="0"/>
        <w:jc w:val="both"/>
        <w:rPr>
          <w:rFonts w:ascii="Calibri" w:hAnsi="Calibri" w:cs="Calibri"/>
          <w:sz w:val="24"/>
        </w:rPr>
      </w:pPr>
      <w:r w:rsidRPr="00CD5981">
        <w:rPr>
          <w:rFonts w:ascii="Calibri" w:hAnsi="Calibri" w:cs="Calibri"/>
          <w:b/>
          <w:sz w:val="24"/>
        </w:rPr>
        <w:t xml:space="preserve">Identifikovaný problém č. </w:t>
      </w:r>
      <w:r w:rsidR="0005757C" w:rsidRPr="00CD5981">
        <w:rPr>
          <w:rFonts w:ascii="Calibri" w:hAnsi="Calibri" w:cs="Calibri"/>
          <w:b/>
          <w:sz w:val="24"/>
        </w:rPr>
        <w:t>18</w:t>
      </w:r>
      <w:r w:rsidRPr="00CD5981">
        <w:rPr>
          <w:rFonts w:ascii="Calibri" w:hAnsi="Calibri" w:cs="Calibri"/>
          <w:b/>
          <w:sz w:val="24"/>
        </w:rPr>
        <w:t>:</w:t>
      </w:r>
      <w:r w:rsidRPr="00CD5981">
        <w:rPr>
          <w:rFonts w:ascii="Calibri" w:hAnsi="Calibri" w:cs="Calibri"/>
          <w:sz w:val="24"/>
        </w:rPr>
        <w:t xml:space="preserve"> Dostupnost informací pro další směřování technologické strategie podniků v návaznosti na trendy koncových trhů.</w:t>
      </w:r>
    </w:p>
    <w:p w:rsidR="00F02FD8" w:rsidRPr="00CD5981" w:rsidRDefault="00F02FD8" w:rsidP="00F02FD8">
      <w:pPr>
        <w:pStyle w:val="Odstavecseseznamem"/>
        <w:ind w:left="0"/>
        <w:contextualSpacing w:val="0"/>
        <w:jc w:val="both"/>
        <w:rPr>
          <w:rFonts w:ascii="Calibri" w:hAnsi="Calibri" w:cs="Calibri"/>
          <w:sz w:val="24"/>
        </w:rPr>
      </w:pPr>
    </w:p>
    <w:p w:rsidR="00F02FD8" w:rsidRPr="00CD5981" w:rsidRDefault="00F02FD8" w:rsidP="00F02FD8">
      <w:pPr>
        <w:pStyle w:val="Odstavecseseznamem"/>
        <w:ind w:left="0"/>
        <w:contextualSpacing w:val="0"/>
        <w:jc w:val="both"/>
        <w:rPr>
          <w:rFonts w:ascii="Calibri" w:hAnsi="Calibri" w:cs="Calibri"/>
          <w:sz w:val="24"/>
        </w:rPr>
      </w:pPr>
      <w:r w:rsidRPr="00CD5981">
        <w:rPr>
          <w:rFonts w:ascii="Calibri" w:hAnsi="Calibri" w:cs="Calibri"/>
          <w:b/>
          <w:sz w:val="24"/>
        </w:rPr>
        <w:t>Identifikovaný problém č. 1</w:t>
      </w:r>
      <w:r w:rsidR="0005757C" w:rsidRPr="00CD5981">
        <w:rPr>
          <w:rFonts w:ascii="Calibri" w:hAnsi="Calibri" w:cs="Calibri"/>
          <w:b/>
          <w:sz w:val="24"/>
        </w:rPr>
        <w:t>9</w:t>
      </w:r>
      <w:r w:rsidRPr="00CD5981">
        <w:rPr>
          <w:rFonts w:ascii="Calibri" w:hAnsi="Calibri" w:cs="Calibri"/>
          <w:sz w:val="24"/>
        </w:rPr>
        <w:t>: Nízká úroveň netechnických kompetencí podniků.</w:t>
      </w:r>
    </w:p>
    <w:p w:rsidR="00F02FD8" w:rsidRPr="00CD5981" w:rsidRDefault="00F02FD8" w:rsidP="00F02FD8">
      <w:pPr>
        <w:pStyle w:val="Odstavecseseznamem"/>
        <w:ind w:left="0"/>
        <w:contextualSpacing w:val="0"/>
        <w:jc w:val="both"/>
        <w:rPr>
          <w:rFonts w:ascii="Calibri" w:hAnsi="Calibri" w:cs="Calibri"/>
          <w:color w:val="FF0000"/>
          <w:sz w:val="24"/>
        </w:rPr>
      </w:pPr>
    </w:p>
    <w:p w:rsidR="00AE66EE" w:rsidRPr="0023642B" w:rsidRDefault="00CC6745" w:rsidP="00F02FD8">
      <w:pPr>
        <w:pStyle w:val="Odstavecseseznamem"/>
        <w:ind w:left="0"/>
        <w:contextualSpacing w:val="0"/>
        <w:jc w:val="both"/>
        <w:rPr>
          <w:rFonts w:ascii="Calibri" w:hAnsi="Calibri" w:cs="Calibri"/>
          <w:sz w:val="24"/>
        </w:rPr>
      </w:pPr>
      <w:r w:rsidRPr="00CD5981">
        <w:rPr>
          <w:rFonts w:ascii="Calibri" w:hAnsi="Calibri" w:cs="Calibri"/>
          <w:b/>
          <w:sz w:val="24"/>
        </w:rPr>
        <w:t>Identifikované okruhy p</w:t>
      </w:r>
      <w:r w:rsidR="00F02FD8" w:rsidRPr="00CD5981">
        <w:rPr>
          <w:rFonts w:ascii="Calibri" w:hAnsi="Calibri" w:cs="Calibri"/>
          <w:b/>
          <w:sz w:val="24"/>
        </w:rPr>
        <w:t>roblém</w:t>
      </w:r>
      <w:r w:rsidRPr="00CD5981">
        <w:rPr>
          <w:rFonts w:ascii="Calibri" w:hAnsi="Calibri" w:cs="Calibri"/>
          <w:b/>
          <w:sz w:val="24"/>
        </w:rPr>
        <w:t>ů</w:t>
      </w:r>
      <w:r w:rsidR="00F02FD8" w:rsidRPr="00CD5981">
        <w:rPr>
          <w:rFonts w:ascii="Calibri" w:hAnsi="Calibri" w:cs="Calibri"/>
          <w:b/>
          <w:sz w:val="24"/>
        </w:rPr>
        <w:t xml:space="preserve"> č. </w:t>
      </w:r>
      <w:r w:rsidR="0005757C" w:rsidRPr="00CD5981">
        <w:rPr>
          <w:rFonts w:ascii="Calibri" w:hAnsi="Calibri" w:cs="Calibri"/>
          <w:b/>
          <w:sz w:val="24"/>
        </w:rPr>
        <w:t>1</w:t>
      </w:r>
      <w:r w:rsidR="0005757C" w:rsidRPr="00FB6BDB">
        <w:rPr>
          <w:rFonts w:ascii="Calibri" w:hAnsi="Calibri" w:cs="Calibri"/>
          <w:b/>
          <w:sz w:val="24"/>
        </w:rPr>
        <w:t>7</w:t>
      </w:r>
      <w:r w:rsidR="00F02FD8" w:rsidRPr="00FB6BDB">
        <w:rPr>
          <w:rFonts w:ascii="Calibri" w:hAnsi="Calibri" w:cs="Calibri"/>
          <w:b/>
          <w:sz w:val="24"/>
        </w:rPr>
        <w:t>-</w:t>
      </w:r>
      <w:r w:rsidR="00F02FD8" w:rsidRPr="00CD5981">
        <w:rPr>
          <w:rFonts w:ascii="Calibri" w:hAnsi="Calibri" w:cs="Calibri"/>
          <w:b/>
          <w:sz w:val="24"/>
        </w:rPr>
        <w:t>1</w:t>
      </w:r>
      <w:r w:rsidR="0005757C" w:rsidRPr="00CD5981">
        <w:rPr>
          <w:rFonts w:ascii="Calibri" w:hAnsi="Calibri" w:cs="Calibri"/>
          <w:b/>
          <w:sz w:val="24"/>
        </w:rPr>
        <w:t>9</w:t>
      </w:r>
      <w:r w:rsidR="00F02FD8" w:rsidRPr="00CD5981">
        <w:rPr>
          <w:rFonts w:ascii="Calibri" w:hAnsi="Calibri" w:cs="Calibri"/>
          <w:sz w:val="24"/>
        </w:rPr>
        <w:t xml:space="preserve"> lze vnímat jako potřebu existence uceleného systému podpory služeb pro internacionalizaci podnikání založeného na znalostech.</w:t>
      </w:r>
      <w:r w:rsidRPr="00CD5981">
        <w:rPr>
          <w:rFonts w:ascii="Calibri" w:hAnsi="Calibri" w:cs="Calibri"/>
          <w:sz w:val="24"/>
        </w:rPr>
        <w:t xml:space="preserve"> </w:t>
      </w:r>
      <w:r w:rsidR="00AE66EE" w:rsidRPr="00CD5981">
        <w:rPr>
          <w:rFonts w:ascii="Calibri" w:hAnsi="Calibri" w:cs="Calibri"/>
          <w:sz w:val="24"/>
        </w:rPr>
        <w:t xml:space="preserve">Vazby na tematický cíl 3, investiční prioritu 3b </w:t>
      </w:r>
      <w:r w:rsidR="00AE66EE" w:rsidRPr="00FB6BDB">
        <w:rPr>
          <w:rFonts w:ascii="Calibri" w:hAnsi="Calibri" w:cs="Calibri"/>
          <w:sz w:val="24"/>
        </w:rPr>
        <w:t xml:space="preserve">(nařízení o ERDF, článek 5, odst. (3) bod </w:t>
      </w:r>
      <w:r w:rsidRPr="00FB6BDB">
        <w:rPr>
          <w:rFonts w:ascii="Calibri" w:hAnsi="Calibri" w:cs="Calibri"/>
          <w:sz w:val="24"/>
        </w:rPr>
        <w:t>(</w:t>
      </w:r>
      <w:r w:rsidR="00AE66EE" w:rsidRPr="00FB6BDB">
        <w:rPr>
          <w:rFonts w:ascii="Calibri" w:hAnsi="Calibri" w:cs="Calibri"/>
          <w:sz w:val="24"/>
        </w:rPr>
        <w:t>b)</w:t>
      </w:r>
    </w:p>
    <w:p w:rsidR="00F02FD8" w:rsidRPr="0023642B" w:rsidRDefault="00F02FD8" w:rsidP="00F02FD8">
      <w:pPr>
        <w:pStyle w:val="Odstavecseseznamem"/>
        <w:ind w:left="0"/>
        <w:jc w:val="both"/>
        <w:rPr>
          <w:rFonts w:ascii="Calibri" w:hAnsi="Calibri" w:cs="Calibri"/>
          <w:sz w:val="24"/>
        </w:rPr>
      </w:pPr>
    </w:p>
    <w:p w:rsidR="00F02FD8" w:rsidRPr="0023642B" w:rsidRDefault="00F02FD8" w:rsidP="00F02FD8">
      <w:pPr>
        <w:pStyle w:val="Odstavecseseznamem"/>
        <w:ind w:left="0"/>
        <w:contextualSpacing w:val="0"/>
        <w:jc w:val="both"/>
        <w:rPr>
          <w:rFonts w:ascii="Calibri" w:hAnsi="Calibri" w:cs="Calibri"/>
          <w:sz w:val="24"/>
        </w:rPr>
      </w:pPr>
      <w:r w:rsidRPr="0023642B">
        <w:rPr>
          <w:rFonts w:ascii="Calibri" w:hAnsi="Calibri" w:cs="Calibri"/>
          <w:sz w:val="24"/>
        </w:rPr>
        <w:t xml:space="preserve">Otázka inovací zasahuje i do sektoru podniků věnujících se tradiční výrobě, které nejsou 100% orientované na inovace. Existuje velký podíl firem, které podle statistického zjišťování Community Innovation Survey </w:t>
      </w:r>
      <w:r w:rsidRPr="00CD5981">
        <w:rPr>
          <w:rFonts w:ascii="Calibri" w:hAnsi="Calibri" w:cs="Calibri"/>
          <w:sz w:val="24"/>
        </w:rPr>
        <w:t xml:space="preserve">provádějí v ČR inovace produktu, nicméně ve skutečnosti u většiny z nich nejde o inovace vyšších řádů. Zvláště v regionech se soustředěnou podporou státu jsou lokalizovány podniky, které pro růst svojí konkurenceschopnosti potřebují získat prostředky (především pořízení moderních výrobních technologií) a přitom nemají šanci uspět v programech pro „velké“ inovace, inovace vyšších řádů. Jejich inovační potenciál je nižší, ale z hlediska lokality a regionu není zanedbatelný. I tyto podniky mají za určitých podmínek možnost své inovace nižších řádů (na úrovni podniku či regionálního trhu) </w:t>
      </w:r>
      <w:r w:rsidR="008304E2" w:rsidRPr="00CD5981">
        <w:rPr>
          <w:rFonts w:ascii="Calibri" w:hAnsi="Calibri" w:cs="Calibri"/>
          <w:sz w:val="24"/>
        </w:rPr>
        <w:t>posunout na vyšší patra globálních hodnotových řetězců, včetně jejich</w:t>
      </w:r>
      <w:r w:rsidRPr="00CD5981">
        <w:rPr>
          <w:rFonts w:ascii="Calibri" w:hAnsi="Calibri" w:cs="Calibri"/>
          <w:sz w:val="24"/>
        </w:rPr>
        <w:t xml:space="preserve"> internacionalizace. Navíc je potřeba v některých regionech, zvláště regionech se soustředěnou podporou státu, podporovat samotnou podnikavost – zakládání nových firem</w:t>
      </w:r>
      <w:r w:rsidRPr="0023642B">
        <w:rPr>
          <w:rFonts w:ascii="Calibri" w:hAnsi="Calibri" w:cs="Calibri"/>
          <w:sz w:val="24"/>
        </w:rPr>
        <w:t xml:space="preserve"> a udržení technologického kroku s konkurencí v zahraničí a ve vyspělejších regionech. Základním předpokladem pro vylepšení pozic v hodnotovém řetězci je především vysoce kvalifikovaná a motivovaná pracovní síla (v</w:t>
      </w:r>
      <w:r w:rsidR="00CD5981">
        <w:rPr>
          <w:rFonts w:ascii="Calibri" w:hAnsi="Calibri" w:cs="Calibri"/>
          <w:sz w:val="24"/>
        </w:rPr>
        <w:t>íce Identifikovaný problém č. 2</w:t>
      </w:r>
      <w:r w:rsidR="008A7CB8">
        <w:rPr>
          <w:rFonts w:ascii="Calibri" w:hAnsi="Calibri" w:cs="Calibri"/>
          <w:sz w:val="24"/>
        </w:rPr>
        <w:t>2</w:t>
      </w:r>
      <w:r w:rsidRPr="0023642B">
        <w:rPr>
          <w:rFonts w:ascii="Calibri" w:hAnsi="Calibri" w:cs="Calibri"/>
          <w:sz w:val="24"/>
        </w:rPr>
        <w:t>).</w:t>
      </w:r>
    </w:p>
    <w:p w:rsidR="00F02FD8" w:rsidRPr="0023642B" w:rsidRDefault="00F02FD8" w:rsidP="00F02FD8">
      <w:pPr>
        <w:pStyle w:val="Odstavecseseznamem"/>
        <w:ind w:left="0"/>
        <w:jc w:val="both"/>
        <w:rPr>
          <w:rFonts w:ascii="Calibri" w:hAnsi="Calibri" w:cs="Calibri"/>
          <w:sz w:val="24"/>
        </w:rPr>
      </w:pPr>
    </w:p>
    <w:p w:rsidR="00F02FD8" w:rsidRPr="0023642B" w:rsidRDefault="00F02FD8" w:rsidP="00F02FD8">
      <w:pPr>
        <w:pStyle w:val="Odstavecseseznamem"/>
        <w:ind w:left="0"/>
        <w:contextualSpacing w:val="0"/>
        <w:jc w:val="both"/>
        <w:rPr>
          <w:rFonts w:ascii="Calibri" w:hAnsi="Calibri" w:cs="Calibri"/>
          <w:sz w:val="24"/>
        </w:rPr>
      </w:pPr>
      <w:r w:rsidRPr="00CD5981">
        <w:rPr>
          <w:rFonts w:ascii="Calibri" w:hAnsi="Calibri" w:cs="Calibri"/>
          <w:b/>
          <w:sz w:val="24"/>
        </w:rPr>
        <w:t xml:space="preserve">Identifikovaný problém č. </w:t>
      </w:r>
      <w:r w:rsidR="0005757C" w:rsidRPr="00CD5981">
        <w:rPr>
          <w:rFonts w:ascii="Calibri" w:hAnsi="Calibri" w:cs="Calibri"/>
          <w:b/>
          <w:sz w:val="24"/>
        </w:rPr>
        <w:t>20</w:t>
      </w:r>
      <w:r w:rsidRPr="00CD5981">
        <w:rPr>
          <w:rFonts w:ascii="Calibri" w:hAnsi="Calibri" w:cs="Calibri"/>
          <w:b/>
          <w:sz w:val="24"/>
        </w:rPr>
        <w:t>:</w:t>
      </w:r>
      <w:r w:rsidRPr="00CD5981">
        <w:rPr>
          <w:rFonts w:ascii="Calibri" w:hAnsi="Calibri" w:cs="Calibri"/>
          <w:sz w:val="24"/>
        </w:rPr>
        <w:t xml:space="preserve"> Nedostatečné podmínky pro rozvoj podniků s nižším inovačním potenciálem v</w:t>
      </w:r>
      <w:r w:rsidR="00CE58B1" w:rsidRPr="00CD5981">
        <w:rPr>
          <w:rFonts w:ascii="Calibri" w:hAnsi="Calibri" w:cs="Calibri"/>
          <w:sz w:val="24"/>
        </w:rPr>
        <w:t>e vybraných r</w:t>
      </w:r>
      <w:r w:rsidR="00CE58B1" w:rsidRPr="00FB6BDB">
        <w:rPr>
          <w:rFonts w:ascii="Calibri" w:hAnsi="Calibri" w:cs="Calibri"/>
          <w:sz w:val="24"/>
        </w:rPr>
        <w:t>egionech</w:t>
      </w:r>
      <w:r w:rsidR="00CC6745" w:rsidRPr="00FB6BDB">
        <w:rPr>
          <w:rFonts w:ascii="Calibri" w:hAnsi="Calibri" w:cs="Calibri"/>
          <w:sz w:val="24"/>
        </w:rPr>
        <w:t xml:space="preserve"> </w:t>
      </w:r>
      <w:r w:rsidR="00874107" w:rsidRPr="00FB6BDB">
        <w:rPr>
          <w:rFonts w:ascii="Calibri" w:hAnsi="Calibri" w:cs="Calibri"/>
          <w:sz w:val="24"/>
        </w:rPr>
        <w:t xml:space="preserve">Vazba na tematický cíl 3, investiční prioritu 3a (nařízení o ERDF, článek 5, odst. (3) bod </w:t>
      </w:r>
      <w:r w:rsidR="00CC6745" w:rsidRPr="00FB6BDB">
        <w:rPr>
          <w:rFonts w:ascii="Calibri" w:hAnsi="Calibri" w:cs="Calibri"/>
          <w:sz w:val="24"/>
        </w:rPr>
        <w:t>(</w:t>
      </w:r>
      <w:r w:rsidR="00874107" w:rsidRPr="00FB6BDB">
        <w:rPr>
          <w:rFonts w:ascii="Calibri" w:hAnsi="Calibri" w:cs="Calibri"/>
          <w:sz w:val="24"/>
        </w:rPr>
        <w:t>a)</w:t>
      </w:r>
    </w:p>
    <w:p w:rsidR="00F02FD8" w:rsidRPr="0023642B" w:rsidRDefault="00F02FD8" w:rsidP="00F02FD8">
      <w:pPr>
        <w:pStyle w:val="Odstavecseseznamem"/>
        <w:ind w:left="0"/>
        <w:jc w:val="both"/>
        <w:rPr>
          <w:rFonts w:ascii="Calibri" w:hAnsi="Calibri" w:cs="Calibri"/>
          <w:sz w:val="24"/>
        </w:rPr>
      </w:pPr>
    </w:p>
    <w:p w:rsidR="00F02FD8" w:rsidRPr="0023642B" w:rsidRDefault="00A811B0" w:rsidP="00F02FD8">
      <w:pPr>
        <w:pStyle w:val="Odstavecseseznamem"/>
        <w:ind w:left="0"/>
        <w:contextualSpacing w:val="0"/>
        <w:jc w:val="both"/>
        <w:rPr>
          <w:rFonts w:ascii="Calibri" w:hAnsi="Calibri" w:cs="Calibri"/>
          <w:sz w:val="24"/>
        </w:rPr>
      </w:pPr>
      <w:r w:rsidRPr="00A811B0">
        <w:rPr>
          <w:rFonts w:ascii="Calibri" w:hAnsi="Calibri" w:cs="Calibri"/>
          <w:sz w:val="24"/>
        </w:rPr>
        <w:t>Nízký podíl inovativní výroby spojený s budoucí vyšší přidanou hodnotou do značné míry ovlivňuje zastaralá podnikatelská infrastruktura a sní spojené vysoké režijní náklady (např. energetická náročnost výroby a vysoká tepelná ztrátovo</w:t>
      </w:r>
      <w:r w:rsidR="00D51A6D">
        <w:rPr>
          <w:rFonts w:ascii="Calibri" w:hAnsi="Calibri" w:cs="Calibri"/>
          <w:sz w:val="24"/>
        </w:rPr>
        <w:t>st výrobních objektů), které zne</w:t>
      </w:r>
      <w:r w:rsidRPr="00A811B0">
        <w:rPr>
          <w:rFonts w:ascii="Calibri" w:hAnsi="Calibri" w:cs="Calibri"/>
          <w:sz w:val="24"/>
        </w:rPr>
        <w:t>možňují investice právě do výzkumu, i novací a vývoje a naopak nutí podnikatele k vysokým výdajům na udržení stávající výkonnosti.</w:t>
      </w:r>
      <w:r w:rsidR="00D51A6D">
        <w:rPr>
          <w:rFonts w:ascii="Calibri" w:hAnsi="Calibri" w:cs="Calibri"/>
          <w:sz w:val="24"/>
        </w:rPr>
        <w:t xml:space="preserve"> </w:t>
      </w:r>
      <w:r w:rsidR="00F02FD8" w:rsidRPr="0023642B">
        <w:rPr>
          <w:rFonts w:ascii="Calibri" w:hAnsi="Calibri" w:cs="Calibri"/>
          <w:sz w:val="24"/>
        </w:rPr>
        <w:t>Zatímco v části věnované</w:t>
      </w:r>
      <w:r w:rsidR="008304E2">
        <w:rPr>
          <w:rFonts w:ascii="Calibri" w:hAnsi="Calibri" w:cs="Calibri"/>
          <w:sz w:val="24"/>
        </w:rPr>
        <w:t xml:space="preserve"> oblasti</w:t>
      </w:r>
      <w:r w:rsidR="00F02FD8" w:rsidRPr="0023642B">
        <w:rPr>
          <w:rFonts w:ascii="Calibri" w:hAnsi="Calibri" w:cs="Calibri"/>
          <w:sz w:val="24"/>
        </w:rPr>
        <w:t xml:space="preserve"> VaVaI v průmyslu a službách byla již analyzována situace v inovační infrastruktuře, je nutné ji alespoň stručně doplnit i o situaci v oblasti rekonstrukce nevyužívaných průmyslových budov.</w:t>
      </w:r>
      <w:r w:rsidR="00F02FD8">
        <w:rPr>
          <w:rFonts w:ascii="Calibri" w:hAnsi="Calibri" w:cs="Calibri"/>
          <w:sz w:val="24"/>
        </w:rPr>
        <w:t xml:space="preserve"> </w:t>
      </w:r>
      <w:r w:rsidR="00F02FD8" w:rsidRPr="0023642B">
        <w:rPr>
          <w:rFonts w:ascii="Calibri" w:hAnsi="Calibri" w:cs="Calibri"/>
          <w:sz w:val="24"/>
        </w:rPr>
        <w:t xml:space="preserve">V ČR stále existuje velké množství nevyužívaných průmyslových budov, především jako důsledek restrukturalizace české ekonomiky z přelomu 90. let. </w:t>
      </w:r>
      <w:r w:rsidR="00D51A6D" w:rsidRPr="00D51A6D">
        <w:rPr>
          <w:rFonts w:ascii="Calibri" w:hAnsi="Calibri" w:cs="Calibri"/>
          <w:sz w:val="24"/>
        </w:rPr>
        <w:t>Moti</w:t>
      </w:r>
      <w:r w:rsidR="00D51A6D">
        <w:rPr>
          <w:rFonts w:ascii="Calibri" w:hAnsi="Calibri" w:cs="Calibri"/>
          <w:sz w:val="24"/>
        </w:rPr>
        <w:t xml:space="preserve">vace podnikatelů ke generálním </w:t>
      </w:r>
      <w:r w:rsidR="00D51A6D" w:rsidRPr="00D51A6D">
        <w:rPr>
          <w:rFonts w:ascii="Calibri" w:hAnsi="Calibri" w:cs="Calibri"/>
          <w:sz w:val="24"/>
        </w:rPr>
        <w:t xml:space="preserve">rekonstrukcím výrobních prostor je </w:t>
      </w:r>
      <w:r w:rsidR="00D51A6D">
        <w:rPr>
          <w:rFonts w:ascii="Calibri" w:hAnsi="Calibri" w:cs="Calibri"/>
          <w:sz w:val="24"/>
        </w:rPr>
        <w:t xml:space="preserve">tak </w:t>
      </w:r>
      <w:r w:rsidR="00D51A6D" w:rsidRPr="00D51A6D">
        <w:rPr>
          <w:rFonts w:ascii="Calibri" w:hAnsi="Calibri" w:cs="Calibri"/>
          <w:sz w:val="24"/>
        </w:rPr>
        <w:t xml:space="preserve">z </w:t>
      </w:r>
      <w:r w:rsidR="00D51A6D">
        <w:rPr>
          <w:rFonts w:ascii="Calibri" w:hAnsi="Calibri" w:cs="Calibri"/>
          <w:sz w:val="24"/>
        </w:rPr>
        <w:t>hlediska jejich finanční náročn</w:t>
      </w:r>
      <w:r w:rsidR="00D51A6D" w:rsidRPr="00D51A6D">
        <w:rPr>
          <w:rFonts w:ascii="Calibri" w:hAnsi="Calibri" w:cs="Calibri"/>
          <w:sz w:val="24"/>
        </w:rPr>
        <w:t>o</w:t>
      </w:r>
      <w:r w:rsidR="00D51A6D">
        <w:rPr>
          <w:rFonts w:ascii="Calibri" w:hAnsi="Calibri" w:cs="Calibri"/>
          <w:sz w:val="24"/>
        </w:rPr>
        <w:t>s</w:t>
      </w:r>
      <w:r w:rsidR="00D51A6D" w:rsidRPr="00D51A6D">
        <w:rPr>
          <w:rFonts w:ascii="Calibri" w:hAnsi="Calibri" w:cs="Calibri"/>
          <w:sz w:val="24"/>
        </w:rPr>
        <w:t>ti minimální, neboť sebou nese velkou míru existenčního rizik</w:t>
      </w:r>
      <w:r w:rsidR="00D51A6D" w:rsidRPr="00CD5981">
        <w:rPr>
          <w:rFonts w:ascii="Calibri" w:hAnsi="Calibri" w:cs="Calibri"/>
          <w:sz w:val="24"/>
        </w:rPr>
        <w:t xml:space="preserve">a. </w:t>
      </w:r>
      <w:r w:rsidR="00F02FD8" w:rsidRPr="00CD5981">
        <w:rPr>
          <w:rFonts w:ascii="Calibri" w:hAnsi="Calibri" w:cs="Calibri"/>
          <w:sz w:val="24"/>
        </w:rPr>
        <w:t>Dosavadní úspěšná realizace programů podpory Reality O</w:t>
      </w:r>
      <w:r w:rsidR="00CC6745" w:rsidRPr="00CD5981">
        <w:rPr>
          <w:rFonts w:ascii="Calibri" w:hAnsi="Calibri" w:cs="Calibri"/>
          <w:sz w:val="24"/>
        </w:rPr>
        <w:t xml:space="preserve">peračního programu Průmysl a podnikání 2004 – 2006 </w:t>
      </w:r>
      <w:r w:rsidR="00F02FD8" w:rsidRPr="00CD5981">
        <w:rPr>
          <w:rFonts w:ascii="Calibri" w:hAnsi="Calibri" w:cs="Calibri"/>
          <w:sz w:val="24"/>
        </w:rPr>
        <w:t>a </w:t>
      </w:r>
      <w:r w:rsidR="00CC6745" w:rsidRPr="00CD5981">
        <w:rPr>
          <w:rFonts w:ascii="Calibri" w:hAnsi="Calibri" w:cs="Calibri"/>
          <w:sz w:val="24"/>
        </w:rPr>
        <w:t xml:space="preserve">programu podpory </w:t>
      </w:r>
      <w:r w:rsidR="00F02FD8" w:rsidRPr="00CD5981">
        <w:rPr>
          <w:rFonts w:ascii="Calibri" w:hAnsi="Calibri" w:cs="Calibri"/>
          <w:sz w:val="24"/>
        </w:rPr>
        <w:t xml:space="preserve">Nemovitosti </w:t>
      </w:r>
      <w:r w:rsidR="00CC6745" w:rsidRPr="00CD5981">
        <w:rPr>
          <w:rFonts w:ascii="Calibri" w:hAnsi="Calibri" w:cs="Calibri"/>
          <w:sz w:val="24"/>
        </w:rPr>
        <w:t xml:space="preserve">Operačního programu Podnikání a inovace </w:t>
      </w:r>
      <w:r w:rsidR="002A3BA8" w:rsidRPr="00CD5981">
        <w:rPr>
          <w:rFonts w:ascii="Calibri" w:hAnsi="Calibri" w:cs="Calibri"/>
          <w:sz w:val="24"/>
        </w:rPr>
        <w:t xml:space="preserve">2007 – 2013 </w:t>
      </w:r>
      <w:r w:rsidR="00F02FD8" w:rsidRPr="00CD5981">
        <w:rPr>
          <w:rFonts w:ascii="Calibri" w:hAnsi="Calibri" w:cs="Calibri"/>
          <w:sz w:val="24"/>
        </w:rPr>
        <w:t>ukazuje, že v této oblasti je velký zájem podnikatelů v případě poskytnutí podpory preferovat jin</w:t>
      </w:r>
      <w:r w:rsidR="00F02FD8" w:rsidRPr="0023642B">
        <w:rPr>
          <w:rFonts w:ascii="Calibri" w:hAnsi="Calibri" w:cs="Calibri"/>
          <w:sz w:val="24"/>
        </w:rPr>
        <w:t>ak nákladnější rekonstrukci existujícího objektu (často na výhodném pozemku blízko centra) před zabíráním nové půdy pro rozšíření nebo založení svých ekonomických aktivit.</w:t>
      </w:r>
    </w:p>
    <w:p w:rsidR="00F02FD8" w:rsidRPr="0023642B" w:rsidRDefault="00F02FD8" w:rsidP="00F02FD8">
      <w:pPr>
        <w:pStyle w:val="Odstavecseseznamem"/>
        <w:ind w:left="0"/>
        <w:jc w:val="both"/>
        <w:rPr>
          <w:rFonts w:ascii="Calibri" w:hAnsi="Calibri" w:cs="Calibri"/>
          <w:sz w:val="24"/>
        </w:rPr>
      </w:pPr>
    </w:p>
    <w:p w:rsidR="00874107" w:rsidRPr="0023642B" w:rsidRDefault="00F02FD8" w:rsidP="00874107">
      <w:pPr>
        <w:pStyle w:val="Odstavecseseznamem"/>
        <w:ind w:left="0"/>
        <w:contextualSpacing w:val="0"/>
        <w:jc w:val="both"/>
        <w:rPr>
          <w:rFonts w:ascii="Calibri" w:hAnsi="Calibri" w:cs="Calibri"/>
          <w:sz w:val="24"/>
        </w:rPr>
      </w:pPr>
      <w:r w:rsidRPr="00CD5981">
        <w:rPr>
          <w:rFonts w:ascii="Calibri" w:hAnsi="Calibri" w:cs="Calibri"/>
          <w:b/>
          <w:sz w:val="24"/>
        </w:rPr>
        <w:t xml:space="preserve">Identifikovaný problém č. </w:t>
      </w:r>
      <w:r w:rsidR="0005757C" w:rsidRPr="00CD5981">
        <w:rPr>
          <w:rFonts w:ascii="Calibri" w:hAnsi="Calibri" w:cs="Calibri"/>
          <w:b/>
          <w:sz w:val="24"/>
        </w:rPr>
        <w:t>21</w:t>
      </w:r>
      <w:r w:rsidRPr="00CD5981">
        <w:rPr>
          <w:rFonts w:ascii="Calibri" w:hAnsi="Calibri" w:cs="Calibri"/>
          <w:b/>
          <w:sz w:val="24"/>
        </w:rPr>
        <w:t>:</w:t>
      </w:r>
      <w:r w:rsidRPr="00CD5981">
        <w:rPr>
          <w:rFonts w:ascii="Calibri" w:hAnsi="Calibri" w:cs="Calibri"/>
          <w:sz w:val="24"/>
        </w:rPr>
        <w:t xml:space="preserve"> Opětovné využití existujících průmyslových budov v lokalitách typu brownfields.</w:t>
      </w:r>
      <w:r w:rsidR="00CC6745" w:rsidRPr="00CD5981">
        <w:rPr>
          <w:rFonts w:ascii="Calibri" w:hAnsi="Calibri" w:cs="Calibri"/>
          <w:sz w:val="24"/>
        </w:rPr>
        <w:t xml:space="preserve"> </w:t>
      </w:r>
      <w:r w:rsidR="00874107" w:rsidRPr="00CD5981">
        <w:rPr>
          <w:rFonts w:ascii="Calibri" w:hAnsi="Calibri" w:cs="Calibri"/>
          <w:sz w:val="24"/>
        </w:rPr>
        <w:t>Vazba na</w:t>
      </w:r>
      <w:r w:rsidR="00874107">
        <w:rPr>
          <w:rFonts w:ascii="Calibri" w:hAnsi="Calibri" w:cs="Calibri"/>
          <w:sz w:val="24"/>
        </w:rPr>
        <w:t xml:space="preserve"> tem</w:t>
      </w:r>
      <w:r w:rsidR="00874107" w:rsidRPr="00FB6BDB">
        <w:rPr>
          <w:rFonts w:ascii="Calibri" w:hAnsi="Calibri" w:cs="Calibri"/>
          <w:sz w:val="24"/>
        </w:rPr>
        <w:t xml:space="preserve">atický cíl 3, investiční prioritu 3a (nařízení o ERDF, článek 5, odst. (3) bod </w:t>
      </w:r>
      <w:r w:rsidR="00CC6745" w:rsidRPr="00FB6BDB">
        <w:rPr>
          <w:rFonts w:ascii="Calibri" w:hAnsi="Calibri" w:cs="Calibri"/>
          <w:sz w:val="24"/>
        </w:rPr>
        <w:t>(</w:t>
      </w:r>
      <w:r w:rsidR="00874107" w:rsidRPr="00FB6BDB">
        <w:rPr>
          <w:rFonts w:ascii="Calibri" w:hAnsi="Calibri" w:cs="Calibri"/>
          <w:sz w:val="24"/>
        </w:rPr>
        <w:t>a)</w:t>
      </w:r>
    </w:p>
    <w:p w:rsidR="00F02FD8" w:rsidRPr="0023642B" w:rsidRDefault="00F02FD8" w:rsidP="00F02FD8">
      <w:pPr>
        <w:pStyle w:val="Odstavecseseznamem"/>
        <w:ind w:left="0"/>
        <w:jc w:val="both"/>
        <w:rPr>
          <w:rFonts w:ascii="Calibri" w:hAnsi="Calibri" w:cs="Calibri"/>
          <w:sz w:val="24"/>
        </w:rPr>
      </w:pPr>
    </w:p>
    <w:p w:rsidR="00527A4C" w:rsidRPr="0023642B" w:rsidRDefault="00527A4C" w:rsidP="007C0FCD">
      <w:pPr>
        <w:pStyle w:val="Odstavecseseznamem"/>
        <w:ind w:left="0"/>
        <w:contextualSpacing w:val="0"/>
        <w:jc w:val="both"/>
        <w:rPr>
          <w:rFonts w:ascii="Calibri" w:hAnsi="Calibri" w:cs="Calibri"/>
          <w:sz w:val="24"/>
        </w:rPr>
      </w:pPr>
      <w:r w:rsidRPr="00527A4C">
        <w:rPr>
          <w:rFonts w:ascii="Calibri" w:hAnsi="Calibri" w:cs="Calibri"/>
          <w:sz w:val="24"/>
        </w:rPr>
        <w:t>Zaměstnavatelé se potýkají s nedostatkem kvalifikované pracovní síly pro vla</w:t>
      </w:r>
      <w:r w:rsidR="00D51A6D">
        <w:rPr>
          <w:rFonts w:ascii="Calibri" w:hAnsi="Calibri" w:cs="Calibri"/>
          <w:sz w:val="24"/>
        </w:rPr>
        <w:t xml:space="preserve">stní výrobu i inovační proces. </w:t>
      </w:r>
      <w:r w:rsidRPr="00527A4C">
        <w:rPr>
          <w:rFonts w:ascii="Calibri" w:hAnsi="Calibri" w:cs="Calibri"/>
          <w:sz w:val="24"/>
        </w:rPr>
        <w:t>To má negativní vliv na konkurencesc</w:t>
      </w:r>
      <w:r>
        <w:rPr>
          <w:rFonts w:ascii="Calibri" w:hAnsi="Calibri" w:cs="Calibri"/>
          <w:sz w:val="24"/>
        </w:rPr>
        <w:t xml:space="preserve">hopnost českých podniků. </w:t>
      </w:r>
      <w:r w:rsidRPr="00527A4C">
        <w:rPr>
          <w:rFonts w:ascii="Calibri" w:hAnsi="Calibri" w:cs="Calibri"/>
          <w:sz w:val="24"/>
        </w:rPr>
        <w:t>V rámci náboru nových zaměstnanců - nových  absolventů SŠ, VŠ často zaměstnavatelé narážejí na jejich převážně teoretické znalosti, které jsou pro praxi nedostatečné. Zaměstnavatelé pak pro jejich zaškolení musí vynaložit nezanedbatelné náklady a nov</w:t>
      </w:r>
      <w:r>
        <w:rPr>
          <w:rFonts w:ascii="Calibri" w:hAnsi="Calibri" w:cs="Calibri"/>
          <w:sz w:val="24"/>
        </w:rPr>
        <w:t xml:space="preserve">í zaměstnanci- noví absolventi </w:t>
      </w:r>
      <w:r w:rsidRPr="00527A4C">
        <w:rPr>
          <w:rFonts w:ascii="Calibri" w:hAnsi="Calibri" w:cs="Calibri"/>
          <w:sz w:val="24"/>
        </w:rPr>
        <w:t>pro ně v rámci prvních 3 měsíců</w:t>
      </w:r>
      <w:r>
        <w:rPr>
          <w:rFonts w:ascii="Calibri" w:hAnsi="Calibri" w:cs="Calibri"/>
          <w:sz w:val="24"/>
        </w:rPr>
        <w:t xml:space="preserve"> - půl roku nemají téměř žádný produktivní dopad.</w:t>
      </w:r>
      <w:r w:rsidRPr="00527A4C">
        <w:rPr>
          <w:rFonts w:ascii="Calibri" w:hAnsi="Calibri" w:cs="Calibri"/>
          <w:sz w:val="24"/>
        </w:rPr>
        <w:t xml:space="preserve"> S rozvíjejícími se novými technologiemi, procesy a novou legislativou souvisí nutnost zamě</w:t>
      </w:r>
      <w:r>
        <w:rPr>
          <w:rFonts w:ascii="Calibri" w:hAnsi="Calibri" w:cs="Calibri"/>
          <w:sz w:val="24"/>
        </w:rPr>
        <w:t xml:space="preserve">stnavatelů se s těmito změnami </w:t>
      </w:r>
      <w:r w:rsidRPr="00527A4C">
        <w:rPr>
          <w:rFonts w:ascii="Calibri" w:hAnsi="Calibri" w:cs="Calibri"/>
          <w:sz w:val="24"/>
        </w:rPr>
        <w:t xml:space="preserve">seznámit a proškolit své zaměstnance v této oblasti a také pořídit </w:t>
      </w:r>
      <w:r w:rsidRPr="00CD5981">
        <w:rPr>
          <w:rFonts w:ascii="Calibri" w:hAnsi="Calibri" w:cs="Calibri"/>
          <w:sz w:val="24"/>
        </w:rPr>
        <w:t>nová zařízení.</w:t>
      </w:r>
      <w:r w:rsidR="00D66F1D" w:rsidRPr="00CD5981">
        <w:rPr>
          <w:rFonts w:ascii="Calibri" w:hAnsi="Calibri" w:cs="Calibri"/>
          <w:sz w:val="24"/>
        </w:rPr>
        <w:t xml:space="preserve"> </w:t>
      </w:r>
      <w:r w:rsidRPr="00CD5981">
        <w:rPr>
          <w:rFonts w:ascii="Calibri" w:hAnsi="Calibri" w:cs="Calibri"/>
          <w:sz w:val="24"/>
        </w:rPr>
        <w:t>Rychlé změny - t</w:t>
      </w:r>
      <w:r w:rsidRPr="00527A4C">
        <w:rPr>
          <w:rFonts w:ascii="Calibri" w:hAnsi="Calibri" w:cs="Calibri"/>
          <w:sz w:val="24"/>
        </w:rPr>
        <w:t xml:space="preserve">echnologický vývoj jde kupředu, nepružnost vzdělávacího systému při tvorbě vzdělávacích obsahů, nová legislativa nabývá účinnost - to s sebou přináší nedostatečnou materiální (moderní stroje využitelné pro zaškolování) a </w:t>
      </w:r>
      <w:r>
        <w:rPr>
          <w:rFonts w:ascii="Calibri" w:hAnsi="Calibri" w:cs="Calibri"/>
          <w:sz w:val="24"/>
        </w:rPr>
        <w:t xml:space="preserve">personální ("mistři") kapacitu </w:t>
      </w:r>
      <w:r w:rsidRPr="00527A4C">
        <w:rPr>
          <w:rFonts w:ascii="Calibri" w:hAnsi="Calibri" w:cs="Calibri"/>
          <w:sz w:val="24"/>
        </w:rPr>
        <w:t>podniků pro zajištění produktivní činnosti nových absolventů, nedostatečné aktuální znalosti a dovednosti zaměstnanců.</w:t>
      </w:r>
    </w:p>
    <w:p w:rsidR="00F02FD8" w:rsidRPr="0023642B" w:rsidRDefault="00F02FD8" w:rsidP="00F02FD8">
      <w:pPr>
        <w:pStyle w:val="Odstavecseseznamem"/>
        <w:ind w:left="0"/>
        <w:jc w:val="both"/>
        <w:rPr>
          <w:rFonts w:ascii="Calibri" w:hAnsi="Calibri" w:cs="Calibri"/>
          <w:sz w:val="24"/>
        </w:rPr>
      </w:pPr>
    </w:p>
    <w:p w:rsidR="00874107" w:rsidRPr="00874107" w:rsidRDefault="00F02FD8" w:rsidP="00F02FD8">
      <w:pPr>
        <w:pStyle w:val="Odstavecseseznamem"/>
        <w:ind w:left="0"/>
        <w:contextualSpacing w:val="0"/>
        <w:jc w:val="both"/>
        <w:rPr>
          <w:rFonts w:ascii="Calibri" w:hAnsi="Calibri" w:cs="Calibri"/>
          <w:sz w:val="24"/>
        </w:rPr>
      </w:pPr>
      <w:r w:rsidRPr="00CD5981">
        <w:rPr>
          <w:rFonts w:ascii="Calibri" w:hAnsi="Calibri" w:cs="Calibri"/>
          <w:b/>
          <w:sz w:val="24"/>
        </w:rPr>
        <w:t xml:space="preserve">Identifikovaný problém č. </w:t>
      </w:r>
      <w:r w:rsidR="0005757C" w:rsidRPr="00CD5981">
        <w:rPr>
          <w:rFonts w:ascii="Calibri" w:hAnsi="Calibri" w:cs="Calibri"/>
          <w:b/>
          <w:sz w:val="24"/>
        </w:rPr>
        <w:t>22</w:t>
      </w:r>
      <w:r w:rsidRPr="00CD5981">
        <w:rPr>
          <w:rFonts w:ascii="Calibri" w:hAnsi="Calibri" w:cs="Calibri"/>
          <w:b/>
          <w:sz w:val="24"/>
        </w:rPr>
        <w:t>:</w:t>
      </w:r>
      <w:r w:rsidRPr="00CD5981">
        <w:rPr>
          <w:rFonts w:ascii="Calibri" w:hAnsi="Calibri" w:cs="Calibri"/>
          <w:sz w:val="24"/>
        </w:rPr>
        <w:t xml:space="preserve"> Nedostatečná infrastruktura pro </w:t>
      </w:r>
      <w:r w:rsidR="00CD5981" w:rsidRPr="00CD5981">
        <w:rPr>
          <w:rFonts w:ascii="Calibri" w:hAnsi="Calibri" w:cs="Calibri"/>
          <w:sz w:val="24"/>
        </w:rPr>
        <w:t>odborná</w:t>
      </w:r>
      <w:r w:rsidRPr="00CD5981">
        <w:rPr>
          <w:rFonts w:ascii="Calibri" w:hAnsi="Calibri" w:cs="Calibri"/>
          <w:sz w:val="24"/>
        </w:rPr>
        <w:t xml:space="preserve"> školení.</w:t>
      </w:r>
      <w:r w:rsidR="00D66F1D" w:rsidRPr="00CD5981">
        <w:rPr>
          <w:rFonts w:ascii="Calibri" w:hAnsi="Calibri" w:cs="Calibri"/>
          <w:sz w:val="24"/>
        </w:rPr>
        <w:t xml:space="preserve"> </w:t>
      </w:r>
      <w:r w:rsidR="00874107" w:rsidRPr="00CD5981">
        <w:rPr>
          <w:rFonts w:ascii="Calibri" w:hAnsi="Calibri" w:cs="Calibri"/>
          <w:sz w:val="24"/>
        </w:rPr>
        <w:t>Va</w:t>
      </w:r>
      <w:r w:rsidR="00874107">
        <w:rPr>
          <w:rFonts w:ascii="Calibri" w:hAnsi="Calibri" w:cs="Calibri"/>
          <w:sz w:val="24"/>
        </w:rPr>
        <w:t xml:space="preserve">zba na tematický cíl 3, investiční prioritu 3c </w:t>
      </w:r>
      <w:r w:rsidR="00874107" w:rsidRPr="00FB6BDB">
        <w:rPr>
          <w:rFonts w:ascii="Calibri" w:hAnsi="Calibri" w:cs="Calibri"/>
          <w:sz w:val="24"/>
        </w:rPr>
        <w:t xml:space="preserve">(nařízení o ERDF, článek 5, odst. (3) bod </w:t>
      </w:r>
      <w:r w:rsidR="00D66F1D" w:rsidRPr="00FB6BDB">
        <w:rPr>
          <w:rFonts w:ascii="Calibri" w:hAnsi="Calibri" w:cs="Calibri"/>
          <w:sz w:val="24"/>
        </w:rPr>
        <w:t>(</w:t>
      </w:r>
      <w:r w:rsidR="00874107" w:rsidRPr="00FB6BDB">
        <w:rPr>
          <w:rFonts w:ascii="Calibri" w:hAnsi="Calibri" w:cs="Calibri"/>
          <w:sz w:val="24"/>
        </w:rPr>
        <w:t>c)</w:t>
      </w:r>
    </w:p>
    <w:p w:rsidR="00F02FD8" w:rsidRPr="00D36A59" w:rsidRDefault="00F02FD8" w:rsidP="00F02FD8">
      <w:pPr>
        <w:pStyle w:val="Odstavecseseznamem"/>
        <w:ind w:left="0"/>
        <w:contextualSpacing w:val="0"/>
        <w:jc w:val="both"/>
        <w:rPr>
          <w:rFonts w:ascii="Calibri" w:hAnsi="Calibri" w:cs="Calibri"/>
          <w:sz w:val="24"/>
          <w:highlight w:val="lightGray"/>
        </w:rPr>
      </w:pPr>
    </w:p>
    <w:p w:rsidR="0076346A" w:rsidRDefault="0076346A" w:rsidP="00E841B7">
      <w:pPr>
        <w:pStyle w:val="Odstavecseseznamem"/>
        <w:ind w:left="0"/>
        <w:jc w:val="both"/>
        <w:rPr>
          <w:rFonts w:ascii="Calibri" w:hAnsi="Calibri" w:cs="Calibri"/>
          <w:sz w:val="24"/>
        </w:rPr>
        <w:sectPr w:rsidR="0076346A" w:rsidSect="00F258CA">
          <w:pgSz w:w="11906" w:h="16838"/>
          <w:pgMar w:top="1418" w:right="1276" w:bottom="1276" w:left="1418" w:header="709" w:footer="709" w:gutter="0"/>
          <w:cols w:space="708"/>
          <w:docGrid w:linePitch="272"/>
        </w:sectPr>
      </w:pPr>
    </w:p>
    <w:p w:rsidR="00D31D82" w:rsidRDefault="00D31D82" w:rsidP="00E841B7">
      <w:pPr>
        <w:pStyle w:val="Odstavecseseznamem"/>
        <w:ind w:left="0"/>
        <w:jc w:val="both"/>
        <w:rPr>
          <w:rFonts w:ascii="Calibri" w:hAnsi="Calibri" w:cs="Calibri"/>
          <w:sz w:val="24"/>
        </w:rPr>
      </w:pPr>
    </w:p>
    <w:p w:rsidR="00CD5981" w:rsidRDefault="00CD5981" w:rsidP="00E841B7">
      <w:pPr>
        <w:pStyle w:val="Odstavecseseznamem"/>
        <w:ind w:left="0"/>
        <w:jc w:val="both"/>
        <w:rPr>
          <w:rFonts w:ascii="Calibri" w:hAnsi="Calibri" w:cs="Calibri"/>
          <w:sz w:val="24"/>
        </w:rPr>
      </w:pPr>
    </w:p>
    <w:p w:rsidR="00CF7B55" w:rsidRDefault="00CF7B55" w:rsidP="00E841B7">
      <w:pPr>
        <w:pStyle w:val="Odstavecseseznamem"/>
        <w:ind w:left="0"/>
        <w:jc w:val="both"/>
        <w:rPr>
          <w:rFonts w:ascii="Calibri" w:hAnsi="Calibri" w:cs="Calibri"/>
          <w:sz w:val="24"/>
        </w:rPr>
        <w:sectPr w:rsidR="00CF7B55" w:rsidSect="0076346A">
          <w:type w:val="continuous"/>
          <w:pgSz w:w="11906" w:h="16838"/>
          <w:pgMar w:top="1418" w:right="1276" w:bottom="1276" w:left="1418" w:header="709" w:footer="709" w:gutter="0"/>
          <w:cols w:space="708"/>
          <w:docGrid w:linePitch="272"/>
        </w:sectPr>
      </w:pPr>
    </w:p>
    <w:p w:rsidR="00D52A1C" w:rsidRDefault="00D52A1C" w:rsidP="00D52A1C">
      <w:pPr>
        <w:pStyle w:val="Titulek"/>
        <w:keepNext/>
      </w:pPr>
      <w:r w:rsidRPr="00FB6BDB">
        <w:lastRenderedPageBreak/>
        <w:t xml:space="preserve">Tabulka </w:t>
      </w:r>
      <w:fldSimple w:instr=" SEQ Tabulka \* ARABIC ">
        <w:r w:rsidR="00D92A26">
          <w:rPr>
            <w:noProof/>
          </w:rPr>
          <w:t>5</w:t>
        </w:r>
      </w:fldSimple>
      <w:r w:rsidRPr="00FB6BDB">
        <w:t>: Souhrnu</w:t>
      </w:r>
      <w:r>
        <w:t xml:space="preserve"> identifikovaných problémů</w:t>
      </w:r>
    </w:p>
    <w:tbl>
      <w:tblPr>
        <w:tblStyle w:val="Mkatabulky"/>
        <w:tblW w:w="0" w:type="auto"/>
        <w:tblLook w:val="01E0"/>
      </w:tblPr>
      <w:tblGrid>
        <w:gridCol w:w="8472"/>
        <w:gridCol w:w="1452"/>
        <w:gridCol w:w="1453"/>
        <w:gridCol w:w="1453"/>
        <w:gridCol w:w="1453"/>
      </w:tblGrid>
      <w:tr w:rsidR="00CF7B55" w:rsidTr="00E2405F">
        <w:tc>
          <w:tcPr>
            <w:tcW w:w="8472" w:type="dxa"/>
            <w:vAlign w:val="center"/>
          </w:tcPr>
          <w:p w:rsidR="00CF7B55" w:rsidRPr="00CC129D" w:rsidRDefault="00CF7B55" w:rsidP="00E2405F">
            <w:pPr>
              <w:pStyle w:val="Odstavecseseznamem"/>
              <w:spacing w:before="60" w:after="60"/>
              <w:ind w:left="0"/>
              <w:contextualSpacing w:val="0"/>
              <w:jc w:val="center"/>
              <w:rPr>
                <w:rFonts w:asciiTheme="minorHAnsi" w:hAnsiTheme="minorHAnsi" w:cstheme="minorHAnsi"/>
                <w:b/>
                <w:sz w:val="22"/>
                <w:szCs w:val="22"/>
              </w:rPr>
            </w:pPr>
            <w:r w:rsidRPr="00CC129D">
              <w:rPr>
                <w:rFonts w:asciiTheme="minorHAnsi" w:hAnsiTheme="minorHAnsi" w:cstheme="minorHAnsi"/>
                <w:b/>
                <w:sz w:val="22"/>
                <w:szCs w:val="22"/>
              </w:rPr>
              <w:t>Identifikovaný problém</w:t>
            </w:r>
          </w:p>
        </w:tc>
        <w:tc>
          <w:tcPr>
            <w:tcW w:w="1452" w:type="dxa"/>
            <w:vAlign w:val="center"/>
          </w:tcPr>
          <w:p w:rsidR="00CF7B55" w:rsidRPr="00CC129D" w:rsidRDefault="00CF7B55" w:rsidP="00E2405F">
            <w:pPr>
              <w:pStyle w:val="Odstavecseseznamem"/>
              <w:spacing w:before="60" w:after="60"/>
              <w:ind w:left="0"/>
              <w:contextualSpacing w:val="0"/>
              <w:jc w:val="center"/>
              <w:rPr>
                <w:rFonts w:asciiTheme="minorHAnsi" w:hAnsiTheme="minorHAnsi" w:cstheme="minorHAnsi"/>
                <w:b/>
                <w:sz w:val="22"/>
                <w:szCs w:val="22"/>
                <w:vertAlign w:val="superscript"/>
              </w:rPr>
            </w:pPr>
            <w:r w:rsidRPr="00CC129D">
              <w:rPr>
                <w:rFonts w:asciiTheme="minorHAnsi" w:hAnsiTheme="minorHAnsi" w:cstheme="minorHAnsi"/>
                <w:b/>
                <w:sz w:val="22"/>
                <w:szCs w:val="22"/>
              </w:rPr>
              <w:t>Vazba na tematický cíl</w:t>
            </w:r>
            <w:r w:rsidRPr="00CC129D">
              <w:rPr>
                <w:rFonts w:asciiTheme="minorHAnsi" w:hAnsiTheme="minorHAnsi" w:cstheme="minorHAnsi"/>
                <w:b/>
                <w:sz w:val="22"/>
                <w:szCs w:val="22"/>
                <w:vertAlign w:val="superscript"/>
              </w:rPr>
              <w:t>1</w:t>
            </w:r>
          </w:p>
        </w:tc>
        <w:tc>
          <w:tcPr>
            <w:tcW w:w="1453" w:type="dxa"/>
            <w:vAlign w:val="center"/>
          </w:tcPr>
          <w:p w:rsidR="00CF7B55" w:rsidRPr="00CC129D" w:rsidRDefault="00CF7B55" w:rsidP="00E2405F">
            <w:pPr>
              <w:pStyle w:val="Odstavecseseznamem"/>
              <w:spacing w:before="60" w:after="60"/>
              <w:ind w:left="0"/>
              <w:contextualSpacing w:val="0"/>
              <w:jc w:val="center"/>
              <w:rPr>
                <w:rFonts w:asciiTheme="minorHAnsi" w:hAnsiTheme="minorHAnsi" w:cstheme="minorHAnsi"/>
                <w:b/>
                <w:sz w:val="22"/>
                <w:szCs w:val="22"/>
                <w:vertAlign w:val="superscript"/>
              </w:rPr>
            </w:pPr>
            <w:r w:rsidRPr="00CC129D">
              <w:rPr>
                <w:rFonts w:asciiTheme="minorHAnsi" w:hAnsiTheme="minorHAnsi" w:cstheme="minorHAnsi"/>
                <w:b/>
                <w:sz w:val="22"/>
                <w:szCs w:val="22"/>
              </w:rPr>
              <w:t>Vazba na investiční prioritu</w:t>
            </w:r>
            <w:r w:rsidRPr="00CC129D">
              <w:rPr>
                <w:rFonts w:asciiTheme="minorHAnsi" w:hAnsiTheme="minorHAnsi" w:cstheme="minorHAnsi"/>
                <w:b/>
                <w:sz w:val="22"/>
                <w:szCs w:val="22"/>
                <w:vertAlign w:val="superscript"/>
              </w:rPr>
              <w:t>2</w:t>
            </w:r>
          </w:p>
        </w:tc>
        <w:tc>
          <w:tcPr>
            <w:tcW w:w="1453" w:type="dxa"/>
            <w:vAlign w:val="center"/>
          </w:tcPr>
          <w:p w:rsidR="00CF7B55" w:rsidRPr="00CC129D" w:rsidRDefault="004E4E46" w:rsidP="004E4E46">
            <w:pPr>
              <w:pStyle w:val="Odstavecseseznamem"/>
              <w:spacing w:before="60" w:after="60"/>
              <w:ind w:left="0"/>
              <w:contextualSpacing w:val="0"/>
              <w:jc w:val="center"/>
              <w:rPr>
                <w:rFonts w:asciiTheme="minorHAnsi" w:hAnsiTheme="minorHAnsi" w:cstheme="minorHAnsi"/>
                <w:b/>
                <w:sz w:val="22"/>
                <w:szCs w:val="22"/>
              </w:rPr>
            </w:pPr>
            <w:r>
              <w:rPr>
                <w:rFonts w:asciiTheme="minorHAnsi" w:hAnsiTheme="minorHAnsi" w:cstheme="minorHAnsi"/>
                <w:b/>
                <w:sz w:val="22"/>
                <w:szCs w:val="22"/>
              </w:rPr>
              <w:t>Prioritní osa</w:t>
            </w:r>
            <w:r w:rsidRPr="00CC129D">
              <w:rPr>
                <w:rFonts w:asciiTheme="minorHAnsi" w:hAnsiTheme="minorHAnsi" w:cstheme="minorHAnsi"/>
                <w:b/>
                <w:sz w:val="22"/>
                <w:szCs w:val="22"/>
              </w:rPr>
              <w:t xml:space="preserve"> OP PIK </w:t>
            </w:r>
          </w:p>
        </w:tc>
        <w:tc>
          <w:tcPr>
            <w:tcW w:w="1453" w:type="dxa"/>
            <w:vAlign w:val="center"/>
          </w:tcPr>
          <w:p w:rsidR="00CF7B55" w:rsidRPr="00CC129D" w:rsidRDefault="00CF7B55" w:rsidP="00E2405F">
            <w:pPr>
              <w:pStyle w:val="Odstavecseseznamem"/>
              <w:spacing w:before="60" w:after="60"/>
              <w:ind w:left="0"/>
              <w:contextualSpacing w:val="0"/>
              <w:jc w:val="center"/>
              <w:rPr>
                <w:rFonts w:asciiTheme="minorHAnsi" w:hAnsiTheme="minorHAnsi" w:cstheme="minorHAnsi"/>
                <w:b/>
                <w:sz w:val="22"/>
                <w:szCs w:val="22"/>
              </w:rPr>
            </w:pPr>
            <w:r w:rsidRPr="00CC129D">
              <w:rPr>
                <w:rFonts w:asciiTheme="minorHAnsi" w:hAnsiTheme="minorHAnsi" w:cstheme="minorHAnsi"/>
                <w:b/>
                <w:sz w:val="22"/>
                <w:szCs w:val="22"/>
              </w:rPr>
              <w:t>Specifický cíl OP PIK</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w:t>
            </w:r>
            <w:r w:rsidRPr="00CC129D">
              <w:rPr>
                <w:rFonts w:asciiTheme="minorHAnsi" w:hAnsiTheme="minorHAnsi" w:cstheme="minorHAnsi"/>
                <w:sz w:val="22"/>
                <w:szCs w:val="22"/>
              </w:rPr>
              <w:t>: Celkově nízké výdaje na VaV v poměru k HDP a nízká diverzifikace výdajů na VaV v podnikovém sektoru vedou k omezené komercionalizaci výsledků VaVaI.</w:t>
            </w:r>
          </w:p>
        </w:tc>
        <w:tc>
          <w:tcPr>
            <w:tcW w:w="1452"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TC 1</w:t>
            </w: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IP-1b</w:t>
            </w: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PO 1</w:t>
            </w:r>
          </w:p>
        </w:tc>
        <w:tc>
          <w:tcPr>
            <w:tcW w:w="1453" w:type="dxa"/>
            <w:vAlign w:val="center"/>
          </w:tcPr>
          <w:p w:rsidR="00671B9B"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 1.1</w:t>
            </w:r>
          </w:p>
          <w:p w:rsidR="00B1484D" w:rsidRPr="00CC129D" w:rsidRDefault="00B1484D" w:rsidP="00E2405F">
            <w:pPr>
              <w:pStyle w:val="Odstavecseseznamem"/>
              <w:spacing w:before="60" w:after="60"/>
              <w:ind w:left="0"/>
              <w:contextualSpacing w:val="0"/>
              <w:jc w:val="center"/>
              <w:rPr>
                <w:rFonts w:asciiTheme="minorHAnsi" w:hAnsiTheme="minorHAnsi" w:cstheme="minorHAnsi"/>
                <w:sz w:val="22"/>
                <w:szCs w:val="22"/>
              </w:rPr>
            </w:pPr>
            <w:r>
              <w:rPr>
                <w:rFonts w:asciiTheme="minorHAnsi" w:hAnsiTheme="minorHAnsi" w:cstheme="minorHAnsi"/>
                <w:sz w:val="22"/>
                <w:szCs w:val="22"/>
              </w:rPr>
              <w:t>SC 1.2</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2</w:t>
            </w:r>
            <w:r w:rsidRPr="00CC129D">
              <w:rPr>
                <w:rFonts w:asciiTheme="minorHAnsi" w:hAnsiTheme="minorHAnsi" w:cstheme="minorHAnsi"/>
                <w:sz w:val="22"/>
                <w:szCs w:val="22"/>
              </w:rPr>
              <w:t>: Nízká aktivita v oblasti práv průmyslového vlastnictví a související nízká aktivita v oblasti transferů technologií</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1.1</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3</w:t>
            </w:r>
            <w:r w:rsidRPr="00CC129D">
              <w:rPr>
                <w:rFonts w:asciiTheme="minorHAnsi" w:hAnsiTheme="minorHAnsi" w:cstheme="minorHAnsi"/>
                <w:sz w:val="22"/>
                <w:szCs w:val="22"/>
              </w:rPr>
              <w:t>: Nízký počet inovačně orientovaných start-up podniků a technologicky zaměřených firem obecně.</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B1484D" w:rsidRDefault="00B1484D" w:rsidP="00E2405F">
            <w:pPr>
              <w:pStyle w:val="Odstavecseseznamem"/>
              <w:spacing w:before="60" w:after="60"/>
              <w:ind w:left="0"/>
              <w:contextualSpacing w:val="0"/>
              <w:jc w:val="center"/>
              <w:rPr>
                <w:rFonts w:asciiTheme="minorHAnsi" w:hAnsiTheme="minorHAnsi" w:cstheme="minorHAnsi"/>
                <w:sz w:val="22"/>
                <w:szCs w:val="22"/>
              </w:rPr>
            </w:pPr>
            <w:r>
              <w:rPr>
                <w:rFonts w:asciiTheme="minorHAnsi" w:hAnsiTheme="minorHAnsi" w:cstheme="minorHAnsi"/>
                <w:sz w:val="22"/>
                <w:szCs w:val="22"/>
              </w:rPr>
              <w:t>SC 1.3</w:t>
            </w:r>
          </w:p>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1.4</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4:</w:t>
            </w:r>
            <w:r w:rsidRPr="00CC129D">
              <w:rPr>
                <w:rFonts w:asciiTheme="minorHAnsi" w:hAnsiTheme="minorHAnsi" w:cstheme="minorHAnsi"/>
                <w:sz w:val="22"/>
                <w:szCs w:val="22"/>
              </w:rPr>
              <w:t xml:space="preserve"> Nedostatečná dostupnost financí pro projekty založení a rozvoje inovačních podniků.</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1.4</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5:</w:t>
            </w:r>
            <w:r w:rsidRPr="00CC129D">
              <w:rPr>
                <w:rFonts w:asciiTheme="minorHAnsi" w:hAnsiTheme="minorHAnsi" w:cstheme="minorHAnsi"/>
                <w:sz w:val="22"/>
                <w:szCs w:val="22"/>
              </w:rPr>
              <w:t xml:space="preserve"> Nízký podíl inovací vyšších řádů při zavádění technických inovací, nízký podíl netechnických inovací.</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B1484D">
              <w:rPr>
                <w:rFonts w:asciiTheme="minorHAnsi" w:hAnsiTheme="minorHAnsi" w:cstheme="minorHAnsi"/>
                <w:sz w:val="22"/>
                <w:szCs w:val="22"/>
              </w:rPr>
              <w:t>1.1</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6</w:t>
            </w:r>
            <w:r w:rsidRPr="00CC129D">
              <w:rPr>
                <w:rFonts w:asciiTheme="minorHAnsi" w:hAnsiTheme="minorHAnsi" w:cstheme="minorHAnsi"/>
                <w:sz w:val="22"/>
                <w:szCs w:val="22"/>
              </w:rPr>
              <w:t>: Je možné zefektivnit využití inovační infrastruktury z hlediska kvality poskytovaných služeb a struktury usazených podniků?</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1.3</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7</w:t>
            </w:r>
            <w:r w:rsidRPr="00CC129D">
              <w:rPr>
                <w:rFonts w:asciiTheme="minorHAnsi" w:hAnsiTheme="minorHAnsi" w:cstheme="minorHAnsi"/>
                <w:sz w:val="22"/>
                <w:szCs w:val="22"/>
              </w:rPr>
              <w:t>: Nedostatečná intenzita partnerství mezi vědeckovýzkumnou a podnikatelskou sférou</w:t>
            </w:r>
          </w:p>
        </w:tc>
        <w:tc>
          <w:tcPr>
            <w:tcW w:w="1452"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1.3</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8:</w:t>
            </w:r>
            <w:r w:rsidRPr="00CC129D">
              <w:rPr>
                <w:rFonts w:asciiTheme="minorHAnsi" w:hAnsiTheme="minorHAnsi" w:cstheme="minorHAnsi"/>
                <w:sz w:val="22"/>
                <w:szCs w:val="22"/>
              </w:rPr>
              <w:t xml:space="preserve"> Chybějící stimulace pro komerční naplňování cílů ze Strategie EU 2020 (a Digitální agendy pro Evropu) a selhání tržního mechanismu při investování přístupových sítí nové generace pro vysokorychlostní přístup k internetu v jednotlivých regionech.</w:t>
            </w:r>
          </w:p>
        </w:tc>
        <w:tc>
          <w:tcPr>
            <w:tcW w:w="1452"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TC 2</w:t>
            </w: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IP-2a</w:t>
            </w: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PO 4</w:t>
            </w: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4.1</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9:</w:t>
            </w:r>
            <w:r w:rsidRPr="00CC129D">
              <w:rPr>
                <w:rFonts w:asciiTheme="minorHAnsi" w:hAnsiTheme="minorHAnsi" w:cstheme="minorHAnsi"/>
                <w:sz w:val="22"/>
                <w:szCs w:val="22"/>
              </w:rPr>
              <w:t xml:space="preserve"> Nedostatečná motivace českých firem pro rozvoj produkce s vysokou přidanou hodnotou a nedostatečná přímá podpora budování datových center a tím snižování nákladů na ICT.</w:t>
            </w:r>
          </w:p>
        </w:tc>
        <w:tc>
          <w:tcPr>
            <w:tcW w:w="1452"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IP-2b</w:t>
            </w:r>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4.2</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10:</w:t>
            </w:r>
            <w:r w:rsidRPr="00CC129D">
              <w:rPr>
                <w:rFonts w:asciiTheme="minorHAnsi" w:hAnsiTheme="minorHAnsi" w:cstheme="minorHAnsi"/>
                <w:sz w:val="22"/>
                <w:szCs w:val="22"/>
              </w:rPr>
              <w:t xml:space="preserve"> Přetrvávající vysoká energetická náročnost hospodářství.</w:t>
            </w:r>
          </w:p>
        </w:tc>
        <w:tc>
          <w:tcPr>
            <w:tcW w:w="1452"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TC 4</w:t>
            </w: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IP-4b</w:t>
            </w: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Pr>
                <w:rFonts w:asciiTheme="minorHAnsi" w:hAnsiTheme="minorHAnsi" w:cstheme="minorHAnsi"/>
                <w:sz w:val="22"/>
                <w:szCs w:val="22"/>
              </w:rPr>
              <w:t>PO 3</w:t>
            </w: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3.2</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11</w:t>
            </w:r>
            <w:r w:rsidRPr="00CC129D">
              <w:rPr>
                <w:rFonts w:asciiTheme="minorHAnsi" w:hAnsiTheme="minorHAnsi" w:cstheme="minorHAnsi"/>
                <w:sz w:val="22"/>
                <w:szCs w:val="22"/>
              </w:rPr>
              <w:t>: Nedostatečně efektivní tepelně rozvodná zařízení</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IP-4g</w:t>
            </w: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3.5</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12:</w:t>
            </w:r>
            <w:r w:rsidRPr="00CC129D">
              <w:rPr>
                <w:rFonts w:asciiTheme="minorHAnsi" w:hAnsiTheme="minorHAnsi" w:cstheme="minorHAnsi"/>
                <w:sz w:val="22"/>
                <w:szCs w:val="22"/>
              </w:rPr>
              <w:t xml:space="preserve"> Nedostatečně využitý potenciál kombinované výroby elektřiny a tepla.</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3.5</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lastRenderedPageBreak/>
              <w:t>13:</w:t>
            </w:r>
            <w:r w:rsidRPr="00CC129D">
              <w:rPr>
                <w:rFonts w:asciiTheme="minorHAnsi" w:hAnsiTheme="minorHAnsi" w:cstheme="minorHAnsi"/>
                <w:sz w:val="22"/>
                <w:szCs w:val="22"/>
              </w:rPr>
              <w:t xml:space="preserve"> Nedostatečná adaptace přenosových a distribučních sítí na změnu zdrojové základny v energetice a nárůst a změnu charakteru odběrných míst.</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IP-4d</w:t>
            </w: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3.3</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14:</w:t>
            </w:r>
            <w:r w:rsidRPr="00CC129D">
              <w:rPr>
                <w:rFonts w:asciiTheme="minorHAnsi" w:hAnsiTheme="minorHAnsi" w:cstheme="minorHAnsi"/>
                <w:sz w:val="22"/>
                <w:szCs w:val="22"/>
              </w:rPr>
              <w:t xml:space="preserve"> Zefektivnění využívání obnovitelných zdrojů v podnicích.</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IP-4a</w:t>
            </w: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0B7605" w:rsidRDefault="000B7605" w:rsidP="00E2405F">
            <w:pPr>
              <w:pStyle w:val="Odstavecseseznamem"/>
              <w:spacing w:before="60" w:after="60"/>
              <w:ind w:left="0"/>
              <w:contextualSpacing w:val="0"/>
              <w:jc w:val="center"/>
              <w:rPr>
                <w:rFonts w:asciiTheme="minorHAnsi" w:hAnsiTheme="minorHAnsi" w:cstheme="minorHAnsi"/>
                <w:sz w:val="22"/>
                <w:szCs w:val="22"/>
              </w:rPr>
            </w:pPr>
            <w:r>
              <w:rPr>
                <w:rFonts w:asciiTheme="minorHAnsi" w:hAnsiTheme="minorHAnsi" w:cstheme="minorHAnsi"/>
                <w:sz w:val="22"/>
                <w:szCs w:val="22"/>
              </w:rPr>
              <w:t>SC 3.1</w:t>
            </w:r>
          </w:p>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3.2</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15</w:t>
            </w:r>
            <w:r w:rsidRPr="00CC129D">
              <w:rPr>
                <w:rFonts w:asciiTheme="minorHAnsi" w:hAnsiTheme="minorHAnsi" w:cstheme="minorHAnsi"/>
                <w:sz w:val="22"/>
                <w:szCs w:val="22"/>
              </w:rPr>
              <w:t>: Nedostatečně využitý potenciál výzkumu a vývoje v energetice.</w:t>
            </w:r>
          </w:p>
        </w:tc>
        <w:tc>
          <w:tcPr>
            <w:tcW w:w="1452"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w:t>
            </w:r>
            <w:smartTag w:uri="urn:schemas-microsoft-com:office:smarttags" w:element="metricconverter">
              <w:smartTagPr>
                <w:attr w:name="ProductID" w:val="4f"/>
              </w:smartTagPr>
              <w:r w:rsidRPr="00CC129D">
                <w:rPr>
                  <w:rFonts w:asciiTheme="minorHAnsi" w:hAnsiTheme="minorHAnsi" w:cstheme="minorHAnsi"/>
                  <w:sz w:val="22"/>
                  <w:szCs w:val="22"/>
                </w:rPr>
                <w:t>4f</w:t>
              </w:r>
            </w:smartTag>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3.4</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16:</w:t>
            </w:r>
            <w:r w:rsidRPr="00CC129D">
              <w:rPr>
                <w:rFonts w:asciiTheme="minorHAnsi" w:hAnsiTheme="minorHAnsi" w:cstheme="minorHAnsi"/>
                <w:sz w:val="22"/>
                <w:szCs w:val="22"/>
              </w:rPr>
              <w:t xml:space="preserve"> Nedostatečné využívání druhotných surovin</w:t>
            </w:r>
          </w:p>
        </w:tc>
        <w:tc>
          <w:tcPr>
            <w:tcW w:w="1452"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TC 4</w:t>
            </w:r>
          </w:p>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TC 6</w:t>
            </w: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w:t>
            </w:r>
            <w:smartTag w:uri="urn:schemas-microsoft-com:office:smarttags" w:element="metricconverter">
              <w:smartTagPr>
                <w:attr w:name="ProductID" w:val="4f"/>
              </w:smartTagPr>
              <w:r w:rsidRPr="00CC129D">
                <w:rPr>
                  <w:rFonts w:asciiTheme="minorHAnsi" w:hAnsiTheme="minorHAnsi" w:cstheme="minorHAnsi"/>
                  <w:sz w:val="22"/>
                  <w:szCs w:val="22"/>
                </w:rPr>
                <w:t>4f</w:t>
              </w:r>
            </w:smartTag>
          </w:p>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w:t>
            </w:r>
            <w:smartTag w:uri="urn:schemas-microsoft-com:office:smarttags" w:element="metricconverter">
              <w:smartTagPr>
                <w:attr w:name="ProductID" w:val="6f"/>
              </w:smartTagPr>
              <w:r w:rsidRPr="00CC129D">
                <w:rPr>
                  <w:rFonts w:asciiTheme="minorHAnsi" w:hAnsiTheme="minorHAnsi" w:cstheme="minorHAnsi"/>
                  <w:sz w:val="22"/>
                  <w:szCs w:val="22"/>
                </w:rPr>
                <w:t>6f</w:t>
              </w:r>
            </w:smartTag>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3.4</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17:</w:t>
            </w:r>
            <w:r w:rsidRPr="00CC129D">
              <w:rPr>
                <w:rFonts w:asciiTheme="minorHAnsi" w:hAnsiTheme="minorHAnsi" w:cstheme="minorHAnsi"/>
                <w:sz w:val="22"/>
                <w:szCs w:val="22"/>
              </w:rPr>
              <w:t xml:space="preserve"> Dostupnost informací a služeb pro podnikání při vstupu na zahraniční trhy</w:t>
            </w:r>
          </w:p>
        </w:tc>
        <w:tc>
          <w:tcPr>
            <w:tcW w:w="1452"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TC 3</w:t>
            </w:r>
          </w:p>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IP-3b</w:t>
            </w: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PO 2</w:t>
            </w: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2.3</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18:</w:t>
            </w:r>
            <w:r w:rsidRPr="00CC129D">
              <w:rPr>
                <w:rFonts w:asciiTheme="minorHAnsi" w:hAnsiTheme="minorHAnsi" w:cstheme="minorHAnsi"/>
                <w:sz w:val="22"/>
                <w:szCs w:val="22"/>
              </w:rPr>
              <w:t xml:space="preserve"> Dostupnost informací pro další směřování technologické strategie podniků v návaznosti na trendy koncových trhů</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0B7605" w:rsidRDefault="000B7605" w:rsidP="00E2405F">
            <w:pPr>
              <w:pStyle w:val="Odstavecseseznamem"/>
              <w:spacing w:before="60" w:after="60"/>
              <w:ind w:left="0"/>
              <w:contextualSpacing w:val="0"/>
              <w:jc w:val="center"/>
              <w:rPr>
                <w:rFonts w:asciiTheme="minorHAnsi" w:hAnsiTheme="minorHAnsi" w:cstheme="minorHAnsi"/>
                <w:sz w:val="22"/>
                <w:szCs w:val="22"/>
              </w:rPr>
            </w:pPr>
            <w:r>
              <w:rPr>
                <w:rFonts w:asciiTheme="minorHAnsi" w:hAnsiTheme="minorHAnsi" w:cstheme="minorHAnsi"/>
                <w:sz w:val="22"/>
                <w:szCs w:val="22"/>
              </w:rPr>
              <w:t>SC 2.3</w:t>
            </w:r>
          </w:p>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2.4</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19</w:t>
            </w:r>
            <w:r w:rsidRPr="00CC129D">
              <w:rPr>
                <w:rFonts w:asciiTheme="minorHAnsi" w:hAnsiTheme="minorHAnsi" w:cstheme="minorHAnsi"/>
                <w:sz w:val="22"/>
                <w:szCs w:val="22"/>
              </w:rPr>
              <w:t>: Nízká úroveň netechnických kompetencí podniků</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2.4</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20:</w:t>
            </w:r>
            <w:r w:rsidRPr="00CC129D">
              <w:rPr>
                <w:rFonts w:asciiTheme="minorHAnsi" w:hAnsiTheme="minorHAnsi" w:cstheme="minorHAnsi"/>
                <w:sz w:val="22"/>
                <w:szCs w:val="22"/>
              </w:rPr>
              <w:t xml:space="preserve"> Nedostatečné podmínky pro rozvoj podniků s nižším inovačním potenciálem ve vybraných regionech</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restart"/>
            <w:vAlign w:val="center"/>
          </w:tcPr>
          <w:p w:rsidR="00671B9B" w:rsidRPr="00CC129D" w:rsidRDefault="00671B9B" w:rsidP="00671B9B">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IP-3a</w:t>
            </w: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2.1</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21:</w:t>
            </w:r>
            <w:r w:rsidRPr="00CC129D">
              <w:rPr>
                <w:rFonts w:asciiTheme="minorHAnsi" w:hAnsiTheme="minorHAnsi" w:cstheme="minorHAnsi"/>
                <w:sz w:val="22"/>
                <w:szCs w:val="22"/>
              </w:rPr>
              <w:t xml:space="preserve"> Opětovné využití existujících průmyslových budov v lokalitách typu brownfields.</w:t>
            </w:r>
          </w:p>
        </w:tc>
        <w:tc>
          <w:tcPr>
            <w:tcW w:w="1452"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Merge/>
            <w:vAlign w:val="center"/>
          </w:tcPr>
          <w:p w:rsidR="00671B9B" w:rsidRPr="00CC129D" w:rsidRDefault="00671B9B" w:rsidP="00E2405F">
            <w:pPr>
              <w:pStyle w:val="Odstavecseseznamem"/>
              <w:spacing w:before="60" w:after="60"/>
              <w:ind w:left="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2.2</w:t>
            </w:r>
          </w:p>
        </w:tc>
      </w:tr>
      <w:tr w:rsidR="00671B9B" w:rsidTr="00E2405F">
        <w:tc>
          <w:tcPr>
            <w:tcW w:w="8472" w:type="dxa"/>
            <w:vAlign w:val="center"/>
          </w:tcPr>
          <w:p w:rsidR="00671B9B" w:rsidRPr="00CC129D" w:rsidRDefault="00671B9B" w:rsidP="00E2405F">
            <w:pPr>
              <w:pStyle w:val="Odstavecseseznamem"/>
              <w:spacing w:before="60" w:after="60"/>
              <w:ind w:left="0"/>
              <w:contextualSpacing w:val="0"/>
              <w:rPr>
                <w:rFonts w:asciiTheme="minorHAnsi" w:hAnsiTheme="minorHAnsi" w:cstheme="minorHAnsi"/>
                <w:sz w:val="22"/>
                <w:szCs w:val="22"/>
              </w:rPr>
            </w:pPr>
            <w:r w:rsidRPr="00CC129D">
              <w:rPr>
                <w:rFonts w:asciiTheme="minorHAnsi" w:hAnsiTheme="minorHAnsi" w:cstheme="minorHAnsi"/>
                <w:b/>
                <w:sz w:val="22"/>
                <w:szCs w:val="22"/>
              </w:rPr>
              <w:t>22:</w:t>
            </w:r>
            <w:r w:rsidRPr="00CC129D">
              <w:rPr>
                <w:rFonts w:asciiTheme="minorHAnsi" w:hAnsiTheme="minorHAnsi" w:cstheme="minorHAnsi"/>
                <w:sz w:val="22"/>
                <w:szCs w:val="22"/>
              </w:rPr>
              <w:t xml:space="preserve"> Nedostatečná infrastruktura pro specializovaná školení.</w:t>
            </w:r>
          </w:p>
        </w:tc>
        <w:tc>
          <w:tcPr>
            <w:tcW w:w="1452"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IP-3c</w:t>
            </w:r>
          </w:p>
        </w:tc>
        <w:tc>
          <w:tcPr>
            <w:tcW w:w="1453" w:type="dxa"/>
            <w:vMerge/>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p>
        </w:tc>
        <w:tc>
          <w:tcPr>
            <w:tcW w:w="1453" w:type="dxa"/>
            <w:vAlign w:val="center"/>
          </w:tcPr>
          <w:p w:rsidR="00671B9B" w:rsidRPr="00CC129D" w:rsidRDefault="00671B9B" w:rsidP="00E2405F">
            <w:pPr>
              <w:pStyle w:val="Odstavecseseznamem"/>
              <w:spacing w:before="60" w:after="60"/>
              <w:ind w:left="0"/>
              <w:contextualSpacing w:val="0"/>
              <w:jc w:val="center"/>
              <w:rPr>
                <w:rFonts w:asciiTheme="minorHAnsi" w:hAnsiTheme="minorHAnsi" w:cstheme="minorHAnsi"/>
                <w:sz w:val="22"/>
                <w:szCs w:val="22"/>
              </w:rPr>
            </w:pPr>
            <w:r w:rsidRPr="00CC129D">
              <w:rPr>
                <w:rFonts w:asciiTheme="minorHAnsi" w:hAnsiTheme="minorHAnsi" w:cstheme="minorHAnsi"/>
                <w:sz w:val="22"/>
                <w:szCs w:val="22"/>
              </w:rPr>
              <w:t>SC</w:t>
            </w:r>
            <w:r w:rsidR="00D40CE0">
              <w:rPr>
                <w:rFonts w:asciiTheme="minorHAnsi" w:hAnsiTheme="minorHAnsi" w:cstheme="minorHAnsi"/>
                <w:sz w:val="22"/>
                <w:szCs w:val="22"/>
              </w:rPr>
              <w:t xml:space="preserve"> </w:t>
            </w:r>
            <w:r w:rsidR="000B7605">
              <w:rPr>
                <w:rFonts w:asciiTheme="minorHAnsi" w:hAnsiTheme="minorHAnsi" w:cstheme="minorHAnsi"/>
                <w:sz w:val="22"/>
                <w:szCs w:val="22"/>
              </w:rPr>
              <w:t>2.5</w:t>
            </w:r>
          </w:p>
        </w:tc>
      </w:tr>
    </w:tbl>
    <w:p w:rsidR="00DF0ED6" w:rsidRPr="00D308AD" w:rsidRDefault="00D308AD" w:rsidP="00D308AD">
      <w:pPr>
        <w:pStyle w:val="Odstavecseseznamem"/>
        <w:spacing w:before="120"/>
        <w:ind w:left="0"/>
        <w:jc w:val="both"/>
        <w:rPr>
          <w:rFonts w:ascii="Calibri" w:hAnsi="Calibri" w:cs="Calibri"/>
          <w:vertAlign w:val="superscript"/>
        </w:rPr>
      </w:pPr>
      <w:r w:rsidRPr="00D308AD">
        <w:rPr>
          <w:rFonts w:ascii="Calibri" w:hAnsi="Calibri" w:cs="Calibri"/>
          <w:vertAlign w:val="superscript"/>
        </w:rPr>
        <w:t xml:space="preserve">1 </w:t>
      </w:r>
      <w:r w:rsidR="00C45BCA">
        <w:rPr>
          <w:rFonts w:ascii="Calibri" w:hAnsi="Calibri" w:cs="Calibri"/>
        </w:rPr>
        <w:t>T</w:t>
      </w:r>
      <w:r w:rsidRPr="00D308AD">
        <w:rPr>
          <w:rFonts w:ascii="Calibri" w:hAnsi="Calibri" w:cs="Calibri"/>
        </w:rPr>
        <w:t>ematický cíl dle čl. 9 návrhu obecného nařízení</w:t>
      </w:r>
    </w:p>
    <w:p w:rsidR="00D308AD" w:rsidRDefault="00D308AD" w:rsidP="00D308AD">
      <w:pPr>
        <w:pStyle w:val="Odstavecseseznamem"/>
        <w:spacing w:before="120"/>
        <w:ind w:left="0"/>
        <w:jc w:val="both"/>
        <w:rPr>
          <w:rFonts w:ascii="Calibri" w:hAnsi="Calibri" w:cs="Calibri"/>
        </w:rPr>
      </w:pPr>
      <w:r w:rsidRPr="00D308AD">
        <w:rPr>
          <w:rFonts w:ascii="Calibri" w:hAnsi="Calibri" w:cs="Calibri"/>
          <w:vertAlign w:val="superscript"/>
        </w:rPr>
        <w:t xml:space="preserve">2 </w:t>
      </w:r>
      <w:r w:rsidR="00C45BCA">
        <w:rPr>
          <w:rFonts w:ascii="Calibri" w:hAnsi="Calibri" w:cs="Calibri"/>
        </w:rPr>
        <w:t>I</w:t>
      </w:r>
      <w:r w:rsidRPr="00D308AD">
        <w:rPr>
          <w:rFonts w:ascii="Calibri" w:hAnsi="Calibri" w:cs="Calibri"/>
        </w:rPr>
        <w:t>nvestiční priorita dle čl. 5 návrhu nařízení k ERDF</w:t>
      </w:r>
    </w:p>
    <w:p w:rsidR="00297A5A" w:rsidRDefault="00297A5A" w:rsidP="00D308AD">
      <w:pPr>
        <w:pStyle w:val="Odstavecseseznamem"/>
        <w:spacing w:before="120"/>
        <w:ind w:left="0"/>
        <w:jc w:val="both"/>
        <w:rPr>
          <w:rFonts w:ascii="Calibri" w:hAnsi="Calibri" w:cs="Calibri"/>
        </w:rPr>
      </w:pPr>
    </w:p>
    <w:p w:rsidR="00297A5A" w:rsidRPr="00297A5A" w:rsidRDefault="00297A5A" w:rsidP="00297A5A"/>
    <w:p w:rsidR="00297A5A" w:rsidRPr="00297A5A" w:rsidRDefault="00297A5A" w:rsidP="00297A5A"/>
    <w:p w:rsidR="00297A5A" w:rsidRPr="00297A5A" w:rsidRDefault="00297A5A" w:rsidP="00297A5A"/>
    <w:p w:rsidR="00297A5A" w:rsidRPr="00297A5A" w:rsidRDefault="00297A5A" w:rsidP="00297A5A"/>
    <w:p w:rsidR="00297A5A" w:rsidRPr="00297A5A" w:rsidRDefault="00297A5A" w:rsidP="00297A5A"/>
    <w:p w:rsidR="00297A5A" w:rsidRPr="00297A5A" w:rsidRDefault="00297A5A" w:rsidP="00297A5A"/>
    <w:p w:rsidR="00297A5A" w:rsidRDefault="00297A5A" w:rsidP="00297A5A">
      <w:pPr>
        <w:tabs>
          <w:tab w:val="left" w:pos="5309"/>
        </w:tabs>
      </w:pPr>
      <w:r>
        <w:tab/>
      </w:r>
    </w:p>
    <w:p w:rsidR="00297A5A" w:rsidRDefault="00297A5A" w:rsidP="00297A5A"/>
    <w:p w:rsidR="00CF7B55" w:rsidRPr="00297A5A" w:rsidRDefault="00CF7B55" w:rsidP="00297A5A">
      <w:pPr>
        <w:sectPr w:rsidR="00CF7B55" w:rsidRPr="00297A5A" w:rsidSect="00CF7B55">
          <w:headerReference w:type="default" r:id="rId27"/>
          <w:footerReference w:type="default" r:id="rId28"/>
          <w:pgSz w:w="16838" w:h="11906" w:orient="landscape"/>
          <w:pgMar w:top="1418" w:right="1418" w:bottom="1276" w:left="1276" w:header="709" w:footer="709" w:gutter="0"/>
          <w:cols w:space="708"/>
          <w:docGrid w:linePitch="272"/>
        </w:sectPr>
      </w:pPr>
    </w:p>
    <w:p w:rsidR="00CD5981" w:rsidRPr="00CD5981" w:rsidRDefault="00CD5981" w:rsidP="001653A7">
      <w:pPr>
        <w:pStyle w:val="Nadpis3"/>
        <w:spacing w:line="240" w:lineRule="auto"/>
      </w:pPr>
      <w:bookmarkStart w:id="9" w:name="_Toc351464350"/>
      <w:bookmarkStart w:id="10" w:name="_Toc352328355"/>
      <w:r w:rsidRPr="00CD5981">
        <w:lastRenderedPageBreak/>
        <w:t>Vazby na další strategické dokumenty EU a ČR</w:t>
      </w:r>
      <w:bookmarkEnd w:id="9"/>
      <w:bookmarkEnd w:id="10"/>
    </w:p>
    <w:p w:rsidR="00CD5981" w:rsidRPr="00CD5981" w:rsidRDefault="00CD5981" w:rsidP="001653A7">
      <w:pPr>
        <w:jc w:val="both"/>
        <w:rPr>
          <w:rFonts w:ascii="Calibri" w:hAnsi="Calibri" w:cs="Calibri"/>
          <w:b/>
          <w:i/>
          <w:sz w:val="24"/>
          <w:szCs w:val="24"/>
          <w:u w:val="single"/>
        </w:rPr>
      </w:pPr>
      <w:r w:rsidRPr="00CD5981">
        <w:rPr>
          <w:rFonts w:ascii="Calibri" w:hAnsi="Calibri" w:cs="Calibri"/>
          <w:b/>
          <w:i/>
          <w:sz w:val="24"/>
          <w:szCs w:val="24"/>
          <w:u w:val="single"/>
        </w:rPr>
        <w:t>Strategické dokumenty EU</w:t>
      </w:r>
    </w:p>
    <w:p w:rsidR="00CD5981" w:rsidRPr="00CD5981" w:rsidRDefault="00CD5981" w:rsidP="001653A7">
      <w:pPr>
        <w:jc w:val="both"/>
        <w:rPr>
          <w:rFonts w:ascii="Calibri" w:hAnsi="Calibri" w:cs="Calibri"/>
          <w:sz w:val="24"/>
          <w:szCs w:val="24"/>
        </w:rPr>
      </w:pPr>
    </w:p>
    <w:p w:rsidR="00CD5981" w:rsidRPr="00CD5981" w:rsidRDefault="00CD5981" w:rsidP="001653A7">
      <w:pPr>
        <w:overflowPunct/>
        <w:jc w:val="both"/>
        <w:textAlignment w:val="auto"/>
        <w:rPr>
          <w:rFonts w:ascii="Calibri" w:hAnsi="Calibri" w:cs="Calibri"/>
          <w:bCs/>
          <w:sz w:val="24"/>
          <w:szCs w:val="24"/>
        </w:rPr>
      </w:pPr>
      <w:r w:rsidRPr="00CD5981">
        <w:rPr>
          <w:rFonts w:ascii="Calibri" w:hAnsi="Calibri" w:cs="Calibri"/>
          <w:bCs/>
          <w:sz w:val="24"/>
          <w:szCs w:val="24"/>
        </w:rPr>
        <w:t xml:space="preserve">Navržená strategie OP Podnikání a inovace pro konkurenceschopnost zohledňuje </w:t>
      </w:r>
      <w:r w:rsidRPr="00CD5981">
        <w:rPr>
          <w:rFonts w:ascii="Calibri" w:hAnsi="Calibri" w:cs="Calibri"/>
          <w:b/>
          <w:bCs/>
          <w:sz w:val="24"/>
          <w:szCs w:val="24"/>
        </w:rPr>
        <w:t>Sdělení Komise Evropa 2020 „Strategie pro inteligentní a udržitelný růst podporující začlenění“</w:t>
      </w:r>
      <w:r w:rsidRPr="00CD5981">
        <w:rPr>
          <w:rFonts w:ascii="Calibri" w:hAnsi="Calibri" w:cs="Calibri"/>
          <w:bCs/>
          <w:sz w:val="24"/>
          <w:szCs w:val="24"/>
        </w:rPr>
        <w:t xml:space="preserve"> /KOM(2010) 2020 ze dne 3. března 2010/ a další strategie EU vztahující se ke kohezní politice 2014 – 2020. </w:t>
      </w:r>
    </w:p>
    <w:p w:rsidR="00CD5981" w:rsidRDefault="00CD5981" w:rsidP="001653A7">
      <w:pPr>
        <w:overflowPunct/>
        <w:jc w:val="both"/>
        <w:textAlignment w:val="auto"/>
        <w:rPr>
          <w:rFonts w:ascii="Calibri" w:hAnsi="Calibri" w:cs="Calibri"/>
          <w:sz w:val="24"/>
          <w:szCs w:val="24"/>
        </w:rPr>
      </w:pPr>
    </w:p>
    <w:p w:rsidR="00CD5981" w:rsidRPr="00FB488F" w:rsidRDefault="00CD5981" w:rsidP="001653A7">
      <w:pPr>
        <w:jc w:val="both"/>
        <w:rPr>
          <w:rFonts w:ascii="Calibri" w:hAnsi="Calibri" w:cs="Calibri"/>
          <w:b/>
          <w:sz w:val="24"/>
          <w:szCs w:val="24"/>
        </w:rPr>
      </w:pPr>
      <w:r w:rsidRPr="00FB488F">
        <w:rPr>
          <w:rFonts w:ascii="Calibri" w:hAnsi="Calibri" w:cs="Calibri"/>
          <w:b/>
          <w:sz w:val="24"/>
          <w:szCs w:val="24"/>
        </w:rPr>
        <w:t>Pátá kohezní zpráva o hospodářské a sociální soudržnosti</w:t>
      </w:r>
    </w:p>
    <w:p w:rsidR="00CD5981" w:rsidRPr="00FB488F" w:rsidRDefault="00CD5981" w:rsidP="001653A7">
      <w:pPr>
        <w:jc w:val="both"/>
        <w:rPr>
          <w:rFonts w:ascii="Calibri" w:hAnsi="Calibri" w:cs="Calibri"/>
          <w:sz w:val="24"/>
          <w:szCs w:val="24"/>
        </w:rPr>
      </w:pPr>
      <w:r w:rsidRPr="00FB488F">
        <w:rPr>
          <w:rFonts w:ascii="Calibri" w:hAnsi="Calibri" w:cs="Calibri"/>
          <w:sz w:val="24"/>
          <w:szCs w:val="24"/>
        </w:rPr>
        <w:t>Pátá kohezní zpráva vymezuje základní rámec pro nastavení modelu kohezní politiky v programovacím obdob</w:t>
      </w:r>
      <w:r w:rsidRPr="00CD5981">
        <w:rPr>
          <w:rFonts w:ascii="Calibri" w:hAnsi="Calibri" w:cs="Calibri"/>
          <w:sz w:val="24"/>
          <w:szCs w:val="24"/>
        </w:rPr>
        <w:t xml:space="preserve">í 2014 - 2020. </w:t>
      </w:r>
      <w:r w:rsidRPr="00FB488F">
        <w:rPr>
          <w:rFonts w:ascii="Calibri" w:hAnsi="Calibri" w:cs="Calibri"/>
          <w:sz w:val="24"/>
          <w:szCs w:val="24"/>
        </w:rPr>
        <w:t xml:space="preserve">Cílem Páté kohezní zprávy o ekonomické, sociální a územní soudržnosti bylo zanalyzovat možnosti, jak může kohezní politika a její realizace na úrovni regionů přispět k plnění cílů Strategie Evropa 2020. Ve zprávě je konstatováno, že hlavních cílů Strategie 2020 nelze dosáhnout bez integrovaných politik na úrovni EU a členských států. Současně musí být kohezní politika navázána na další politiky EU. Pátá kohezní zpráva o ekonomické, sociální a územní soudržnosti byla v rámci analýzy regionálních hospodářských disparit oproti předchozím rozšířena o problematiku institucí. Podle této zprávy bude nezbytné zajistit, aby členské státy a regiony dokázaly soustředit unijní a vnitrostátní prostředky na malý počet priorit, které odpovídají jejich specifickým problémům, s nimiž se potýkají. </w:t>
      </w:r>
    </w:p>
    <w:p w:rsidR="00CD5981" w:rsidRPr="00FB488F" w:rsidRDefault="00CD5981" w:rsidP="00CD5981">
      <w:pPr>
        <w:jc w:val="both"/>
        <w:rPr>
          <w:rFonts w:ascii="Calibri" w:hAnsi="Calibri" w:cs="Calibri"/>
          <w:b/>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 xml:space="preserve">Sdělení EK Unie inovací </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 xml:space="preserve">Unie inovací je jednou ze sedmi vlajkových iniciativ, které mají pomoci plnit cíle strategie Evropa 2020. Sdělení Unie inovací bylo Evropskou komisí vydáno dne 6. 10. 2010. Sdělení obsahuje návrh 34 opatření, která jsou rozdělena do šesti oblastí: 1. Posílení znalostní základny, 2. Uvádění nových nápadů na trh, 3. Maximalizace sociální a územní soudržnosti, 4. Evropská inovační partnerství (dále jen „EIP“), 5. Šíření našich politik navenek, 6. Realizace Unie inovací. Pokrok při dosahování cílů Unie inovací by měl být měřen prostřednictvím dvou hlavních ukazatelů: cíle investic do výzkumu a vývoje a ukazatele inovací, jak požaduje Evropská rada. Prvním ukazatelem jsou investice do výzkumu a vývoje jako % HDP (3 % HDP do roku 2020 v rámci EU). Druhý indikátor je definován jako podíl rychle rostoucích inovativních firem. </w:t>
      </w:r>
    </w:p>
    <w:p w:rsidR="00CD5981" w:rsidRDefault="00CD5981" w:rsidP="00CD5981">
      <w:pPr>
        <w:jc w:val="both"/>
        <w:rPr>
          <w:rFonts w:ascii="Calibri" w:hAnsi="Calibri" w:cs="Calibri"/>
          <w:sz w:val="24"/>
          <w:szCs w:val="24"/>
        </w:rPr>
      </w:pPr>
      <w:r w:rsidRPr="00CD5981">
        <w:rPr>
          <w:rFonts w:ascii="Calibri" w:hAnsi="Calibri" w:cs="Calibri"/>
          <w:sz w:val="24"/>
          <w:szCs w:val="24"/>
        </w:rPr>
        <w:t>Opatření obsažená ve Sdělení EK Unie inovací jsou provázána s věcným zaměřením OP PIK a na něj navazujícími prioritními osami, zejména na prioritní osu 1 „</w:t>
      </w:r>
      <w:r w:rsidRPr="00CD5981">
        <w:rPr>
          <w:rFonts w:ascii="Calibri" w:hAnsi="Calibri" w:cs="Calibri"/>
          <w:sz w:val="24"/>
          <w:szCs w:val="24"/>
          <w:u w:val="single"/>
        </w:rPr>
        <w:t>Rozvoj podnikání založený na podpoře výzkumu, vývoje a inovací</w:t>
      </w:r>
      <w:r w:rsidRPr="00CD5981">
        <w:rPr>
          <w:rFonts w:ascii="Calibri" w:hAnsi="Calibri" w:cs="Calibri"/>
          <w:sz w:val="24"/>
          <w:szCs w:val="24"/>
        </w:rPr>
        <w:t>“.</w:t>
      </w:r>
    </w:p>
    <w:p w:rsidR="005D67DD" w:rsidRDefault="005D67DD" w:rsidP="00CD5981">
      <w:pPr>
        <w:jc w:val="both"/>
        <w:rPr>
          <w:rFonts w:ascii="Calibri" w:hAnsi="Calibri" w:cs="Calibri"/>
          <w:sz w:val="24"/>
          <w:szCs w:val="24"/>
        </w:rPr>
      </w:pPr>
    </w:p>
    <w:p w:rsidR="005D67DD" w:rsidRPr="005D67DD" w:rsidRDefault="005D67DD" w:rsidP="005D67DD">
      <w:pPr>
        <w:overflowPunct/>
        <w:jc w:val="both"/>
        <w:textAlignment w:val="auto"/>
        <w:rPr>
          <w:rFonts w:ascii="Calibri" w:hAnsi="Calibri" w:cs="Calibri"/>
          <w:bCs/>
          <w:sz w:val="24"/>
          <w:szCs w:val="24"/>
        </w:rPr>
      </w:pPr>
      <w:r w:rsidRPr="005D67DD">
        <w:rPr>
          <w:rFonts w:ascii="Calibri" w:hAnsi="Calibri" w:cs="Calibri"/>
          <w:b/>
          <w:bCs/>
          <w:sz w:val="24"/>
          <w:szCs w:val="24"/>
        </w:rPr>
        <w:t xml:space="preserve">Stanovisko útvarů Komise k vývoji v oblasti Dohody o partnerství a programů v České republice pro období 2014-2020 </w:t>
      </w:r>
      <w:r w:rsidRPr="005D67DD">
        <w:rPr>
          <w:rFonts w:ascii="Calibri" w:hAnsi="Calibri" w:cs="Calibri"/>
          <w:bCs/>
          <w:sz w:val="24"/>
          <w:szCs w:val="24"/>
        </w:rPr>
        <w:t>(Poziční dokument)</w:t>
      </w:r>
    </w:p>
    <w:p w:rsidR="005D67DD" w:rsidRPr="005D67DD" w:rsidRDefault="005D67DD" w:rsidP="005D67DD">
      <w:pPr>
        <w:overflowPunct/>
        <w:autoSpaceDE/>
        <w:autoSpaceDN/>
        <w:adjustRightInd/>
        <w:spacing w:after="120"/>
        <w:jc w:val="both"/>
        <w:textAlignment w:val="auto"/>
        <w:rPr>
          <w:rFonts w:ascii="Calibri" w:hAnsi="Calibri" w:cs="Calibri"/>
          <w:sz w:val="24"/>
          <w:szCs w:val="24"/>
        </w:rPr>
      </w:pPr>
      <w:r w:rsidRPr="005D67DD">
        <w:rPr>
          <w:sz w:val="24"/>
          <w:szCs w:val="24"/>
        </w:rPr>
        <w:t xml:space="preserve">Poziční dokument představuje </w:t>
      </w:r>
      <w:r w:rsidRPr="005D67DD">
        <w:rPr>
          <w:rFonts w:ascii="Calibri" w:hAnsi="Calibri" w:cs="Calibri"/>
          <w:sz w:val="24"/>
          <w:szCs w:val="24"/>
        </w:rPr>
        <w:t xml:space="preserve">priority EK pro využívání prostředků evropských fondů v České republice v programovém období 2014-2020, představuje podklad, na jehož základě bude Evropská komise vyjednávat s ČR o obsahu Dohody o partnerství a o programech Společného strategického rámce. Dle stanoviska EK je potřeba, aby se ČR zaměřila v letech 2014  2020 na vybudování efektivně fungující dopravní, informační, energetické a environmentální </w:t>
      </w:r>
      <w:r w:rsidRPr="005D67DD">
        <w:rPr>
          <w:rFonts w:ascii="Calibri" w:hAnsi="Calibri" w:cs="Calibri"/>
          <w:sz w:val="24"/>
          <w:szCs w:val="24"/>
        </w:rPr>
        <w:lastRenderedPageBreak/>
        <w:t xml:space="preserve">infrastruktury, na posílení územní soudržnosti, na budování efektivní veřejnou správy, příznivého podnikatelského prostředí, zpráva Komise poukazuje na nevhodně nastavený systém výzkumu a inovací. </w:t>
      </w:r>
    </w:p>
    <w:p w:rsidR="005D67DD" w:rsidRPr="005D67DD" w:rsidRDefault="005D67DD" w:rsidP="005D67DD">
      <w:pPr>
        <w:overflowPunct/>
        <w:autoSpaceDE/>
        <w:autoSpaceDN/>
        <w:adjustRightInd/>
        <w:jc w:val="both"/>
        <w:textAlignment w:val="auto"/>
        <w:rPr>
          <w:rFonts w:ascii="Calibri" w:hAnsi="Calibri" w:cs="Calibri"/>
          <w:sz w:val="24"/>
          <w:szCs w:val="24"/>
        </w:rPr>
      </w:pPr>
      <w:r w:rsidRPr="005D67DD">
        <w:rPr>
          <w:rFonts w:ascii="Calibri" w:hAnsi="Calibri" w:cs="Calibri"/>
          <w:bCs/>
          <w:sz w:val="24"/>
          <w:szCs w:val="24"/>
        </w:rPr>
        <w:t xml:space="preserve">Poziční dokument </w:t>
      </w:r>
      <w:r w:rsidRPr="005D67DD">
        <w:rPr>
          <w:rFonts w:ascii="Calibri" w:hAnsi="Calibri" w:cs="Calibri"/>
          <w:sz w:val="24"/>
          <w:szCs w:val="24"/>
        </w:rPr>
        <w:t>obsahuje pět prioritních témat pro využití fondů SSR (nově označovaných jako evropské strukturální a investiční fond</w:t>
      </w:r>
      <w:r w:rsidRPr="008B49A9">
        <w:rPr>
          <w:rFonts w:ascii="Calibri" w:hAnsi="Calibri" w:cs="Calibri"/>
          <w:sz w:val="24"/>
          <w:szCs w:val="24"/>
        </w:rPr>
        <w:t>y, ESIF) v ČR, př</w:t>
      </w:r>
      <w:r w:rsidRPr="005D67DD">
        <w:rPr>
          <w:rFonts w:ascii="Calibri" w:hAnsi="Calibri" w:cs="Calibri"/>
          <w:sz w:val="24"/>
          <w:szCs w:val="24"/>
        </w:rPr>
        <w:t xml:space="preserve">ičemž z pohledu MPO a OP PIK se jako relevantní jeví zejména Téma 1: </w:t>
      </w:r>
      <w:r w:rsidRPr="005D67DD">
        <w:rPr>
          <w:rFonts w:ascii="Calibri" w:hAnsi="Calibri" w:cs="Calibri"/>
          <w:bCs/>
          <w:sz w:val="24"/>
          <w:szCs w:val="24"/>
        </w:rPr>
        <w:t>Rozvoj podnikání otevřeného inovacím</w:t>
      </w:r>
      <w:r w:rsidRPr="005D67DD">
        <w:rPr>
          <w:rFonts w:ascii="Calibri" w:hAnsi="Calibri" w:cs="Calibri"/>
          <w:sz w:val="24"/>
          <w:szCs w:val="24"/>
        </w:rPr>
        <w:t xml:space="preserve"> a Téma 4: </w:t>
      </w:r>
      <w:r w:rsidRPr="005D67DD">
        <w:rPr>
          <w:rFonts w:ascii="Calibri" w:hAnsi="Calibri" w:cs="Calibri"/>
          <w:bCs/>
          <w:sz w:val="24"/>
          <w:szCs w:val="24"/>
        </w:rPr>
        <w:t xml:space="preserve">Ekonomika založená na ohleduplnosti k životnímu prostředí a hospodárnému využívání zdrojů </w:t>
      </w:r>
      <w:r w:rsidRPr="005D67DD">
        <w:rPr>
          <w:rFonts w:ascii="Calibri" w:hAnsi="Calibri" w:cs="Calibri"/>
          <w:sz w:val="24"/>
          <w:szCs w:val="24"/>
        </w:rPr>
        <w:t>(oblast energetiky).</w:t>
      </w:r>
    </w:p>
    <w:p w:rsidR="005D67DD" w:rsidRPr="00CD5981" w:rsidRDefault="005D67DD" w:rsidP="00CD5981">
      <w:pPr>
        <w:jc w:val="both"/>
        <w:rPr>
          <w:rFonts w:ascii="Calibri" w:hAnsi="Calibri" w:cs="Calibri"/>
          <w:sz w:val="24"/>
          <w:szCs w:val="24"/>
        </w:rPr>
      </w:pPr>
    </w:p>
    <w:p w:rsidR="00CD5981" w:rsidRPr="00FB488F" w:rsidRDefault="00CD5981" w:rsidP="00CD5981">
      <w:pPr>
        <w:rPr>
          <w:rFonts w:ascii="Calibri" w:hAnsi="Calibri" w:cs="Calibri"/>
          <w:b/>
          <w:sz w:val="24"/>
          <w:szCs w:val="24"/>
        </w:rPr>
      </w:pPr>
      <w:r w:rsidRPr="00FB488F">
        <w:rPr>
          <w:rFonts w:ascii="Calibri" w:hAnsi="Calibri" w:cs="Calibri"/>
          <w:b/>
          <w:sz w:val="24"/>
          <w:szCs w:val="24"/>
        </w:rPr>
        <w:t>Sdělení EK Evropa méně náročná na zdroje</w:t>
      </w:r>
    </w:p>
    <w:p w:rsidR="00CD5981" w:rsidRPr="00FB488F" w:rsidRDefault="00CD5981" w:rsidP="00CD5981">
      <w:pPr>
        <w:spacing w:after="120"/>
        <w:jc w:val="both"/>
        <w:rPr>
          <w:rFonts w:ascii="Calibri" w:hAnsi="Calibri" w:cs="Calibri"/>
          <w:noProof/>
          <w:sz w:val="24"/>
          <w:szCs w:val="24"/>
        </w:rPr>
      </w:pPr>
      <w:r w:rsidRPr="00FB488F">
        <w:rPr>
          <w:rFonts w:ascii="Calibri" w:hAnsi="Calibri" w:cs="Calibri"/>
          <w:sz w:val="24"/>
          <w:szCs w:val="24"/>
        </w:rPr>
        <w:t xml:space="preserve">Vlajková iniciativa Evropa méně náročná na zdroje zastřešuje ve strategii Evropa 2020 oblast energetiky a ochrany klimatu. Sdělení bylo vydáno Evropskou komisí dne 26. 1. 2011. Cílem této iniciativy je podpořit posun směrem k nízkouhlíkovému hospodářství, které účinně využívá zdroje a přispívá </w:t>
      </w:r>
      <w:r w:rsidRPr="00FB488F">
        <w:rPr>
          <w:rFonts w:ascii="Calibri" w:hAnsi="Calibri" w:cs="Calibri"/>
          <w:noProof/>
          <w:sz w:val="24"/>
          <w:szCs w:val="24"/>
        </w:rPr>
        <w:t>ke zvýšení hospodářské výkonnosti při současném snížení spotřeby zdrojů, k vytvoření  nových příležitostí pro hospodářský růst a větší inovace a  zvýšení konkurenceschopnosti EU, k zabezpečení dodávek hlavních zdrojů, k boji proti změně klimatu a k omezení dopadů využívání zdrojů na životní prostředí. Navržená opatření v oblasti energetiky by měla zajistit do r. 2050 vytvoření nízkouhlíkovéhého, bezpečného a konkurenceschopného energetického systému, který bude účinně využívat zdroje a který bude poskytovat odpovídající jistotu pro investory, oblast výzkumu a výv</w:t>
      </w:r>
      <w:r w:rsidR="005D67DD">
        <w:rPr>
          <w:rFonts w:ascii="Calibri" w:hAnsi="Calibri" w:cs="Calibri"/>
          <w:noProof/>
          <w:sz w:val="24"/>
          <w:szCs w:val="24"/>
        </w:rPr>
        <w:t>oje, tvorbu politik i regulaci.</w:t>
      </w:r>
    </w:p>
    <w:p w:rsidR="00CD5981" w:rsidRPr="005D67DD" w:rsidRDefault="00CD5981" w:rsidP="00CD5981">
      <w:pPr>
        <w:jc w:val="both"/>
        <w:rPr>
          <w:rFonts w:ascii="Calibri" w:hAnsi="Calibri" w:cs="Calibri"/>
          <w:sz w:val="24"/>
          <w:szCs w:val="24"/>
        </w:rPr>
      </w:pPr>
      <w:r w:rsidRPr="005D67DD">
        <w:rPr>
          <w:rFonts w:ascii="Calibri" w:hAnsi="Calibri" w:cs="Calibri"/>
          <w:noProof/>
          <w:sz w:val="24"/>
          <w:szCs w:val="24"/>
        </w:rPr>
        <w:t>Klíčovým opatřením budou úspory energie a zvýšení energetické účinnosti, které jsou podstatnou součástí věcného zaměření OP PIK prioritní osy 3 „</w:t>
      </w:r>
      <w:r w:rsidRPr="005D67DD">
        <w:rPr>
          <w:rFonts w:ascii="Calibri" w:hAnsi="Calibri" w:cs="Calibri"/>
          <w:sz w:val="24"/>
          <w:szCs w:val="24"/>
          <w:u w:val="single"/>
        </w:rPr>
        <w:t>Udržitelné hospodaření s energií, podpora OZE a rozvoj inovací v energetice</w:t>
      </w:r>
      <w:r w:rsidRPr="005D67DD">
        <w:rPr>
          <w:rFonts w:ascii="Calibri" w:hAnsi="Calibri" w:cs="Calibri"/>
          <w:sz w:val="24"/>
          <w:szCs w:val="24"/>
        </w:rPr>
        <w:t>“.</w:t>
      </w:r>
    </w:p>
    <w:p w:rsidR="00CD5981" w:rsidRPr="00E92EEC" w:rsidRDefault="00CD5981" w:rsidP="00CD5981">
      <w:pPr>
        <w:jc w:val="both"/>
        <w:rPr>
          <w:rFonts w:ascii="Calibri" w:hAnsi="Calibri" w:cs="Calibri"/>
          <w:i/>
          <w:sz w:val="24"/>
          <w:szCs w:val="24"/>
        </w:rPr>
      </w:pPr>
    </w:p>
    <w:p w:rsidR="00CD5981" w:rsidRPr="00FB488F" w:rsidRDefault="00CD5981" w:rsidP="00CD5981">
      <w:pPr>
        <w:jc w:val="both"/>
        <w:rPr>
          <w:rFonts w:ascii="Calibri" w:hAnsi="Calibri" w:cs="Calibri"/>
          <w:sz w:val="24"/>
          <w:szCs w:val="24"/>
        </w:rPr>
      </w:pPr>
      <w:r w:rsidRPr="00FB488F">
        <w:rPr>
          <w:rFonts w:ascii="Calibri" w:hAnsi="Calibri" w:cs="Calibri"/>
          <w:b/>
          <w:sz w:val="24"/>
          <w:szCs w:val="24"/>
        </w:rPr>
        <w:t>Sdělení Plán pro Evropu účinněji využívající zdroje</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 xml:space="preserve">Dne 20. září 2011 Evropská komise zveřejnila sdělení </w:t>
      </w:r>
      <w:r w:rsidRPr="00FB488F">
        <w:rPr>
          <w:rFonts w:ascii="Calibri" w:hAnsi="Calibri" w:cs="Calibri"/>
          <w:bCs/>
          <w:sz w:val="24"/>
          <w:szCs w:val="24"/>
        </w:rPr>
        <w:t xml:space="preserve">Plán pro Evropu účinněji využívající zdroje </w:t>
      </w:r>
      <w:r w:rsidRPr="00FB488F">
        <w:rPr>
          <w:rFonts w:ascii="Calibri" w:hAnsi="Calibri" w:cs="Calibri"/>
          <w:sz w:val="24"/>
          <w:szCs w:val="24"/>
        </w:rPr>
        <w:t>ke stěžejní iniciativě</w:t>
      </w:r>
      <w:r w:rsidRPr="00FB488F">
        <w:rPr>
          <w:rFonts w:ascii="Calibri" w:hAnsi="Calibri" w:cs="Calibri"/>
          <w:bCs/>
          <w:sz w:val="24"/>
          <w:szCs w:val="24"/>
        </w:rPr>
        <w:t xml:space="preserve"> </w:t>
      </w:r>
      <w:r w:rsidRPr="00FB488F">
        <w:rPr>
          <w:rFonts w:ascii="Calibri" w:hAnsi="Calibri" w:cs="Calibri"/>
          <w:sz w:val="24"/>
          <w:szCs w:val="24"/>
        </w:rPr>
        <w:t>strategie Evropa 2020 - Evropa účinněji využívající zdroje. Plán má sloužit jako strategický dokument pro další orientaci politiky životního prostředí. Z</w:t>
      </w:r>
      <w:r w:rsidRPr="00FB488F">
        <w:rPr>
          <w:rFonts w:ascii="Calibri" w:hAnsi="Calibri" w:cs="Calibri"/>
          <w:noProof/>
          <w:sz w:val="24"/>
          <w:szCs w:val="24"/>
        </w:rPr>
        <w:t xml:space="preserve">výšení účinnosti využívání zdrojů může vést k významnému zvýšení konkurenceschopnosti a zároveň může mít klíčový význam pro zabezpečení růstu a pracovních míst a to jak pro Evropu, tak i pro jeji členské státy, včetně ČR. Zároveň může účinně přispět k naplňování cílů v oblasti změny klimatu a přechodu k nízkouhlíkové ekonomice. Důraz je </w:t>
      </w:r>
      <w:r w:rsidRPr="00FB488F">
        <w:rPr>
          <w:rFonts w:ascii="Calibri" w:hAnsi="Calibri" w:cs="Calibri"/>
          <w:sz w:val="24"/>
          <w:szCs w:val="24"/>
        </w:rPr>
        <w:t xml:space="preserve">kladen na udržitelnou spotřebu a zohlednění celého cyklu využívání zdrojů a ochranu přírodního bohatství.  Jedním z klíčových cílů EU je přeměna odpadů na zdroje. </w:t>
      </w:r>
    </w:p>
    <w:p w:rsidR="00CD5981" w:rsidRPr="0007453C" w:rsidRDefault="00CD5981" w:rsidP="00CD5981">
      <w:pPr>
        <w:jc w:val="both"/>
        <w:rPr>
          <w:rFonts w:ascii="Calibri" w:hAnsi="Calibri" w:cs="Calibri"/>
          <w:color w:val="FF0000"/>
          <w:sz w:val="24"/>
          <w:szCs w:val="24"/>
        </w:rPr>
      </w:pPr>
      <w:r w:rsidRPr="005D67DD">
        <w:rPr>
          <w:rFonts w:ascii="Calibri" w:hAnsi="Calibri" w:cs="Calibri"/>
          <w:sz w:val="24"/>
          <w:szCs w:val="24"/>
        </w:rPr>
        <w:t>Opatření jsou zohledněna v OP PIK v rámci prioritní osy 3 „</w:t>
      </w:r>
      <w:r w:rsidRPr="005D67DD">
        <w:rPr>
          <w:rFonts w:ascii="Calibri" w:hAnsi="Calibri" w:cs="Calibri"/>
          <w:sz w:val="24"/>
          <w:szCs w:val="24"/>
          <w:u w:val="single"/>
        </w:rPr>
        <w:t>Udržitelné hospodaření s energií, podpora OZE a rozvoj inovací v energetice</w:t>
      </w:r>
      <w:r w:rsidRPr="005D67DD">
        <w:rPr>
          <w:rFonts w:ascii="Calibri" w:hAnsi="Calibri" w:cs="Calibri"/>
          <w:sz w:val="24"/>
          <w:szCs w:val="24"/>
        </w:rPr>
        <w:t>“.</w:t>
      </w:r>
    </w:p>
    <w:p w:rsidR="00CD5981" w:rsidRPr="0007453C" w:rsidRDefault="00CD5981" w:rsidP="00CD5981">
      <w:pPr>
        <w:jc w:val="both"/>
        <w:rPr>
          <w:rFonts w:ascii="Calibri" w:hAnsi="Calibri" w:cs="Calibri"/>
          <w:sz w:val="24"/>
          <w:szCs w:val="24"/>
          <w:u w:val="single"/>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Sdělení Digitální agenda pro Evropu</w:t>
      </w:r>
    </w:p>
    <w:p w:rsidR="00CD5981" w:rsidRPr="00FB488F" w:rsidRDefault="00CD5981" w:rsidP="00CD5981">
      <w:pPr>
        <w:pStyle w:val="beznytext"/>
        <w:spacing w:before="0" w:beforeAutospacing="0" w:after="120" w:afterAutospacing="0"/>
        <w:jc w:val="both"/>
        <w:rPr>
          <w:rFonts w:ascii="Calibri" w:hAnsi="Calibri" w:cs="Calibri"/>
        </w:rPr>
      </w:pPr>
      <w:r w:rsidRPr="00FB488F">
        <w:rPr>
          <w:rFonts w:ascii="Calibri" w:hAnsi="Calibri" w:cs="Calibri"/>
        </w:rPr>
        <w:t>Evropská komise zveřejnila dne 19. 5. 2010 sdělení Digitální agenda pro Evropu. Tento dokument nahrazuje dřívější strategii i2010 - Evropská informační společnost pro růst a zaměstnanost. Digitální agenda představuje jednu z tzv. vlajkových iniciativ strategie EU 2020 a vychází zejména z významné pozice sektoru informačních a komunikačn</w:t>
      </w:r>
      <w:r w:rsidRPr="005D67DD">
        <w:rPr>
          <w:rFonts w:ascii="Calibri" w:hAnsi="Calibri" w:cs="Calibri"/>
        </w:rPr>
        <w:t>ích technologií, který za posledních 15 let přispěl z celé poloviny k růstu produktivity v EU. H</w:t>
      </w:r>
      <w:r w:rsidRPr="00FB488F">
        <w:rPr>
          <w:rFonts w:ascii="Calibri" w:hAnsi="Calibri" w:cs="Calibri"/>
        </w:rPr>
        <w:t xml:space="preserve">lavním cílem </w:t>
      </w:r>
      <w:r w:rsidRPr="00FB488F">
        <w:rPr>
          <w:rFonts w:ascii="Calibri" w:hAnsi="Calibri" w:cs="Calibri"/>
        </w:rPr>
        <w:lastRenderedPageBreak/>
        <w:t>Digitální agendy je zajištění trvale udržitelného hospodářského růstu a dalšího rozvoje sociálních výhod plynoucích z jednotného digitálního trhu založeného na rychlém a dostupném internetu a interoperabilitě jednotlivých systémů a elektronických služeb. Strategie se zaměřuje především na odstranění fragmentace jednotného trhu elektronických komunikací, podporu interoperability, boj s počítačovou kriminalitou a zvyšování důvěryhodnosti při používání počítačových sítí včetně internetu, podporu počítačové gramotnosti, podporu investic do sítí a jejich rozvoj jakož i podporu inovací a investic do vědy a výzkumu.</w:t>
      </w:r>
    </w:p>
    <w:p w:rsidR="00CD5981" w:rsidRPr="005D67DD" w:rsidRDefault="00CD5981" w:rsidP="00CD5981">
      <w:pPr>
        <w:jc w:val="both"/>
        <w:rPr>
          <w:rFonts w:ascii="Calibri" w:hAnsi="Calibri" w:cs="Calibri"/>
          <w:sz w:val="24"/>
          <w:szCs w:val="24"/>
        </w:rPr>
      </w:pPr>
      <w:r w:rsidRPr="005D67DD">
        <w:rPr>
          <w:rFonts w:ascii="Calibri" w:hAnsi="Calibri" w:cs="Calibri"/>
          <w:sz w:val="24"/>
          <w:szCs w:val="24"/>
        </w:rPr>
        <w:t>Opatření obsažená ve Sdělení EK Digitální agenda pro Evropu jsou provázána s věcným zaměřením prioritních os OP PIK, zejména s prioritní osou 4 „</w:t>
      </w:r>
      <w:r w:rsidRPr="005D67DD">
        <w:rPr>
          <w:rFonts w:ascii="Calibri" w:hAnsi="Calibri" w:cs="Calibri"/>
          <w:sz w:val="24"/>
          <w:szCs w:val="24"/>
          <w:u w:val="single"/>
        </w:rPr>
        <w:t>Rozvoj vysokorychlostních přístupových sítí k internetu a informačních a komunikačních technologi</w:t>
      </w:r>
      <w:r w:rsidRPr="005D67DD">
        <w:rPr>
          <w:rFonts w:ascii="Calibri" w:hAnsi="Calibri" w:cs="Calibri"/>
          <w:sz w:val="24"/>
          <w:szCs w:val="24"/>
        </w:rPr>
        <w:t>í“ a prioritní osou 1 „</w:t>
      </w:r>
      <w:r w:rsidRPr="005D67DD">
        <w:rPr>
          <w:rFonts w:ascii="Calibri" w:hAnsi="Calibri" w:cs="Calibri"/>
          <w:sz w:val="24"/>
          <w:szCs w:val="24"/>
          <w:u w:val="single"/>
        </w:rPr>
        <w:t>Rozvoj podnikání založený na podpoře výzkumu, vývoje a inovací</w:t>
      </w:r>
      <w:r w:rsidRPr="005D67DD">
        <w:rPr>
          <w:rFonts w:ascii="Calibri" w:hAnsi="Calibri" w:cs="Calibri"/>
          <w:sz w:val="24"/>
          <w:szCs w:val="24"/>
        </w:rPr>
        <w:t>“.</w:t>
      </w:r>
    </w:p>
    <w:p w:rsidR="00CD5981" w:rsidRPr="00FB488F" w:rsidRDefault="00CD5981" w:rsidP="00CD5981">
      <w:pPr>
        <w:rPr>
          <w:rFonts w:ascii="Calibri" w:hAnsi="Calibri" w:cs="Calibri"/>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Průmyslová politika pro éru globalizace</w:t>
      </w:r>
    </w:p>
    <w:p w:rsidR="00CD5981" w:rsidRPr="00FB488F" w:rsidRDefault="00CD5981" w:rsidP="00CD5981">
      <w:pPr>
        <w:pStyle w:val="Normlnweb"/>
        <w:spacing w:before="0" w:beforeAutospacing="0" w:after="120" w:afterAutospacing="0"/>
        <w:jc w:val="both"/>
        <w:rPr>
          <w:rFonts w:ascii="Calibri" w:hAnsi="Calibri" w:cs="Calibri"/>
          <w:bCs/>
          <w:color w:val="333333"/>
        </w:rPr>
      </w:pPr>
      <w:r w:rsidRPr="00FB488F">
        <w:rPr>
          <w:rFonts w:ascii="Calibri" w:hAnsi="Calibri" w:cs="Calibri"/>
        </w:rPr>
        <w:t xml:space="preserve">Sdělení Evropské komise s názvem Integrovaná průmyslová politika pro éru globalizace, bylo přijato dne 28. 10. 2010 a jde o další, tzv. vlajkovou iniciativu strategie Evropa 2020, jejímž hlavním cílem je posílit ekonomický růst a zaměstnanost. Sdělení zdůrazňuje potřebu koordinovaného přístupu, který zohlední celý hodnotový řetězec a při formulování politik i konkrétních opatření bude respektovat globální obchodní prostředí. </w:t>
      </w:r>
      <w:r w:rsidRPr="003B096F">
        <w:rPr>
          <w:rFonts w:ascii="Calibri" w:hAnsi="Calibri" w:cs="Calibri"/>
        </w:rPr>
        <w:t>Sdělení EK si dává za cíl vyslat silný impuls směrem k opatřením, která zajistí silnější růst a více pracovních míst. Toho má být dosaženo podporou silné, diversifikované a konkurenceschopné průmyslové základny v Evropě, která nabídne dostatek kvalifikovaných pracovních míst a zároveň bude příznivě ovlivňovat životní prostředí.</w:t>
      </w:r>
      <w:r w:rsidRPr="00FB488F">
        <w:rPr>
          <w:rFonts w:ascii="Calibri" w:hAnsi="Calibri" w:cs="Calibri"/>
          <w:bCs/>
          <w:color w:val="333333"/>
        </w:rPr>
        <w:t xml:space="preserve"> </w:t>
      </w:r>
    </w:p>
    <w:p w:rsidR="00CD5981" w:rsidRPr="005D67DD" w:rsidRDefault="00CD5981" w:rsidP="00CD5981">
      <w:pPr>
        <w:pStyle w:val="Normlnweb"/>
        <w:spacing w:before="0" w:beforeAutospacing="0" w:after="0" w:afterAutospacing="0"/>
        <w:jc w:val="both"/>
        <w:rPr>
          <w:rFonts w:ascii="Calibri" w:hAnsi="Calibri" w:cs="Calibri"/>
          <w:bCs/>
          <w:u w:val="single"/>
        </w:rPr>
      </w:pPr>
      <w:r w:rsidRPr="005D67DD">
        <w:rPr>
          <w:rFonts w:ascii="Calibri" w:hAnsi="Calibri" w:cs="Calibri"/>
          <w:bCs/>
          <w:u w:val="single"/>
        </w:rPr>
        <w:t>Toto sdělení má vazbu na všechny věcně zaměřené prioritní osy OP PIK.</w:t>
      </w:r>
    </w:p>
    <w:p w:rsidR="00CD5981" w:rsidRPr="00FB488F" w:rsidRDefault="00CD5981" w:rsidP="00CD5981">
      <w:pPr>
        <w:pStyle w:val="Normlnweb"/>
        <w:spacing w:before="0" w:beforeAutospacing="0" w:after="0" w:afterAutospacing="0"/>
        <w:jc w:val="both"/>
        <w:rPr>
          <w:rFonts w:ascii="Calibri" w:hAnsi="Calibri" w:cs="Calibri"/>
          <w:bCs/>
          <w:color w:val="333333"/>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Strategie Energie 2020</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 xml:space="preserve">Cílem strategie Energie 2020 -  Strategie pro konkurenceschopnou, udržitelnou a bezpečnou energii je dosažení účinného využívání energie, vybudování evropského trhu s energií, zajištění bezpečnosti dodávek energie a posílení pravomocí spotřebitelů, posílení postavení Evropy v oblasti energetických technologií a inovací a upevnění vnějšího rozměru energetického trhu EU. Účinné využívání energie by mělo být založeno na využití potenciálu úspor energie, zefektivnění průmyslu (tím také dojde k posílení jeho konkurenceschopnosti), dále posílením účinnosti dodávek energie a využitím národních akčních plánů pro energetickou účinnost. Klíčovými sektory budou doprava a stavebnictví. V oblasti inovací EU zahájí projekty prosazující energetickou účinnost ve městech, dokonalejší technologie skladování elektrické energie, nové druhy biopaliv a inteligentní rozvodné sítě, které dokáží dodávat elektřinu podle potřeb spotřebitelů. </w:t>
      </w:r>
    </w:p>
    <w:p w:rsidR="00CD5981" w:rsidRPr="005D67DD" w:rsidRDefault="00CD5981" w:rsidP="00CD5981">
      <w:pPr>
        <w:pStyle w:val="Normlnweb"/>
        <w:shd w:val="clear" w:color="auto" w:fill="FFFFFF"/>
        <w:spacing w:before="0" w:beforeAutospacing="0" w:after="0" w:afterAutospacing="0"/>
        <w:contextualSpacing/>
        <w:jc w:val="both"/>
        <w:rPr>
          <w:rFonts w:ascii="Calibri" w:hAnsi="Calibri" w:cs="Calibri"/>
          <w:u w:val="single"/>
        </w:rPr>
      </w:pPr>
      <w:r w:rsidRPr="005D67DD">
        <w:rPr>
          <w:rFonts w:ascii="Calibri" w:hAnsi="Calibri" w:cs="Calibri"/>
        </w:rPr>
        <w:t>Se strategií Energie 2020 je věcně provázána prioritní osa 3 OP PIK „</w:t>
      </w:r>
      <w:r w:rsidRPr="005D67DD">
        <w:rPr>
          <w:rFonts w:ascii="Calibri" w:hAnsi="Calibri" w:cs="Calibri"/>
          <w:u w:val="single"/>
        </w:rPr>
        <w:t>Udržitelné hospodaření s energií, podpora OZE a rozvoj inovací v energetice“.</w:t>
      </w:r>
    </w:p>
    <w:p w:rsidR="00CD5981" w:rsidRPr="00D402C6" w:rsidRDefault="00CD5981" w:rsidP="00CD5981">
      <w:pPr>
        <w:pStyle w:val="Normlnweb"/>
        <w:shd w:val="clear" w:color="auto" w:fill="FFFFFF"/>
        <w:spacing w:before="0" w:beforeAutospacing="0" w:after="0" w:afterAutospacing="0"/>
        <w:contextualSpacing/>
        <w:jc w:val="both"/>
        <w:rPr>
          <w:rFonts w:ascii="Calibri" w:hAnsi="Calibri" w:cs="Calibri"/>
          <w:color w:val="FF0000"/>
          <w:u w:val="single"/>
        </w:rPr>
      </w:pPr>
    </w:p>
    <w:p w:rsidR="00CD5981" w:rsidRDefault="00CD5981" w:rsidP="00CD5981">
      <w:pPr>
        <w:overflowPunct/>
        <w:jc w:val="both"/>
        <w:textAlignment w:val="auto"/>
        <w:rPr>
          <w:rFonts w:ascii="Calibri" w:hAnsi="Calibri" w:cs="Calibri"/>
          <w:sz w:val="24"/>
          <w:szCs w:val="24"/>
          <w:u w:val="single"/>
        </w:rPr>
      </w:pPr>
    </w:p>
    <w:p w:rsidR="005E0C42" w:rsidRDefault="005E0C42" w:rsidP="00CD5981">
      <w:pPr>
        <w:overflowPunct/>
        <w:jc w:val="both"/>
        <w:textAlignment w:val="auto"/>
        <w:rPr>
          <w:rFonts w:ascii="Calibri" w:hAnsi="Calibri" w:cs="Calibri"/>
          <w:sz w:val="24"/>
          <w:szCs w:val="24"/>
          <w:u w:val="single"/>
        </w:rPr>
      </w:pPr>
    </w:p>
    <w:p w:rsidR="005E0C42" w:rsidRDefault="005E0C42" w:rsidP="00CD5981">
      <w:pPr>
        <w:overflowPunct/>
        <w:jc w:val="both"/>
        <w:textAlignment w:val="auto"/>
        <w:rPr>
          <w:rFonts w:ascii="Calibri" w:hAnsi="Calibri" w:cs="Calibri"/>
          <w:sz w:val="24"/>
          <w:szCs w:val="24"/>
          <w:u w:val="single"/>
        </w:rPr>
      </w:pPr>
    </w:p>
    <w:p w:rsidR="005E0C42" w:rsidRPr="00D402C6" w:rsidRDefault="005E0C42" w:rsidP="00CD5981">
      <w:pPr>
        <w:overflowPunct/>
        <w:jc w:val="both"/>
        <w:textAlignment w:val="auto"/>
        <w:rPr>
          <w:rFonts w:ascii="Calibri" w:hAnsi="Calibri" w:cs="Calibri"/>
          <w:sz w:val="24"/>
          <w:szCs w:val="24"/>
          <w:u w:val="single"/>
        </w:rPr>
      </w:pPr>
    </w:p>
    <w:p w:rsidR="00CD5981" w:rsidRPr="001668E3" w:rsidRDefault="00CD5981" w:rsidP="00CD5981">
      <w:pPr>
        <w:pStyle w:val="Normlnweb"/>
        <w:shd w:val="clear" w:color="auto" w:fill="FFFFFF"/>
        <w:spacing w:before="0" w:beforeAutospacing="0" w:after="0" w:afterAutospacing="0"/>
        <w:contextualSpacing/>
        <w:jc w:val="both"/>
        <w:rPr>
          <w:rFonts w:ascii="Calibri" w:hAnsi="Calibri" w:cs="Calibri"/>
          <w:b/>
          <w:i/>
          <w:u w:val="single"/>
        </w:rPr>
      </w:pPr>
      <w:r w:rsidRPr="001668E3">
        <w:rPr>
          <w:rFonts w:ascii="Calibri" w:hAnsi="Calibri" w:cs="Calibri"/>
          <w:b/>
          <w:i/>
          <w:u w:val="single"/>
        </w:rPr>
        <w:lastRenderedPageBreak/>
        <w:t>Strategické dokumenty ČR</w:t>
      </w:r>
    </w:p>
    <w:p w:rsidR="00CD5981" w:rsidRPr="001668E3" w:rsidRDefault="00CD5981" w:rsidP="00CD5981">
      <w:pPr>
        <w:pStyle w:val="Normlnweb"/>
        <w:shd w:val="clear" w:color="auto" w:fill="FFFFFF"/>
        <w:spacing w:before="0" w:beforeAutospacing="0" w:after="0" w:afterAutospacing="0"/>
        <w:contextualSpacing/>
        <w:jc w:val="both"/>
        <w:rPr>
          <w:rFonts w:ascii="Calibri" w:hAnsi="Calibri" w:cs="Calibri"/>
        </w:rPr>
      </w:pPr>
    </w:p>
    <w:p w:rsidR="00CD5981" w:rsidRPr="001668E3" w:rsidRDefault="00CD5981" w:rsidP="00CD5981">
      <w:pPr>
        <w:overflowPunct/>
        <w:jc w:val="both"/>
        <w:textAlignment w:val="auto"/>
        <w:rPr>
          <w:rFonts w:ascii="Calibri" w:hAnsi="Calibri" w:cs="Calibri"/>
          <w:bCs/>
          <w:sz w:val="24"/>
          <w:szCs w:val="24"/>
        </w:rPr>
      </w:pPr>
      <w:r w:rsidRPr="001668E3">
        <w:rPr>
          <w:rFonts w:ascii="Calibri" w:hAnsi="Calibri" w:cs="Calibri"/>
          <w:bCs/>
          <w:sz w:val="24"/>
          <w:szCs w:val="24"/>
        </w:rPr>
        <w:t xml:space="preserve">Strategie OP Podnikání a inovace pro konkurenceschopnost je v souladu se strategií ČR obsaženou v Dohodě o partnerství a vychází ze základních strategických dokumentů ČR, ke kterým patří zejména Strategie mezinárodní konkurenceschopnosti ČR 2012-2020, Strategie regionálního rozvoje ČR pro období 2014-2020, Státní energetická koncepce, </w:t>
      </w:r>
      <w:r w:rsidR="00B31C9C" w:rsidRPr="00C05C16">
        <w:rPr>
          <w:rFonts w:ascii="Calibri" w:hAnsi="Calibri" w:cs="Calibri"/>
          <w:bCs/>
          <w:sz w:val="24"/>
          <w:szCs w:val="24"/>
        </w:rPr>
        <w:t>Aktualiz</w:t>
      </w:r>
      <w:r w:rsidR="00B31C9C">
        <w:rPr>
          <w:rFonts w:ascii="Calibri" w:hAnsi="Calibri" w:cs="Calibri"/>
          <w:bCs/>
          <w:sz w:val="24"/>
          <w:szCs w:val="24"/>
        </w:rPr>
        <w:t>ovaná</w:t>
      </w:r>
      <w:r w:rsidR="00B31C9C" w:rsidRPr="00C05C16">
        <w:rPr>
          <w:rFonts w:ascii="Calibri" w:hAnsi="Calibri" w:cs="Calibri"/>
          <w:bCs/>
          <w:sz w:val="24"/>
          <w:szCs w:val="24"/>
        </w:rPr>
        <w:t xml:space="preserve"> Státní politik</w:t>
      </w:r>
      <w:r w:rsidR="00B31C9C">
        <w:rPr>
          <w:rFonts w:ascii="Calibri" w:hAnsi="Calibri" w:cs="Calibri"/>
          <w:bCs/>
          <w:sz w:val="24"/>
          <w:szCs w:val="24"/>
        </w:rPr>
        <w:t>a</w:t>
      </w:r>
      <w:r w:rsidR="00B31C9C" w:rsidRPr="00C05C16">
        <w:rPr>
          <w:rFonts w:ascii="Calibri" w:hAnsi="Calibri" w:cs="Calibri"/>
          <w:bCs/>
          <w:sz w:val="24"/>
          <w:szCs w:val="24"/>
        </w:rPr>
        <w:t xml:space="preserve"> v elektronických komunikacích - Digitální Česko v. 2.0, Cesta k digitální ekonomice</w:t>
      </w:r>
      <w:r w:rsidRPr="001668E3">
        <w:rPr>
          <w:rFonts w:ascii="Calibri" w:hAnsi="Calibri" w:cs="Calibri"/>
          <w:bCs/>
          <w:sz w:val="24"/>
          <w:szCs w:val="24"/>
        </w:rPr>
        <w:t xml:space="preserve">, Národní akční plán ČR pro energii z obnovitelných zdrojů 2010-2020, Strategický rámec udržitelného rozvoje, Koncepce podpory malých a středních podnikatelů na období let 2014 – </w:t>
      </w:r>
      <w:smartTag w:uri="urn:schemas-microsoft-com:office:smarttags" w:element="metricconverter">
        <w:smartTagPr>
          <w:attr w:name="ProductID" w:val="2020 a"/>
        </w:smartTagPr>
        <w:r w:rsidRPr="001668E3">
          <w:rPr>
            <w:rFonts w:ascii="Calibri" w:hAnsi="Calibri" w:cs="Calibri"/>
            <w:bCs/>
            <w:sz w:val="24"/>
            <w:szCs w:val="24"/>
          </w:rPr>
          <w:t>2020 a</w:t>
        </w:r>
      </w:smartTag>
      <w:r w:rsidRPr="001668E3">
        <w:rPr>
          <w:rFonts w:ascii="Calibri" w:hAnsi="Calibri" w:cs="Calibri"/>
          <w:bCs/>
          <w:sz w:val="24"/>
          <w:szCs w:val="24"/>
        </w:rPr>
        <w:t xml:space="preserve"> v neposlední řadě Národní program reforem ČR. </w:t>
      </w:r>
    </w:p>
    <w:p w:rsidR="00CD5981" w:rsidRDefault="00CD5981" w:rsidP="00CD5981">
      <w:pPr>
        <w:overflowPunct/>
        <w:jc w:val="both"/>
        <w:textAlignment w:val="auto"/>
        <w:rPr>
          <w:rFonts w:ascii="Calibri" w:hAnsi="Calibri" w:cs="Calibri"/>
          <w:bCs/>
          <w:sz w:val="24"/>
          <w:szCs w:val="24"/>
        </w:rPr>
      </w:pPr>
    </w:p>
    <w:p w:rsidR="00CD5981" w:rsidRPr="00FB488F" w:rsidRDefault="00CD5981" w:rsidP="00CD5981">
      <w:pPr>
        <w:overflowPunct/>
        <w:jc w:val="both"/>
        <w:textAlignment w:val="auto"/>
        <w:rPr>
          <w:rFonts w:ascii="Calibri" w:hAnsi="Calibri" w:cs="Calibri"/>
          <w:b/>
          <w:sz w:val="24"/>
          <w:szCs w:val="24"/>
        </w:rPr>
      </w:pPr>
      <w:r w:rsidRPr="00FB488F">
        <w:rPr>
          <w:rFonts w:ascii="Calibri" w:hAnsi="Calibri" w:cs="Calibri"/>
          <w:b/>
          <w:sz w:val="24"/>
          <w:szCs w:val="24"/>
        </w:rPr>
        <w:t xml:space="preserve">Strategie mezinárodní konkurenceschopnosti </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 xml:space="preserve">Strategie mezinárodní konkurenceschopnosti, schválená vládou ČR dne 27. 9. 2011, je složena z více než čtyřiceti klíčových a několika stovek dílčích opatření, která mají přispět k vytvoření podmínek pro kreativní podnikání, inovace a růst. Cílem strategie je posunout Českou republiku během následujících let do první dvacítky zemí podle indexu globální konkurenceschopnosti. Česká republika se tedy musí posunout od rozvojového modelu založeného z velké části na levné pracovní síle k systému založenému na kvalitních institucích a infrastruktuře, ve kterém bude maximálně využíván potenciál připravených pracovních sil a ve kterém bude motorem ekonomiky tvořivé podnikání a inovace. Strategie mezinárodní konkurenceschopnosti je konzistentní se strategií Evropa 2020 a Národním programem reforem České republiky a má následující strukturu: 1. Instituce; 2. Infrastruktura; 3. Makroekonomická stabilita; 4. Zdravotnictví; 5. Vzdělanost; 6. Trh práce; 7. Finanční trhy; 8. Efektivnost trhu služeb a zboží a zkvalitňování charakteristik podnikání; 9. Inovace, 10. Proexportní politika a 11. Kohezní politika.  </w:t>
      </w:r>
    </w:p>
    <w:p w:rsidR="00CD5981" w:rsidRPr="0007453C" w:rsidRDefault="00CD5981" w:rsidP="00CD5981">
      <w:pPr>
        <w:jc w:val="both"/>
        <w:rPr>
          <w:rFonts w:ascii="Calibri" w:hAnsi="Calibri" w:cs="Calibri"/>
          <w:color w:val="FF0000"/>
          <w:sz w:val="24"/>
          <w:szCs w:val="24"/>
        </w:rPr>
      </w:pPr>
      <w:r w:rsidRPr="001668E3">
        <w:rPr>
          <w:rFonts w:ascii="Calibri" w:hAnsi="Calibri" w:cs="Calibri"/>
          <w:sz w:val="24"/>
          <w:szCs w:val="24"/>
          <w:u w:val="single"/>
        </w:rPr>
        <w:t>Všechny věcně zaměřené priority OP PIK jsou z hlediska svého zaměření v souladu s  cíli i nástroji Strategie mezinárodní konkurenceschopnosti</w:t>
      </w:r>
      <w:r w:rsidRPr="009C1BA4">
        <w:rPr>
          <w:rFonts w:ascii="Calibri" w:hAnsi="Calibri" w:cs="Calibri"/>
          <w:sz w:val="24"/>
          <w:szCs w:val="24"/>
        </w:rPr>
        <w:t xml:space="preserve">, kde jsou z hlediska věcného zaměření relevantní zejména pilíře Inovace a Infrastruktura. Kohezní politika a jednotlivé operační programy ČR, včetně OP Podnikání a inovace pro konkurenceschopnost, se stanou významným nástrojem realizace navržených opatření Strategie mezinárodní konkurenceschopnosti ČR. </w:t>
      </w:r>
    </w:p>
    <w:p w:rsidR="00CD5981" w:rsidRPr="00FB488F" w:rsidRDefault="00CD5981" w:rsidP="00CD5981">
      <w:pPr>
        <w:rPr>
          <w:rFonts w:ascii="Calibri" w:hAnsi="Calibri" w:cs="Calibri"/>
          <w:sz w:val="24"/>
          <w:szCs w:val="24"/>
        </w:rPr>
      </w:pPr>
    </w:p>
    <w:p w:rsidR="00CD5981" w:rsidRPr="0007453C" w:rsidRDefault="00CD5981" w:rsidP="00CD5981">
      <w:pPr>
        <w:jc w:val="both"/>
        <w:rPr>
          <w:rFonts w:ascii="Calibri" w:hAnsi="Calibri" w:cs="Calibri"/>
          <w:b/>
          <w:color w:val="FF0000"/>
          <w:sz w:val="24"/>
          <w:szCs w:val="24"/>
        </w:rPr>
      </w:pPr>
      <w:r w:rsidRPr="00FB488F">
        <w:rPr>
          <w:rFonts w:ascii="Calibri" w:hAnsi="Calibri" w:cs="Calibri"/>
          <w:b/>
          <w:sz w:val="24"/>
          <w:szCs w:val="24"/>
        </w:rPr>
        <w:t>Národní program reforem Č</w:t>
      </w:r>
      <w:r w:rsidRPr="003B096F">
        <w:rPr>
          <w:rFonts w:ascii="Calibri" w:hAnsi="Calibri" w:cs="Calibri"/>
          <w:b/>
          <w:sz w:val="24"/>
          <w:szCs w:val="24"/>
        </w:rPr>
        <w:t>R 2012</w:t>
      </w:r>
    </w:p>
    <w:p w:rsidR="00CD5981" w:rsidRPr="009C1BA4" w:rsidRDefault="00CD5981" w:rsidP="00CD5981">
      <w:pPr>
        <w:spacing w:after="120"/>
        <w:jc w:val="both"/>
        <w:rPr>
          <w:rFonts w:ascii="Calibri" w:hAnsi="Calibri" w:cs="Calibri"/>
          <w:sz w:val="24"/>
          <w:szCs w:val="24"/>
        </w:rPr>
      </w:pPr>
      <w:r w:rsidRPr="009C1BA4">
        <w:rPr>
          <w:rFonts w:ascii="Calibri" w:hAnsi="Calibri" w:cs="Calibri"/>
          <w:sz w:val="24"/>
          <w:szCs w:val="24"/>
        </w:rPr>
        <w:t>Národní program reforem Č</w:t>
      </w:r>
      <w:r w:rsidRPr="008B49A9">
        <w:rPr>
          <w:rFonts w:ascii="Calibri" w:hAnsi="Calibri" w:cs="Calibri"/>
          <w:sz w:val="24"/>
          <w:szCs w:val="24"/>
        </w:rPr>
        <w:t>R (NRP), kter</w:t>
      </w:r>
      <w:r w:rsidRPr="009C1BA4">
        <w:rPr>
          <w:rFonts w:ascii="Calibri" w:hAnsi="Calibri" w:cs="Calibri"/>
          <w:sz w:val="24"/>
          <w:szCs w:val="24"/>
        </w:rPr>
        <w:t xml:space="preserve">ý představuje příspěvek České republiky k plnění cílů strategie Evropa 2020, schválila vláda dne 11. 4. 2012. NRP stanovuje hlavní zásady reformních opatření ČR, zatímco konkrétní kroky a podrobné návrhy jsou obsaženy ve strategických dokumentech zpracovávaných v jednotlivých oblastech kompetenčně příslušnými orgány státní správy, příp. samosprávy. NRP je rámcově koncipován na celé období do roku 2020 a je každoročně aktualizován v rámci tzv. evropského semestru, a to s ohledem na vývoj naplňování cílů strategie Evropa 2020 na celoevropské úrovni, na dosažený pokrok v České republice a na vývoj politických priorit vlády. Národní program reforem ČR 2012 má následující strukturu: 1. Konsolidace veřejných financí; 2. Fungující trh práce a sociální systém jako předpoklad konkurenceschopnosti – Národní plán zaměstnanosti; 3. Vzdělání jako cesta ke konkurenceschopnosti; 4. Podpora podnikání, digitalizace a rozvoj digitálního trhu; 5. Podpora růstu založeného na výzkumu a inovacích; 6. Podpora </w:t>
      </w:r>
      <w:r w:rsidRPr="009C1BA4">
        <w:rPr>
          <w:rFonts w:ascii="Calibri" w:hAnsi="Calibri" w:cs="Calibri"/>
          <w:sz w:val="24"/>
          <w:szCs w:val="24"/>
        </w:rPr>
        <w:lastRenderedPageBreak/>
        <w:t>nízkouhlíkové konkurenceschopné ekonomiky šetrné k životnímu prostředí a 7. Podpora konkurenceschopnosti zlepšením dopravní infrastruktury.</w:t>
      </w:r>
    </w:p>
    <w:p w:rsidR="00CD5981" w:rsidRPr="00FB488F" w:rsidRDefault="00CD5981" w:rsidP="00CD5981">
      <w:pPr>
        <w:spacing w:after="120"/>
        <w:jc w:val="both"/>
        <w:rPr>
          <w:rFonts w:ascii="Calibri" w:hAnsi="Calibri" w:cs="Calibri"/>
          <w:sz w:val="24"/>
          <w:szCs w:val="24"/>
        </w:rPr>
      </w:pPr>
      <w:r w:rsidRPr="001668E3">
        <w:rPr>
          <w:rFonts w:ascii="Calibri" w:hAnsi="Calibri" w:cs="Calibri"/>
          <w:sz w:val="24"/>
          <w:szCs w:val="24"/>
          <w:u w:val="single"/>
        </w:rPr>
        <w:t>Všechny věcně zaměřené prioritní osy OP PIK mají přímou vazbu na cíle a reformní priority obsažené v následujících oblastech Národního programu reforem ČR 2012</w:t>
      </w:r>
      <w:r w:rsidRPr="00FB488F">
        <w:rPr>
          <w:rFonts w:ascii="Calibri" w:hAnsi="Calibri" w:cs="Calibri"/>
          <w:sz w:val="24"/>
          <w:szCs w:val="24"/>
        </w:rPr>
        <w:t>:</w:t>
      </w:r>
    </w:p>
    <w:p w:rsidR="00CD5981" w:rsidRPr="00FB488F" w:rsidRDefault="00CD5981" w:rsidP="000C6BEF">
      <w:pPr>
        <w:numPr>
          <w:ilvl w:val="0"/>
          <w:numId w:val="5"/>
        </w:numPr>
        <w:ind w:left="714" w:hanging="357"/>
        <w:jc w:val="both"/>
        <w:rPr>
          <w:rFonts w:ascii="Calibri" w:hAnsi="Calibri" w:cs="Calibri"/>
          <w:sz w:val="24"/>
          <w:szCs w:val="24"/>
        </w:rPr>
      </w:pPr>
      <w:r w:rsidRPr="00FB488F">
        <w:rPr>
          <w:rFonts w:ascii="Calibri" w:hAnsi="Calibri" w:cs="Calibri"/>
          <w:sz w:val="24"/>
          <w:szCs w:val="24"/>
        </w:rPr>
        <w:t>Podpora podnikání, digitalizace a rozvoj digitálního trhu</w:t>
      </w:r>
    </w:p>
    <w:p w:rsidR="00CD5981" w:rsidRPr="00FB488F" w:rsidRDefault="00CD5981" w:rsidP="000C6BEF">
      <w:pPr>
        <w:numPr>
          <w:ilvl w:val="0"/>
          <w:numId w:val="5"/>
        </w:numPr>
        <w:ind w:left="714" w:hanging="357"/>
        <w:jc w:val="both"/>
        <w:rPr>
          <w:rFonts w:ascii="Calibri" w:hAnsi="Calibri" w:cs="Calibri"/>
          <w:sz w:val="24"/>
          <w:szCs w:val="24"/>
        </w:rPr>
      </w:pPr>
      <w:r w:rsidRPr="00FB488F">
        <w:rPr>
          <w:rFonts w:ascii="Calibri" w:hAnsi="Calibri" w:cs="Calibri"/>
          <w:sz w:val="24"/>
          <w:szCs w:val="24"/>
        </w:rPr>
        <w:t>Podpora růstu založeného na výzkumu a inovacích</w:t>
      </w:r>
    </w:p>
    <w:p w:rsidR="00CD5981" w:rsidRPr="00492022" w:rsidRDefault="00CD5981" w:rsidP="00851D6E">
      <w:pPr>
        <w:numPr>
          <w:ilvl w:val="0"/>
          <w:numId w:val="5"/>
        </w:numPr>
        <w:ind w:left="714" w:hanging="357"/>
        <w:jc w:val="both"/>
      </w:pPr>
      <w:r w:rsidRPr="00FB488F">
        <w:rPr>
          <w:rFonts w:ascii="Calibri" w:hAnsi="Calibri" w:cs="Calibri"/>
          <w:sz w:val="24"/>
          <w:szCs w:val="24"/>
        </w:rPr>
        <w:t xml:space="preserve">Podpora nízkouhlíkové konkurenceschopné ekonomiky šetrné k životnímu prostředí </w:t>
      </w:r>
      <w:bookmarkStart w:id="11" w:name="_Toc346037417"/>
      <w:bookmarkStart w:id="12" w:name="_Toc346037419"/>
      <w:bookmarkStart w:id="13" w:name="_Toc348968089"/>
      <w:bookmarkEnd w:id="11"/>
      <w:bookmarkEnd w:id="12"/>
    </w:p>
    <w:p w:rsidR="00CD5981" w:rsidRPr="00FB488F" w:rsidRDefault="00CD5981" w:rsidP="00CD5981">
      <w:pPr>
        <w:ind w:left="357"/>
        <w:jc w:val="both"/>
      </w:pPr>
    </w:p>
    <w:bookmarkEnd w:id="13"/>
    <w:p w:rsidR="00CD5981" w:rsidRPr="0022384B" w:rsidRDefault="00CD5981" w:rsidP="00CD5981">
      <w:pPr>
        <w:jc w:val="both"/>
        <w:rPr>
          <w:rFonts w:ascii="Calibri" w:hAnsi="Calibri" w:cs="Calibri"/>
          <w:b/>
          <w:sz w:val="24"/>
          <w:szCs w:val="24"/>
        </w:rPr>
      </w:pPr>
      <w:r w:rsidRPr="0022384B">
        <w:rPr>
          <w:rFonts w:ascii="Calibri" w:hAnsi="Calibri" w:cs="Calibri"/>
          <w:b/>
          <w:sz w:val="24"/>
          <w:szCs w:val="24"/>
        </w:rPr>
        <w:t>Strategie regionálního rozvoje ČR pro období 2014 - 2020</w:t>
      </w:r>
    </w:p>
    <w:p w:rsidR="00CD5981" w:rsidRPr="0022384B" w:rsidRDefault="00CD5981" w:rsidP="00CD5981">
      <w:pPr>
        <w:spacing w:after="120"/>
        <w:jc w:val="both"/>
        <w:rPr>
          <w:rFonts w:ascii="Calibri" w:hAnsi="Calibri" w:cs="Calibri"/>
          <w:sz w:val="24"/>
          <w:szCs w:val="24"/>
        </w:rPr>
      </w:pPr>
      <w:r w:rsidRPr="0022384B">
        <w:rPr>
          <w:rFonts w:ascii="Calibri" w:hAnsi="Calibri" w:cs="Calibri"/>
          <w:sz w:val="24"/>
          <w:szCs w:val="24"/>
        </w:rPr>
        <w:t>Strategie regionálního rozvoj</w:t>
      </w:r>
      <w:r w:rsidRPr="008B49A9">
        <w:rPr>
          <w:rFonts w:ascii="Calibri" w:hAnsi="Calibri" w:cs="Calibri"/>
          <w:sz w:val="24"/>
          <w:szCs w:val="24"/>
        </w:rPr>
        <w:t>e (SRR) je zp</w:t>
      </w:r>
      <w:r w:rsidRPr="0022384B">
        <w:rPr>
          <w:rFonts w:ascii="Calibri" w:hAnsi="Calibri" w:cs="Calibri"/>
          <w:sz w:val="24"/>
          <w:szCs w:val="24"/>
        </w:rPr>
        <w:t xml:space="preserve">racována v souladu s cíli regionální politiky EU a je založena na maximálním využití všech nástrojů, které Česká republika v návaznosti na své členství v EU může využít. Ve strategii jsou formulovány souhrnně cíle, problémové okruhy a priority, které je třeba zabezpečovat při zajišťování politiky regionálního rozvoje v České republice. Priority Strategie regionálního rozvoje jednoznačně směřují ke snižování existujících regionálních rozdílů, a to aktivní politikou směrování prostředků do podpory optimálního využívání rozvojového potenciálu regionů a politikou alokace prostředků na dodatečné odstraňování negativních sociálních dopadů ekonomického útlumu strukturálně postižených regionů. </w:t>
      </w:r>
    </w:p>
    <w:p w:rsidR="00CD5981" w:rsidRPr="0022384B" w:rsidRDefault="00CD5981" w:rsidP="00CD5981">
      <w:pPr>
        <w:spacing w:after="120"/>
        <w:jc w:val="both"/>
        <w:rPr>
          <w:rFonts w:ascii="Calibri" w:hAnsi="Calibri" w:cs="Calibri"/>
          <w:sz w:val="24"/>
          <w:szCs w:val="24"/>
        </w:rPr>
      </w:pPr>
      <w:r w:rsidRPr="0022384B">
        <w:rPr>
          <w:rFonts w:ascii="Calibri" w:hAnsi="Calibri" w:cs="Calibri"/>
          <w:sz w:val="24"/>
          <w:szCs w:val="24"/>
        </w:rPr>
        <w:t xml:space="preserve">Globální cílem SRR je zajistit dynamický a vyvážený rozvoj území ČR se zřetelem na kvalitu života a životního prostředí, přispět ke snižování regionálních rozdílů a zároveň umožnit využití místního potenciálu pro posílení konkurenceschopnosti jednotlivých územně správních celků. Globální cíl strategie je rozveden ve čtyřech základních cílech regionální politiky korespondujících s prioritními oblastmi SRR (1) podpořit zvyšování konkurenceschopnosti a využití ekonomického potenciálu regionů (růstový cíl) (2) zmírnit prohlubování negativních regionálních rozdílů (vyrovnávací cíl) (3) posílit environmentální udržitelnost (preventivní cíl) (4) optimalizovat institucionální rámec pro rozvoj regionů (institucionální cíl). </w:t>
      </w:r>
    </w:p>
    <w:p w:rsidR="00CD5981" w:rsidRPr="0022384B" w:rsidRDefault="00CD5981" w:rsidP="00CD5981">
      <w:pPr>
        <w:jc w:val="both"/>
        <w:rPr>
          <w:rFonts w:ascii="Calibri" w:hAnsi="Calibri" w:cs="Calibri"/>
          <w:sz w:val="24"/>
          <w:szCs w:val="24"/>
        </w:rPr>
      </w:pPr>
      <w:r w:rsidRPr="0022384B">
        <w:rPr>
          <w:rFonts w:ascii="Calibri" w:hAnsi="Calibri" w:cs="Calibri"/>
          <w:sz w:val="24"/>
          <w:szCs w:val="24"/>
        </w:rPr>
        <w:t>Strategie regionálního rozvoje ČR 2014 – 2020 je jedním z východisek pro zaměření podpory v rámci OP PIK, které umožní při realizaci navržených prioritních os zohlednit specifické potřeby jednotlivých regionů ČR a zohlednit tak principy územní dimenze v tomto operačním programu.</w:t>
      </w:r>
    </w:p>
    <w:p w:rsidR="00CD5981" w:rsidRPr="00FB488F" w:rsidRDefault="00CD5981" w:rsidP="00CD5981">
      <w:pPr>
        <w:rPr>
          <w:rFonts w:ascii="Calibri" w:hAnsi="Calibri" w:cs="Calibri"/>
          <w:b/>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 xml:space="preserve">Strategický rámec udržitelného rozvoje ČR </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Strategický rámec udržitelného rozvoje ČR slouží jako dlouhodobý rámec pro politické rozhodování v kontextu mezinárodních závazků, které ČR přijala nebo hodlá přijmout v rámci svého členství v OSN, OECD a EU při respektování specifických podmínek a potřeb ČR. Cílem Strategického rámce je tedy vymezit klíčová témata a problémy udržitelného rozvoje České republiky a nalézt příslušná opatření k jejich řešení – tato opatření mohou být obsažena v již existujících a schválených koncepčních dokumentech. Priority a cíle udržitelného rozvoje jsou řazeny do následujících pěti prioritních os: 1. Společnost, člověk a zdraví; 2. Ekonomika a inovace; 3. Rozvoj území; 4. Krajina, ekosystémy a biodiverzita; 5. Stabilní a bezpečná společnost. Časový horizont Strategického rámce je rok 2030.</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 xml:space="preserve">Všechny věcně zaměřené prioritní osy OP PIK mají bezprostřední vazbu na cíle a priority Prioritní osy 2 Ekonomika a inovace Strategického rámce udržitelného rozvoje: </w:t>
      </w:r>
    </w:p>
    <w:p w:rsidR="00CD5981" w:rsidRPr="00FB488F" w:rsidRDefault="00CD5981" w:rsidP="00851D6E">
      <w:pPr>
        <w:numPr>
          <w:ilvl w:val="0"/>
          <w:numId w:val="6"/>
        </w:numPr>
        <w:jc w:val="both"/>
        <w:rPr>
          <w:rFonts w:ascii="Calibri" w:hAnsi="Calibri" w:cs="Calibri"/>
          <w:sz w:val="24"/>
          <w:szCs w:val="24"/>
        </w:rPr>
      </w:pPr>
      <w:r w:rsidRPr="00FB488F">
        <w:rPr>
          <w:rFonts w:ascii="Calibri" w:hAnsi="Calibri" w:cs="Calibri"/>
          <w:sz w:val="24"/>
          <w:szCs w:val="24"/>
        </w:rPr>
        <w:lastRenderedPageBreak/>
        <w:t>Podpora dynamiky národní ekonomiky a posilování konkurenceschopnosti (průmyslu a podnikání, zemědělství, služeb)</w:t>
      </w:r>
    </w:p>
    <w:p w:rsidR="00CD5981" w:rsidRPr="00FB488F" w:rsidRDefault="00CD5981" w:rsidP="00851D6E">
      <w:pPr>
        <w:numPr>
          <w:ilvl w:val="0"/>
          <w:numId w:val="6"/>
        </w:numPr>
        <w:jc w:val="both"/>
        <w:rPr>
          <w:rFonts w:ascii="Calibri" w:hAnsi="Calibri" w:cs="Calibri"/>
          <w:sz w:val="24"/>
          <w:szCs w:val="24"/>
        </w:rPr>
      </w:pPr>
      <w:r w:rsidRPr="00FB488F">
        <w:rPr>
          <w:rFonts w:ascii="Calibri" w:hAnsi="Calibri" w:cs="Calibri"/>
          <w:sz w:val="24"/>
          <w:szCs w:val="24"/>
        </w:rPr>
        <w:t>Zajištění energetické bezpečnosti státu a zvyšování energetické a surovinové efektivity hospodářství</w:t>
      </w:r>
    </w:p>
    <w:p w:rsidR="00CD5981" w:rsidRPr="00FB488F" w:rsidRDefault="00CD5981" w:rsidP="00851D6E">
      <w:pPr>
        <w:numPr>
          <w:ilvl w:val="0"/>
          <w:numId w:val="6"/>
        </w:numPr>
        <w:jc w:val="both"/>
        <w:rPr>
          <w:rFonts w:ascii="Calibri" w:hAnsi="Calibri" w:cs="Calibri"/>
          <w:sz w:val="24"/>
          <w:szCs w:val="24"/>
        </w:rPr>
      </w:pPr>
      <w:r w:rsidRPr="00FB488F">
        <w:rPr>
          <w:rFonts w:ascii="Calibri" w:hAnsi="Calibri" w:cs="Calibri"/>
          <w:sz w:val="24"/>
          <w:szCs w:val="24"/>
        </w:rPr>
        <w:t>Rozvoj lidských zdrojů, podpora vzdělávání, výzkumu a vývoje</w:t>
      </w:r>
    </w:p>
    <w:p w:rsidR="00CD5981" w:rsidRPr="005572A3" w:rsidRDefault="00CD5981" w:rsidP="00CD5981">
      <w:pPr>
        <w:rPr>
          <w:rFonts w:ascii="Calibri" w:hAnsi="Calibri" w:cs="Calibri"/>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Národní inovační strategie ČR</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Národní inovační strateg</w:t>
      </w:r>
      <w:r w:rsidRPr="008B49A9">
        <w:rPr>
          <w:rFonts w:ascii="Calibri" w:hAnsi="Calibri" w:cs="Calibri"/>
          <w:sz w:val="24"/>
          <w:szCs w:val="24"/>
        </w:rPr>
        <w:t>ii ČR (NIS), schvále</w:t>
      </w:r>
      <w:r w:rsidRPr="00FB488F">
        <w:rPr>
          <w:rFonts w:ascii="Calibri" w:hAnsi="Calibri" w:cs="Calibri"/>
          <w:sz w:val="24"/>
          <w:szCs w:val="24"/>
        </w:rPr>
        <w:t>ná vládou ČR dne 27. 9. 2011, reflektuje současnou situaci v ČR, ať již v oblasti výzkumu, či inovačních aktivit podniků v ČR, a reaguje na doporučení obsažená v dokumentu Unie inovací přijatém Evropskou komisí. Globálním cílem NIS je posílení významu inovací a využívání špičkových technologií jako zdroje konkurenceschopnosti ČR a zvyšování jejich přínosů pro dlouhodobý hospodářský růst, pro tvorbu kvalitních pracovních míst a pro rozvoj kvality života na území ČR. Dokument je rozdělen do čtyř hlavních částí zabývajících se excelentním výzkumem, spoluprací mezi podnikovým a akademickým sektorem při transferu znalostí, podporou inovačního podnikání a lidmi jako nositeli nových nápadů a iniciátory změn. NIS pokrývá, v souladu se Strategií mezinárodní konkurenceschopnosti ČR, zejména příští programovací období, tj. období do roku 2020. Koncepční východiska a cíle Národní inovační strategie České republiky budou využity pro aktualizaci Národní politiky výzkumu, vývoje a inovací České republiky na léta 2009–2015.</w:t>
      </w:r>
    </w:p>
    <w:p w:rsidR="00CD5981" w:rsidRDefault="00CD5981" w:rsidP="000C6BEF">
      <w:pPr>
        <w:jc w:val="both"/>
        <w:rPr>
          <w:rFonts w:ascii="Calibri" w:hAnsi="Calibri" w:cs="Calibri"/>
          <w:sz w:val="24"/>
          <w:szCs w:val="24"/>
          <w:u w:val="single"/>
        </w:rPr>
      </w:pPr>
      <w:r w:rsidRPr="0022384B">
        <w:rPr>
          <w:rFonts w:ascii="Calibri" w:hAnsi="Calibri" w:cs="Calibri"/>
          <w:sz w:val="24"/>
          <w:szCs w:val="24"/>
        </w:rPr>
        <w:t>Všechny věcně zaměřené prioritní osy OP PIK jsou obsahově v souladu s cíli NIS</w:t>
      </w:r>
      <w:r w:rsidR="0022384B" w:rsidRPr="0022384B">
        <w:rPr>
          <w:rFonts w:ascii="Calibri" w:hAnsi="Calibri" w:cs="Calibri"/>
          <w:sz w:val="24"/>
          <w:szCs w:val="24"/>
        </w:rPr>
        <w:t xml:space="preserve">. </w:t>
      </w:r>
      <w:r w:rsidRPr="0022384B">
        <w:rPr>
          <w:rFonts w:ascii="Calibri" w:hAnsi="Calibri" w:cs="Calibri"/>
          <w:sz w:val="24"/>
          <w:szCs w:val="24"/>
        </w:rPr>
        <w:t>Nejsilnější vazbu na NIS vykazuje prioritní osa 1 OP PIK „</w:t>
      </w:r>
      <w:r w:rsidRPr="0022384B">
        <w:rPr>
          <w:rFonts w:ascii="Calibri" w:hAnsi="Calibri" w:cs="Calibri"/>
          <w:sz w:val="24"/>
          <w:szCs w:val="24"/>
          <w:u w:val="single"/>
        </w:rPr>
        <w:t>Rozvoj podnikání založený na podpoře výzkumu, vývoje a inovací“</w:t>
      </w:r>
      <w:r w:rsidRPr="0022384B">
        <w:rPr>
          <w:rFonts w:ascii="Calibri" w:hAnsi="Calibri" w:cs="Calibri"/>
          <w:sz w:val="24"/>
          <w:szCs w:val="24"/>
        </w:rPr>
        <w:t xml:space="preserve"> a prioritní osa 2 „</w:t>
      </w:r>
      <w:r w:rsidRPr="0022384B">
        <w:rPr>
          <w:rFonts w:ascii="Calibri" w:hAnsi="Calibri" w:cs="Calibri"/>
          <w:sz w:val="24"/>
          <w:szCs w:val="24"/>
          <w:u w:val="single"/>
        </w:rPr>
        <w:t>Rozvoj infrastruktury a služeb podporujících podnikání ve znalostní ekonomice a internacionalizace podnikání“.</w:t>
      </w:r>
    </w:p>
    <w:p w:rsidR="001668E3" w:rsidRDefault="001668E3" w:rsidP="000C6BEF">
      <w:pPr>
        <w:jc w:val="both"/>
        <w:rPr>
          <w:rFonts w:ascii="Calibri" w:hAnsi="Calibri" w:cs="Calibri"/>
          <w:sz w:val="24"/>
          <w:szCs w:val="24"/>
          <w:u w:val="single"/>
        </w:rPr>
      </w:pPr>
    </w:p>
    <w:p w:rsidR="001668E3" w:rsidRPr="00FB488F" w:rsidRDefault="001668E3" w:rsidP="001668E3">
      <w:pPr>
        <w:jc w:val="both"/>
        <w:rPr>
          <w:rFonts w:ascii="Calibri" w:hAnsi="Calibri" w:cs="Calibri"/>
          <w:b/>
          <w:sz w:val="24"/>
          <w:szCs w:val="24"/>
        </w:rPr>
      </w:pPr>
      <w:r w:rsidRPr="00FB488F">
        <w:rPr>
          <w:rFonts w:ascii="Calibri" w:hAnsi="Calibri" w:cs="Calibri"/>
          <w:b/>
          <w:sz w:val="24"/>
          <w:szCs w:val="24"/>
        </w:rPr>
        <w:t>Koncepce podpory malých a středních podnikatelů na období let 2014-2020</w:t>
      </w:r>
    </w:p>
    <w:p w:rsidR="001668E3" w:rsidRPr="00FB488F" w:rsidRDefault="001668E3" w:rsidP="001668E3">
      <w:pPr>
        <w:spacing w:after="120"/>
        <w:jc w:val="both"/>
        <w:rPr>
          <w:rFonts w:ascii="Calibri" w:hAnsi="Calibri" w:cs="Calibri"/>
          <w:sz w:val="24"/>
          <w:szCs w:val="24"/>
        </w:rPr>
      </w:pPr>
      <w:r w:rsidRPr="00FB488F">
        <w:rPr>
          <w:rFonts w:ascii="Calibri" w:hAnsi="Calibri" w:cs="Calibri"/>
          <w:sz w:val="24"/>
          <w:szCs w:val="24"/>
        </w:rPr>
        <w:t>Koncepce podpory malých a středních podnikatelů na období let 2014–2020, která představuje zásadní strategický dokument pro přípravu budoucího programovacího období kohezní politiky EU v oblasti podnikání, byla schválena usnesením vlády ČR č. 923 dne 12. prosince 2012. Podpora malých a středních podnikatelů bude zaměřena na posilování jejich konkurenceschopnosti prostřednictvím vytváření a šíření inovací, rozvoj podnikatelského prostředí, snižování administrativní zátěže a zvyšování kvality poradenských služeb pro MSP. Důležitou oblastí podpory v rámci posilování konkurenceschopnosti s pozitivními dopady v oblasti životního prostředí bude snižování energetické náročnosti podnikání malých a středních firem, a to především ve vztahu k využití obnovitelných a druhotných energetických zdrojů. Koncepce současně identifikuje prioritních oblasti podpory pro programovací období 2014–2020, jejichž opatření budou financovaná ze státního rozpočtu ČR i strukturálních fondů EU.</w:t>
      </w:r>
    </w:p>
    <w:p w:rsidR="001668E3" w:rsidRPr="00E975F8" w:rsidRDefault="001668E3" w:rsidP="001668E3">
      <w:pPr>
        <w:jc w:val="both"/>
        <w:rPr>
          <w:rFonts w:ascii="Calibri" w:hAnsi="Calibri" w:cs="Calibri"/>
          <w:color w:val="FF0000"/>
          <w:sz w:val="24"/>
          <w:szCs w:val="24"/>
          <w:u w:val="single"/>
        </w:rPr>
      </w:pPr>
      <w:r w:rsidRPr="001668E3">
        <w:rPr>
          <w:rFonts w:ascii="Calibri" w:hAnsi="Calibri" w:cs="Calibri"/>
          <w:sz w:val="24"/>
          <w:szCs w:val="24"/>
          <w:u w:val="single"/>
        </w:rPr>
        <w:t>Všechny věcně zaměřené prioritní osy OP PIK mají přímou vazbu na cíle a opatření Koncepce.</w:t>
      </w:r>
    </w:p>
    <w:p w:rsidR="00CD5981" w:rsidRPr="00FB488F" w:rsidRDefault="00CD5981" w:rsidP="00CD5981">
      <w:pPr>
        <w:jc w:val="both"/>
        <w:rPr>
          <w:rFonts w:ascii="Calibri" w:hAnsi="Calibri" w:cs="Calibri"/>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Státní energetická koncepce</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Státní energetická koncepce České republik</w:t>
      </w:r>
      <w:r w:rsidRPr="008B49A9">
        <w:rPr>
          <w:rFonts w:ascii="Calibri" w:hAnsi="Calibri" w:cs="Calibri"/>
          <w:sz w:val="24"/>
          <w:szCs w:val="24"/>
        </w:rPr>
        <w:t>y (SEK) je dokum</w:t>
      </w:r>
      <w:r w:rsidRPr="00FB488F">
        <w:rPr>
          <w:rFonts w:ascii="Calibri" w:hAnsi="Calibri" w:cs="Calibri"/>
          <w:sz w:val="24"/>
          <w:szCs w:val="24"/>
        </w:rPr>
        <w:t xml:space="preserve">entem, který stanovuje – v souladu se zněním § 3 zákona č. 406/2000 Sb., o hospodaření s energií – strategické cíle státu v energetickém hospodářství s výhledem na 30 let. Koncepce definuje priority a cíle </w:t>
      </w:r>
      <w:r w:rsidRPr="00FB488F">
        <w:rPr>
          <w:rFonts w:ascii="Calibri" w:hAnsi="Calibri" w:cs="Calibri"/>
          <w:sz w:val="24"/>
          <w:szCs w:val="24"/>
        </w:rPr>
        <w:lastRenderedPageBreak/>
        <w:t xml:space="preserve">České republiky v energetickém sektoru a popisuje konkrétní realizační nástroje energetické politiky státu. Připravovaná Aktualizace SEK  obsahuje vizi a strategické priority energetiky ČR. Její klíčovou součástí je scénář předpokládaných základních trendů vývoje energetiky s horizontem do roku 2050. Výhled do roku 2030 má charakter podrobné strategie a mezi roky 2030 a 2050 má charakter strategické vize. </w:t>
      </w:r>
    </w:p>
    <w:p w:rsidR="00CD5981" w:rsidRPr="001668E3" w:rsidRDefault="00CD5981" w:rsidP="00CD5981">
      <w:pPr>
        <w:jc w:val="both"/>
        <w:rPr>
          <w:rFonts w:ascii="Calibri" w:hAnsi="Calibri" w:cs="Calibri"/>
          <w:sz w:val="24"/>
          <w:szCs w:val="24"/>
          <w:u w:val="single"/>
        </w:rPr>
      </w:pPr>
      <w:r w:rsidRPr="001668E3">
        <w:rPr>
          <w:rFonts w:ascii="Calibri" w:hAnsi="Calibri" w:cs="Calibri"/>
          <w:sz w:val="24"/>
          <w:szCs w:val="24"/>
        </w:rPr>
        <w:t>Na SEK vykazuje přímou vazbu na prioritní osu 3 OP PIK „</w:t>
      </w:r>
      <w:r w:rsidRPr="001668E3">
        <w:rPr>
          <w:rFonts w:ascii="Calibri" w:hAnsi="Calibri" w:cs="Calibri"/>
          <w:sz w:val="24"/>
          <w:szCs w:val="24"/>
          <w:u w:val="single"/>
        </w:rPr>
        <w:t>Udržitelné hospodaření s energií, podpora OZE a rozvoj inovací v energetice“.</w:t>
      </w:r>
    </w:p>
    <w:p w:rsidR="00CD5981" w:rsidRPr="00FB488F" w:rsidRDefault="00CD5981" w:rsidP="00CD5981">
      <w:pPr>
        <w:jc w:val="both"/>
        <w:rPr>
          <w:rFonts w:ascii="Calibri" w:hAnsi="Calibri" w:cs="Calibri"/>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Národní akční plán České republiky pro energii z obnovitelných zdrojů</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Národní akční plán České republiky pro energii z obnovitelných zdr</w:t>
      </w:r>
      <w:r w:rsidRPr="008B49A9">
        <w:rPr>
          <w:rFonts w:ascii="Calibri" w:hAnsi="Calibri" w:cs="Calibri"/>
          <w:sz w:val="24"/>
          <w:szCs w:val="24"/>
        </w:rPr>
        <w:t>ojů (NAP) byl</w:t>
      </w:r>
      <w:r w:rsidRPr="00FB488F">
        <w:rPr>
          <w:rFonts w:ascii="Calibri" w:hAnsi="Calibri" w:cs="Calibri"/>
          <w:sz w:val="24"/>
          <w:szCs w:val="24"/>
        </w:rPr>
        <w:t xml:space="preserve"> schválen vládou dne 25. 8. 2010. NAP je naplněním Rozhodnutí Komise 2009/548/ES ze dne 30. června 2009, kterým se stanoví vzor pro národní akční plány pro energii z obnovitelných zdrojů podle směrnice Evropského parlamentu a Rady 2009/28/ES. NAP stanovil cíl podílu energie z obnovitelných zdrojů na hrubé konečné spotřebě energie ve výši 13,5 % v r. 2020, což je o 0,5 procentního bodu nad závazkem vyplývajícím z členství ČR v EU a splnění cíle podílu energie z obnovitelných zdrojů na hrubé konečné spotřebě v dopravě ve výši 10,8 %.  NAP ČR je součástí SEKu do roku 2020. SEK tedy v případě OZE data přejímá. Navržený NAP je sestaven tak, aby naplnil požadované cíle v oblasti využívání energie z obnovitelných zdrojů a to na základě současných a připravovaných reálných projektů a na očekávané reálné predikci budoucího vývoje dané statistickým sledováním trendů s případným zohledněním dotační politiky. </w:t>
      </w:r>
    </w:p>
    <w:p w:rsidR="00CD5981" w:rsidRPr="001668E3" w:rsidRDefault="00CD5981" w:rsidP="00CD5981">
      <w:pPr>
        <w:jc w:val="both"/>
        <w:rPr>
          <w:rFonts w:ascii="Calibri" w:hAnsi="Calibri" w:cs="Calibri"/>
          <w:sz w:val="24"/>
          <w:szCs w:val="24"/>
        </w:rPr>
      </w:pPr>
      <w:r w:rsidRPr="001668E3">
        <w:rPr>
          <w:rFonts w:ascii="Calibri" w:hAnsi="Calibri" w:cs="Calibri"/>
          <w:sz w:val="24"/>
          <w:szCs w:val="24"/>
        </w:rPr>
        <w:t>Realizace prioritní osy 3 OP PIK „</w:t>
      </w:r>
      <w:r w:rsidRPr="001668E3">
        <w:rPr>
          <w:rFonts w:ascii="Calibri" w:hAnsi="Calibri" w:cs="Calibri"/>
          <w:sz w:val="24"/>
          <w:szCs w:val="24"/>
          <w:u w:val="single"/>
        </w:rPr>
        <w:t>Udržitelné hospodaření s energií, podpora OZE a rozvoj inovací v energetice“</w:t>
      </w:r>
      <w:r w:rsidRPr="001668E3">
        <w:rPr>
          <w:rFonts w:ascii="Calibri" w:hAnsi="Calibri" w:cs="Calibri"/>
          <w:sz w:val="24"/>
          <w:szCs w:val="24"/>
        </w:rPr>
        <w:t xml:space="preserve"> přispěje k naplnění cílů NAP</w:t>
      </w:r>
      <w:r w:rsidR="001668E3">
        <w:rPr>
          <w:rFonts w:ascii="Calibri" w:hAnsi="Calibri" w:cs="Calibri"/>
          <w:sz w:val="24"/>
          <w:szCs w:val="24"/>
        </w:rPr>
        <w:t xml:space="preserve">, </w:t>
      </w:r>
      <w:r w:rsidRPr="001668E3">
        <w:rPr>
          <w:rFonts w:ascii="Calibri" w:hAnsi="Calibri" w:cs="Calibri"/>
          <w:sz w:val="24"/>
          <w:szCs w:val="24"/>
        </w:rPr>
        <w:t>který podporu realizace opatření ze strukturálních fondů předpokládá.</w:t>
      </w:r>
    </w:p>
    <w:p w:rsidR="00CD5981" w:rsidRPr="00492022" w:rsidRDefault="00CD5981" w:rsidP="00CD5981">
      <w:pPr>
        <w:rPr>
          <w:rFonts w:ascii="Calibri" w:hAnsi="Calibri" w:cs="Calibri"/>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Druhý Akční plán energetické účinnosti České republiky</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Druhý Akční plán energetické účinnosti České republiky</w:t>
      </w:r>
      <w:r w:rsidRPr="00FB488F">
        <w:rPr>
          <w:rFonts w:ascii="Calibri" w:hAnsi="Calibri" w:cs="Calibri"/>
          <w:b/>
          <w:sz w:val="24"/>
          <w:szCs w:val="24"/>
        </w:rPr>
        <w:t xml:space="preserve"> </w:t>
      </w:r>
      <w:r w:rsidRPr="00FB488F">
        <w:rPr>
          <w:rFonts w:ascii="Calibri" w:hAnsi="Calibri" w:cs="Calibri"/>
          <w:sz w:val="24"/>
          <w:szCs w:val="24"/>
        </w:rPr>
        <w:t xml:space="preserve">byl schválen vládou v září roku 2011 a odeslán do Evropské komise. Akční plán popisuje plnění doporučení a opatření obsažených ve Směrnici Evropského parlamentu a Rady č. 2006/32/ES o energetické účinnosti u konečného spotřebitele a o energetických službách a o zrušení směrnice 93/76/EHS (ESD). </w:t>
      </w:r>
    </w:p>
    <w:p w:rsidR="00CD5981" w:rsidRDefault="00CD5981" w:rsidP="00CD5981">
      <w:pPr>
        <w:jc w:val="both"/>
        <w:rPr>
          <w:rFonts w:ascii="Calibri" w:hAnsi="Calibri" w:cs="Calibri"/>
          <w:sz w:val="24"/>
          <w:szCs w:val="24"/>
        </w:rPr>
      </w:pPr>
      <w:r w:rsidRPr="001668E3">
        <w:rPr>
          <w:rFonts w:ascii="Calibri" w:hAnsi="Calibri" w:cs="Calibri"/>
          <w:sz w:val="24"/>
          <w:szCs w:val="24"/>
        </w:rPr>
        <w:t>Realizace prioritní osy 3 OP PIK „</w:t>
      </w:r>
      <w:r w:rsidRPr="001668E3">
        <w:rPr>
          <w:rFonts w:ascii="Calibri" w:hAnsi="Calibri" w:cs="Calibri"/>
          <w:sz w:val="24"/>
          <w:szCs w:val="24"/>
          <w:u w:val="single"/>
        </w:rPr>
        <w:t>Udržitelné hospodaření s energií, podpora OZE a rozvoj inovací v energetice“</w:t>
      </w:r>
      <w:r w:rsidRPr="001668E3">
        <w:rPr>
          <w:rFonts w:ascii="Calibri" w:hAnsi="Calibri" w:cs="Calibri"/>
          <w:sz w:val="24"/>
          <w:szCs w:val="24"/>
        </w:rPr>
        <w:t xml:space="preserve"> přispěje k naplnění cílů v Druhém Akčním plánu energetické účinnosti.</w:t>
      </w:r>
    </w:p>
    <w:p w:rsidR="00CD5981" w:rsidRPr="00492022" w:rsidRDefault="00CD5981" w:rsidP="00CD5981">
      <w:pPr>
        <w:rPr>
          <w:rFonts w:ascii="Calibri" w:hAnsi="Calibri" w:cs="Calibri"/>
          <w:sz w:val="24"/>
          <w:szCs w:val="24"/>
        </w:rPr>
      </w:pPr>
    </w:p>
    <w:p w:rsidR="00CD5981" w:rsidRPr="00FB488F" w:rsidRDefault="00CD5981" w:rsidP="00CD5981">
      <w:pPr>
        <w:jc w:val="both"/>
        <w:rPr>
          <w:rFonts w:ascii="Calibri" w:hAnsi="Calibri" w:cs="Calibri"/>
          <w:b/>
          <w:sz w:val="24"/>
          <w:szCs w:val="24"/>
        </w:rPr>
      </w:pPr>
      <w:r w:rsidRPr="00FB488F">
        <w:rPr>
          <w:rFonts w:ascii="Calibri" w:hAnsi="Calibri" w:cs="Calibri"/>
          <w:b/>
          <w:sz w:val="24"/>
          <w:szCs w:val="24"/>
        </w:rPr>
        <w:t>Surovinová politika ČR</w:t>
      </w:r>
    </w:p>
    <w:p w:rsidR="00CD5981" w:rsidRPr="00FB488F" w:rsidRDefault="00CD5981" w:rsidP="00CD5981">
      <w:pPr>
        <w:spacing w:after="120"/>
        <w:jc w:val="both"/>
        <w:rPr>
          <w:rFonts w:ascii="Calibri" w:hAnsi="Calibri" w:cs="Calibri"/>
          <w:sz w:val="24"/>
          <w:szCs w:val="24"/>
        </w:rPr>
      </w:pPr>
      <w:r w:rsidRPr="00FB488F">
        <w:rPr>
          <w:rFonts w:ascii="Calibri" w:hAnsi="Calibri" w:cs="Calibri"/>
          <w:sz w:val="24"/>
          <w:szCs w:val="24"/>
        </w:rPr>
        <w:t xml:space="preserve">Aktualizovaná Surovinová politika ČR představuje moderní koncepční dokument pro oblast využívání nerostných a druhotných surovin, jejichž těžba, získávání a zpracování tvoří základní vstupy pro hospodářství ČR. Bude předložena do vlády do konce roku 2011. Mezi strategické cíle Surovinové politiky ČR patří: zvyšovat soběstačnost ČR v surovinových zdrojích substitucí primárních zdrojů druhotnými surovinami, podporovat inovace zabezpečující získávání druhotných surovin v kvalitě vhodné pro další využití v průmyslu, podporovat využívání druhotných surovin jako nástroje pro snižování energetické a materiálové náročnosti průmyslové výroby za současné eliminace negativních dopadů na životní prostředí a zdraví lidí a iniciovat podporu vzdělávání pro zajištění kvalifikovaných pracovníků v oboru druhotných surovin jako podporu konkurenceschopnosti ČR. Surovinová politika ČR rovněž reaguje na </w:t>
      </w:r>
      <w:r w:rsidRPr="00FB488F">
        <w:rPr>
          <w:rFonts w:ascii="Calibri" w:hAnsi="Calibri" w:cs="Calibri"/>
          <w:sz w:val="24"/>
          <w:szCs w:val="24"/>
        </w:rPr>
        <w:lastRenderedPageBreak/>
        <w:t xml:space="preserve">Sdělení „Plán pro Evropu účinněji využívající zdroje (Sdělení Komise Radě a Evropskému parlamentu) KOM (2011) 571“, který zveřejnila Komise v  září 2011 a který stanovuje významný dílčí cíl: „Do roku 2020 se s odpadem začne nakládat jako se zdrojem“. </w:t>
      </w:r>
    </w:p>
    <w:p w:rsidR="00CD5981" w:rsidRPr="001668E3" w:rsidRDefault="00CD5981" w:rsidP="00CD5981">
      <w:pPr>
        <w:jc w:val="both"/>
        <w:rPr>
          <w:rFonts w:ascii="Calibri" w:hAnsi="Calibri" w:cs="Calibri"/>
          <w:sz w:val="24"/>
          <w:szCs w:val="24"/>
          <w:u w:val="single"/>
        </w:rPr>
      </w:pPr>
      <w:r w:rsidRPr="001668E3">
        <w:rPr>
          <w:rFonts w:ascii="Calibri" w:hAnsi="Calibri" w:cs="Calibri"/>
          <w:sz w:val="24"/>
          <w:szCs w:val="24"/>
        </w:rPr>
        <w:t>Na Surovinovou politiku ČR vykazuje vazbu věcné zaměření prioritní osy 3 OP PIK „</w:t>
      </w:r>
      <w:r w:rsidRPr="001668E3">
        <w:rPr>
          <w:rFonts w:ascii="Calibri" w:hAnsi="Calibri" w:cs="Calibri"/>
          <w:sz w:val="24"/>
          <w:szCs w:val="24"/>
          <w:u w:val="single"/>
        </w:rPr>
        <w:t>Udržitelné hospodaření s energií, podpora OZE a rozvoj inovací v energetice“.</w:t>
      </w:r>
    </w:p>
    <w:p w:rsidR="00CD5981" w:rsidRDefault="00CD5981" w:rsidP="00CD5981">
      <w:pPr>
        <w:jc w:val="both"/>
        <w:rPr>
          <w:rFonts w:ascii="Calibri" w:hAnsi="Calibri" w:cs="Calibri"/>
          <w:b/>
          <w:sz w:val="24"/>
          <w:szCs w:val="24"/>
        </w:rPr>
      </w:pPr>
    </w:p>
    <w:p w:rsidR="00F37D90" w:rsidRPr="00B358EE" w:rsidRDefault="00F37D90" w:rsidP="00F37D90">
      <w:pPr>
        <w:jc w:val="both"/>
        <w:rPr>
          <w:rFonts w:ascii="Calibri" w:hAnsi="Calibri" w:cs="Calibri"/>
          <w:b/>
          <w:sz w:val="24"/>
          <w:szCs w:val="24"/>
        </w:rPr>
      </w:pPr>
      <w:r w:rsidRPr="00B358EE">
        <w:rPr>
          <w:rFonts w:ascii="Calibri" w:hAnsi="Calibri" w:cs="Calibri"/>
          <w:b/>
          <w:sz w:val="24"/>
          <w:szCs w:val="24"/>
        </w:rPr>
        <w:t>Aktualizovaná Státní politika v elektronických komunikacích - Digitální Česko v. 2.0, Cesta k digitální ekonomice</w:t>
      </w:r>
    </w:p>
    <w:p w:rsidR="00F37D90" w:rsidRPr="00B358EE" w:rsidRDefault="00F37D90" w:rsidP="00F37D90">
      <w:pPr>
        <w:spacing w:after="120"/>
        <w:jc w:val="both"/>
        <w:rPr>
          <w:rFonts w:ascii="Calibri" w:hAnsi="Calibri" w:cs="Calibri"/>
          <w:sz w:val="24"/>
          <w:szCs w:val="24"/>
        </w:rPr>
      </w:pPr>
      <w:r w:rsidRPr="00B358EE">
        <w:rPr>
          <w:rFonts w:ascii="Calibri" w:hAnsi="Calibri" w:cs="Calibri"/>
          <w:sz w:val="24"/>
          <w:szCs w:val="24"/>
        </w:rPr>
        <w:t xml:space="preserve">Vláda dne 20. března 2013 projednala a schválila materiál Aktualizace Státní politiky v elektronických komunikacích - Digitální Česko v. 2.0, Cesta k digitální ekonomice. </w:t>
      </w:r>
    </w:p>
    <w:p w:rsidR="00F37D90" w:rsidRPr="00B358EE" w:rsidRDefault="00F37D90" w:rsidP="00F37D90">
      <w:pPr>
        <w:spacing w:after="120"/>
        <w:jc w:val="both"/>
        <w:rPr>
          <w:rFonts w:ascii="Calibri" w:hAnsi="Calibri" w:cs="Calibri"/>
          <w:sz w:val="24"/>
          <w:szCs w:val="24"/>
        </w:rPr>
      </w:pPr>
      <w:r w:rsidRPr="00B358EE">
        <w:rPr>
          <w:rFonts w:ascii="Calibri" w:hAnsi="Calibri" w:cs="Calibri"/>
          <w:sz w:val="24"/>
          <w:szCs w:val="24"/>
        </w:rPr>
        <w:t xml:space="preserve">Aktualizovaná </w:t>
      </w:r>
      <w:r>
        <w:rPr>
          <w:rFonts w:ascii="Calibri" w:hAnsi="Calibri" w:cs="Calibri"/>
          <w:sz w:val="24"/>
          <w:szCs w:val="24"/>
        </w:rPr>
        <w:t>strategie</w:t>
      </w:r>
      <w:r w:rsidRPr="00B358EE">
        <w:rPr>
          <w:rFonts w:ascii="Calibri" w:hAnsi="Calibri" w:cs="Calibri"/>
          <w:sz w:val="24"/>
          <w:szCs w:val="24"/>
        </w:rPr>
        <w:t xml:space="preserve"> je postavena na třech pilířích, a to podpoře budování kvalitní </w:t>
      </w:r>
      <w:r>
        <w:rPr>
          <w:rFonts w:ascii="Calibri" w:hAnsi="Calibri" w:cs="Calibri"/>
          <w:sz w:val="24"/>
          <w:szCs w:val="24"/>
        </w:rPr>
        <w:t xml:space="preserve">internetové </w:t>
      </w:r>
      <w:r w:rsidRPr="00B358EE">
        <w:rPr>
          <w:rFonts w:ascii="Calibri" w:hAnsi="Calibri" w:cs="Calibri"/>
          <w:sz w:val="24"/>
          <w:szCs w:val="24"/>
        </w:rPr>
        <w:t xml:space="preserve">infrastruktury, rozvoji digitálních služeb a zvyšování digitální gramotnosti. Hlavním cílem je podpořit potenciál České republiky v oblasti rozvoje moderních informačních a komunikačních technologií a služeb, které jsou jejich prostřednictvím poskytovány. V souladu s Digitální agendou </w:t>
      </w:r>
      <w:r>
        <w:rPr>
          <w:rFonts w:ascii="Calibri" w:hAnsi="Calibri" w:cs="Calibri"/>
          <w:sz w:val="24"/>
          <w:szCs w:val="24"/>
        </w:rPr>
        <w:t xml:space="preserve">pro Evropu </w:t>
      </w:r>
      <w:r w:rsidRPr="00B358EE">
        <w:rPr>
          <w:rFonts w:ascii="Calibri" w:hAnsi="Calibri" w:cs="Calibri"/>
          <w:sz w:val="24"/>
          <w:szCs w:val="24"/>
        </w:rPr>
        <w:t xml:space="preserve">si vláda stanovuje cíl v oblasti vysokorychlostního přístupu k internetu, a to rozvoj vysokorychlostních přístupových sítí k internetu umožňujících přenosové rychlosti 30 Mbit/s do roku 2020 pro všechny obyvatele a 100 Mbit/s minimálně pro polovinu domácností. </w:t>
      </w:r>
      <w:r w:rsidRPr="00B358EE">
        <w:rPr>
          <w:rFonts w:ascii="Calibri" w:hAnsi="Calibri" w:cs="Calibri"/>
          <w:sz w:val="24"/>
          <w:szCs w:val="24"/>
          <w:u w:val="single"/>
        </w:rPr>
        <w:t>Tento cíl je promítnut do prioritní osy 4</w:t>
      </w:r>
      <w:r>
        <w:rPr>
          <w:rFonts w:ascii="Calibri" w:hAnsi="Calibri" w:cs="Calibri"/>
          <w:sz w:val="24"/>
          <w:szCs w:val="24"/>
          <w:u w:val="single"/>
        </w:rPr>
        <w:t xml:space="preserve"> OP PI</w:t>
      </w:r>
      <w:r w:rsidRPr="00B358EE">
        <w:rPr>
          <w:rFonts w:ascii="Calibri" w:hAnsi="Calibri" w:cs="Calibri"/>
          <w:sz w:val="24"/>
          <w:szCs w:val="24"/>
          <w:u w:val="single"/>
        </w:rPr>
        <w:t>K</w:t>
      </w:r>
      <w:r w:rsidRPr="00B358EE">
        <w:rPr>
          <w:u w:val="single"/>
        </w:rPr>
        <w:t xml:space="preserve"> </w:t>
      </w:r>
      <w:r w:rsidRPr="00B358EE">
        <w:rPr>
          <w:rFonts w:ascii="Calibri" w:hAnsi="Calibri" w:cs="Calibri"/>
          <w:sz w:val="24"/>
          <w:szCs w:val="24"/>
          <w:u w:val="single"/>
        </w:rPr>
        <w:t>„Rozvoj vysokorychlostních přístupových sítí k internetu a informačních a komunikačních technologií</w:t>
      </w:r>
      <w:r>
        <w:rPr>
          <w:rFonts w:ascii="Calibri" w:hAnsi="Calibri" w:cs="Calibri"/>
          <w:sz w:val="24"/>
          <w:szCs w:val="24"/>
          <w:u w:val="single"/>
        </w:rPr>
        <w:t>“</w:t>
      </w:r>
      <w:r w:rsidRPr="00B358EE">
        <w:rPr>
          <w:rFonts w:ascii="Calibri" w:hAnsi="Calibri" w:cs="Calibri"/>
          <w:sz w:val="24"/>
          <w:szCs w:val="24"/>
          <w:u w:val="single"/>
        </w:rPr>
        <w:t>.</w:t>
      </w:r>
      <w:r w:rsidRPr="00B358EE">
        <w:rPr>
          <w:rFonts w:ascii="Calibri" w:hAnsi="Calibri" w:cs="Calibri"/>
          <w:sz w:val="24"/>
          <w:szCs w:val="24"/>
        </w:rPr>
        <w:t xml:space="preserve"> </w:t>
      </w:r>
    </w:p>
    <w:p w:rsidR="00F37D90" w:rsidRPr="00B358EE" w:rsidRDefault="00F37D90" w:rsidP="00F37D90">
      <w:pPr>
        <w:spacing w:after="120"/>
        <w:jc w:val="both"/>
        <w:rPr>
          <w:rFonts w:ascii="Calibri" w:hAnsi="Calibri" w:cs="Calibri"/>
          <w:sz w:val="24"/>
          <w:szCs w:val="24"/>
        </w:rPr>
      </w:pPr>
      <w:r w:rsidRPr="00B358EE">
        <w:rPr>
          <w:rFonts w:ascii="Calibri" w:hAnsi="Calibri" w:cs="Calibri"/>
          <w:sz w:val="24"/>
          <w:szCs w:val="24"/>
        </w:rPr>
        <w:t>Mezi další cíle vlády do roku 2020, stanovené dokumentem</w:t>
      </w:r>
      <w:r w:rsidRPr="00B358EE">
        <w:t xml:space="preserve"> </w:t>
      </w:r>
      <w:r w:rsidRPr="00B358EE">
        <w:rPr>
          <w:rFonts w:ascii="Calibri" w:hAnsi="Calibri" w:cs="Calibri"/>
          <w:sz w:val="24"/>
          <w:szCs w:val="24"/>
        </w:rPr>
        <w:t xml:space="preserve">Digitální Česko v. 2.0, patří například efektivní využívání rádiového spektra ve prospěch koncových uživatelů, posílení samoregulačních mechanismů digitální ekonomiky, zvyšování dostupnosti ICT pro všechny bez ohledu na lokalitu, sociální postavení nebo zdravotní postižení nebo podpora celoživotního vzdělávání za účelem posílení digitální gramotnosti. </w:t>
      </w:r>
    </w:p>
    <w:p w:rsidR="00F37D90" w:rsidRDefault="00F37D90" w:rsidP="00F37D90">
      <w:pPr>
        <w:jc w:val="both"/>
        <w:rPr>
          <w:rFonts w:ascii="Calibri" w:hAnsi="Calibri" w:cs="Calibri"/>
          <w:sz w:val="24"/>
          <w:szCs w:val="24"/>
        </w:rPr>
      </w:pPr>
      <w:r>
        <w:rPr>
          <w:rFonts w:ascii="Calibri" w:hAnsi="Calibri" w:cs="Calibri"/>
          <w:sz w:val="24"/>
          <w:szCs w:val="24"/>
        </w:rPr>
        <w:t xml:space="preserve">Cíle dokumentu Digitální Česko </w:t>
      </w:r>
      <w:r w:rsidRPr="009F7C3A">
        <w:rPr>
          <w:rFonts w:ascii="Calibri" w:hAnsi="Calibri" w:cs="Calibri"/>
          <w:sz w:val="24"/>
          <w:szCs w:val="24"/>
        </w:rPr>
        <w:t>v. 2.0</w:t>
      </w:r>
      <w:r>
        <w:rPr>
          <w:rFonts w:ascii="Calibri" w:hAnsi="Calibri" w:cs="Calibri"/>
          <w:sz w:val="24"/>
          <w:szCs w:val="24"/>
        </w:rPr>
        <w:t xml:space="preserve"> </w:t>
      </w:r>
      <w:r w:rsidRPr="00B358EE">
        <w:rPr>
          <w:rFonts w:ascii="Calibri" w:hAnsi="Calibri" w:cs="Calibri"/>
          <w:sz w:val="24"/>
          <w:szCs w:val="24"/>
        </w:rPr>
        <w:t>budou realizov</w:t>
      </w:r>
      <w:r>
        <w:rPr>
          <w:rFonts w:ascii="Calibri" w:hAnsi="Calibri" w:cs="Calibri"/>
          <w:sz w:val="24"/>
          <w:szCs w:val="24"/>
        </w:rPr>
        <w:t>ány prostřednictvím 17 opatření.</w:t>
      </w:r>
      <w:r w:rsidRPr="00B358EE">
        <w:rPr>
          <w:rFonts w:ascii="Calibri" w:hAnsi="Calibri" w:cs="Calibri"/>
          <w:sz w:val="24"/>
          <w:szCs w:val="24"/>
        </w:rPr>
        <w:t xml:space="preserve"> </w:t>
      </w:r>
      <w:r>
        <w:rPr>
          <w:rFonts w:ascii="Calibri" w:hAnsi="Calibri" w:cs="Calibri"/>
          <w:sz w:val="24"/>
          <w:szCs w:val="24"/>
        </w:rPr>
        <w:t>Jedná se např. o</w:t>
      </w:r>
      <w:r w:rsidRPr="00B358EE">
        <w:rPr>
          <w:rFonts w:ascii="Calibri" w:hAnsi="Calibri" w:cs="Calibri"/>
          <w:sz w:val="24"/>
          <w:szCs w:val="24"/>
        </w:rPr>
        <w:t xml:space="preserve"> zpracování Strategie správy rádiového spektra, podpor</w:t>
      </w:r>
      <w:r>
        <w:rPr>
          <w:rFonts w:ascii="Calibri" w:hAnsi="Calibri" w:cs="Calibri"/>
          <w:sz w:val="24"/>
          <w:szCs w:val="24"/>
        </w:rPr>
        <w:t>u</w:t>
      </w:r>
      <w:r w:rsidRPr="00B358EE">
        <w:rPr>
          <w:rFonts w:ascii="Calibri" w:hAnsi="Calibri" w:cs="Calibri"/>
          <w:sz w:val="24"/>
          <w:szCs w:val="24"/>
        </w:rPr>
        <w:t xml:space="preserve"> přechodu na internetový protokol verze 6, vyhodnocování dopadů využívání nových technologií v oblasti ICT, mimo jiné i z hlediska kybernetické bezpečnosti, </w:t>
      </w:r>
      <w:r>
        <w:rPr>
          <w:rFonts w:ascii="Calibri" w:hAnsi="Calibri" w:cs="Calibri"/>
          <w:sz w:val="24"/>
          <w:szCs w:val="24"/>
        </w:rPr>
        <w:t xml:space="preserve">nebo </w:t>
      </w:r>
      <w:r w:rsidRPr="00B358EE">
        <w:rPr>
          <w:rFonts w:ascii="Calibri" w:hAnsi="Calibri" w:cs="Calibri"/>
          <w:sz w:val="24"/>
          <w:szCs w:val="24"/>
        </w:rPr>
        <w:t>podpor</w:t>
      </w:r>
      <w:r>
        <w:rPr>
          <w:rFonts w:ascii="Calibri" w:hAnsi="Calibri" w:cs="Calibri"/>
          <w:sz w:val="24"/>
          <w:szCs w:val="24"/>
        </w:rPr>
        <w:t>u</w:t>
      </w:r>
      <w:r w:rsidRPr="00B358EE">
        <w:rPr>
          <w:rFonts w:ascii="Calibri" w:hAnsi="Calibri" w:cs="Calibri"/>
          <w:sz w:val="24"/>
          <w:szCs w:val="24"/>
        </w:rPr>
        <w:t xml:space="preserve"> legální nabídky digitálního obsahu.</w:t>
      </w:r>
    </w:p>
    <w:p w:rsidR="00F37D90" w:rsidRPr="00FB488F" w:rsidRDefault="00F37D90" w:rsidP="00CD5981">
      <w:pPr>
        <w:jc w:val="both"/>
        <w:rPr>
          <w:rFonts w:ascii="Calibri" w:hAnsi="Calibri" w:cs="Calibri"/>
          <w:b/>
          <w:sz w:val="24"/>
          <w:szCs w:val="24"/>
        </w:rPr>
      </w:pPr>
    </w:p>
    <w:p w:rsidR="008037DE" w:rsidRDefault="008037DE" w:rsidP="005E0C42">
      <w:pPr>
        <w:pStyle w:val="Nadpis3"/>
        <w:spacing w:line="240" w:lineRule="auto"/>
      </w:pPr>
      <w:bookmarkStart w:id="14" w:name="_Toc351464352"/>
      <w:bookmarkStart w:id="15" w:name="_Toc352328356"/>
      <w:r w:rsidRPr="008037DE">
        <w:t>Strategie OP Podnikání a inovace pro konkurenceschopnost</w:t>
      </w:r>
      <w:bookmarkEnd w:id="14"/>
      <w:bookmarkEnd w:id="15"/>
    </w:p>
    <w:p w:rsidR="00A93D30" w:rsidRPr="00A93D30" w:rsidRDefault="00A93D30" w:rsidP="005E0C42">
      <w:pPr>
        <w:overflowPunct/>
        <w:ind w:left="705" w:hanging="705"/>
        <w:jc w:val="both"/>
        <w:textAlignment w:val="auto"/>
        <w:rPr>
          <w:rFonts w:ascii="Calibri" w:hAnsi="Calibri" w:cs="Calibri"/>
          <w:b/>
          <w:sz w:val="24"/>
          <w:szCs w:val="24"/>
        </w:rPr>
      </w:pPr>
    </w:p>
    <w:p w:rsidR="00F2715A" w:rsidRPr="008037DE" w:rsidRDefault="00F2715A" w:rsidP="005E0C42">
      <w:pPr>
        <w:overflowPunct/>
        <w:autoSpaceDE/>
        <w:autoSpaceDN/>
        <w:adjustRightInd/>
        <w:spacing w:after="120"/>
        <w:jc w:val="both"/>
        <w:textAlignment w:val="auto"/>
        <w:rPr>
          <w:rFonts w:ascii="Calibri" w:hAnsi="Calibri" w:cs="Calibri"/>
          <w:sz w:val="24"/>
          <w:szCs w:val="24"/>
        </w:rPr>
      </w:pPr>
      <w:r w:rsidRPr="008037DE">
        <w:rPr>
          <w:rFonts w:ascii="Calibri" w:hAnsi="Calibri" w:cs="Calibri"/>
          <w:sz w:val="24"/>
          <w:szCs w:val="24"/>
        </w:rPr>
        <w:t>V návaznosti na Dohodu o partnerství jsou v rámci Operačního programu Podnikání a inovace pro konkurenceschopnost podporovány intervence ze čtyř tematických cílů pro Evropské strukturální a investiční fond</w:t>
      </w:r>
      <w:r w:rsidRPr="00FB6BDB">
        <w:rPr>
          <w:rFonts w:ascii="Calibri" w:hAnsi="Calibri" w:cs="Calibri"/>
          <w:sz w:val="24"/>
          <w:szCs w:val="24"/>
        </w:rPr>
        <w:t>y (dle čl. 9 obecného nařízení):</w:t>
      </w:r>
      <w:r w:rsidRPr="008037DE">
        <w:rPr>
          <w:rFonts w:ascii="Calibri" w:hAnsi="Calibri" w:cs="Calibri"/>
          <w:sz w:val="24"/>
          <w:szCs w:val="24"/>
        </w:rPr>
        <w:t xml:space="preserve"> </w:t>
      </w:r>
    </w:p>
    <w:p w:rsidR="00F2715A" w:rsidRPr="008037DE" w:rsidRDefault="00F2715A" w:rsidP="005E0C42">
      <w:pPr>
        <w:overflowPunct/>
        <w:autoSpaceDE/>
        <w:autoSpaceDN/>
        <w:adjustRightInd/>
        <w:jc w:val="both"/>
        <w:textAlignment w:val="auto"/>
        <w:rPr>
          <w:rFonts w:ascii="Calibri" w:hAnsi="Calibri" w:cs="Calibri"/>
          <w:sz w:val="24"/>
          <w:szCs w:val="24"/>
        </w:rPr>
      </w:pPr>
      <w:r w:rsidRPr="008037DE">
        <w:rPr>
          <w:rFonts w:ascii="Calibri" w:hAnsi="Calibri" w:cs="Calibri"/>
          <w:sz w:val="24"/>
          <w:szCs w:val="24"/>
        </w:rPr>
        <w:t xml:space="preserve">(1) </w:t>
      </w:r>
      <w:r w:rsidR="003E3F4C" w:rsidRPr="008037DE">
        <w:rPr>
          <w:rFonts w:ascii="Calibri" w:hAnsi="Calibri" w:cs="Calibri"/>
          <w:sz w:val="24"/>
          <w:szCs w:val="24"/>
        </w:rPr>
        <w:t>Posílení výzkumu, technologického rozvoje a inovací</w:t>
      </w:r>
    </w:p>
    <w:p w:rsidR="00F2715A" w:rsidRPr="008037DE" w:rsidRDefault="00F2715A" w:rsidP="005E0C42">
      <w:pPr>
        <w:overflowPunct/>
        <w:autoSpaceDE/>
        <w:autoSpaceDN/>
        <w:adjustRightInd/>
        <w:jc w:val="both"/>
        <w:textAlignment w:val="auto"/>
        <w:rPr>
          <w:rFonts w:ascii="Calibri" w:hAnsi="Calibri" w:cs="Calibri"/>
          <w:sz w:val="24"/>
          <w:szCs w:val="24"/>
        </w:rPr>
      </w:pPr>
      <w:r w:rsidRPr="008037DE">
        <w:rPr>
          <w:rFonts w:ascii="Calibri" w:hAnsi="Calibri" w:cs="Calibri"/>
          <w:sz w:val="24"/>
          <w:szCs w:val="24"/>
        </w:rPr>
        <w:t xml:space="preserve">(2) </w:t>
      </w:r>
      <w:r w:rsidR="003E3F4C" w:rsidRPr="008037DE">
        <w:rPr>
          <w:rFonts w:ascii="Calibri" w:hAnsi="Calibri" w:cs="Calibri"/>
          <w:sz w:val="24"/>
          <w:szCs w:val="24"/>
        </w:rPr>
        <w:t xml:space="preserve">Zlepšení přístupu, využití a kvality informačních a komunikačních technologií </w:t>
      </w:r>
    </w:p>
    <w:p w:rsidR="00F2715A" w:rsidRPr="008037DE" w:rsidRDefault="00F2715A" w:rsidP="005E0C42">
      <w:pPr>
        <w:overflowPunct/>
        <w:autoSpaceDE/>
        <w:autoSpaceDN/>
        <w:adjustRightInd/>
        <w:jc w:val="both"/>
        <w:textAlignment w:val="auto"/>
        <w:rPr>
          <w:rFonts w:ascii="Calibri" w:hAnsi="Calibri" w:cs="Calibri"/>
          <w:sz w:val="24"/>
          <w:szCs w:val="24"/>
        </w:rPr>
      </w:pPr>
      <w:r w:rsidRPr="008037DE">
        <w:rPr>
          <w:rFonts w:ascii="Calibri" w:hAnsi="Calibri" w:cs="Calibri"/>
          <w:sz w:val="24"/>
          <w:szCs w:val="24"/>
        </w:rPr>
        <w:t>(</w:t>
      </w:r>
      <w:r w:rsidR="003E3F4C" w:rsidRPr="008037DE">
        <w:rPr>
          <w:rFonts w:ascii="Calibri" w:hAnsi="Calibri" w:cs="Calibri"/>
          <w:sz w:val="24"/>
          <w:szCs w:val="24"/>
        </w:rPr>
        <w:t>3</w:t>
      </w:r>
      <w:r w:rsidRPr="008037DE">
        <w:rPr>
          <w:rFonts w:ascii="Calibri" w:hAnsi="Calibri" w:cs="Calibri"/>
          <w:sz w:val="24"/>
          <w:szCs w:val="24"/>
        </w:rPr>
        <w:t xml:space="preserve">) </w:t>
      </w:r>
      <w:r w:rsidR="003E3F4C" w:rsidRPr="008037DE">
        <w:rPr>
          <w:rFonts w:ascii="Calibri" w:hAnsi="Calibri" w:cs="Calibri"/>
          <w:sz w:val="24"/>
          <w:szCs w:val="24"/>
        </w:rPr>
        <w:t>Zvýšení konkurenceschopnosti malých a středních podniků</w:t>
      </w:r>
    </w:p>
    <w:p w:rsidR="00997654" w:rsidRPr="008037DE" w:rsidRDefault="003E3F4C" w:rsidP="005E0C42">
      <w:pPr>
        <w:overflowPunct/>
        <w:autoSpaceDE/>
        <w:autoSpaceDN/>
        <w:adjustRightInd/>
        <w:jc w:val="both"/>
        <w:textAlignment w:val="auto"/>
        <w:rPr>
          <w:rFonts w:ascii="Calibri" w:hAnsi="Calibri" w:cs="Calibri"/>
          <w:sz w:val="24"/>
          <w:szCs w:val="24"/>
        </w:rPr>
      </w:pPr>
      <w:r w:rsidRPr="008037DE">
        <w:rPr>
          <w:rFonts w:ascii="Calibri" w:hAnsi="Calibri" w:cs="Calibri"/>
          <w:sz w:val="24"/>
          <w:szCs w:val="24"/>
        </w:rPr>
        <w:t>(4) Podpora přechodu na nízkouhlíkové hospodářství ve všech odvětvích</w:t>
      </w:r>
    </w:p>
    <w:p w:rsidR="00997654" w:rsidRPr="008037DE" w:rsidRDefault="00997654" w:rsidP="005E0C42">
      <w:pPr>
        <w:overflowPunct/>
        <w:autoSpaceDE/>
        <w:autoSpaceDN/>
        <w:adjustRightInd/>
        <w:jc w:val="both"/>
        <w:textAlignment w:val="auto"/>
        <w:rPr>
          <w:rFonts w:ascii="Calibri" w:hAnsi="Calibri" w:cs="Calibri"/>
          <w:sz w:val="24"/>
          <w:szCs w:val="24"/>
        </w:rPr>
      </w:pPr>
    </w:p>
    <w:p w:rsidR="00E975F8" w:rsidRPr="008037DE" w:rsidRDefault="00F2715A" w:rsidP="005E0C42">
      <w:pPr>
        <w:overflowPunct/>
        <w:autoSpaceDE/>
        <w:autoSpaceDN/>
        <w:adjustRightInd/>
        <w:spacing w:after="120"/>
        <w:jc w:val="both"/>
        <w:textAlignment w:val="auto"/>
        <w:rPr>
          <w:rFonts w:ascii="Calibri" w:hAnsi="Calibri" w:cs="Calibri"/>
          <w:sz w:val="24"/>
          <w:szCs w:val="24"/>
        </w:rPr>
      </w:pPr>
      <w:r w:rsidRPr="008037DE">
        <w:rPr>
          <w:rFonts w:ascii="Calibri" w:hAnsi="Calibri" w:cs="Calibri"/>
          <w:sz w:val="24"/>
          <w:szCs w:val="24"/>
        </w:rPr>
        <w:t xml:space="preserve">Na základě výše </w:t>
      </w:r>
      <w:r w:rsidR="003E3F4C" w:rsidRPr="008037DE">
        <w:rPr>
          <w:rFonts w:ascii="Calibri" w:hAnsi="Calibri" w:cs="Calibri"/>
          <w:sz w:val="24"/>
          <w:szCs w:val="24"/>
        </w:rPr>
        <w:t xml:space="preserve">uvedených </w:t>
      </w:r>
      <w:r w:rsidRPr="008037DE">
        <w:rPr>
          <w:rFonts w:ascii="Calibri" w:hAnsi="Calibri" w:cs="Calibri"/>
          <w:sz w:val="24"/>
          <w:szCs w:val="24"/>
        </w:rPr>
        <w:t xml:space="preserve">strategických </w:t>
      </w:r>
      <w:r w:rsidR="003E3F4C" w:rsidRPr="008037DE">
        <w:rPr>
          <w:rFonts w:ascii="Calibri" w:hAnsi="Calibri" w:cs="Calibri"/>
          <w:sz w:val="24"/>
          <w:szCs w:val="24"/>
        </w:rPr>
        <w:t xml:space="preserve">dokumentů </w:t>
      </w:r>
      <w:r w:rsidR="00997654" w:rsidRPr="008037DE">
        <w:rPr>
          <w:rFonts w:ascii="Calibri" w:hAnsi="Calibri" w:cs="Calibri"/>
          <w:sz w:val="24"/>
          <w:szCs w:val="24"/>
        </w:rPr>
        <w:t xml:space="preserve">EU a ČR </w:t>
      </w:r>
      <w:r w:rsidRPr="008037DE">
        <w:rPr>
          <w:rFonts w:ascii="Calibri" w:hAnsi="Calibri" w:cs="Calibri"/>
          <w:sz w:val="24"/>
          <w:szCs w:val="24"/>
        </w:rPr>
        <w:t xml:space="preserve">a </w:t>
      </w:r>
      <w:r w:rsidR="00997654" w:rsidRPr="008037DE">
        <w:rPr>
          <w:rFonts w:ascii="Calibri" w:hAnsi="Calibri" w:cs="Calibri"/>
          <w:sz w:val="24"/>
          <w:szCs w:val="24"/>
        </w:rPr>
        <w:t xml:space="preserve">analýzy </w:t>
      </w:r>
      <w:r w:rsidRPr="008037DE">
        <w:rPr>
          <w:rFonts w:ascii="Calibri" w:hAnsi="Calibri" w:cs="Calibri"/>
          <w:sz w:val="24"/>
          <w:szCs w:val="24"/>
        </w:rPr>
        <w:t xml:space="preserve">potřeb </w:t>
      </w:r>
      <w:r w:rsidR="003E3F4C" w:rsidRPr="008037DE">
        <w:rPr>
          <w:rFonts w:ascii="Calibri" w:hAnsi="Calibri" w:cs="Calibri"/>
          <w:sz w:val="24"/>
          <w:szCs w:val="24"/>
        </w:rPr>
        <w:t>Č</w:t>
      </w:r>
      <w:r w:rsidR="00997654" w:rsidRPr="008037DE">
        <w:rPr>
          <w:rFonts w:ascii="Calibri" w:hAnsi="Calibri" w:cs="Calibri"/>
          <w:sz w:val="24"/>
          <w:szCs w:val="24"/>
        </w:rPr>
        <w:t>eské republiky pro budoucí období kohezní politiky byl</w:t>
      </w:r>
      <w:r w:rsidR="00773F1E">
        <w:rPr>
          <w:rFonts w:ascii="Calibri" w:hAnsi="Calibri" w:cs="Calibri"/>
          <w:sz w:val="24"/>
          <w:szCs w:val="24"/>
        </w:rPr>
        <w:t>y</w:t>
      </w:r>
      <w:r w:rsidR="00997654" w:rsidRPr="008037DE">
        <w:rPr>
          <w:rFonts w:ascii="Calibri" w:hAnsi="Calibri" w:cs="Calibri"/>
          <w:sz w:val="24"/>
          <w:szCs w:val="24"/>
        </w:rPr>
        <w:t xml:space="preserve"> pro operační program i</w:t>
      </w:r>
      <w:r w:rsidRPr="008037DE">
        <w:rPr>
          <w:rFonts w:ascii="Calibri" w:hAnsi="Calibri" w:cs="Calibri"/>
          <w:sz w:val="24"/>
          <w:szCs w:val="24"/>
        </w:rPr>
        <w:t>dentifikován</w:t>
      </w:r>
      <w:r w:rsidR="00773F1E">
        <w:rPr>
          <w:rFonts w:ascii="Calibri" w:hAnsi="Calibri" w:cs="Calibri"/>
          <w:sz w:val="24"/>
          <w:szCs w:val="24"/>
        </w:rPr>
        <w:t>y</w:t>
      </w:r>
      <w:r w:rsidRPr="008037DE">
        <w:rPr>
          <w:rFonts w:ascii="Calibri" w:hAnsi="Calibri" w:cs="Calibri"/>
          <w:sz w:val="24"/>
          <w:szCs w:val="24"/>
        </w:rPr>
        <w:t xml:space="preserve"> </w:t>
      </w:r>
      <w:r w:rsidR="003E3F4C" w:rsidRPr="008037DE">
        <w:rPr>
          <w:rFonts w:ascii="Calibri" w:hAnsi="Calibri" w:cs="Calibri"/>
          <w:sz w:val="24"/>
          <w:szCs w:val="24"/>
        </w:rPr>
        <w:t xml:space="preserve">celkem </w:t>
      </w:r>
      <w:r w:rsidR="00773F1E">
        <w:rPr>
          <w:rFonts w:ascii="Calibri" w:hAnsi="Calibri" w:cs="Calibri"/>
          <w:sz w:val="24"/>
          <w:szCs w:val="24"/>
        </w:rPr>
        <w:t>čtyři věcně zaměřené p</w:t>
      </w:r>
      <w:r w:rsidRPr="008037DE">
        <w:rPr>
          <w:rFonts w:ascii="Calibri" w:hAnsi="Calibri" w:cs="Calibri"/>
          <w:sz w:val="24"/>
          <w:szCs w:val="24"/>
        </w:rPr>
        <w:t>rioritní os</w:t>
      </w:r>
      <w:r w:rsidR="00773F1E">
        <w:rPr>
          <w:rFonts w:ascii="Calibri" w:hAnsi="Calibri" w:cs="Calibri"/>
          <w:sz w:val="24"/>
          <w:szCs w:val="24"/>
        </w:rPr>
        <w:t xml:space="preserve">y, a dále jedna prioritní osa na </w:t>
      </w:r>
      <w:r w:rsidRPr="008037DE">
        <w:rPr>
          <w:rFonts w:ascii="Calibri" w:hAnsi="Calibri" w:cs="Calibri"/>
          <w:sz w:val="24"/>
          <w:szCs w:val="24"/>
        </w:rPr>
        <w:t>technick</w:t>
      </w:r>
      <w:r w:rsidR="00773F1E">
        <w:rPr>
          <w:rFonts w:ascii="Calibri" w:hAnsi="Calibri" w:cs="Calibri"/>
          <w:sz w:val="24"/>
          <w:szCs w:val="24"/>
        </w:rPr>
        <w:t>ou</w:t>
      </w:r>
      <w:r w:rsidRPr="008037DE">
        <w:rPr>
          <w:rFonts w:ascii="Calibri" w:hAnsi="Calibri" w:cs="Calibri"/>
          <w:sz w:val="24"/>
          <w:szCs w:val="24"/>
        </w:rPr>
        <w:t xml:space="preserve"> pomoc</w:t>
      </w:r>
      <w:r w:rsidR="00773F1E">
        <w:rPr>
          <w:rFonts w:ascii="Calibri" w:hAnsi="Calibri" w:cs="Calibri"/>
          <w:sz w:val="24"/>
          <w:szCs w:val="24"/>
        </w:rPr>
        <w:t xml:space="preserve">, </w:t>
      </w:r>
      <w:r w:rsidRPr="008037DE">
        <w:rPr>
          <w:rFonts w:ascii="Calibri" w:hAnsi="Calibri" w:cs="Calibri"/>
          <w:sz w:val="24"/>
          <w:szCs w:val="24"/>
        </w:rPr>
        <w:t xml:space="preserve">pro </w:t>
      </w:r>
      <w:r w:rsidRPr="008037DE">
        <w:rPr>
          <w:rFonts w:ascii="Calibri" w:hAnsi="Calibri" w:cs="Calibri"/>
          <w:sz w:val="24"/>
          <w:szCs w:val="24"/>
        </w:rPr>
        <w:lastRenderedPageBreak/>
        <w:t xml:space="preserve">podporu z Evropského fondu </w:t>
      </w:r>
      <w:r w:rsidR="003E3F4C" w:rsidRPr="008037DE">
        <w:rPr>
          <w:rFonts w:ascii="Calibri" w:hAnsi="Calibri" w:cs="Calibri"/>
          <w:sz w:val="24"/>
          <w:szCs w:val="24"/>
        </w:rPr>
        <w:t xml:space="preserve">regionálního rozvoje. </w:t>
      </w:r>
      <w:r w:rsidRPr="008037DE">
        <w:rPr>
          <w:rFonts w:ascii="Calibri" w:hAnsi="Calibri" w:cs="Calibri"/>
          <w:sz w:val="24"/>
          <w:szCs w:val="24"/>
        </w:rPr>
        <w:t>Jednotlivé prioritní osy programu jsou konzistentní s tematickými cíli pro Evropské strukturální a investiční fondy</w:t>
      </w:r>
      <w:r w:rsidR="000C6BEF">
        <w:rPr>
          <w:rFonts w:ascii="Calibri" w:hAnsi="Calibri" w:cs="Calibri"/>
          <w:sz w:val="24"/>
          <w:szCs w:val="24"/>
        </w:rPr>
        <w:t xml:space="preserve">. </w:t>
      </w:r>
      <w:r w:rsidR="00E975F8" w:rsidRPr="008037DE">
        <w:rPr>
          <w:rFonts w:ascii="Calibri" w:hAnsi="Calibri" w:cs="Calibri"/>
          <w:sz w:val="24"/>
          <w:szCs w:val="24"/>
        </w:rPr>
        <w:t>Každá prioritní osa OP PIK má vazbu na jeden tematic</w:t>
      </w:r>
      <w:r w:rsidR="00E975F8" w:rsidRPr="00FB6BDB">
        <w:rPr>
          <w:rFonts w:ascii="Calibri" w:hAnsi="Calibri" w:cs="Calibri"/>
          <w:sz w:val="24"/>
          <w:szCs w:val="24"/>
        </w:rPr>
        <w:t>ký cíl definovaný čl. 9 obecného nařízení</w:t>
      </w:r>
      <w:r w:rsidR="00D308AD" w:rsidRPr="00FB6BDB">
        <w:rPr>
          <w:rFonts w:ascii="Calibri" w:hAnsi="Calibri" w:cs="Calibri"/>
          <w:sz w:val="24"/>
          <w:szCs w:val="24"/>
        </w:rPr>
        <w:t xml:space="preserve"> a jeho relevantní investiční priority definované čl. 5 návrhu nařízení k ERDF.</w:t>
      </w:r>
      <w:r w:rsidR="00E975F8" w:rsidRPr="008037DE">
        <w:rPr>
          <w:rFonts w:ascii="Calibri" w:hAnsi="Calibri" w:cs="Calibri"/>
          <w:sz w:val="24"/>
          <w:szCs w:val="24"/>
        </w:rPr>
        <w:t xml:space="preserve"> </w:t>
      </w:r>
    </w:p>
    <w:p w:rsidR="00F2715A" w:rsidRPr="008037DE" w:rsidRDefault="003E3F4C" w:rsidP="005E0C42">
      <w:pPr>
        <w:overflowPunct/>
        <w:autoSpaceDE/>
        <w:autoSpaceDN/>
        <w:adjustRightInd/>
        <w:spacing w:after="120"/>
        <w:jc w:val="both"/>
        <w:textAlignment w:val="auto"/>
        <w:rPr>
          <w:rFonts w:ascii="Calibri" w:hAnsi="Calibri" w:cs="Calibri"/>
          <w:b/>
          <w:sz w:val="24"/>
          <w:szCs w:val="24"/>
        </w:rPr>
      </w:pPr>
      <w:r w:rsidRPr="008037DE">
        <w:rPr>
          <w:rFonts w:ascii="Calibri" w:hAnsi="Calibri" w:cs="Calibri"/>
          <w:b/>
          <w:sz w:val="24"/>
          <w:szCs w:val="24"/>
        </w:rPr>
        <w:t>P</w:t>
      </w:r>
      <w:r w:rsidR="00F2715A" w:rsidRPr="008037DE">
        <w:rPr>
          <w:rFonts w:ascii="Calibri" w:hAnsi="Calibri" w:cs="Calibri"/>
          <w:b/>
          <w:sz w:val="24"/>
          <w:szCs w:val="24"/>
        </w:rPr>
        <w:t>rioritní os</w:t>
      </w:r>
      <w:r w:rsidRPr="008037DE">
        <w:rPr>
          <w:rFonts w:ascii="Calibri" w:hAnsi="Calibri" w:cs="Calibri"/>
          <w:b/>
          <w:sz w:val="24"/>
          <w:szCs w:val="24"/>
        </w:rPr>
        <w:t>y</w:t>
      </w:r>
      <w:r w:rsidR="00F2715A" w:rsidRPr="008037DE">
        <w:rPr>
          <w:rFonts w:ascii="Calibri" w:hAnsi="Calibri" w:cs="Calibri"/>
          <w:b/>
          <w:sz w:val="24"/>
          <w:szCs w:val="24"/>
        </w:rPr>
        <w:t xml:space="preserve"> OP </w:t>
      </w:r>
      <w:r w:rsidRPr="008037DE">
        <w:rPr>
          <w:rFonts w:ascii="Calibri" w:hAnsi="Calibri" w:cs="Calibri"/>
          <w:b/>
          <w:sz w:val="24"/>
          <w:szCs w:val="24"/>
        </w:rPr>
        <w:t xml:space="preserve">Podnikání a inovace pro konkurenceschopnost: </w:t>
      </w:r>
    </w:p>
    <w:p w:rsidR="00F2715A" w:rsidRPr="008037DE" w:rsidRDefault="00F2715A" w:rsidP="005E0C42">
      <w:pPr>
        <w:overflowPunct/>
        <w:autoSpaceDE/>
        <w:autoSpaceDN/>
        <w:adjustRightInd/>
        <w:spacing w:after="60"/>
        <w:jc w:val="both"/>
        <w:textAlignment w:val="auto"/>
        <w:rPr>
          <w:rFonts w:ascii="Calibri" w:hAnsi="Calibri" w:cs="Calibri"/>
          <w:sz w:val="24"/>
          <w:szCs w:val="24"/>
        </w:rPr>
      </w:pPr>
      <w:r w:rsidRPr="008037DE">
        <w:rPr>
          <w:rFonts w:ascii="Calibri" w:hAnsi="Calibri" w:cs="Calibri"/>
          <w:sz w:val="24"/>
          <w:szCs w:val="24"/>
        </w:rPr>
        <w:t>Prioritní osa 1</w:t>
      </w:r>
      <w:r w:rsidR="00BA0D99" w:rsidRPr="008037DE">
        <w:rPr>
          <w:rFonts w:ascii="Calibri" w:hAnsi="Calibri" w:cs="Calibri"/>
          <w:sz w:val="24"/>
          <w:szCs w:val="24"/>
        </w:rPr>
        <w:t xml:space="preserve">: </w:t>
      </w:r>
      <w:r w:rsidRPr="008037DE">
        <w:rPr>
          <w:rFonts w:ascii="Calibri" w:hAnsi="Calibri" w:cs="Calibri"/>
          <w:sz w:val="24"/>
          <w:szCs w:val="24"/>
        </w:rPr>
        <w:t xml:space="preserve"> </w:t>
      </w:r>
      <w:r w:rsidRPr="008037DE">
        <w:rPr>
          <w:rFonts w:ascii="Calibri" w:hAnsi="Calibri" w:cs="Calibri"/>
          <w:sz w:val="24"/>
          <w:szCs w:val="24"/>
        </w:rPr>
        <w:tab/>
      </w:r>
      <w:r w:rsidR="00BA0D99" w:rsidRPr="008037DE">
        <w:rPr>
          <w:rFonts w:ascii="Calibri" w:hAnsi="Calibri" w:cs="Calibri"/>
          <w:sz w:val="24"/>
          <w:szCs w:val="24"/>
        </w:rPr>
        <w:t>Rozvoj podnikání založený na podpoře výzkumu, vývoje a inovací</w:t>
      </w:r>
    </w:p>
    <w:p w:rsidR="00F2715A" w:rsidRPr="008037DE" w:rsidRDefault="00F2715A" w:rsidP="005E0C42">
      <w:pPr>
        <w:overflowPunct/>
        <w:autoSpaceDE/>
        <w:autoSpaceDN/>
        <w:adjustRightInd/>
        <w:spacing w:after="60"/>
        <w:ind w:left="2124" w:hanging="2124"/>
        <w:jc w:val="both"/>
        <w:textAlignment w:val="auto"/>
        <w:rPr>
          <w:rFonts w:ascii="Calibri" w:hAnsi="Calibri" w:cs="Calibri"/>
          <w:sz w:val="24"/>
          <w:szCs w:val="24"/>
        </w:rPr>
      </w:pPr>
      <w:r w:rsidRPr="008037DE">
        <w:rPr>
          <w:rFonts w:ascii="Calibri" w:hAnsi="Calibri" w:cs="Calibri"/>
          <w:sz w:val="24"/>
          <w:szCs w:val="24"/>
        </w:rPr>
        <w:t>Prioritní osa 2</w:t>
      </w:r>
      <w:r w:rsidR="00BA0D99" w:rsidRPr="008037DE">
        <w:rPr>
          <w:rFonts w:ascii="Calibri" w:hAnsi="Calibri" w:cs="Calibri"/>
          <w:sz w:val="24"/>
          <w:szCs w:val="24"/>
        </w:rPr>
        <w:t xml:space="preserve">: </w:t>
      </w:r>
      <w:r w:rsidRPr="008037DE">
        <w:rPr>
          <w:rFonts w:ascii="Calibri" w:hAnsi="Calibri" w:cs="Calibri"/>
          <w:sz w:val="24"/>
          <w:szCs w:val="24"/>
        </w:rPr>
        <w:tab/>
      </w:r>
      <w:r w:rsidR="00BA0D99" w:rsidRPr="008037DE">
        <w:rPr>
          <w:rFonts w:ascii="Calibri" w:hAnsi="Calibri" w:cs="Calibri"/>
          <w:sz w:val="24"/>
          <w:szCs w:val="24"/>
        </w:rPr>
        <w:t xml:space="preserve">Rozvoj infrastruktury a služeb podporujících podnikání ve znalostní ekonomice </w:t>
      </w:r>
      <w:r w:rsidR="005447D8" w:rsidRPr="008037DE">
        <w:rPr>
          <w:rFonts w:ascii="Calibri" w:hAnsi="Calibri" w:cs="Calibri"/>
          <w:sz w:val="24"/>
          <w:szCs w:val="24"/>
        </w:rPr>
        <w:t>a internacionalizace podnikání</w:t>
      </w:r>
    </w:p>
    <w:p w:rsidR="00F2715A" w:rsidRPr="008037DE" w:rsidRDefault="00F2715A" w:rsidP="005E0C42">
      <w:pPr>
        <w:overflowPunct/>
        <w:autoSpaceDE/>
        <w:autoSpaceDN/>
        <w:adjustRightInd/>
        <w:spacing w:after="60"/>
        <w:ind w:left="2124" w:hanging="2124"/>
        <w:jc w:val="both"/>
        <w:textAlignment w:val="auto"/>
        <w:rPr>
          <w:rFonts w:ascii="Calibri" w:hAnsi="Calibri" w:cs="Calibri"/>
          <w:sz w:val="24"/>
          <w:szCs w:val="24"/>
        </w:rPr>
      </w:pPr>
      <w:r w:rsidRPr="008037DE">
        <w:rPr>
          <w:rFonts w:ascii="Calibri" w:hAnsi="Calibri" w:cs="Calibri"/>
          <w:sz w:val="24"/>
          <w:szCs w:val="24"/>
        </w:rPr>
        <w:t>Prioritní osa 3</w:t>
      </w:r>
      <w:r w:rsidR="00BA0D99" w:rsidRPr="008037DE">
        <w:rPr>
          <w:rFonts w:ascii="Calibri" w:hAnsi="Calibri" w:cs="Calibri"/>
          <w:sz w:val="24"/>
          <w:szCs w:val="24"/>
        </w:rPr>
        <w:t xml:space="preserve">: </w:t>
      </w:r>
      <w:r w:rsidRPr="008037DE">
        <w:rPr>
          <w:rFonts w:ascii="Calibri" w:hAnsi="Calibri" w:cs="Calibri"/>
          <w:sz w:val="24"/>
          <w:szCs w:val="24"/>
        </w:rPr>
        <w:tab/>
      </w:r>
      <w:r w:rsidR="00BA0D99" w:rsidRPr="008037DE">
        <w:rPr>
          <w:rFonts w:ascii="Calibri" w:hAnsi="Calibri" w:cs="Calibri"/>
          <w:sz w:val="24"/>
          <w:szCs w:val="24"/>
        </w:rPr>
        <w:t>U</w:t>
      </w:r>
      <w:r w:rsidR="005447D8" w:rsidRPr="008037DE">
        <w:rPr>
          <w:rFonts w:ascii="Calibri" w:hAnsi="Calibri" w:cs="Calibri"/>
          <w:sz w:val="24"/>
          <w:szCs w:val="24"/>
        </w:rPr>
        <w:t>držitelné hospodaření s energií a rozvoj inovací v energetice</w:t>
      </w:r>
      <w:r w:rsidR="00BA0D99" w:rsidRPr="008037DE">
        <w:rPr>
          <w:rFonts w:ascii="Calibri" w:hAnsi="Calibri" w:cs="Calibri"/>
          <w:sz w:val="24"/>
          <w:szCs w:val="24"/>
        </w:rPr>
        <w:t xml:space="preserve"> </w:t>
      </w:r>
    </w:p>
    <w:p w:rsidR="00BA0D99" w:rsidRPr="008037DE" w:rsidRDefault="00F2715A" w:rsidP="005E0C42">
      <w:pPr>
        <w:overflowPunct/>
        <w:autoSpaceDE/>
        <w:autoSpaceDN/>
        <w:adjustRightInd/>
        <w:spacing w:after="60"/>
        <w:ind w:left="2124" w:hanging="2124"/>
        <w:jc w:val="both"/>
        <w:textAlignment w:val="auto"/>
        <w:rPr>
          <w:rFonts w:ascii="Calibri" w:hAnsi="Calibri" w:cs="Calibri"/>
          <w:sz w:val="24"/>
          <w:szCs w:val="24"/>
        </w:rPr>
      </w:pPr>
      <w:r w:rsidRPr="008037DE">
        <w:rPr>
          <w:rFonts w:ascii="Calibri" w:hAnsi="Calibri" w:cs="Calibri"/>
          <w:sz w:val="24"/>
          <w:szCs w:val="24"/>
        </w:rPr>
        <w:t>Prioritní osa 4</w:t>
      </w:r>
      <w:r w:rsidR="00BA0D99" w:rsidRPr="008037DE">
        <w:rPr>
          <w:rFonts w:ascii="Calibri" w:hAnsi="Calibri" w:cs="Calibri"/>
          <w:sz w:val="24"/>
          <w:szCs w:val="24"/>
        </w:rPr>
        <w:t>:</w:t>
      </w:r>
      <w:r w:rsidR="00BA0D99" w:rsidRPr="008037DE">
        <w:rPr>
          <w:rFonts w:ascii="Calibri" w:hAnsi="Calibri" w:cs="Calibri"/>
          <w:sz w:val="24"/>
          <w:szCs w:val="24"/>
        </w:rPr>
        <w:tab/>
        <w:t>Rozvoj vysokorychlostních přístupových sítí k internetu a podpora moderních informačních a komunikačních technologií</w:t>
      </w:r>
    </w:p>
    <w:p w:rsidR="00F2715A" w:rsidRPr="008037DE" w:rsidRDefault="00BA0D99" w:rsidP="005E0C42">
      <w:pPr>
        <w:overflowPunct/>
        <w:autoSpaceDE/>
        <w:autoSpaceDN/>
        <w:adjustRightInd/>
        <w:jc w:val="both"/>
        <w:textAlignment w:val="auto"/>
        <w:rPr>
          <w:rFonts w:ascii="Calibri" w:hAnsi="Calibri" w:cs="Calibri"/>
          <w:sz w:val="24"/>
          <w:szCs w:val="24"/>
        </w:rPr>
      </w:pPr>
      <w:r w:rsidRPr="008037DE">
        <w:rPr>
          <w:rFonts w:ascii="Calibri" w:hAnsi="Calibri" w:cs="Calibri"/>
          <w:sz w:val="24"/>
          <w:szCs w:val="24"/>
        </w:rPr>
        <w:t>P</w:t>
      </w:r>
      <w:r w:rsidR="00F2715A" w:rsidRPr="008037DE">
        <w:rPr>
          <w:rFonts w:ascii="Calibri" w:hAnsi="Calibri" w:cs="Calibri"/>
          <w:sz w:val="24"/>
          <w:szCs w:val="24"/>
        </w:rPr>
        <w:t>rioritní osa 5</w:t>
      </w:r>
      <w:r w:rsidRPr="008037DE">
        <w:rPr>
          <w:rFonts w:ascii="Calibri" w:hAnsi="Calibri" w:cs="Calibri"/>
          <w:sz w:val="24"/>
          <w:szCs w:val="24"/>
        </w:rPr>
        <w:t>:</w:t>
      </w:r>
      <w:r w:rsidR="00F2715A" w:rsidRPr="008037DE">
        <w:rPr>
          <w:rFonts w:ascii="Calibri" w:hAnsi="Calibri" w:cs="Calibri"/>
          <w:sz w:val="24"/>
          <w:szCs w:val="24"/>
        </w:rPr>
        <w:tab/>
        <w:t>Technická pomoc</w:t>
      </w:r>
    </w:p>
    <w:p w:rsidR="00F2715A" w:rsidRPr="008037DE" w:rsidRDefault="00F2715A" w:rsidP="00F2715A">
      <w:pPr>
        <w:overflowPunct/>
        <w:autoSpaceDE/>
        <w:autoSpaceDN/>
        <w:adjustRightInd/>
        <w:jc w:val="both"/>
        <w:textAlignment w:val="auto"/>
        <w:rPr>
          <w:rFonts w:ascii="Calibri" w:hAnsi="Calibri" w:cs="Calibri"/>
          <w:strike/>
          <w:sz w:val="24"/>
          <w:szCs w:val="24"/>
          <w:highlight w:val="yellow"/>
        </w:rPr>
      </w:pPr>
    </w:p>
    <w:p w:rsidR="007A451D" w:rsidRPr="007A7549" w:rsidRDefault="007A451D" w:rsidP="00A93D30">
      <w:pPr>
        <w:overflowPunct/>
        <w:autoSpaceDE/>
        <w:autoSpaceDN/>
        <w:adjustRightInd/>
        <w:jc w:val="both"/>
        <w:textAlignment w:val="auto"/>
        <w:rPr>
          <w:rFonts w:asciiTheme="minorHAnsi" w:hAnsiTheme="minorHAnsi" w:cstheme="minorHAnsi"/>
          <w:sz w:val="24"/>
          <w:szCs w:val="24"/>
        </w:rPr>
      </w:pPr>
      <w:r w:rsidRPr="007A7549">
        <w:rPr>
          <w:rFonts w:asciiTheme="minorHAnsi" w:hAnsiTheme="minorHAnsi" w:cstheme="minorHAnsi"/>
          <w:sz w:val="24"/>
          <w:szCs w:val="24"/>
        </w:rPr>
        <w:t xml:space="preserve">Vazby vybraných tematických cílů a investičních priorit a zdůvodnění tohoto výběru s odkazem </w:t>
      </w:r>
      <w:r w:rsidRPr="00FB6BDB">
        <w:rPr>
          <w:rFonts w:asciiTheme="minorHAnsi" w:hAnsiTheme="minorHAnsi" w:cstheme="minorHAnsi"/>
          <w:sz w:val="24"/>
          <w:szCs w:val="24"/>
        </w:rPr>
        <w:t xml:space="preserve">na výše uvedené evropské a národní </w:t>
      </w:r>
      <w:r w:rsidR="008E6C8D" w:rsidRPr="00FB6BDB">
        <w:rPr>
          <w:rFonts w:asciiTheme="minorHAnsi" w:hAnsiTheme="minorHAnsi" w:cstheme="minorHAnsi"/>
          <w:sz w:val="24"/>
          <w:szCs w:val="24"/>
        </w:rPr>
        <w:t xml:space="preserve">strategie, koncepce a další </w:t>
      </w:r>
      <w:r w:rsidRPr="00FB6BDB">
        <w:rPr>
          <w:rFonts w:asciiTheme="minorHAnsi" w:hAnsiTheme="minorHAnsi" w:cstheme="minorHAnsi"/>
          <w:sz w:val="24"/>
          <w:szCs w:val="24"/>
        </w:rPr>
        <w:t>dokumenty jsou uvedeny v tabulce xx.</w:t>
      </w:r>
      <w:r w:rsidR="008037DE" w:rsidRPr="00FB6BDB">
        <w:rPr>
          <w:rFonts w:asciiTheme="minorHAnsi" w:hAnsiTheme="minorHAnsi" w:cstheme="minorHAnsi"/>
          <w:color w:val="FF0000"/>
          <w:sz w:val="24"/>
          <w:szCs w:val="24"/>
        </w:rPr>
        <w:t xml:space="preserve"> </w:t>
      </w:r>
      <w:r w:rsidR="0074208D" w:rsidRPr="00FB6BDB">
        <w:rPr>
          <w:rFonts w:asciiTheme="minorHAnsi" w:hAnsiTheme="minorHAnsi" w:cstheme="minorHAnsi"/>
          <w:sz w:val="24"/>
          <w:szCs w:val="24"/>
        </w:rPr>
        <w:t>K návrhu struktury operačního programu ve smyslu nadefinování jednotlivých prioritních os bylo přistoupeno se záměrem nekombinovat v rámci jedné prioritní osy interven</w:t>
      </w:r>
      <w:r w:rsidR="00D308AD" w:rsidRPr="00FB6BDB">
        <w:rPr>
          <w:rFonts w:asciiTheme="minorHAnsi" w:hAnsiTheme="minorHAnsi" w:cstheme="minorHAnsi"/>
          <w:sz w:val="24"/>
          <w:szCs w:val="24"/>
        </w:rPr>
        <w:t xml:space="preserve">ční priority </w:t>
      </w:r>
      <w:r w:rsidR="0074208D" w:rsidRPr="00FB6BDB">
        <w:rPr>
          <w:rFonts w:asciiTheme="minorHAnsi" w:hAnsiTheme="minorHAnsi" w:cstheme="minorHAnsi"/>
          <w:sz w:val="24"/>
          <w:szCs w:val="24"/>
        </w:rPr>
        <w:t>z více tematických cílů, pokud analýzy neprokážou odůvodnění takovéto kombinace. Výběr investičních priorit rovněž plně respektuje princip tematické koncentrace obsažený v čl. 4 nařízení k ERDF.</w:t>
      </w:r>
    </w:p>
    <w:p w:rsidR="007A451D" w:rsidRPr="007A451D" w:rsidRDefault="007A451D" w:rsidP="00F2715A">
      <w:pPr>
        <w:overflowPunct/>
        <w:autoSpaceDE/>
        <w:autoSpaceDN/>
        <w:adjustRightInd/>
        <w:jc w:val="both"/>
        <w:textAlignment w:val="auto"/>
        <w:rPr>
          <w:sz w:val="24"/>
          <w:szCs w:val="24"/>
        </w:rPr>
      </w:pPr>
    </w:p>
    <w:p w:rsidR="007A451D" w:rsidRPr="004731D0" w:rsidRDefault="007A451D" w:rsidP="00F2715A">
      <w:pPr>
        <w:overflowPunct/>
        <w:autoSpaceDE/>
        <w:autoSpaceDN/>
        <w:adjustRightInd/>
        <w:jc w:val="both"/>
        <w:textAlignment w:val="auto"/>
        <w:rPr>
          <w:rFonts w:ascii="Calibri" w:hAnsi="Calibri" w:cs="Calibri"/>
          <w:sz w:val="24"/>
          <w:szCs w:val="24"/>
        </w:rPr>
      </w:pPr>
    </w:p>
    <w:p w:rsidR="00E963F0" w:rsidRDefault="00E963F0" w:rsidP="00E963F0">
      <w:pPr>
        <w:overflowPunct/>
        <w:jc w:val="both"/>
        <w:textAlignment w:val="auto"/>
        <w:rPr>
          <w:rFonts w:ascii="Calibri" w:hAnsi="Calibri" w:cs="Calibri"/>
          <w:b/>
          <w:bCs/>
          <w:sz w:val="24"/>
          <w:szCs w:val="24"/>
        </w:rPr>
        <w:sectPr w:rsidR="00E963F0" w:rsidSect="00CF7B55">
          <w:headerReference w:type="default" r:id="rId29"/>
          <w:footerReference w:type="default" r:id="rId30"/>
          <w:pgSz w:w="11906" w:h="16838"/>
          <w:pgMar w:top="1418" w:right="1276" w:bottom="1276" w:left="1418" w:header="709" w:footer="709" w:gutter="0"/>
          <w:cols w:space="708"/>
          <w:docGrid w:linePitch="272"/>
        </w:sectPr>
      </w:pPr>
    </w:p>
    <w:p w:rsidR="00297A5A" w:rsidRDefault="00297A5A" w:rsidP="00297A5A">
      <w:pPr>
        <w:pStyle w:val="Titulek"/>
        <w:keepNext/>
      </w:pPr>
      <w:r w:rsidRPr="00FB6BDB">
        <w:lastRenderedPageBreak/>
        <w:t xml:space="preserve">Tabulka </w:t>
      </w:r>
      <w:fldSimple w:instr=" SEQ Tabulka \* ARABIC ">
        <w:r w:rsidR="00D92A26">
          <w:rPr>
            <w:noProof/>
          </w:rPr>
          <w:t>6</w:t>
        </w:r>
      </w:fldSimple>
      <w:r w:rsidRPr="00FB6BDB">
        <w:t>: Přehle</w:t>
      </w:r>
      <w:r w:rsidRPr="000E4C75">
        <w:t>d zdůvodnění výběru tematických cílů a investiční</w:t>
      </w:r>
      <w:r>
        <w:t>ch priorit pro operační program</w:t>
      </w:r>
    </w:p>
    <w:p w:rsidR="00297A5A" w:rsidRPr="00A93D30" w:rsidRDefault="00297A5A" w:rsidP="00297A5A">
      <w:pPr>
        <w:overflowPunct/>
        <w:textAlignment w:val="auto"/>
        <w:rPr>
          <w:rFonts w:ascii="Calibri" w:hAnsi="Calibri" w:cs="Calibri"/>
          <w:bCs/>
          <w:color w:val="FF0000"/>
        </w:rPr>
      </w:pPr>
      <w:r w:rsidRPr="00A93D30">
        <w:rPr>
          <w:rFonts w:ascii="Calibri" w:hAnsi="Calibri" w:cs="Calibri"/>
          <w:bCs/>
          <w:color w:val="FF0000"/>
        </w:rPr>
        <w:t xml:space="preserve">(viz tabulka č. 3 Metodiky, verze 1, únor </w:t>
      </w:r>
      <w:smartTag w:uri="urn:schemas-microsoft-com:office:smarttags" w:element="metricconverter">
        <w:smartTagPr>
          <w:attr w:name="ProductID" w:val="2013 a"/>
        </w:smartTagPr>
        <w:r w:rsidRPr="00A93D30">
          <w:rPr>
            <w:rFonts w:ascii="Calibri" w:hAnsi="Calibri" w:cs="Calibri"/>
            <w:bCs/>
            <w:color w:val="FF0000"/>
          </w:rPr>
          <w:t>2013 a</w:t>
        </w:r>
      </w:smartTag>
      <w:r w:rsidRPr="00A93D30">
        <w:rPr>
          <w:rFonts w:ascii="Calibri" w:hAnsi="Calibri" w:cs="Calibri"/>
          <w:bCs/>
          <w:color w:val="FF0000"/>
        </w:rPr>
        <w:t xml:space="preserve"> table 1 EC Draft Template, version 1 – January 2013) </w:t>
      </w:r>
    </w:p>
    <w:p w:rsidR="00297A5A" w:rsidRPr="00297A5A" w:rsidRDefault="00297A5A" w:rsidP="00297A5A">
      <w:r w:rsidRPr="00A93D30">
        <w:rPr>
          <w:rFonts w:ascii="Calibri" w:hAnsi="Calibri" w:cs="Calibri"/>
          <w:bCs/>
          <w:color w:val="FF0000"/>
        </w:rPr>
        <w:t>tematické díle dle čl. 9 návrhu obecného nařízení</w:t>
      </w:r>
      <w:r w:rsidRPr="00A93D30">
        <w:rPr>
          <w:rFonts w:ascii="Calibri" w:hAnsi="Calibri" w:cs="Calibri"/>
          <w:bCs/>
          <w:color w:val="FF0000"/>
          <w:vertAlign w:val="superscript"/>
        </w:rPr>
        <w:t>1</w:t>
      </w:r>
      <w:r w:rsidRPr="00A93D30">
        <w:rPr>
          <w:rFonts w:ascii="Calibri" w:hAnsi="Calibri" w:cs="Calibri"/>
          <w:bCs/>
          <w:color w:val="FF0000"/>
        </w:rPr>
        <w:t xml:space="preserve"> a investiční priority dle čl. 5 návrhu nařízení k ERDF</w:t>
      </w:r>
      <w:r w:rsidRPr="00A93D30">
        <w:rPr>
          <w:rFonts w:ascii="Calibri" w:hAnsi="Calibri" w:cs="Calibri"/>
          <w:bCs/>
          <w:color w:val="FF0000"/>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536"/>
        <w:gridCol w:w="7164"/>
      </w:tblGrid>
      <w:tr w:rsidR="009072F3" w:rsidRPr="00A93D30">
        <w:trPr>
          <w:jc w:val="center"/>
        </w:trPr>
        <w:tc>
          <w:tcPr>
            <w:tcW w:w="926" w:type="pct"/>
            <w:shd w:val="clear" w:color="auto" w:fill="auto"/>
          </w:tcPr>
          <w:p w:rsidR="009072F3" w:rsidRPr="00A93D30" w:rsidRDefault="001E2583" w:rsidP="00F52712">
            <w:pPr>
              <w:spacing w:before="120" w:after="120"/>
              <w:jc w:val="center"/>
              <w:rPr>
                <w:rFonts w:ascii="Calibri" w:hAnsi="Calibri" w:cs="Calibri"/>
                <w:b/>
                <w:sz w:val="22"/>
                <w:szCs w:val="22"/>
                <w:vertAlign w:val="superscript"/>
              </w:rPr>
            </w:pPr>
            <w:r w:rsidRPr="00A93D30">
              <w:rPr>
                <w:rFonts w:ascii="Calibri" w:hAnsi="Calibri" w:cs="Calibri"/>
                <w:b/>
                <w:sz w:val="22"/>
                <w:szCs w:val="22"/>
              </w:rPr>
              <w:t>Vybraný t</w:t>
            </w:r>
            <w:r w:rsidR="00A01ABB" w:rsidRPr="00A93D30">
              <w:rPr>
                <w:rFonts w:ascii="Calibri" w:hAnsi="Calibri" w:cs="Calibri"/>
                <w:b/>
                <w:sz w:val="22"/>
                <w:szCs w:val="22"/>
              </w:rPr>
              <w:t>ematický cíl</w:t>
            </w:r>
            <w:r w:rsidR="005566D2" w:rsidRPr="00A93D30">
              <w:rPr>
                <w:rFonts w:ascii="Calibri" w:hAnsi="Calibri" w:cs="Calibri"/>
                <w:b/>
                <w:sz w:val="22"/>
                <w:szCs w:val="22"/>
                <w:vertAlign w:val="superscript"/>
              </w:rPr>
              <w:t>1</w:t>
            </w:r>
          </w:p>
        </w:tc>
        <w:tc>
          <w:tcPr>
            <w:tcW w:w="1579" w:type="pct"/>
            <w:shd w:val="clear" w:color="auto" w:fill="auto"/>
          </w:tcPr>
          <w:p w:rsidR="009072F3" w:rsidRPr="00A93D30" w:rsidRDefault="001E2583" w:rsidP="00F52712">
            <w:pPr>
              <w:spacing w:before="120" w:after="120"/>
              <w:jc w:val="center"/>
              <w:rPr>
                <w:rFonts w:ascii="Calibri" w:hAnsi="Calibri" w:cs="Calibri"/>
                <w:b/>
                <w:sz w:val="22"/>
                <w:szCs w:val="22"/>
                <w:vertAlign w:val="superscript"/>
              </w:rPr>
            </w:pPr>
            <w:r w:rsidRPr="00A93D30">
              <w:rPr>
                <w:rFonts w:ascii="Calibri" w:hAnsi="Calibri" w:cs="Calibri"/>
                <w:b/>
                <w:sz w:val="22"/>
                <w:szCs w:val="22"/>
              </w:rPr>
              <w:t>Vybraná i</w:t>
            </w:r>
            <w:r w:rsidR="00A01ABB" w:rsidRPr="00A93D30">
              <w:rPr>
                <w:rFonts w:ascii="Calibri" w:hAnsi="Calibri" w:cs="Calibri"/>
                <w:b/>
                <w:sz w:val="22"/>
                <w:szCs w:val="22"/>
              </w:rPr>
              <w:t>nvestiční priorita</w:t>
            </w:r>
            <w:r w:rsidR="005566D2" w:rsidRPr="00A93D30">
              <w:rPr>
                <w:rFonts w:ascii="Calibri" w:hAnsi="Calibri" w:cs="Calibri"/>
                <w:b/>
                <w:sz w:val="22"/>
                <w:szCs w:val="22"/>
                <w:vertAlign w:val="superscript"/>
              </w:rPr>
              <w:t>2</w:t>
            </w:r>
          </w:p>
        </w:tc>
        <w:tc>
          <w:tcPr>
            <w:tcW w:w="2494" w:type="pct"/>
            <w:shd w:val="clear" w:color="auto" w:fill="auto"/>
          </w:tcPr>
          <w:p w:rsidR="009072F3" w:rsidRPr="00A93D30" w:rsidRDefault="00A01ABB" w:rsidP="00F52712">
            <w:pPr>
              <w:spacing w:before="120" w:after="120"/>
              <w:jc w:val="center"/>
              <w:rPr>
                <w:rFonts w:ascii="Calibri" w:hAnsi="Calibri" w:cs="Calibri"/>
                <w:b/>
                <w:sz w:val="22"/>
                <w:szCs w:val="22"/>
              </w:rPr>
            </w:pPr>
            <w:r w:rsidRPr="00A93D30">
              <w:rPr>
                <w:rFonts w:ascii="Calibri" w:hAnsi="Calibri" w:cs="Calibri"/>
                <w:b/>
                <w:sz w:val="22"/>
                <w:szCs w:val="22"/>
              </w:rPr>
              <w:t>Zdůvodnění výběru</w:t>
            </w:r>
          </w:p>
        </w:tc>
      </w:tr>
      <w:tr w:rsidR="003252E1" w:rsidRPr="00A93D30">
        <w:trPr>
          <w:jc w:val="center"/>
        </w:trPr>
        <w:tc>
          <w:tcPr>
            <w:tcW w:w="926" w:type="pct"/>
            <w:shd w:val="clear" w:color="auto" w:fill="auto"/>
          </w:tcPr>
          <w:p w:rsidR="003252E1" w:rsidRPr="00A93D30" w:rsidRDefault="003252E1" w:rsidP="001C1B2C">
            <w:pPr>
              <w:overflowPunct/>
              <w:autoSpaceDE/>
              <w:autoSpaceDN/>
              <w:adjustRightInd/>
              <w:spacing w:before="120" w:after="120"/>
              <w:textAlignment w:val="auto"/>
              <w:rPr>
                <w:rFonts w:ascii="Calibri" w:hAnsi="Calibri" w:cs="Calibri"/>
                <w:b/>
              </w:rPr>
            </w:pPr>
            <w:r w:rsidRPr="00A93D30">
              <w:rPr>
                <w:rFonts w:ascii="Calibri" w:hAnsi="Calibri" w:cs="Calibri"/>
                <w:b/>
              </w:rPr>
              <w:t>(1) Posílení výzkumu, technologického rozvoje a inovací</w:t>
            </w:r>
          </w:p>
          <w:p w:rsidR="003252E1" w:rsidRPr="00A93D30" w:rsidRDefault="003252E1" w:rsidP="004B2D7D">
            <w:pPr>
              <w:rPr>
                <w:rFonts w:ascii="Calibri" w:hAnsi="Calibri" w:cs="Calibri"/>
                <w:b/>
              </w:rPr>
            </w:pPr>
          </w:p>
        </w:tc>
        <w:tc>
          <w:tcPr>
            <w:tcW w:w="1579" w:type="pct"/>
            <w:shd w:val="clear" w:color="auto" w:fill="auto"/>
          </w:tcPr>
          <w:p w:rsidR="003252E1" w:rsidRPr="00A93D30" w:rsidRDefault="00DD2FF9" w:rsidP="001C1B2C">
            <w:pPr>
              <w:spacing w:before="120" w:after="120"/>
              <w:jc w:val="both"/>
              <w:rPr>
                <w:rFonts w:ascii="Calibri" w:hAnsi="Calibri" w:cs="Calibri"/>
              </w:rPr>
            </w:pPr>
            <w:r w:rsidRPr="00DD2FF9">
              <w:rPr>
                <w:rFonts w:ascii="Calibri" w:hAnsi="Calibri" w:cs="Calibri"/>
              </w:rPr>
              <w:t>1b - Podpora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aplikovaného výzkumu, pilotních linek, opatření k včasnému ověřování produktů, schopností vyspělé výroby a prvovýroby v oblasti klíčových technologií a šíření technologií pro všeobecné použití</w:t>
            </w:r>
          </w:p>
          <w:p w:rsidR="003252E1" w:rsidRPr="00A93D30" w:rsidRDefault="003252E1" w:rsidP="004D7EA4">
            <w:pPr>
              <w:jc w:val="both"/>
              <w:rPr>
                <w:rFonts w:ascii="Calibri" w:hAnsi="Calibri" w:cs="Calibri"/>
              </w:rPr>
            </w:pPr>
          </w:p>
        </w:tc>
        <w:tc>
          <w:tcPr>
            <w:tcW w:w="2494" w:type="pct"/>
            <w:shd w:val="clear" w:color="auto" w:fill="auto"/>
          </w:tcPr>
          <w:p w:rsidR="003252E1" w:rsidRPr="00A93D30" w:rsidRDefault="003252E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Strategie Evropa 2020</w:t>
            </w:r>
            <w:r w:rsidR="002135F1" w:rsidRPr="00A93D30">
              <w:rPr>
                <w:rFonts w:ascii="Calibri" w:hAnsi="Calibri" w:cs="Calibri"/>
                <w:bCs/>
              </w:rPr>
              <w:t xml:space="preserve">: </w:t>
            </w:r>
            <w:r w:rsidR="00D25653" w:rsidRPr="00A93D30">
              <w:rPr>
                <w:rFonts w:ascii="Calibri" w:hAnsi="Calibri" w:cs="Calibri"/>
                <w:bCs/>
              </w:rPr>
              <w:t xml:space="preserve">Navýšení investic do </w:t>
            </w:r>
            <w:r w:rsidRPr="00A93D30">
              <w:rPr>
                <w:rFonts w:ascii="Calibri" w:hAnsi="Calibri" w:cs="Calibri"/>
                <w:bCs/>
              </w:rPr>
              <w:t xml:space="preserve">výzkumu a vývoje </w:t>
            </w:r>
            <w:r w:rsidR="00D25653" w:rsidRPr="00A93D30">
              <w:rPr>
                <w:rFonts w:ascii="Calibri" w:hAnsi="Calibri" w:cs="Calibri"/>
                <w:bCs/>
              </w:rPr>
              <w:t xml:space="preserve">na úroveň </w:t>
            </w:r>
            <w:r w:rsidRPr="00A93D30">
              <w:rPr>
                <w:rFonts w:ascii="Calibri" w:hAnsi="Calibri" w:cs="Calibri"/>
                <w:bCs/>
              </w:rPr>
              <w:t>3 % HDP</w:t>
            </w:r>
            <w:r w:rsidR="00CC607A" w:rsidRPr="00A93D30">
              <w:rPr>
                <w:rFonts w:ascii="Calibri" w:hAnsi="Calibri" w:cs="Calibri"/>
                <w:bCs/>
              </w:rPr>
              <w:t xml:space="preserve"> Evropské unie</w:t>
            </w:r>
            <w:r w:rsidR="00D25653" w:rsidRPr="00A93D30">
              <w:rPr>
                <w:rFonts w:ascii="Calibri" w:hAnsi="Calibri" w:cs="Calibri"/>
                <w:bCs/>
              </w:rPr>
              <w:t xml:space="preserve">. </w:t>
            </w:r>
          </w:p>
          <w:p w:rsidR="00A93D30" w:rsidRDefault="002135F1"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Národní program reforem</w:t>
            </w:r>
            <w:r w:rsidR="005F49F6" w:rsidRPr="00A93D30">
              <w:rPr>
                <w:rFonts w:ascii="Calibri" w:hAnsi="Calibri" w:cs="Calibri"/>
                <w:b/>
                <w:bCs/>
              </w:rPr>
              <w:t xml:space="preserve"> </w:t>
            </w:r>
            <w:r w:rsidR="00F20211" w:rsidRPr="00A93D30">
              <w:rPr>
                <w:rFonts w:ascii="Calibri" w:hAnsi="Calibri" w:cs="Calibri"/>
                <w:b/>
                <w:bCs/>
              </w:rPr>
              <w:t xml:space="preserve">ČR </w:t>
            </w:r>
            <w:r w:rsidR="005F49F6" w:rsidRPr="00A93D30">
              <w:rPr>
                <w:rFonts w:ascii="Calibri" w:hAnsi="Calibri" w:cs="Calibri"/>
                <w:b/>
                <w:bCs/>
              </w:rPr>
              <w:t>2012</w:t>
            </w:r>
            <w:r w:rsidRPr="00A93D30">
              <w:rPr>
                <w:rFonts w:ascii="Calibri" w:hAnsi="Calibri" w:cs="Calibri"/>
                <w:b/>
                <w:bCs/>
              </w:rPr>
              <w:t xml:space="preserve">: </w:t>
            </w:r>
            <w:r w:rsidRPr="00A93D30">
              <w:rPr>
                <w:rFonts w:ascii="Calibri" w:hAnsi="Calibri" w:cs="Calibri"/>
                <w:bCs/>
              </w:rPr>
              <w:t xml:space="preserve">Dosažení úrovně 1 % HDP veřejných výdajů na vědu, výzkum, vývoj a inovace, </w:t>
            </w:r>
            <w:r w:rsidR="005F5F0A" w:rsidRPr="00A93D30">
              <w:rPr>
                <w:rFonts w:ascii="Calibri" w:hAnsi="Calibri" w:cs="Calibri"/>
                <w:bCs/>
              </w:rPr>
              <w:t xml:space="preserve">v souvislosti s tím učinit </w:t>
            </w:r>
            <w:r w:rsidRPr="00A93D30">
              <w:rPr>
                <w:rFonts w:ascii="Calibri" w:hAnsi="Calibri" w:cs="Calibri"/>
                <w:bCs/>
              </w:rPr>
              <w:t>všechny kroky k</w:t>
            </w:r>
            <w:r w:rsidR="005F5F0A" w:rsidRPr="00A93D30">
              <w:rPr>
                <w:rFonts w:ascii="Calibri" w:hAnsi="Calibri" w:cs="Calibri"/>
                <w:bCs/>
              </w:rPr>
              <w:t> </w:t>
            </w:r>
            <w:r w:rsidRPr="00A93D30">
              <w:rPr>
                <w:rFonts w:ascii="Calibri" w:hAnsi="Calibri" w:cs="Calibri"/>
                <w:bCs/>
              </w:rPr>
              <w:t>adekvátnímu</w:t>
            </w:r>
            <w:r w:rsidR="005F5F0A" w:rsidRPr="00A93D30">
              <w:rPr>
                <w:rFonts w:ascii="Calibri" w:hAnsi="Calibri" w:cs="Calibri"/>
                <w:bCs/>
              </w:rPr>
              <w:t xml:space="preserve"> zvýšení podílu soukromého sektoru na financování, a to tak, aby ČR přispěla k dosahování celoevropského cíle stanoveného v rámci Strategie Evropa 2020</w:t>
            </w:r>
            <w:r w:rsidR="00A93D30" w:rsidRPr="00A93D30">
              <w:rPr>
                <w:rFonts w:ascii="Calibri" w:hAnsi="Calibri" w:cs="Calibri"/>
                <w:bCs/>
              </w:rPr>
              <w:t xml:space="preserve">; </w:t>
            </w:r>
            <w:r w:rsidR="00B05D09" w:rsidRPr="00A93D30">
              <w:rPr>
                <w:rFonts w:ascii="Calibri" w:hAnsi="Calibri" w:cs="Calibri"/>
                <w:b/>
                <w:bCs/>
              </w:rPr>
              <w:t>tematický okruh NRP</w:t>
            </w:r>
            <w:r w:rsidR="00B05D09" w:rsidRPr="00A93D30">
              <w:rPr>
                <w:rFonts w:ascii="Calibri" w:hAnsi="Calibri" w:cs="Calibri"/>
                <w:bCs/>
              </w:rPr>
              <w:t>: podpora růstu zal</w:t>
            </w:r>
            <w:r w:rsidR="00A93D30">
              <w:rPr>
                <w:rFonts w:ascii="Calibri" w:hAnsi="Calibri" w:cs="Calibri"/>
                <w:bCs/>
              </w:rPr>
              <w:t>oženého na výzkumu a inovacích.</w:t>
            </w:r>
          </w:p>
          <w:p w:rsidR="003252E1" w:rsidRPr="00A93D30" w:rsidRDefault="003252E1"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Strategie mezinárodní konkurenceschopnosti ČR 2012-2020</w:t>
            </w:r>
            <w:r w:rsidR="005F5F0A" w:rsidRPr="00A93D30">
              <w:rPr>
                <w:rFonts w:ascii="Calibri" w:hAnsi="Calibri" w:cs="Calibri"/>
                <w:b/>
                <w:bCs/>
              </w:rPr>
              <w:t xml:space="preserve">: </w:t>
            </w:r>
            <w:r w:rsidRPr="00A93D30">
              <w:rPr>
                <w:rFonts w:ascii="Calibri" w:hAnsi="Calibri" w:cs="Calibri"/>
                <w:bCs/>
              </w:rPr>
              <w:t>kapitola 7 Finanční trhy, kapitola 8 Efektivnost trhu zboží a služeb a zkvalitňování charakteristik podnikání a kapitola 9 Inovace</w:t>
            </w:r>
          </w:p>
          <w:p w:rsidR="003252E1" w:rsidRPr="00A93D30" w:rsidRDefault="003252E1"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szCs w:val="20"/>
              </w:rPr>
              <w:t>Národní inovační strategie</w:t>
            </w:r>
            <w:r w:rsidR="005F5F0A" w:rsidRPr="00A93D30">
              <w:rPr>
                <w:rFonts w:ascii="Calibri" w:hAnsi="Calibri" w:cs="Calibri"/>
                <w:b/>
                <w:bCs/>
                <w:szCs w:val="20"/>
              </w:rPr>
              <w:t xml:space="preserve">: </w:t>
            </w:r>
            <w:r w:rsidR="005F5F0A" w:rsidRPr="00A93D30">
              <w:rPr>
                <w:rFonts w:ascii="Calibri" w:hAnsi="Calibri" w:cs="Calibri"/>
                <w:bCs/>
                <w:szCs w:val="20"/>
              </w:rPr>
              <w:t>k</w:t>
            </w:r>
            <w:r w:rsidRPr="00A93D30">
              <w:rPr>
                <w:rFonts w:ascii="Calibri" w:hAnsi="Calibri" w:cs="Calibri"/>
                <w:bCs/>
                <w:szCs w:val="20"/>
              </w:rPr>
              <w:t xml:space="preserve">apitola 4 </w:t>
            </w:r>
            <w:r w:rsidRPr="00A93D30">
              <w:rPr>
                <w:rFonts w:ascii="Calibri" w:hAnsi="Calibri" w:cs="Calibri"/>
                <w:bCs/>
              </w:rPr>
              <w:t xml:space="preserve">Prioritní osa Rozvoj spolupráce pro transfer znalostí mezi podnikovým a akademickým </w:t>
            </w:r>
            <w:r w:rsidRPr="00A93D30">
              <w:rPr>
                <w:rFonts w:ascii="Calibri" w:hAnsi="Calibri" w:cs="Calibri"/>
                <w:bCs/>
                <w:szCs w:val="20"/>
              </w:rPr>
              <w:t xml:space="preserve">sektorem a kapitola 5 </w:t>
            </w:r>
            <w:r w:rsidRPr="00A93D30">
              <w:rPr>
                <w:rFonts w:ascii="Calibri" w:hAnsi="Calibri" w:cs="Calibri"/>
                <w:bCs/>
              </w:rPr>
              <w:t>Prioritní osa Inovační podnikání</w:t>
            </w:r>
          </w:p>
          <w:p w:rsidR="003252E1" w:rsidRPr="00A93D30" w:rsidRDefault="003252E1"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Koncepce podpory malých a středních podniků na období let 2014-2020</w:t>
            </w:r>
            <w:r w:rsidR="005F5F0A" w:rsidRPr="00A93D30">
              <w:rPr>
                <w:rFonts w:ascii="Calibri" w:hAnsi="Calibri" w:cs="Calibri"/>
                <w:b/>
                <w:bCs/>
              </w:rPr>
              <w:t xml:space="preserve">: </w:t>
            </w:r>
            <w:r w:rsidRPr="00A93D30">
              <w:rPr>
                <w:rFonts w:ascii="Calibri" w:hAnsi="Calibri" w:cs="Calibri"/>
                <w:bCs/>
              </w:rPr>
              <w:t>kapitola 5 Analýza inovační výkonnosti, kapitola 8.4.1 Strategická priorita č. 1 – Kultivace podnikatelského prostředí, rozvoj poradenských služeb a vzdělávání pro podnikání a kapitola 8.4.2 Strategická priorita č. 2 – Rozvoj podnikání založeného na podpoře výzkumu, vývoje a inovací, včetně inovační a podnikatelské infrastruktury</w:t>
            </w:r>
            <w:r w:rsidR="001C1B2C" w:rsidRPr="00A93D30">
              <w:rPr>
                <w:rFonts w:ascii="Calibri" w:hAnsi="Calibri" w:cs="Calibri"/>
                <w:bCs/>
              </w:rPr>
              <w:t>.</w:t>
            </w:r>
          </w:p>
          <w:p w:rsidR="00DA6D53" w:rsidRPr="00A93D30" w:rsidRDefault="00DA6D53"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 xml:space="preserve">Národní rozvojová priorita </w:t>
            </w:r>
            <w:r w:rsidRPr="00A93D30">
              <w:rPr>
                <w:rFonts w:ascii="Calibri" w:hAnsi="Calibri" w:cs="Calibri"/>
                <w:bCs/>
              </w:rPr>
              <w:t xml:space="preserve">(usnesení vlády </w:t>
            </w:r>
            <w:r w:rsidR="00A93D30">
              <w:rPr>
                <w:rFonts w:ascii="Calibri" w:hAnsi="Calibri" w:cs="Calibri"/>
                <w:bCs/>
              </w:rPr>
              <w:t xml:space="preserve">č. 650/2011): </w:t>
            </w:r>
            <w:r w:rsidRPr="00A93D30">
              <w:rPr>
                <w:rFonts w:ascii="Calibri" w:hAnsi="Calibri" w:cs="Calibri"/>
                <w:bCs/>
              </w:rPr>
              <w:t>tematická oblast „podpora podnikání“ národní rozvojové priority „zvýšení konkurenceschopnosti ekonomiky</w:t>
            </w:r>
          </w:p>
          <w:p w:rsidR="009F2255" w:rsidRPr="00A93D30" w:rsidRDefault="009F2255"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Poziční dokument: Priorita financování</w:t>
            </w:r>
            <w:r w:rsidRPr="00A93D30">
              <w:rPr>
                <w:rFonts w:ascii="Calibri" w:hAnsi="Calibri" w:cs="Calibri"/>
                <w:bCs/>
              </w:rPr>
              <w:t xml:space="preserve"> „</w:t>
            </w:r>
            <w:r w:rsidR="00CC6B42" w:rsidRPr="00A93D30">
              <w:rPr>
                <w:rFonts w:ascii="Calibri" w:hAnsi="Calibri" w:cs="Calibri"/>
                <w:bCs/>
              </w:rPr>
              <w:t>Podnikatelské prostře</w:t>
            </w:r>
            <w:r w:rsidR="00967BBD" w:rsidRPr="00A93D30">
              <w:rPr>
                <w:rFonts w:ascii="Calibri" w:hAnsi="Calibri" w:cs="Calibri"/>
                <w:bCs/>
              </w:rPr>
              <w:t>dí příznivé pro inovace“ - Z</w:t>
            </w:r>
            <w:r w:rsidRPr="00A93D30">
              <w:rPr>
                <w:rFonts w:ascii="Calibri" w:hAnsi="Calibri" w:cs="Calibri"/>
                <w:bCs/>
              </w:rPr>
              <w:t>lepšení účinnosti investic do výzkumu a inovací, Zlepšení inovací v podnikání a konkurenceschopnost</w:t>
            </w:r>
          </w:p>
          <w:p w:rsidR="008E6C8D" w:rsidRPr="00A93D30" w:rsidRDefault="008E6C8D"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szCs w:val="20"/>
              </w:rPr>
              <w:lastRenderedPageBreak/>
              <w:t>Strategie regionálního rozvoje ČR pro období 2014 – 2020:</w:t>
            </w:r>
            <w:r w:rsidRPr="00A93D30">
              <w:rPr>
                <w:rFonts w:ascii="Calibri" w:hAnsi="Calibri" w:cs="Calibri"/>
                <w:szCs w:val="20"/>
              </w:rPr>
              <w:t xml:space="preserve"> definuje potřebu rozvoje </w:t>
            </w:r>
            <w:r w:rsidRPr="00A93D30">
              <w:rPr>
                <w:rFonts w:ascii="Calibri" w:hAnsi="Calibri" w:cs="Calibri"/>
                <w:bCs/>
                <w:szCs w:val="20"/>
              </w:rPr>
              <w:t>inovačních aktivit firem</w:t>
            </w:r>
            <w:r w:rsidRPr="00A93D30">
              <w:rPr>
                <w:rFonts w:ascii="Calibri" w:hAnsi="Calibri" w:cs="Calibri"/>
                <w:szCs w:val="20"/>
              </w:rPr>
              <w:t xml:space="preserve"> a </w:t>
            </w:r>
            <w:r w:rsidRPr="00A93D30">
              <w:rPr>
                <w:rFonts w:ascii="Calibri" w:hAnsi="Calibri" w:cs="Calibri"/>
                <w:bCs/>
                <w:szCs w:val="20"/>
              </w:rPr>
              <w:t xml:space="preserve">efektivní transfer znalostí a technologií, </w:t>
            </w:r>
            <w:r w:rsidRPr="00A93D30">
              <w:rPr>
                <w:rFonts w:ascii="Calibri" w:hAnsi="Calibri" w:cs="Calibri"/>
                <w:szCs w:val="20"/>
              </w:rPr>
              <w:t xml:space="preserve">závislý na rozvinuté spolupráci mezi podniky a výzkumnými institucemi), včetně přenosu inovací ze zahraničí, konstatuje, že zapojení </w:t>
            </w:r>
            <w:r w:rsidRPr="00A93D30">
              <w:rPr>
                <w:rFonts w:ascii="Calibri" w:hAnsi="Calibri" w:cs="Calibri"/>
                <w:bCs/>
                <w:szCs w:val="20"/>
              </w:rPr>
              <w:t>českých výzkumných týmů a podniků do evropských programů spolupráce ve výzkumu a vývoji je relativně nízké</w:t>
            </w:r>
            <w:r w:rsidRPr="00A93D30">
              <w:rPr>
                <w:rFonts w:ascii="Calibri" w:hAnsi="Calibri" w:cs="Calibri"/>
                <w:szCs w:val="20"/>
              </w:rPr>
              <w:t xml:space="preserve">. </w:t>
            </w:r>
          </w:p>
        </w:tc>
      </w:tr>
      <w:tr w:rsidR="003252E1" w:rsidRPr="00A93D30">
        <w:trPr>
          <w:jc w:val="center"/>
        </w:trPr>
        <w:tc>
          <w:tcPr>
            <w:tcW w:w="926" w:type="pct"/>
            <w:shd w:val="clear" w:color="auto" w:fill="auto"/>
          </w:tcPr>
          <w:p w:rsidR="003252E1" w:rsidRPr="00A93D30" w:rsidRDefault="003252E1" w:rsidP="00F52712">
            <w:pPr>
              <w:overflowPunct/>
              <w:autoSpaceDE/>
              <w:autoSpaceDN/>
              <w:adjustRightInd/>
              <w:spacing w:before="120" w:after="120"/>
              <w:textAlignment w:val="auto"/>
              <w:rPr>
                <w:rFonts w:ascii="Calibri" w:hAnsi="Calibri" w:cs="Calibri"/>
              </w:rPr>
            </w:pPr>
            <w:r w:rsidRPr="00DD2FF9">
              <w:rPr>
                <w:rFonts w:ascii="Calibri" w:hAnsi="Calibri" w:cs="Calibri"/>
                <w:b/>
              </w:rPr>
              <w:lastRenderedPageBreak/>
              <w:t>(</w:t>
            </w:r>
            <w:r w:rsidRPr="00A93D30">
              <w:rPr>
                <w:rFonts w:ascii="Calibri" w:hAnsi="Calibri" w:cs="Calibri"/>
                <w:b/>
              </w:rPr>
              <w:t xml:space="preserve">2) </w:t>
            </w:r>
            <w:r w:rsidR="00ED7BEB" w:rsidRPr="00ED7BEB">
              <w:rPr>
                <w:rFonts w:ascii="Calibri" w:hAnsi="Calibri" w:cs="Calibri"/>
                <w:b/>
              </w:rPr>
              <w:t>Zlepšení přístupu k informačním a komunikačním technologiím (IKT), jejich využití a kvality</w:t>
            </w:r>
          </w:p>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DD2FF9" w:rsidP="00DD2FF9">
            <w:pPr>
              <w:spacing w:before="120" w:after="120"/>
              <w:jc w:val="both"/>
              <w:rPr>
                <w:rFonts w:ascii="Calibri" w:hAnsi="Calibri" w:cs="Calibri"/>
              </w:rPr>
            </w:pPr>
            <w:r>
              <w:rPr>
                <w:rFonts w:ascii="Calibri" w:hAnsi="Calibri" w:cs="Calibri"/>
              </w:rPr>
              <w:t>2a - R</w:t>
            </w:r>
            <w:r w:rsidRPr="00DD2FF9">
              <w:rPr>
                <w:rFonts w:ascii="Calibri" w:hAnsi="Calibri" w:cs="Calibri"/>
              </w:rPr>
              <w:t>ozšiřování širokopásmového připojení a zavádění vysokorychlostních sítí a podpora zavádění vznikajících technologií a sítí pro digitální hospodářství</w:t>
            </w:r>
          </w:p>
        </w:tc>
        <w:tc>
          <w:tcPr>
            <w:tcW w:w="2494" w:type="pct"/>
            <w:shd w:val="clear" w:color="auto" w:fill="auto"/>
          </w:tcPr>
          <w:p w:rsidR="00BA5449" w:rsidRPr="00A93D30" w:rsidRDefault="00BA5449"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Strategie mezinárodní konkurenceschopnosti ČR 2012-2020</w:t>
            </w:r>
            <w:r w:rsidR="005F5F0A" w:rsidRPr="00A93D30">
              <w:rPr>
                <w:rFonts w:ascii="Calibri" w:hAnsi="Calibri" w:cs="Calibri"/>
                <w:b/>
                <w:bCs/>
              </w:rPr>
              <w:t xml:space="preserve">: </w:t>
            </w:r>
            <w:r w:rsidRPr="00A93D30">
              <w:rPr>
                <w:rFonts w:ascii="Calibri" w:hAnsi="Calibri" w:cs="Calibri"/>
                <w:bCs/>
              </w:rPr>
              <w:t>kapitola 2 Infrastruktura</w:t>
            </w:r>
            <w:r w:rsidR="00A41F04">
              <w:rPr>
                <w:rFonts w:ascii="Calibri" w:hAnsi="Calibri" w:cs="Calibri"/>
                <w:bCs/>
              </w:rPr>
              <w:t>.</w:t>
            </w:r>
          </w:p>
          <w:p w:rsidR="005F49F6" w:rsidRPr="00A93D30" w:rsidRDefault="005F49F6"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Národní program reforem 2012:</w:t>
            </w:r>
            <w:r w:rsidRPr="00A93D30">
              <w:rPr>
                <w:rFonts w:ascii="Calibri" w:hAnsi="Calibri" w:cs="Calibri"/>
                <w:bCs/>
              </w:rPr>
              <w:t xml:space="preserve"> zlepšení přístupu k vysokorychlostnímu internetu</w:t>
            </w:r>
            <w:r w:rsidR="00DA6D53" w:rsidRPr="00A93D30">
              <w:rPr>
                <w:rFonts w:ascii="Calibri" w:hAnsi="Calibri" w:cs="Calibri"/>
                <w:bCs/>
              </w:rPr>
              <w:t>.</w:t>
            </w:r>
            <w:r w:rsidR="00A41F04">
              <w:rPr>
                <w:rFonts w:ascii="Calibri" w:hAnsi="Calibri" w:cs="Calibri"/>
                <w:bCs/>
              </w:rPr>
              <w:t xml:space="preserve"> </w:t>
            </w:r>
          </w:p>
          <w:p w:rsidR="00BA5449" w:rsidRPr="00A93D30" w:rsidRDefault="00BA5449" w:rsidP="00851D6E">
            <w:pPr>
              <w:pStyle w:val="TextNOK"/>
              <w:numPr>
                <w:ilvl w:val="2"/>
                <w:numId w:val="10"/>
              </w:numPr>
              <w:tabs>
                <w:tab w:val="clear" w:pos="2160"/>
                <w:tab w:val="num" w:pos="0"/>
                <w:tab w:val="left" w:pos="523"/>
              </w:tabs>
              <w:spacing w:line="240" w:lineRule="auto"/>
              <w:ind w:left="0" w:firstLine="0"/>
              <w:rPr>
                <w:rFonts w:ascii="Calibri" w:hAnsi="Calibri" w:cs="Calibri"/>
              </w:rPr>
            </w:pPr>
            <w:r w:rsidRPr="00A93D30">
              <w:rPr>
                <w:rFonts w:ascii="Calibri" w:hAnsi="Calibri" w:cs="Calibri"/>
                <w:b/>
                <w:bCs/>
              </w:rPr>
              <w:t>Koncepce podpory malých a středních podniků na období let 2014-2020</w:t>
            </w:r>
            <w:r w:rsidR="005F5F0A" w:rsidRPr="00A93D30">
              <w:rPr>
                <w:rFonts w:ascii="Calibri" w:hAnsi="Calibri" w:cs="Calibri"/>
                <w:b/>
                <w:bCs/>
              </w:rPr>
              <w:t xml:space="preserve">: </w:t>
            </w:r>
            <w:r w:rsidRPr="00A93D30">
              <w:rPr>
                <w:rFonts w:ascii="Calibri" w:hAnsi="Calibri" w:cs="Calibri"/>
                <w:bCs/>
              </w:rPr>
              <w:t>kapitola 5 Analýza inovační výkonnosti, kapitola 4.9 ICT – prostředí a příležitosti pro MSP</w:t>
            </w:r>
            <w:r w:rsidR="00A41F04">
              <w:rPr>
                <w:rFonts w:ascii="Calibri" w:hAnsi="Calibri" w:cs="Calibri"/>
                <w:bCs/>
              </w:rPr>
              <w:t>.</w:t>
            </w:r>
          </w:p>
          <w:p w:rsidR="00F20211" w:rsidRPr="00A93D30" w:rsidRDefault="00A93061" w:rsidP="00A93061">
            <w:pPr>
              <w:pStyle w:val="TextNOK"/>
              <w:numPr>
                <w:ilvl w:val="2"/>
                <w:numId w:val="10"/>
              </w:numPr>
              <w:tabs>
                <w:tab w:val="clear" w:pos="2160"/>
                <w:tab w:val="num" w:pos="0"/>
                <w:tab w:val="left" w:pos="523"/>
              </w:tabs>
              <w:spacing w:line="240" w:lineRule="auto"/>
              <w:ind w:left="0" w:firstLine="0"/>
              <w:rPr>
                <w:rFonts w:ascii="Calibri" w:hAnsi="Calibri" w:cs="Calibri"/>
                <w:szCs w:val="20"/>
              </w:rPr>
            </w:pPr>
            <w:r w:rsidRPr="00A93061">
              <w:rPr>
                <w:rFonts w:ascii="Calibri" w:hAnsi="Calibri" w:cs="Calibri"/>
                <w:b/>
                <w:bCs/>
              </w:rPr>
              <w:t>Aktualizovaná Státní politika v elektronických komunikacích - Digitální Česko v. 2.0, Cesta k digitální ekonomice</w:t>
            </w:r>
            <w:r w:rsidR="005F5F0A" w:rsidRPr="00A41F04">
              <w:rPr>
                <w:rFonts w:ascii="Calibri" w:hAnsi="Calibri" w:cs="Calibri"/>
                <w:b/>
                <w:bCs/>
              </w:rPr>
              <w:t xml:space="preserve">: </w:t>
            </w:r>
            <w:r w:rsidR="00BA5449" w:rsidRPr="00A93061">
              <w:rPr>
                <w:rFonts w:ascii="Calibri" w:hAnsi="Calibri" w:cs="Calibri"/>
                <w:bCs/>
              </w:rPr>
              <w:t xml:space="preserve">kapitola </w:t>
            </w:r>
            <w:r w:rsidRPr="00A93061">
              <w:rPr>
                <w:rFonts w:ascii="Calibri" w:hAnsi="Calibri" w:cs="Calibri"/>
                <w:bCs/>
              </w:rPr>
              <w:t>4. Infrastruktura pro vyso</w:t>
            </w:r>
            <w:r w:rsidR="004B787D">
              <w:rPr>
                <w:rFonts w:ascii="Calibri" w:hAnsi="Calibri" w:cs="Calibri"/>
                <w:bCs/>
              </w:rPr>
              <w:t>korychlostní přístup k internetu</w:t>
            </w:r>
          </w:p>
        </w:tc>
      </w:tr>
      <w:tr w:rsidR="003252E1" w:rsidRPr="00A93D30">
        <w:trPr>
          <w:jc w:val="center"/>
        </w:trPr>
        <w:tc>
          <w:tcPr>
            <w:tcW w:w="926" w:type="pct"/>
            <w:shd w:val="clear" w:color="auto" w:fill="auto"/>
          </w:tcPr>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1C1B2C">
            <w:pPr>
              <w:spacing w:before="120" w:after="120"/>
              <w:jc w:val="both"/>
              <w:rPr>
                <w:rFonts w:ascii="Calibri" w:hAnsi="Calibri" w:cs="Calibri"/>
              </w:rPr>
            </w:pPr>
            <w:r w:rsidRPr="00A93D30">
              <w:rPr>
                <w:rFonts w:ascii="Calibri" w:hAnsi="Calibri" w:cs="Calibri"/>
              </w:rPr>
              <w:t>2</w:t>
            </w:r>
            <w:r w:rsidR="00DD2FF9">
              <w:rPr>
                <w:rFonts w:ascii="Calibri" w:hAnsi="Calibri" w:cs="Calibri"/>
              </w:rPr>
              <w:t>b - V</w:t>
            </w:r>
            <w:r w:rsidR="00DD2FF9" w:rsidRPr="00DD2FF9">
              <w:rPr>
                <w:rFonts w:ascii="Calibri" w:hAnsi="Calibri" w:cs="Calibri"/>
              </w:rPr>
              <w:t>yvíjení produktů a služeb v oblasti IKT, elektronického obchodu a zvyšování poptávky po IKT</w:t>
            </w:r>
          </w:p>
          <w:p w:rsidR="003252E1" w:rsidRPr="00A93D30" w:rsidRDefault="003252E1" w:rsidP="00675BC0">
            <w:pPr>
              <w:jc w:val="both"/>
              <w:rPr>
                <w:rFonts w:ascii="Calibri" w:hAnsi="Calibri" w:cs="Calibri"/>
              </w:rPr>
            </w:pPr>
          </w:p>
        </w:tc>
        <w:tc>
          <w:tcPr>
            <w:tcW w:w="2494" w:type="pct"/>
            <w:shd w:val="clear" w:color="auto" w:fill="auto"/>
          </w:tcPr>
          <w:p w:rsidR="003252E1" w:rsidRPr="00A93D30" w:rsidRDefault="00BA5449" w:rsidP="00851D6E">
            <w:pPr>
              <w:pStyle w:val="TextNOK"/>
              <w:numPr>
                <w:ilvl w:val="2"/>
                <w:numId w:val="10"/>
              </w:numPr>
              <w:tabs>
                <w:tab w:val="clear" w:pos="2160"/>
                <w:tab w:val="num" w:pos="0"/>
                <w:tab w:val="left" w:pos="523"/>
              </w:tabs>
              <w:spacing w:before="120" w:line="240" w:lineRule="auto"/>
              <w:ind w:left="0" w:firstLine="0"/>
              <w:rPr>
                <w:rFonts w:ascii="Calibri" w:hAnsi="Calibri" w:cs="Calibri"/>
              </w:rPr>
            </w:pPr>
            <w:r w:rsidRPr="00A93D30">
              <w:rPr>
                <w:rFonts w:ascii="Calibri" w:hAnsi="Calibri" w:cs="Calibri"/>
                <w:b/>
                <w:bCs/>
              </w:rPr>
              <w:t>Koncepce podpory malých a středních podniků na období let 2014-2020</w:t>
            </w:r>
            <w:r w:rsidR="005F5F0A" w:rsidRPr="00A93D30">
              <w:rPr>
                <w:rFonts w:ascii="Calibri" w:hAnsi="Calibri" w:cs="Calibri"/>
                <w:b/>
                <w:bCs/>
              </w:rPr>
              <w:t xml:space="preserve">: </w:t>
            </w:r>
            <w:r w:rsidR="005F5F0A" w:rsidRPr="00A93D30">
              <w:rPr>
                <w:rFonts w:ascii="Calibri" w:hAnsi="Calibri" w:cs="Calibri"/>
                <w:bCs/>
              </w:rPr>
              <w:t>k</w:t>
            </w:r>
            <w:r w:rsidRPr="00A93D30">
              <w:rPr>
                <w:rFonts w:ascii="Calibri" w:hAnsi="Calibri" w:cs="Calibri"/>
                <w:bCs/>
              </w:rPr>
              <w:t>apitola 8.4.2</w:t>
            </w:r>
            <w:r w:rsidRPr="00A93D30">
              <w:rPr>
                <w:rFonts w:ascii="Calibri" w:hAnsi="Calibri" w:cs="Calibri"/>
                <w:bCs/>
              </w:rPr>
              <w:tab/>
              <w:t>Strategická priorita č. 2 – Rozvoj podnikání založeného na podpoře výzkumu, vývoje a inovací, včetně inovační a podnikatelské infrastruktury</w:t>
            </w:r>
          </w:p>
        </w:tc>
      </w:tr>
      <w:tr w:rsidR="001C1B2C" w:rsidRPr="00A93D30">
        <w:trPr>
          <w:jc w:val="center"/>
        </w:trPr>
        <w:tc>
          <w:tcPr>
            <w:tcW w:w="926" w:type="pct"/>
            <w:shd w:val="clear" w:color="auto" w:fill="auto"/>
          </w:tcPr>
          <w:p w:rsidR="001C1B2C" w:rsidRPr="00A93D30" w:rsidRDefault="001C1B2C" w:rsidP="004B2D7D">
            <w:pPr>
              <w:overflowPunct/>
              <w:autoSpaceDE/>
              <w:autoSpaceDN/>
              <w:adjustRightInd/>
              <w:textAlignment w:val="auto"/>
              <w:rPr>
                <w:rFonts w:ascii="Calibri" w:hAnsi="Calibri" w:cs="Calibri"/>
              </w:rPr>
            </w:pPr>
          </w:p>
        </w:tc>
        <w:tc>
          <w:tcPr>
            <w:tcW w:w="1579" w:type="pct"/>
            <w:shd w:val="clear" w:color="auto" w:fill="auto"/>
          </w:tcPr>
          <w:p w:rsidR="001C1B2C" w:rsidRPr="00A93D30" w:rsidRDefault="001C1B2C" w:rsidP="001C1B2C">
            <w:pPr>
              <w:spacing w:before="120" w:after="120"/>
              <w:jc w:val="both"/>
              <w:rPr>
                <w:rFonts w:ascii="Calibri" w:hAnsi="Calibri" w:cs="Calibri"/>
              </w:rPr>
            </w:pPr>
          </w:p>
        </w:tc>
        <w:tc>
          <w:tcPr>
            <w:tcW w:w="2494" w:type="pct"/>
            <w:shd w:val="clear" w:color="auto" w:fill="auto"/>
          </w:tcPr>
          <w:p w:rsidR="001C1B2C" w:rsidRPr="00A93D30" w:rsidRDefault="001C1B2C"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Národní program reforem 2012: tematický okruh</w:t>
            </w:r>
            <w:r w:rsidR="00DF0297" w:rsidRPr="00A93D30">
              <w:rPr>
                <w:rFonts w:ascii="Calibri" w:hAnsi="Calibri" w:cs="Calibri"/>
                <w:b/>
                <w:bCs/>
              </w:rPr>
              <w:t xml:space="preserve"> NRP</w:t>
            </w:r>
            <w:r w:rsidRPr="00A93D30">
              <w:rPr>
                <w:rFonts w:ascii="Calibri" w:hAnsi="Calibri" w:cs="Calibri"/>
                <w:bCs/>
              </w:rPr>
              <w:t>: podpora podnikání, digitaliz</w:t>
            </w:r>
            <w:r w:rsidR="004445C2" w:rsidRPr="00A93D30">
              <w:rPr>
                <w:rFonts w:ascii="Calibri" w:hAnsi="Calibri" w:cs="Calibri"/>
                <w:bCs/>
              </w:rPr>
              <w:t xml:space="preserve">ace a rozvoj digitálního trhu - platí pro </w:t>
            </w:r>
            <w:r w:rsidR="000A72AA" w:rsidRPr="00A93D30">
              <w:rPr>
                <w:rFonts w:ascii="Calibri" w:hAnsi="Calibri" w:cs="Calibri"/>
                <w:bCs/>
              </w:rPr>
              <w:t xml:space="preserve">všechny uvedené </w:t>
            </w:r>
            <w:r w:rsidR="004445C2" w:rsidRPr="00A93D30">
              <w:rPr>
                <w:rFonts w:ascii="Calibri" w:hAnsi="Calibri" w:cs="Calibri"/>
                <w:bCs/>
              </w:rPr>
              <w:t xml:space="preserve">investiční priority daného tematického cíle. </w:t>
            </w:r>
          </w:p>
          <w:p w:rsidR="000A72AA" w:rsidRPr="00A93D30" w:rsidRDefault="000A72AA"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 xml:space="preserve">Národní rozvojová priorita </w:t>
            </w:r>
            <w:r w:rsidR="00A41F04">
              <w:rPr>
                <w:rFonts w:ascii="Calibri" w:hAnsi="Calibri" w:cs="Calibri"/>
                <w:bCs/>
              </w:rPr>
              <w:t xml:space="preserve">(usnesení vlády č. 650/2011): </w:t>
            </w:r>
            <w:r w:rsidRPr="00A93D30">
              <w:rPr>
                <w:rFonts w:ascii="Calibri" w:hAnsi="Calibri" w:cs="Calibri"/>
                <w:bCs/>
              </w:rPr>
              <w:t xml:space="preserve">tematická oblast „rozvoj infrastruktury elektronických komunikací“ národní rozvojové priority „rozvoj páteřní infrastruktury“ - platí pro všechny uvedené investiční priority daného tematického cíle. </w:t>
            </w:r>
          </w:p>
          <w:p w:rsidR="00225806" w:rsidRPr="00A93D30" w:rsidRDefault="00F2021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szCs w:val="20"/>
              </w:rPr>
              <w:t>Poziční dokument:</w:t>
            </w:r>
            <w:r w:rsidRPr="00A93D30">
              <w:rPr>
                <w:rFonts w:ascii="Calibri" w:hAnsi="Calibri" w:cs="Calibri"/>
                <w:szCs w:val="20"/>
              </w:rPr>
              <w:t xml:space="preserve"> </w:t>
            </w:r>
            <w:r w:rsidRPr="00A93D30">
              <w:rPr>
                <w:rFonts w:ascii="Calibri" w:hAnsi="Calibri" w:cs="Calibri"/>
                <w:b/>
                <w:szCs w:val="20"/>
              </w:rPr>
              <w:t>Priorita financování</w:t>
            </w:r>
            <w:r w:rsidRPr="00A93D30">
              <w:rPr>
                <w:rFonts w:ascii="Calibri" w:hAnsi="Calibri" w:cs="Calibri"/>
                <w:szCs w:val="20"/>
              </w:rPr>
              <w:t xml:space="preserve"> „Podnikatelské prostředí příznivé pro inovace“</w:t>
            </w:r>
            <w:r w:rsidR="00967BBD" w:rsidRPr="00A93D30">
              <w:rPr>
                <w:rFonts w:ascii="Calibri" w:hAnsi="Calibri" w:cs="Calibri"/>
                <w:szCs w:val="20"/>
              </w:rPr>
              <w:t xml:space="preserve"> - </w:t>
            </w:r>
            <w:r w:rsidRPr="00A93D30">
              <w:rPr>
                <w:rFonts w:ascii="Calibri" w:hAnsi="Calibri" w:cs="Calibri"/>
                <w:szCs w:val="20"/>
              </w:rPr>
              <w:t>Zlepšení přístupu k informačním a komunikačním technologiím, jejich využití a kvalita</w:t>
            </w:r>
            <w:r w:rsidR="00967BBD" w:rsidRPr="00A93D30">
              <w:rPr>
                <w:rFonts w:ascii="Calibri" w:hAnsi="Calibri" w:cs="Calibri"/>
                <w:szCs w:val="20"/>
              </w:rPr>
              <w:t xml:space="preserve"> - </w:t>
            </w:r>
            <w:r w:rsidR="00A43D4D" w:rsidRPr="00A93D30">
              <w:rPr>
                <w:rFonts w:ascii="Calibri" w:hAnsi="Calibri" w:cs="Calibri"/>
                <w:bCs/>
              </w:rPr>
              <w:t xml:space="preserve">platí pro všechny uvedené investiční priority daného tematického </w:t>
            </w:r>
            <w:r w:rsidR="00A43D4D" w:rsidRPr="00A93D30">
              <w:rPr>
                <w:rFonts w:ascii="Calibri" w:hAnsi="Calibri" w:cs="Calibri"/>
                <w:bCs/>
              </w:rPr>
              <w:lastRenderedPageBreak/>
              <w:t xml:space="preserve">cíle. </w:t>
            </w:r>
          </w:p>
        </w:tc>
      </w:tr>
      <w:tr w:rsidR="003252E1" w:rsidRPr="00A93D30">
        <w:trPr>
          <w:jc w:val="center"/>
        </w:trPr>
        <w:tc>
          <w:tcPr>
            <w:tcW w:w="926" w:type="pct"/>
            <w:shd w:val="clear" w:color="auto" w:fill="auto"/>
          </w:tcPr>
          <w:p w:rsidR="003252E1" w:rsidRPr="00A93D30" w:rsidRDefault="003252E1" w:rsidP="005F49F6">
            <w:pPr>
              <w:overflowPunct/>
              <w:autoSpaceDE/>
              <w:autoSpaceDN/>
              <w:adjustRightInd/>
              <w:spacing w:before="120" w:after="120"/>
              <w:textAlignment w:val="auto"/>
              <w:rPr>
                <w:rFonts w:ascii="Calibri" w:hAnsi="Calibri" w:cs="Calibri"/>
                <w:b/>
              </w:rPr>
            </w:pPr>
            <w:r w:rsidRPr="00DD2FF9">
              <w:rPr>
                <w:rFonts w:ascii="Calibri" w:hAnsi="Calibri" w:cs="Calibri"/>
                <w:b/>
              </w:rPr>
              <w:lastRenderedPageBreak/>
              <w:t xml:space="preserve">(3) </w:t>
            </w:r>
            <w:r w:rsidR="00ED7BEB" w:rsidRPr="00ED7BEB">
              <w:rPr>
                <w:rFonts w:ascii="Calibri" w:hAnsi="Calibri" w:cs="Calibri"/>
                <w:b/>
              </w:rPr>
              <w:t>Zvýšení konkurenceschopnosti malých a středních podniků, odvětví zemědělství (v případě EZFRV) a rybářství a akvakultury (v případě ENRF)</w:t>
            </w:r>
          </w:p>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DD2FF9">
            <w:pPr>
              <w:spacing w:before="120" w:after="120"/>
              <w:jc w:val="both"/>
              <w:rPr>
                <w:rFonts w:ascii="Calibri" w:hAnsi="Calibri" w:cs="Calibri"/>
              </w:rPr>
            </w:pPr>
            <w:r w:rsidRPr="00A93D30">
              <w:rPr>
                <w:rFonts w:ascii="Calibri" w:hAnsi="Calibri" w:cs="Calibri"/>
              </w:rPr>
              <w:t>3</w:t>
            </w:r>
            <w:r w:rsidR="00DD2FF9">
              <w:rPr>
                <w:rFonts w:ascii="Calibri" w:hAnsi="Calibri" w:cs="Calibri"/>
              </w:rPr>
              <w:t>a - P</w:t>
            </w:r>
            <w:r w:rsidR="00DD2FF9" w:rsidRPr="00DD2FF9">
              <w:rPr>
                <w:rFonts w:ascii="Calibri" w:hAnsi="Calibri" w:cs="Calibri"/>
              </w:rPr>
              <w:t>odpora podnikání, zejména usnadněním hospodářského využívání nových myšlenek a podporou zakládání nových podniků, mimo jiné prostřednictvím podnikatelských inkubátorů</w:t>
            </w:r>
          </w:p>
        </w:tc>
        <w:tc>
          <w:tcPr>
            <w:tcW w:w="2494" w:type="pct"/>
            <w:shd w:val="clear" w:color="auto" w:fill="auto"/>
          </w:tcPr>
          <w:p w:rsidR="003252E1" w:rsidRPr="00A93D30" w:rsidRDefault="003252E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Strategie mezinárodní konkurenceschopnosti ČR 2012-2020</w:t>
            </w:r>
            <w:r w:rsidR="005F5F0A" w:rsidRPr="00A93D30">
              <w:rPr>
                <w:rFonts w:ascii="Calibri" w:hAnsi="Calibri" w:cs="Calibri"/>
                <w:b/>
                <w:bCs/>
              </w:rPr>
              <w:t xml:space="preserve">: </w:t>
            </w:r>
            <w:r w:rsidRPr="00A93D30">
              <w:rPr>
                <w:rFonts w:ascii="Calibri" w:hAnsi="Calibri" w:cs="Calibri"/>
                <w:bCs/>
              </w:rPr>
              <w:t>kapitola 7 Finanční trhy, kapitola 8 Efektivnost trhu zboží a služeb a zkvalitňování charakteristik podnikání a kapitola 9 Inovace</w:t>
            </w:r>
          </w:p>
          <w:p w:rsidR="003252E1" w:rsidRPr="00A93D30" w:rsidRDefault="003252E1"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szCs w:val="20"/>
              </w:rPr>
              <w:t>Národní inovační strategie</w:t>
            </w:r>
            <w:r w:rsidR="005F5F0A" w:rsidRPr="00A93D30">
              <w:rPr>
                <w:rFonts w:ascii="Calibri" w:hAnsi="Calibri" w:cs="Calibri"/>
                <w:b/>
                <w:bCs/>
                <w:szCs w:val="20"/>
              </w:rPr>
              <w:t>:</w:t>
            </w:r>
            <w:r w:rsidRPr="00A93D30">
              <w:rPr>
                <w:rFonts w:ascii="Calibri" w:hAnsi="Calibri" w:cs="Calibri"/>
                <w:bCs/>
                <w:szCs w:val="20"/>
              </w:rPr>
              <w:t xml:space="preserve"> kapitola 5 </w:t>
            </w:r>
            <w:r w:rsidRPr="00A93D30">
              <w:rPr>
                <w:rFonts w:ascii="Calibri" w:hAnsi="Calibri" w:cs="Calibri"/>
                <w:bCs/>
              </w:rPr>
              <w:t>Prioritní osa Inovační podnikání</w:t>
            </w:r>
          </w:p>
          <w:p w:rsidR="003252E1" w:rsidRPr="00A93D30" w:rsidRDefault="003252E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szCs w:val="20"/>
              </w:rPr>
            </w:pPr>
            <w:r w:rsidRPr="00A41F04">
              <w:rPr>
                <w:rFonts w:ascii="Calibri" w:hAnsi="Calibri" w:cs="Calibri"/>
                <w:b/>
                <w:bCs/>
              </w:rPr>
              <w:t>Koncepce podpory malých a středních podniků na období let 2014-2020</w:t>
            </w:r>
            <w:r w:rsidR="005F5F0A" w:rsidRPr="00A41F04">
              <w:rPr>
                <w:rFonts w:ascii="Calibri" w:hAnsi="Calibri" w:cs="Calibri"/>
                <w:bCs/>
              </w:rPr>
              <w:t xml:space="preserve">: </w:t>
            </w:r>
            <w:r w:rsidRPr="00A41F04">
              <w:rPr>
                <w:rFonts w:ascii="Calibri" w:hAnsi="Calibri" w:cs="Calibri"/>
                <w:bCs/>
              </w:rPr>
              <w:t>kapitola 8.4.1 Strategická priorita č. 1 – Kultivace podnikatelského prostředí, rozvoj poradenských služeb a vzdělávání pro podnikání a kapitola 8.4.2 Strategická priorita č. 2 – Rozvoj podnikání založeného na podpoře výzkumu, vývoje a inovací, včetně inovační a podnikatelské infrastruktury</w:t>
            </w:r>
          </w:p>
        </w:tc>
      </w:tr>
      <w:tr w:rsidR="003252E1" w:rsidRPr="00A93D30">
        <w:trPr>
          <w:jc w:val="center"/>
        </w:trPr>
        <w:tc>
          <w:tcPr>
            <w:tcW w:w="926" w:type="pct"/>
            <w:shd w:val="clear" w:color="auto" w:fill="auto"/>
          </w:tcPr>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5F49F6">
            <w:pPr>
              <w:spacing w:before="120" w:after="120"/>
              <w:jc w:val="both"/>
              <w:rPr>
                <w:rFonts w:ascii="Calibri" w:hAnsi="Calibri" w:cs="Calibri"/>
              </w:rPr>
            </w:pPr>
            <w:r w:rsidRPr="00A93D30">
              <w:rPr>
                <w:rFonts w:ascii="Calibri" w:hAnsi="Calibri" w:cs="Calibri"/>
              </w:rPr>
              <w:t>3</w:t>
            </w:r>
            <w:r w:rsidR="00DD2FF9">
              <w:rPr>
                <w:rFonts w:ascii="Calibri" w:hAnsi="Calibri" w:cs="Calibri"/>
              </w:rPr>
              <w:t>b - V</w:t>
            </w:r>
            <w:r w:rsidR="00DD2FF9" w:rsidRPr="00DD2FF9">
              <w:rPr>
                <w:rFonts w:ascii="Calibri" w:hAnsi="Calibri" w:cs="Calibri"/>
              </w:rPr>
              <w:t>yvíjení a zavádění nových obchodních modelů pro MSP, zejména pro oblast mezinárodního obchodu</w:t>
            </w:r>
          </w:p>
          <w:p w:rsidR="003252E1" w:rsidRPr="00A93D30" w:rsidRDefault="003252E1" w:rsidP="00675BC0">
            <w:pPr>
              <w:jc w:val="both"/>
              <w:rPr>
                <w:rFonts w:ascii="Calibri" w:hAnsi="Calibri" w:cs="Calibri"/>
              </w:rPr>
            </w:pPr>
          </w:p>
        </w:tc>
        <w:tc>
          <w:tcPr>
            <w:tcW w:w="2494" w:type="pct"/>
            <w:shd w:val="clear" w:color="auto" w:fill="auto"/>
          </w:tcPr>
          <w:p w:rsidR="003252E1" w:rsidRPr="00A93D30" w:rsidRDefault="003252E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Strategie mezinárodní konkurenceschopnosti ČR 2012-2020</w:t>
            </w:r>
            <w:r w:rsidR="005F5F0A" w:rsidRPr="00A93D30">
              <w:rPr>
                <w:rFonts w:ascii="Calibri" w:hAnsi="Calibri" w:cs="Calibri"/>
                <w:b/>
                <w:bCs/>
              </w:rPr>
              <w:t xml:space="preserve">: </w:t>
            </w:r>
            <w:r w:rsidRPr="00A93D30">
              <w:rPr>
                <w:rFonts w:ascii="Calibri" w:hAnsi="Calibri" w:cs="Calibri"/>
                <w:bCs/>
              </w:rPr>
              <w:t>kapitola 8 Efektivnost trhu zboží a služeb a zkvalitňování charakteristik podnikání, kapitola 9 Inovace a kapitola 10 Východiska Proexportní strategie</w:t>
            </w:r>
          </w:p>
          <w:p w:rsidR="003252E1" w:rsidRPr="00A93D30" w:rsidRDefault="003252E1"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Národní inovační strategie</w:t>
            </w:r>
            <w:r w:rsidR="00F52712" w:rsidRPr="00A93D30">
              <w:rPr>
                <w:rFonts w:ascii="Calibri" w:hAnsi="Calibri" w:cs="Calibri"/>
                <w:b/>
                <w:bCs/>
              </w:rPr>
              <w:t xml:space="preserve">: </w:t>
            </w:r>
            <w:r w:rsidRPr="00A93D30">
              <w:rPr>
                <w:rFonts w:ascii="Calibri" w:hAnsi="Calibri" w:cs="Calibri"/>
                <w:bCs/>
              </w:rPr>
              <w:t>kapitola 5 Prioritní osa Inovační podnikání</w:t>
            </w:r>
          </w:p>
          <w:p w:rsidR="003252E1" w:rsidRPr="00A41F04" w:rsidRDefault="003252E1" w:rsidP="00851D6E">
            <w:pPr>
              <w:pStyle w:val="TextNOK"/>
              <w:numPr>
                <w:ilvl w:val="2"/>
                <w:numId w:val="10"/>
              </w:numPr>
              <w:tabs>
                <w:tab w:val="clear" w:pos="2160"/>
                <w:tab w:val="num" w:pos="0"/>
                <w:tab w:val="left" w:pos="523"/>
              </w:tabs>
              <w:spacing w:line="240" w:lineRule="auto"/>
              <w:ind w:left="0" w:firstLine="0"/>
              <w:rPr>
                <w:rFonts w:asciiTheme="minorHAnsi" w:hAnsiTheme="minorHAnsi" w:cstheme="minorHAnsi"/>
                <w:szCs w:val="20"/>
              </w:rPr>
            </w:pPr>
            <w:r w:rsidRPr="00A41F04">
              <w:rPr>
                <w:rFonts w:asciiTheme="minorHAnsi" w:hAnsiTheme="minorHAnsi" w:cstheme="minorHAnsi"/>
                <w:b/>
              </w:rPr>
              <w:t>Koncepce podpory malých a středních podniků na období let 2014-2020</w:t>
            </w:r>
            <w:r w:rsidR="00F52712" w:rsidRPr="00A41F04">
              <w:rPr>
                <w:rFonts w:asciiTheme="minorHAnsi" w:hAnsiTheme="minorHAnsi" w:cstheme="minorHAnsi"/>
              </w:rPr>
              <w:t xml:space="preserve">: </w:t>
            </w:r>
            <w:r w:rsidRPr="00A41F04">
              <w:rPr>
                <w:rFonts w:asciiTheme="minorHAnsi" w:hAnsiTheme="minorHAnsi" w:cstheme="minorHAnsi"/>
              </w:rPr>
              <w:t>kapitola 8.4.1 Strategická priorita č. 1 – Kultivace podnikatelského prostředí, rozvoj poradenských služeb a vzdělávání pro podnikání a kapitola 8.4.3 Strategická priorita č. 3 – Podpora internacionalizace MSP</w:t>
            </w:r>
          </w:p>
        </w:tc>
      </w:tr>
      <w:tr w:rsidR="003252E1" w:rsidRPr="00A93D30">
        <w:trPr>
          <w:jc w:val="center"/>
        </w:trPr>
        <w:tc>
          <w:tcPr>
            <w:tcW w:w="926" w:type="pct"/>
            <w:shd w:val="clear" w:color="auto" w:fill="auto"/>
          </w:tcPr>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5F49F6">
            <w:pPr>
              <w:spacing w:before="120" w:after="120"/>
              <w:jc w:val="both"/>
              <w:rPr>
                <w:rFonts w:ascii="Calibri" w:hAnsi="Calibri" w:cs="Calibri"/>
              </w:rPr>
            </w:pPr>
            <w:r w:rsidRPr="00A93D30">
              <w:rPr>
                <w:rFonts w:ascii="Calibri" w:hAnsi="Calibri" w:cs="Calibri"/>
              </w:rPr>
              <w:t>3</w:t>
            </w:r>
            <w:r w:rsidR="00DD2FF9">
              <w:rPr>
                <w:rFonts w:ascii="Calibri" w:hAnsi="Calibri" w:cs="Calibri"/>
              </w:rPr>
              <w:t>c - P</w:t>
            </w:r>
            <w:r w:rsidR="00DD2FF9" w:rsidRPr="00DD2FF9">
              <w:rPr>
                <w:rFonts w:ascii="Calibri" w:hAnsi="Calibri" w:cs="Calibri"/>
              </w:rPr>
              <w:t>odpora budování a rozšiřování vyspělých kapacit pro rozvoj produktů a služeb</w:t>
            </w:r>
          </w:p>
          <w:p w:rsidR="003252E1" w:rsidRPr="00A93D30" w:rsidRDefault="003252E1" w:rsidP="00675BC0">
            <w:pPr>
              <w:jc w:val="both"/>
              <w:rPr>
                <w:rFonts w:ascii="Calibri" w:hAnsi="Calibri" w:cs="Calibri"/>
              </w:rPr>
            </w:pPr>
          </w:p>
        </w:tc>
        <w:tc>
          <w:tcPr>
            <w:tcW w:w="2494" w:type="pct"/>
            <w:shd w:val="clear" w:color="auto" w:fill="auto"/>
          </w:tcPr>
          <w:p w:rsidR="003252E1" w:rsidRPr="00A93D30" w:rsidRDefault="003252E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Strategie mezinárodní konkurenceschopnosti ČR 2012-2020</w:t>
            </w:r>
            <w:r w:rsidR="00F52712" w:rsidRPr="00A93D30">
              <w:rPr>
                <w:rFonts w:ascii="Calibri" w:hAnsi="Calibri" w:cs="Calibri"/>
                <w:b/>
                <w:bCs/>
              </w:rPr>
              <w:t xml:space="preserve">: </w:t>
            </w:r>
            <w:r w:rsidRPr="00A93D30">
              <w:rPr>
                <w:rFonts w:ascii="Calibri" w:hAnsi="Calibri" w:cs="Calibri"/>
                <w:bCs/>
              </w:rPr>
              <w:t>kapitola 9 Inovace</w:t>
            </w:r>
          </w:p>
          <w:p w:rsidR="003252E1" w:rsidRPr="00A41F04" w:rsidRDefault="003252E1" w:rsidP="00851D6E">
            <w:pPr>
              <w:pStyle w:val="TextNOK"/>
              <w:numPr>
                <w:ilvl w:val="2"/>
                <w:numId w:val="10"/>
              </w:numPr>
              <w:tabs>
                <w:tab w:val="clear" w:pos="2160"/>
                <w:tab w:val="num" w:pos="0"/>
                <w:tab w:val="left" w:pos="523"/>
              </w:tabs>
              <w:spacing w:line="240" w:lineRule="auto"/>
              <w:ind w:left="0" w:firstLine="0"/>
              <w:rPr>
                <w:rFonts w:asciiTheme="minorHAnsi" w:hAnsiTheme="minorHAnsi" w:cstheme="minorHAnsi"/>
                <w:szCs w:val="20"/>
              </w:rPr>
            </w:pPr>
            <w:r w:rsidRPr="00A41F04">
              <w:rPr>
                <w:rFonts w:asciiTheme="minorHAnsi" w:hAnsiTheme="minorHAnsi" w:cstheme="minorHAnsi"/>
                <w:b/>
              </w:rPr>
              <w:t>Koncepce podpory malých a středních podniků na období let 2014-2020</w:t>
            </w:r>
            <w:r w:rsidR="00F52712" w:rsidRPr="00A41F04">
              <w:rPr>
                <w:rFonts w:asciiTheme="minorHAnsi" w:hAnsiTheme="minorHAnsi" w:cstheme="minorHAnsi"/>
              </w:rPr>
              <w:t xml:space="preserve">: </w:t>
            </w:r>
            <w:r w:rsidRPr="00A41F04">
              <w:rPr>
                <w:rFonts w:asciiTheme="minorHAnsi" w:hAnsiTheme="minorHAnsi" w:cstheme="minorHAnsi"/>
              </w:rPr>
              <w:t>kapitola 8.4.1 Strategická priorita č. 1 – Kultivace podnikatelského prostředí, rozvoj poradenských služeb a vzdělávání pro podnikání</w:t>
            </w:r>
          </w:p>
        </w:tc>
      </w:tr>
      <w:tr w:rsidR="00BB1BB1" w:rsidRPr="00A93D30">
        <w:trPr>
          <w:jc w:val="center"/>
        </w:trPr>
        <w:tc>
          <w:tcPr>
            <w:tcW w:w="926" w:type="pct"/>
            <w:shd w:val="clear" w:color="auto" w:fill="auto"/>
          </w:tcPr>
          <w:p w:rsidR="00BB1BB1" w:rsidRPr="00A93D30" w:rsidRDefault="00BB1BB1" w:rsidP="004B2D7D">
            <w:pPr>
              <w:overflowPunct/>
              <w:autoSpaceDE/>
              <w:autoSpaceDN/>
              <w:adjustRightInd/>
              <w:textAlignment w:val="auto"/>
              <w:rPr>
                <w:rFonts w:ascii="Calibri" w:hAnsi="Calibri" w:cs="Calibri"/>
              </w:rPr>
            </w:pPr>
          </w:p>
        </w:tc>
        <w:tc>
          <w:tcPr>
            <w:tcW w:w="1579" w:type="pct"/>
            <w:shd w:val="clear" w:color="auto" w:fill="auto"/>
          </w:tcPr>
          <w:p w:rsidR="00BB1BB1" w:rsidRPr="00A93D30" w:rsidRDefault="00BB1BB1" w:rsidP="005F49F6">
            <w:pPr>
              <w:spacing w:before="120" w:after="120"/>
              <w:jc w:val="both"/>
              <w:rPr>
                <w:rFonts w:ascii="Calibri" w:hAnsi="Calibri" w:cs="Calibri"/>
              </w:rPr>
            </w:pPr>
          </w:p>
        </w:tc>
        <w:tc>
          <w:tcPr>
            <w:tcW w:w="2494" w:type="pct"/>
            <w:shd w:val="clear" w:color="auto" w:fill="auto"/>
          </w:tcPr>
          <w:p w:rsidR="00BB1BB1" w:rsidRPr="00A93D30" w:rsidRDefault="00BB1BB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Národní program reforem 2012</w:t>
            </w:r>
            <w:r w:rsidRPr="00A93D30">
              <w:rPr>
                <w:rFonts w:ascii="Calibri" w:hAnsi="Calibri" w:cs="Calibri"/>
                <w:bCs/>
              </w:rPr>
              <w:t xml:space="preserve">: </w:t>
            </w:r>
            <w:r w:rsidRPr="00A93D30">
              <w:rPr>
                <w:rFonts w:ascii="Calibri" w:hAnsi="Calibri" w:cs="Calibri"/>
                <w:b/>
                <w:bCs/>
              </w:rPr>
              <w:t>tematický okruh NRP</w:t>
            </w:r>
            <w:r w:rsidRPr="00A93D30">
              <w:rPr>
                <w:rFonts w:ascii="Calibri" w:hAnsi="Calibri" w:cs="Calibri"/>
                <w:bCs/>
              </w:rPr>
              <w:t>: podpora podnikání, digitalizace a rozvoj digitálního trhu</w:t>
            </w:r>
            <w:r w:rsidR="001C1F65" w:rsidRPr="00A93D30">
              <w:rPr>
                <w:rFonts w:ascii="Calibri" w:hAnsi="Calibri" w:cs="Calibri"/>
                <w:bCs/>
              </w:rPr>
              <w:t>; priorit</w:t>
            </w:r>
            <w:r w:rsidR="00B55F0A" w:rsidRPr="00A93D30">
              <w:rPr>
                <w:rFonts w:ascii="Calibri" w:hAnsi="Calibri" w:cs="Calibri"/>
                <w:bCs/>
              </w:rPr>
              <w:t>y</w:t>
            </w:r>
            <w:r w:rsidR="001C1F65" w:rsidRPr="00A93D30">
              <w:rPr>
                <w:rFonts w:ascii="Calibri" w:hAnsi="Calibri" w:cs="Calibri"/>
                <w:bCs/>
              </w:rPr>
              <w:t xml:space="preserve"> české hospodářské politiky na pozad</w:t>
            </w:r>
            <w:r w:rsidR="00B55F0A" w:rsidRPr="00A93D30">
              <w:rPr>
                <w:rFonts w:ascii="Calibri" w:hAnsi="Calibri" w:cs="Calibri"/>
                <w:bCs/>
              </w:rPr>
              <w:t>í Strategie Evropa 2020 obsažené</w:t>
            </w:r>
            <w:r w:rsidR="001C1F65" w:rsidRPr="00A93D30">
              <w:rPr>
                <w:rFonts w:ascii="Calibri" w:hAnsi="Calibri" w:cs="Calibri"/>
                <w:bCs/>
              </w:rPr>
              <w:t xml:space="preserve"> v NRP: </w:t>
            </w:r>
            <w:r w:rsidR="00B55F0A" w:rsidRPr="00A93D30">
              <w:rPr>
                <w:rFonts w:ascii="Calibri" w:hAnsi="Calibri" w:cs="Calibri"/>
                <w:bCs/>
              </w:rPr>
              <w:t xml:space="preserve">konkurenceschopnost podniků a podpora malého a středního podnikání </w:t>
            </w:r>
            <w:r w:rsidRPr="00A93D30">
              <w:rPr>
                <w:rFonts w:ascii="Calibri" w:hAnsi="Calibri" w:cs="Calibri"/>
                <w:bCs/>
              </w:rPr>
              <w:t xml:space="preserve">- platí pro všechny </w:t>
            </w:r>
            <w:r w:rsidR="000A72AA" w:rsidRPr="00A93D30">
              <w:rPr>
                <w:rFonts w:ascii="Calibri" w:hAnsi="Calibri" w:cs="Calibri"/>
                <w:bCs/>
              </w:rPr>
              <w:t xml:space="preserve">uvedené </w:t>
            </w:r>
            <w:r w:rsidRPr="00A93D30">
              <w:rPr>
                <w:rFonts w:ascii="Calibri" w:hAnsi="Calibri" w:cs="Calibri"/>
                <w:bCs/>
              </w:rPr>
              <w:t xml:space="preserve">investiční priority daného </w:t>
            </w:r>
            <w:r w:rsidRPr="00A93D30">
              <w:rPr>
                <w:rFonts w:ascii="Calibri" w:hAnsi="Calibri" w:cs="Calibri"/>
                <w:bCs/>
              </w:rPr>
              <w:lastRenderedPageBreak/>
              <w:t>tematického cíle.</w:t>
            </w:r>
          </w:p>
          <w:p w:rsidR="000A72AA" w:rsidRPr="00A93D30" w:rsidRDefault="000A72AA"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 xml:space="preserve">Národní rozvojová priorita </w:t>
            </w:r>
            <w:r w:rsidR="00527055">
              <w:rPr>
                <w:rFonts w:ascii="Calibri" w:hAnsi="Calibri" w:cs="Calibri"/>
                <w:bCs/>
              </w:rPr>
              <w:t xml:space="preserve">(usnesení vlády č. 650/2011): </w:t>
            </w:r>
            <w:r w:rsidRPr="00A93D30">
              <w:rPr>
                <w:rFonts w:ascii="Calibri" w:hAnsi="Calibri" w:cs="Calibri"/>
                <w:bCs/>
              </w:rPr>
              <w:t>tematická oblast „podpora podnikání“ národní rozvojové priority „zvýšení konkurenceschopnosti ekonomky“ - platí pro všechny uvedené investiční priority daného tematického cíle.</w:t>
            </w:r>
          </w:p>
          <w:p w:rsidR="00225806" w:rsidRPr="00A93D30" w:rsidRDefault="00225806"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 xml:space="preserve">Poziční dokument: Priorita financování </w:t>
            </w:r>
            <w:r w:rsidRPr="00A93D30">
              <w:rPr>
                <w:rFonts w:ascii="Calibri" w:hAnsi="Calibri" w:cs="Calibri"/>
                <w:bCs/>
              </w:rPr>
              <w:t>„Podnikatelské prostředí příznivé pro inovace“</w:t>
            </w:r>
            <w:r w:rsidR="00A43D4D" w:rsidRPr="00A93D30">
              <w:rPr>
                <w:rFonts w:ascii="Calibri" w:hAnsi="Calibri" w:cs="Calibri"/>
                <w:bCs/>
              </w:rPr>
              <w:t xml:space="preserve"> </w:t>
            </w:r>
            <w:r w:rsidR="00967BBD" w:rsidRPr="00A93D30">
              <w:rPr>
                <w:rFonts w:ascii="Calibri" w:hAnsi="Calibri" w:cs="Calibri"/>
                <w:bCs/>
              </w:rPr>
              <w:t>–</w:t>
            </w:r>
            <w:r w:rsidR="00A43D4D" w:rsidRPr="00A93D30">
              <w:rPr>
                <w:rFonts w:ascii="Calibri" w:hAnsi="Calibri" w:cs="Calibri"/>
                <w:bCs/>
              </w:rPr>
              <w:t xml:space="preserve"> </w:t>
            </w:r>
            <w:r w:rsidR="00967BBD" w:rsidRPr="00A93D30">
              <w:rPr>
                <w:rFonts w:ascii="Calibri" w:hAnsi="Calibri" w:cs="Calibri"/>
                <w:bCs/>
              </w:rPr>
              <w:t xml:space="preserve">Zlepšení konkurenceschopnosti MSP - </w:t>
            </w:r>
            <w:r w:rsidR="00A43D4D" w:rsidRPr="00A93D30">
              <w:rPr>
                <w:rFonts w:ascii="Calibri" w:hAnsi="Calibri" w:cs="Calibri"/>
                <w:bCs/>
              </w:rPr>
              <w:t xml:space="preserve">platí pro všechny uvedené investiční priority daného tematického cíle. </w:t>
            </w:r>
          </w:p>
        </w:tc>
      </w:tr>
      <w:tr w:rsidR="003252E1" w:rsidRPr="00A93D30">
        <w:trPr>
          <w:jc w:val="center"/>
        </w:trPr>
        <w:tc>
          <w:tcPr>
            <w:tcW w:w="926" w:type="pct"/>
            <w:shd w:val="clear" w:color="auto" w:fill="auto"/>
          </w:tcPr>
          <w:p w:rsidR="003252E1" w:rsidRPr="00A93D30" w:rsidRDefault="003252E1" w:rsidP="00ED7BEB">
            <w:pPr>
              <w:overflowPunct/>
              <w:autoSpaceDE/>
              <w:autoSpaceDN/>
              <w:adjustRightInd/>
              <w:spacing w:before="120" w:after="120"/>
              <w:textAlignment w:val="auto"/>
              <w:rPr>
                <w:rFonts w:ascii="Calibri" w:hAnsi="Calibri" w:cs="Calibri"/>
                <w:b/>
              </w:rPr>
            </w:pPr>
            <w:r w:rsidRPr="00A93D30">
              <w:rPr>
                <w:rFonts w:ascii="Calibri" w:hAnsi="Calibri" w:cs="Calibri"/>
                <w:b/>
              </w:rPr>
              <w:lastRenderedPageBreak/>
              <w:t xml:space="preserve">(4) </w:t>
            </w:r>
            <w:r w:rsidR="00ED7BEB" w:rsidRPr="00ED7BEB">
              <w:rPr>
                <w:rFonts w:ascii="Calibri" w:hAnsi="Calibri" w:cs="Calibri"/>
                <w:b/>
              </w:rPr>
              <w:t>Podpora přechodu na nízkouhlíkové hospodářství ve všech odvětvích</w:t>
            </w:r>
          </w:p>
        </w:tc>
        <w:tc>
          <w:tcPr>
            <w:tcW w:w="1579" w:type="pct"/>
            <w:shd w:val="clear" w:color="auto" w:fill="auto"/>
          </w:tcPr>
          <w:p w:rsidR="003252E1" w:rsidRPr="00A93D30" w:rsidRDefault="003252E1" w:rsidP="00DD2FF9">
            <w:pPr>
              <w:spacing w:before="120" w:after="120"/>
              <w:jc w:val="both"/>
              <w:rPr>
                <w:rFonts w:ascii="Calibri" w:hAnsi="Calibri" w:cs="Calibri"/>
              </w:rPr>
            </w:pPr>
            <w:r w:rsidRPr="00A93D30">
              <w:rPr>
                <w:rFonts w:ascii="Calibri" w:hAnsi="Calibri" w:cs="Calibri"/>
              </w:rPr>
              <w:t>4</w:t>
            </w:r>
            <w:r w:rsidR="00DD2FF9">
              <w:rPr>
                <w:rFonts w:ascii="Calibri" w:hAnsi="Calibri" w:cs="Calibri"/>
              </w:rPr>
              <w:t>a - Po</w:t>
            </w:r>
            <w:r w:rsidR="00DD2FF9" w:rsidRPr="00DD2FF9">
              <w:rPr>
                <w:rFonts w:ascii="Calibri" w:hAnsi="Calibri" w:cs="Calibri"/>
              </w:rPr>
              <w:t>dpora produkce a šíření obnovitelných zdrojů energie</w:t>
            </w:r>
          </w:p>
        </w:tc>
        <w:tc>
          <w:tcPr>
            <w:tcW w:w="2494" w:type="pct"/>
            <w:shd w:val="clear" w:color="auto" w:fill="auto"/>
          </w:tcPr>
          <w:p w:rsidR="00D25653" w:rsidRPr="00527055" w:rsidRDefault="003252E1" w:rsidP="00851D6E">
            <w:pPr>
              <w:pStyle w:val="TextNOK"/>
              <w:numPr>
                <w:ilvl w:val="2"/>
                <w:numId w:val="10"/>
              </w:numPr>
              <w:tabs>
                <w:tab w:val="clear" w:pos="2160"/>
                <w:tab w:val="num" w:pos="0"/>
                <w:tab w:val="left" w:pos="523"/>
              </w:tabs>
              <w:spacing w:before="120" w:line="240" w:lineRule="auto"/>
              <w:ind w:left="0" w:firstLine="0"/>
              <w:rPr>
                <w:rFonts w:asciiTheme="minorHAnsi" w:hAnsiTheme="minorHAnsi" w:cstheme="minorHAnsi"/>
              </w:rPr>
            </w:pPr>
            <w:r w:rsidRPr="00527055">
              <w:rPr>
                <w:rFonts w:asciiTheme="minorHAnsi" w:hAnsiTheme="minorHAnsi" w:cstheme="minorHAnsi"/>
                <w:b/>
              </w:rPr>
              <w:t>Strategie Evropa 2020</w:t>
            </w:r>
            <w:r w:rsidR="00F52712" w:rsidRPr="00527055">
              <w:rPr>
                <w:rFonts w:asciiTheme="minorHAnsi" w:hAnsiTheme="minorHAnsi" w:cstheme="minorHAnsi"/>
                <w:b/>
              </w:rPr>
              <w:t xml:space="preserve">: </w:t>
            </w:r>
            <w:r w:rsidRPr="00527055">
              <w:rPr>
                <w:rFonts w:asciiTheme="minorHAnsi" w:hAnsiTheme="minorHAnsi" w:cstheme="minorHAnsi"/>
              </w:rPr>
              <w:t>Cíl: do roku 2020 snížit emise skleníkových plynů o 20 % oproti úrovni z roku 1990, zvýšit podíl OZE v celkové spotřebě v EU na 20 % a zvýšit energetickou účinnost v EU o 20 %.</w:t>
            </w:r>
          </w:p>
          <w:p w:rsidR="005F49F6" w:rsidRPr="00A93D30" w:rsidRDefault="005F49F6"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Národní program reforem 2012:</w:t>
            </w:r>
            <w:r w:rsidRPr="00A93D30">
              <w:rPr>
                <w:rFonts w:ascii="Calibri" w:hAnsi="Calibri" w:cs="Calibri"/>
                <w:bCs/>
              </w:rPr>
              <w:t xml:space="preserve"> dosáhnout vyváženého energetického mixu, zvýšení využívání obnovitelných zdrojů</w:t>
            </w:r>
            <w:r w:rsidR="00CC607A" w:rsidRPr="00A93D30">
              <w:rPr>
                <w:rFonts w:ascii="Calibri" w:hAnsi="Calibri" w:cs="Calibri"/>
                <w:bCs/>
              </w:rPr>
              <w:t xml:space="preserve"> (</w:t>
            </w:r>
            <w:r w:rsidR="00966162" w:rsidRPr="00A93D30">
              <w:rPr>
                <w:rFonts w:ascii="Calibri" w:hAnsi="Calibri" w:cs="Calibri"/>
                <w:bCs/>
              </w:rPr>
              <w:t>13 % energie z obnovitelných zdrojů do roku 2020).</w:t>
            </w:r>
            <w:r w:rsidR="00DA6D53" w:rsidRPr="00A93D30">
              <w:rPr>
                <w:rFonts w:ascii="Calibri" w:hAnsi="Calibri" w:cs="Calibri"/>
                <w:bCs/>
              </w:rPr>
              <w:t xml:space="preserve"> </w:t>
            </w:r>
          </w:p>
          <w:p w:rsidR="00B86914" w:rsidRPr="00A93D30" w:rsidRDefault="00B86914"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Strategie mezinárodní konkurenceschopnosti ČR 2012-2020</w:t>
            </w:r>
            <w:r w:rsidR="00F52712" w:rsidRPr="00A93D30">
              <w:rPr>
                <w:rFonts w:ascii="Calibri" w:hAnsi="Calibri" w:cs="Calibri"/>
                <w:bCs/>
              </w:rPr>
              <w:t xml:space="preserve">: </w:t>
            </w:r>
            <w:r w:rsidRPr="00A93D30">
              <w:rPr>
                <w:rFonts w:ascii="Calibri" w:hAnsi="Calibri" w:cs="Calibri"/>
                <w:bCs/>
              </w:rPr>
              <w:t xml:space="preserve">kapitola </w:t>
            </w:r>
            <w:r w:rsidR="00E04DC9" w:rsidRPr="00A93D30">
              <w:rPr>
                <w:rFonts w:ascii="Calibri" w:hAnsi="Calibri" w:cs="Calibri"/>
                <w:bCs/>
              </w:rPr>
              <w:t>2</w:t>
            </w:r>
            <w:r w:rsidRPr="00A93D30">
              <w:rPr>
                <w:rFonts w:ascii="Calibri" w:hAnsi="Calibri" w:cs="Calibri"/>
                <w:bCs/>
              </w:rPr>
              <w:t xml:space="preserve"> I</w:t>
            </w:r>
            <w:r w:rsidR="00E04DC9" w:rsidRPr="00A93D30">
              <w:rPr>
                <w:rFonts w:ascii="Calibri" w:hAnsi="Calibri" w:cs="Calibri"/>
                <w:bCs/>
              </w:rPr>
              <w:t>nfrastruktura</w:t>
            </w:r>
            <w:r w:rsidR="003E5CF9">
              <w:rPr>
                <w:rFonts w:ascii="Calibri" w:hAnsi="Calibri" w:cs="Calibri"/>
                <w:bCs/>
              </w:rPr>
              <w:t>.</w:t>
            </w:r>
          </w:p>
          <w:p w:rsidR="00B86914" w:rsidRPr="00A93D30" w:rsidRDefault="00B86914"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Koncepce podpory malých a středních podniků na období let 2014-2020</w:t>
            </w:r>
            <w:r w:rsidR="00F52712" w:rsidRPr="00A93D30">
              <w:rPr>
                <w:rFonts w:ascii="Calibri" w:hAnsi="Calibri" w:cs="Calibri"/>
                <w:b/>
                <w:bCs/>
              </w:rPr>
              <w:t xml:space="preserve">: </w:t>
            </w:r>
            <w:r w:rsidRPr="00A93D30">
              <w:rPr>
                <w:rFonts w:ascii="Calibri" w:hAnsi="Calibri" w:cs="Calibri"/>
                <w:bCs/>
              </w:rPr>
              <w:t>kapitola 8.4.</w:t>
            </w:r>
            <w:r w:rsidR="00536688" w:rsidRPr="00A93D30">
              <w:rPr>
                <w:rFonts w:ascii="Calibri" w:hAnsi="Calibri" w:cs="Calibri"/>
                <w:bCs/>
              </w:rPr>
              <w:t>4</w:t>
            </w:r>
            <w:r w:rsidRPr="00A93D30">
              <w:rPr>
                <w:rFonts w:ascii="Calibri" w:hAnsi="Calibri" w:cs="Calibri"/>
                <w:bCs/>
              </w:rPr>
              <w:t xml:space="preserve"> </w:t>
            </w:r>
            <w:bookmarkStart w:id="16" w:name="_Toc341939070"/>
            <w:r w:rsidR="00536688" w:rsidRPr="00A93D30">
              <w:rPr>
                <w:rFonts w:ascii="Calibri" w:hAnsi="Calibri" w:cs="Calibri"/>
                <w:bCs/>
              </w:rPr>
              <w:t>Strategická priorita č. 4 – Udržitelné hospodaření s energií a rozvoj inovací v</w:t>
            </w:r>
            <w:r w:rsidR="003E5CF9">
              <w:rPr>
                <w:rFonts w:ascii="Calibri" w:hAnsi="Calibri" w:cs="Calibri"/>
                <w:bCs/>
              </w:rPr>
              <w:t> </w:t>
            </w:r>
            <w:r w:rsidR="00536688" w:rsidRPr="00A93D30">
              <w:rPr>
                <w:rFonts w:ascii="Calibri" w:hAnsi="Calibri" w:cs="Calibri"/>
                <w:bCs/>
              </w:rPr>
              <w:t>energetice</w:t>
            </w:r>
            <w:bookmarkEnd w:id="16"/>
            <w:r w:rsidR="003E5CF9">
              <w:rPr>
                <w:rFonts w:ascii="Calibri" w:hAnsi="Calibri" w:cs="Calibri"/>
                <w:bCs/>
              </w:rPr>
              <w:t>.</w:t>
            </w:r>
          </w:p>
          <w:p w:rsidR="003252E1" w:rsidRPr="00A93D30" w:rsidRDefault="00B86914"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Aktualizace Státní energetické koncepce 2010</w:t>
            </w:r>
            <w:r w:rsidR="00F52712" w:rsidRPr="00A93D30">
              <w:rPr>
                <w:rFonts w:ascii="Calibri" w:hAnsi="Calibri" w:cs="Calibri"/>
                <w:b/>
                <w:bCs/>
              </w:rPr>
              <w:t xml:space="preserve">: </w:t>
            </w:r>
            <w:r w:rsidR="00536688" w:rsidRPr="00A93D30">
              <w:rPr>
                <w:rFonts w:ascii="Calibri" w:hAnsi="Calibri" w:cs="Calibri"/>
                <w:bCs/>
              </w:rPr>
              <w:t>kapitola 5.1 Elektroenergetika a kapitola 6.1 Elektroenergetika</w:t>
            </w:r>
            <w:r w:rsidR="003E5CF9">
              <w:rPr>
                <w:rFonts w:ascii="Calibri" w:hAnsi="Calibri" w:cs="Calibri"/>
                <w:bCs/>
              </w:rPr>
              <w:t>.</w:t>
            </w:r>
          </w:p>
        </w:tc>
      </w:tr>
      <w:tr w:rsidR="003252E1" w:rsidRPr="00A93D30">
        <w:trPr>
          <w:jc w:val="center"/>
        </w:trPr>
        <w:tc>
          <w:tcPr>
            <w:tcW w:w="926" w:type="pct"/>
            <w:shd w:val="clear" w:color="auto" w:fill="auto"/>
          </w:tcPr>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5F49F6">
            <w:pPr>
              <w:spacing w:before="120" w:after="120"/>
              <w:jc w:val="both"/>
              <w:rPr>
                <w:rFonts w:ascii="Calibri" w:hAnsi="Calibri" w:cs="Calibri"/>
              </w:rPr>
            </w:pPr>
            <w:r w:rsidRPr="00A93D30">
              <w:rPr>
                <w:rFonts w:ascii="Calibri" w:hAnsi="Calibri" w:cs="Calibri"/>
              </w:rPr>
              <w:t>4</w:t>
            </w:r>
            <w:r w:rsidR="00DD2FF9">
              <w:rPr>
                <w:rFonts w:ascii="Calibri" w:hAnsi="Calibri" w:cs="Calibri"/>
              </w:rPr>
              <w:t>b - P</w:t>
            </w:r>
            <w:r w:rsidR="00DD2FF9" w:rsidRPr="00DD2FF9">
              <w:rPr>
                <w:rFonts w:ascii="Calibri" w:hAnsi="Calibri" w:cs="Calibri"/>
              </w:rPr>
              <w:t>odpora energetické účinnosti a využívání energie z obnovitelných zdrojů v podnicích</w:t>
            </w:r>
          </w:p>
          <w:p w:rsidR="003252E1" w:rsidRPr="00A93D30" w:rsidRDefault="003252E1" w:rsidP="007359FB">
            <w:pPr>
              <w:jc w:val="both"/>
              <w:rPr>
                <w:rFonts w:ascii="Calibri" w:hAnsi="Calibri" w:cs="Calibri"/>
              </w:rPr>
            </w:pPr>
          </w:p>
        </w:tc>
        <w:tc>
          <w:tcPr>
            <w:tcW w:w="2494" w:type="pct"/>
            <w:shd w:val="clear" w:color="auto" w:fill="auto"/>
          </w:tcPr>
          <w:p w:rsidR="003252E1" w:rsidRPr="00A93D30" w:rsidRDefault="003252E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Strategie Evropa 2020</w:t>
            </w:r>
            <w:r w:rsidR="00F52712" w:rsidRPr="00A93D30">
              <w:rPr>
                <w:rFonts w:ascii="Calibri" w:hAnsi="Calibri" w:cs="Calibri"/>
                <w:b/>
                <w:bCs/>
              </w:rPr>
              <w:t xml:space="preserve">: </w:t>
            </w:r>
            <w:r w:rsidRPr="00A93D30">
              <w:rPr>
                <w:rFonts w:ascii="Calibri" w:hAnsi="Calibri" w:cs="Calibri"/>
                <w:bCs/>
              </w:rPr>
              <w:t>Cíl: do roku 2020 snížit emise skleníkových plynů o 20 % oproti úrovni z roku 1990, zvýšit podíl OZE v celkové spotřebě v EU na 20 % a zvýšit energetickou účinnost v EU o 20 %.</w:t>
            </w:r>
          </w:p>
          <w:p w:rsidR="005F49F6" w:rsidRPr="00A93D30" w:rsidRDefault="005F49F6"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Národní program reforem:</w:t>
            </w:r>
            <w:r w:rsidRPr="00A93D30">
              <w:rPr>
                <w:rFonts w:ascii="Calibri" w:hAnsi="Calibri" w:cs="Calibri"/>
                <w:bCs/>
              </w:rPr>
              <w:t xml:space="preserve"> dosáhnout vyváženého energetického mixu, zvýšení využívání obnoviteln</w:t>
            </w:r>
            <w:r w:rsidR="003E5CF9">
              <w:rPr>
                <w:rFonts w:ascii="Calibri" w:hAnsi="Calibri" w:cs="Calibri"/>
                <w:bCs/>
              </w:rPr>
              <w:t>ých zdrojů.</w:t>
            </w:r>
          </w:p>
          <w:p w:rsidR="003252E1" w:rsidRPr="00A93D30" w:rsidRDefault="00E04DC9"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Strategie mezinárodní konkurenceschopnosti ČR 2012-2020</w:t>
            </w:r>
            <w:r w:rsidR="00F52712" w:rsidRPr="00A93D30">
              <w:rPr>
                <w:rFonts w:ascii="Calibri" w:hAnsi="Calibri" w:cs="Calibri"/>
                <w:b/>
                <w:bCs/>
              </w:rPr>
              <w:t xml:space="preserve">: </w:t>
            </w:r>
            <w:r w:rsidRPr="00A93D30">
              <w:rPr>
                <w:rFonts w:ascii="Calibri" w:hAnsi="Calibri" w:cs="Calibri"/>
                <w:bCs/>
              </w:rPr>
              <w:t>kapitola 2 Infrastruktura</w:t>
            </w:r>
            <w:r w:rsidR="003E5CF9">
              <w:rPr>
                <w:rFonts w:ascii="Calibri" w:hAnsi="Calibri" w:cs="Calibri"/>
                <w:bCs/>
              </w:rPr>
              <w:t>.</w:t>
            </w:r>
          </w:p>
          <w:p w:rsidR="00536688" w:rsidRPr="00A93D30" w:rsidRDefault="00536688"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lastRenderedPageBreak/>
              <w:t>Koncepce podpory malých a středních podniků na období let 2014-2020</w:t>
            </w:r>
            <w:r w:rsidR="00F52712" w:rsidRPr="00A93D30">
              <w:rPr>
                <w:rFonts w:ascii="Calibri" w:hAnsi="Calibri" w:cs="Calibri"/>
                <w:b/>
                <w:bCs/>
              </w:rPr>
              <w:t xml:space="preserve">: </w:t>
            </w:r>
            <w:r w:rsidRPr="00A93D30">
              <w:rPr>
                <w:rFonts w:ascii="Calibri" w:hAnsi="Calibri" w:cs="Calibri"/>
                <w:bCs/>
              </w:rPr>
              <w:t>kapitola 8.4.4 Strategická priorita č. 4 – Udržitelné hospodaření s energií a rozvoj inovací v energetice</w:t>
            </w:r>
          </w:p>
          <w:p w:rsidR="00536688" w:rsidRPr="00A93D30" w:rsidRDefault="00536688"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Aktualizace Státní energetické koncepce 2010</w:t>
            </w:r>
            <w:r w:rsidR="00F52712" w:rsidRPr="00A93D30">
              <w:rPr>
                <w:rFonts w:ascii="Calibri" w:hAnsi="Calibri" w:cs="Calibri"/>
                <w:b/>
                <w:bCs/>
              </w:rPr>
              <w:t xml:space="preserve">: </w:t>
            </w:r>
            <w:r w:rsidRPr="00A93D30">
              <w:rPr>
                <w:rFonts w:ascii="Calibri" w:hAnsi="Calibri" w:cs="Calibri"/>
                <w:bCs/>
              </w:rPr>
              <w:t>kapitola 5.5 Energetická účinnost a kapitola 6.5 Energetická účinnost</w:t>
            </w:r>
            <w:r w:rsidR="003E5CF9">
              <w:rPr>
                <w:rFonts w:ascii="Calibri" w:hAnsi="Calibri" w:cs="Calibri"/>
                <w:bCs/>
              </w:rPr>
              <w:t>.</w:t>
            </w:r>
          </w:p>
        </w:tc>
      </w:tr>
      <w:tr w:rsidR="003252E1" w:rsidRPr="00A93D30">
        <w:trPr>
          <w:jc w:val="center"/>
        </w:trPr>
        <w:tc>
          <w:tcPr>
            <w:tcW w:w="926" w:type="pct"/>
            <w:shd w:val="clear" w:color="auto" w:fill="auto"/>
          </w:tcPr>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5F49F6">
            <w:pPr>
              <w:spacing w:before="120" w:after="120"/>
              <w:jc w:val="both"/>
              <w:rPr>
                <w:rFonts w:ascii="Calibri" w:hAnsi="Calibri" w:cs="Calibri"/>
              </w:rPr>
            </w:pPr>
            <w:r w:rsidRPr="00A93D30">
              <w:rPr>
                <w:rFonts w:ascii="Calibri" w:hAnsi="Calibri" w:cs="Calibri"/>
              </w:rPr>
              <w:t>4</w:t>
            </w:r>
            <w:r w:rsidR="00ED7BEB">
              <w:rPr>
                <w:rFonts w:ascii="Calibri" w:hAnsi="Calibri" w:cs="Calibri"/>
              </w:rPr>
              <w:t>d - V</w:t>
            </w:r>
            <w:r w:rsidR="00ED7BEB" w:rsidRPr="00ED7BEB">
              <w:rPr>
                <w:rFonts w:ascii="Calibri" w:hAnsi="Calibri" w:cs="Calibri"/>
              </w:rPr>
              <w:t>yvíjení a zavádění inteligentních rozvodných systémů nízkého a středního napětí</w:t>
            </w:r>
          </w:p>
          <w:p w:rsidR="003252E1" w:rsidRPr="00A93D30" w:rsidRDefault="003252E1" w:rsidP="007359FB">
            <w:pPr>
              <w:jc w:val="both"/>
              <w:rPr>
                <w:rFonts w:ascii="Calibri" w:hAnsi="Calibri" w:cs="Calibri"/>
              </w:rPr>
            </w:pPr>
          </w:p>
        </w:tc>
        <w:tc>
          <w:tcPr>
            <w:tcW w:w="2494" w:type="pct"/>
            <w:shd w:val="clear" w:color="auto" w:fill="auto"/>
          </w:tcPr>
          <w:p w:rsidR="003252E1" w:rsidRPr="00A93D30" w:rsidRDefault="003252E1"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 xml:space="preserve"> </w:t>
            </w:r>
            <w:r w:rsidR="00E04DC9" w:rsidRPr="00A93D30">
              <w:rPr>
                <w:rFonts w:ascii="Calibri" w:hAnsi="Calibri" w:cs="Calibri"/>
                <w:b/>
                <w:bCs/>
              </w:rPr>
              <w:t>Strategie mezinárodní konkurenceschopnosti ČR 2012-2020</w:t>
            </w:r>
            <w:r w:rsidR="00F52712" w:rsidRPr="00A93D30">
              <w:rPr>
                <w:rFonts w:ascii="Calibri" w:hAnsi="Calibri" w:cs="Calibri"/>
                <w:b/>
                <w:bCs/>
              </w:rPr>
              <w:t xml:space="preserve">: </w:t>
            </w:r>
            <w:r w:rsidR="00E04DC9" w:rsidRPr="00A93D30">
              <w:rPr>
                <w:rFonts w:ascii="Calibri" w:hAnsi="Calibri" w:cs="Calibri"/>
                <w:bCs/>
              </w:rPr>
              <w:t>kapitola 2 Infrastruktura a kapitola 8 Efektivnost trhu zboží a služeb a zkvalitňování charakteristik podnikání</w:t>
            </w:r>
            <w:r w:rsidR="00473446">
              <w:rPr>
                <w:rFonts w:ascii="Calibri" w:hAnsi="Calibri" w:cs="Calibri"/>
                <w:bCs/>
              </w:rPr>
              <w:t>.</w:t>
            </w:r>
          </w:p>
          <w:p w:rsidR="005F49F6" w:rsidRPr="00A93D30" w:rsidRDefault="00F52712"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Národní program reforem</w:t>
            </w:r>
            <w:r w:rsidR="009A52BE" w:rsidRPr="00A93D30">
              <w:rPr>
                <w:rFonts w:ascii="Calibri" w:hAnsi="Calibri" w:cs="Calibri"/>
                <w:b/>
                <w:bCs/>
              </w:rPr>
              <w:t xml:space="preserve"> 2012</w:t>
            </w:r>
            <w:r w:rsidRPr="00A93D30">
              <w:rPr>
                <w:rFonts w:ascii="Calibri" w:hAnsi="Calibri" w:cs="Calibri"/>
                <w:b/>
                <w:bCs/>
              </w:rPr>
              <w:t>:</w:t>
            </w:r>
            <w:r w:rsidRPr="00A93D30">
              <w:rPr>
                <w:rFonts w:ascii="Calibri" w:hAnsi="Calibri" w:cs="Calibri"/>
                <w:bCs/>
              </w:rPr>
              <w:t xml:space="preserve"> Přispět v maximální míře k dosažení cílů EU pro rok 2020 s respektováním specifických podmínek ČR a současném naplnění obou dalších pilířů evropské energetické politiky, konkurenceschopnosti a  spolehlivosti dodávek</w:t>
            </w:r>
            <w:r w:rsidR="00473446">
              <w:rPr>
                <w:rFonts w:ascii="Calibri" w:hAnsi="Calibri" w:cs="Calibri"/>
                <w:bCs/>
              </w:rPr>
              <w:t>; rozvoj inteligentních sítí.</w:t>
            </w:r>
          </w:p>
          <w:p w:rsidR="00536688" w:rsidRPr="00A93D30" w:rsidRDefault="00536688"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Koncepce podpory malých a středních podniků na období let 2014-2020</w:t>
            </w:r>
            <w:r w:rsidR="00F52712" w:rsidRPr="00A93D30">
              <w:rPr>
                <w:rFonts w:ascii="Calibri" w:hAnsi="Calibri" w:cs="Calibri"/>
                <w:b/>
                <w:bCs/>
              </w:rPr>
              <w:t xml:space="preserve">: </w:t>
            </w:r>
            <w:r w:rsidRPr="00A93D30">
              <w:rPr>
                <w:rFonts w:ascii="Calibri" w:hAnsi="Calibri" w:cs="Calibri"/>
                <w:bCs/>
              </w:rPr>
              <w:t>kapitola 8.4.4 Strategická priorita č. 4 – Udržitelné hospodaření s energií a rozvoj inovací v</w:t>
            </w:r>
            <w:r w:rsidR="00473446">
              <w:rPr>
                <w:rFonts w:ascii="Calibri" w:hAnsi="Calibri" w:cs="Calibri"/>
                <w:bCs/>
              </w:rPr>
              <w:t> </w:t>
            </w:r>
            <w:r w:rsidRPr="00A93D30">
              <w:rPr>
                <w:rFonts w:ascii="Calibri" w:hAnsi="Calibri" w:cs="Calibri"/>
                <w:bCs/>
              </w:rPr>
              <w:t>energetice</w:t>
            </w:r>
            <w:r w:rsidR="00473446">
              <w:rPr>
                <w:rFonts w:ascii="Calibri" w:hAnsi="Calibri" w:cs="Calibri"/>
                <w:bCs/>
              </w:rPr>
              <w:t>.</w:t>
            </w:r>
          </w:p>
          <w:p w:rsidR="00536688" w:rsidRPr="00A93D30" w:rsidRDefault="00536688"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Aktualizace Státní energetické koncepce 2010</w:t>
            </w:r>
            <w:r w:rsidR="009A52BE" w:rsidRPr="00A93D30">
              <w:rPr>
                <w:rFonts w:ascii="Calibri" w:hAnsi="Calibri" w:cs="Calibri"/>
                <w:b/>
                <w:bCs/>
              </w:rPr>
              <w:t xml:space="preserve">: </w:t>
            </w:r>
            <w:r w:rsidRPr="00A93D30">
              <w:rPr>
                <w:rFonts w:ascii="Calibri" w:hAnsi="Calibri" w:cs="Calibri"/>
                <w:bCs/>
              </w:rPr>
              <w:t>kapitola 5.1 Elektroenergetika a kapitola 6.1 Elektroenergetika</w:t>
            </w:r>
            <w:r w:rsidR="00473446">
              <w:rPr>
                <w:rFonts w:ascii="Calibri" w:hAnsi="Calibri" w:cs="Calibri"/>
                <w:bCs/>
              </w:rPr>
              <w:t>.</w:t>
            </w:r>
          </w:p>
        </w:tc>
      </w:tr>
      <w:tr w:rsidR="003252E1" w:rsidRPr="00A93D30">
        <w:trPr>
          <w:jc w:val="center"/>
        </w:trPr>
        <w:tc>
          <w:tcPr>
            <w:tcW w:w="926" w:type="pct"/>
            <w:shd w:val="clear" w:color="auto" w:fill="auto"/>
          </w:tcPr>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5F49F6">
            <w:pPr>
              <w:spacing w:before="120" w:after="120"/>
              <w:jc w:val="both"/>
              <w:rPr>
                <w:rFonts w:ascii="Calibri" w:hAnsi="Calibri" w:cs="Calibri"/>
              </w:rPr>
            </w:pPr>
            <w:r w:rsidRPr="00A93D30">
              <w:rPr>
                <w:rFonts w:ascii="Calibri" w:hAnsi="Calibri" w:cs="Calibri"/>
              </w:rPr>
              <w:t>4</w:t>
            </w:r>
            <w:r w:rsidR="00ED7BEB">
              <w:rPr>
                <w:rFonts w:ascii="Calibri" w:hAnsi="Calibri" w:cs="Calibri"/>
              </w:rPr>
              <w:t>f - P</w:t>
            </w:r>
            <w:r w:rsidR="00ED7BEB" w:rsidRPr="00ED7BEB">
              <w:rPr>
                <w:rFonts w:ascii="Calibri" w:hAnsi="Calibri" w:cs="Calibri"/>
              </w:rPr>
              <w:t>odpora výzkumu, inovací a zavádění nízkouhlíkových technologií</w:t>
            </w:r>
          </w:p>
          <w:p w:rsidR="003252E1" w:rsidRPr="00A93D30" w:rsidRDefault="003252E1" w:rsidP="007359FB">
            <w:pPr>
              <w:jc w:val="both"/>
              <w:rPr>
                <w:rFonts w:ascii="Calibri" w:hAnsi="Calibri" w:cs="Calibri"/>
              </w:rPr>
            </w:pPr>
          </w:p>
        </w:tc>
        <w:tc>
          <w:tcPr>
            <w:tcW w:w="2494" w:type="pct"/>
            <w:shd w:val="clear" w:color="auto" w:fill="auto"/>
          </w:tcPr>
          <w:p w:rsidR="003252E1" w:rsidRPr="00A93D30" w:rsidRDefault="00536688"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Koncepce podpory malých a středních podniků na období let 2014-2020</w:t>
            </w:r>
            <w:r w:rsidR="009A52BE" w:rsidRPr="00A93D30">
              <w:rPr>
                <w:rFonts w:ascii="Calibri" w:hAnsi="Calibri" w:cs="Calibri"/>
                <w:b/>
                <w:bCs/>
              </w:rPr>
              <w:t xml:space="preserve">: </w:t>
            </w:r>
            <w:r w:rsidRPr="00A93D30">
              <w:rPr>
                <w:rFonts w:ascii="Calibri" w:hAnsi="Calibri" w:cs="Calibri"/>
                <w:bCs/>
              </w:rPr>
              <w:t>kapitola 8.4.4 Strategická priorita č. 4 – Udržitelné hospodaření s energií a rozvoj inovací v</w:t>
            </w:r>
            <w:r w:rsidR="00D75429">
              <w:rPr>
                <w:rFonts w:ascii="Calibri" w:hAnsi="Calibri" w:cs="Calibri"/>
                <w:bCs/>
              </w:rPr>
              <w:t> </w:t>
            </w:r>
            <w:r w:rsidRPr="00A93D30">
              <w:rPr>
                <w:rFonts w:ascii="Calibri" w:hAnsi="Calibri" w:cs="Calibri"/>
                <w:bCs/>
              </w:rPr>
              <w:t>energetice</w:t>
            </w:r>
            <w:r w:rsidR="00D75429">
              <w:rPr>
                <w:rFonts w:ascii="Calibri" w:hAnsi="Calibri" w:cs="Calibri"/>
                <w:bCs/>
              </w:rPr>
              <w:t>.</w:t>
            </w:r>
          </w:p>
          <w:p w:rsidR="00536688" w:rsidRPr="00A93D30" w:rsidRDefault="00536688"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Aktualizace Státní energetické koncepce 2010</w:t>
            </w:r>
            <w:r w:rsidR="009A52BE" w:rsidRPr="00A93D30">
              <w:rPr>
                <w:rFonts w:ascii="Calibri" w:hAnsi="Calibri" w:cs="Calibri"/>
                <w:b/>
                <w:bCs/>
              </w:rPr>
              <w:t xml:space="preserve">: </w:t>
            </w:r>
            <w:r w:rsidRPr="00A93D30">
              <w:rPr>
                <w:rFonts w:ascii="Calibri" w:hAnsi="Calibri" w:cs="Calibri"/>
                <w:bCs/>
              </w:rPr>
              <w:t xml:space="preserve"> kapitola 5.6 Výzkum, vývoj, inovace a školství, kapitola 6.6 Výzkum, vývoj, inovace a školství a kapitola 5.1 Elektroenergetika</w:t>
            </w:r>
            <w:r w:rsidR="00D75429">
              <w:rPr>
                <w:rFonts w:ascii="Calibri" w:hAnsi="Calibri" w:cs="Calibri"/>
                <w:bCs/>
              </w:rPr>
              <w:t>.</w:t>
            </w:r>
          </w:p>
        </w:tc>
      </w:tr>
      <w:tr w:rsidR="003252E1" w:rsidRPr="00A93D30">
        <w:trPr>
          <w:jc w:val="center"/>
        </w:trPr>
        <w:tc>
          <w:tcPr>
            <w:tcW w:w="926" w:type="pct"/>
            <w:shd w:val="clear" w:color="auto" w:fill="auto"/>
          </w:tcPr>
          <w:p w:rsidR="003252E1" w:rsidRPr="00A93D30" w:rsidRDefault="003252E1" w:rsidP="004B2D7D">
            <w:pPr>
              <w:overflowPunct/>
              <w:autoSpaceDE/>
              <w:autoSpaceDN/>
              <w:adjustRightInd/>
              <w:textAlignment w:val="auto"/>
              <w:rPr>
                <w:rFonts w:ascii="Calibri" w:hAnsi="Calibri" w:cs="Calibri"/>
              </w:rPr>
            </w:pPr>
          </w:p>
        </w:tc>
        <w:tc>
          <w:tcPr>
            <w:tcW w:w="1579" w:type="pct"/>
            <w:shd w:val="clear" w:color="auto" w:fill="auto"/>
          </w:tcPr>
          <w:p w:rsidR="003252E1" w:rsidRPr="00A93D30" w:rsidRDefault="003252E1" w:rsidP="005F49F6">
            <w:pPr>
              <w:spacing w:before="120" w:after="120"/>
              <w:jc w:val="both"/>
              <w:rPr>
                <w:rFonts w:ascii="Calibri" w:hAnsi="Calibri" w:cs="Calibri"/>
              </w:rPr>
            </w:pPr>
            <w:r w:rsidRPr="00A93D30">
              <w:rPr>
                <w:rFonts w:ascii="Calibri" w:hAnsi="Calibri" w:cs="Calibri"/>
              </w:rPr>
              <w:t>4</w:t>
            </w:r>
            <w:r w:rsidR="00ED7BEB">
              <w:rPr>
                <w:rFonts w:ascii="Calibri" w:hAnsi="Calibri" w:cs="Calibri"/>
              </w:rPr>
              <w:t>g - P</w:t>
            </w:r>
            <w:r w:rsidR="00ED7BEB" w:rsidRPr="00ED7BEB">
              <w:rPr>
                <w:rFonts w:ascii="Calibri" w:hAnsi="Calibri" w:cs="Calibri"/>
              </w:rPr>
              <w:t>odpora využívání vysoce účinné kombinované výroby tepla a elektřiny na základě poptávky po užitečném teple</w:t>
            </w:r>
          </w:p>
          <w:p w:rsidR="003252E1" w:rsidRPr="00A93D30" w:rsidRDefault="003252E1" w:rsidP="007359FB">
            <w:pPr>
              <w:jc w:val="both"/>
              <w:rPr>
                <w:rFonts w:ascii="Calibri" w:hAnsi="Calibri" w:cs="Calibri"/>
              </w:rPr>
            </w:pPr>
          </w:p>
        </w:tc>
        <w:tc>
          <w:tcPr>
            <w:tcW w:w="2494" w:type="pct"/>
            <w:shd w:val="clear" w:color="auto" w:fill="auto"/>
          </w:tcPr>
          <w:p w:rsidR="003252E1" w:rsidRPr="00A93D30" w:rsidRDefault="00E04DC9" w:rsidP="00851D6E">
            <w:pPr>
              <w:pStyle w:val="TextNOK"/>
              <w:numPr>
                <w:ilvl w:val="2"/>
                <w:numId w:val="10"/>
              </w:numPr>
              <w:tabs>
                <w:tab w:val="clear" w:pos="2160"/>
                <w:tab w:val="num" w:pos="0"/>
                <w:tab w:val="left" w:pos="523"/>
              </w:tabs>
              <w:spacing w:before="120" w:line="240" w:lineRule="auto"/>
              <w:ind w:left="0" w:firstLine="0"/>
              <w:rPr>
                <w:rFonts w:ascii="Calibri" w:hAnsi="Calibri" w:cs="Calibri"/>
                <w:bCs/>
              </w:rPr>
            </w:pPr>
            <w:r w:rsidRPr="00A93D30">
              <w:rPr>
                <w:rFonts w:ascii="Calibri" w:hAnsi="Calibri" w:cs="Calibri"/>
                <w:b/>
                <w:bCs/>
              </w:rPr>
              <w:t>Strategie mezinárodní konkurenceschopnosti ČR 2012-2020</w:t>
            </w:r>
            <w:r w:rsidR="009A52BE" w:rsidRPr="00A93D30">
              <w:rPr>
                <w:rFonts w:ascii="Calibri" w:hAnsi="Calibri" w:cs="Calibri"/>
                <w:b/>
                <w:bCs/>
              </w:rPr>
              <w:t xml:space="preserve">: </w:t>
            </w:r>
            <w:r w:rsidRPr="00A93D30">
              <w:rPr>
                <w:rFonts w:ascii="Calibri" w:hAnsi="Calibri" w:cs="Calibri"/>
                <w:bCs/>
              </w:rPr>
              <w:t>kapitola 2 Infrastruktura</w:t>
            </w:r>
            <w:r w:rsidR="00D75429">
              <w:rPr>
                <w:rFonts w:ascii="Calibri" w:hAnsi="Calibri" w:cs="Calibri"/>
                <w:bCs/>
              </w:rPr>
              <w:t>.</w:t>
            </w:r>
          </w:p>
          <w:p w:rsidR="003252E1" w:rsidRPr="00A93D30" w:rsidRDefault="00536688"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Koncepce podpory malých a středních podniků na období let 2014-2020</w:t>
            </w:r>
            <w:r w:rsidR="009A52BE" w:rsidRPr="00A93D30">
              <w:rPr>
                <w:rFonts w:ascii="Calibri" w:hAnsi="Calibri" w:cs="Calibri"/>
                <w:b/>
                <w:bCs/>
              </w:rPr>
              <w:t xml:space="preserve">: </w:t>
            </w:r>
            <w:r w:rsidRPr="00A93D30">
              <w:rPr>
                <w:rFonts w:ascii="Calibri" w:hAnsi="Calibri" w:cs="Calibri"/>
                <w:bCs/>
              </w:rPr>
              <w:t xml:space="preserve">kapitola 8.4.4 Strategická priorita č. 4 – Udržitelné hospodaření s energií a rozvoj </w:t>
            </w:r>
            <w:r w:rsidRPr="00A93D30">
              <w:rPr>
                <w:rFonts w:ascii="Calibri" w:hAnsi="Calibri" w:cs="Calibri"/>
                <w:bCs/>
              </w:rPr>
              <w:lastRenderedPageBreak/>
              <w:t>inovací v</w:t>
            </w:r>
            <w:r w:rsidR="00D75429">
              <w:rPr>
                <w:rFonts w:ascii="Calibri" w:hAnsi="Calibri" w:cs="Calibri"/>
                <w:bCs/>
              </w:rPr>
              <w:t> </w:t>
            </w:r>
            <w:r w:rsidRPr="00A93D30">
              <w:rPr>
                <w:rFonts w:ascii="Calibri" w:hAnsi="Calibri" w:cs="Calibri"/>
                <w:bCs/>
              </w:rPr>
              <w:t>energetice</w:t>
            </w:r>
            <w:r w:rsidR="00D75429">
              <w:rPr>
                <w:rFonts w:ascii="Calibri" w:hAnsi="Calibri" w:cs="Calibri"/>
                <w:bCs/>
              </w:rPr>
              <w:t>.</w:t>
            </w:r>
          </w:p>
          <w:p w:rsidR="00536688" w:rsidRPr="00A93D30" w:rsidRDefault="00536688" w:rsidP="00851D6E">
            <w:pPr>
              <w:pStyle w:val="TextNOK"/>
              <w:numPr>
                <w:ilvl w:val="2"/>
                <w:numId w:val="10"/>
              </w:numPr>
              <w:tabs>
                <w:tab w:val="clear" w:pos="2160"/>
                <w:tab w:val="num" w:pos="0"/>
                <w:tab w:val="left" w:pos="523"/>
              </w:tabs>
              <w:spacing w:line="240" w:lineRule="auto"/>
              <w:ind w:left="0" w:firstLine="0"/>
              <w:rPr>
                <w:rFonts w:ascii="Calibri" w:hAnsi="Calibri" w:cs="Calibri"/>
                <w:bCs/>
              </w:rPr>
            </w:pPr>
            <w:r w:rsidRPr="00A93D30">
              <w:rPr>
                <w:rFonts w:ascii="Calibri" w:hAnsi="Calibri" w:cs="Calibri"/>
                <w:b/>
                <w:bCs/>
              </w:rPr>
              <w:t>Aktualizace Státní energetické koncepce 2010</w:t>
            </w:r>
            <w:r w:rsidR="009A52BE" w:rsidRPr="00A93D30">
              <w:rPr>
                <w:rFonts w:ascii="Calibri" w:hAnsi="Calibri" w:cs="Calibri"/>
                <w:b/>
                <w:bCs/>
              </w:rPr>
              <w:t>:</w:t>
            </w:r>
            <w:r w:rsidRPr="00A93D30">
              <w:rPr>
                <w:rFonts w:ascii="Calibri" w:hAnsi="Calibri" w:cs="Calibri"/>
                <w:bCs/>
              </w:rPr>
              <w:t xml:space="preserve"> kapitola 5.3 Teplárenství a kapitola 6.3 Teplárenství</w:t>
            </w:r>
            <w:r w:rsidR="00D75429">
              <w:rPr>
                <w:rFonts w:ascii="Calibri" w:hAnsi="Calibri" w:cs="Calibri"/>
                <w:bCs/>
              </w:rPr>
              <w:t>.</w:t>
            </w:r>
          </w:p>
        </w:tc>
      </w:tr>
      <w:tr w:rsidR="001C1B2C" w:rsidRPr="00A93D30">
        <w:trPr>
          <w:jc w:val="center"/>
        </w:trPr>
        <w:tc>
          <w:tcPr>
            <w:tcW w:w="926" w:type="pct"/>
            <w:shd w:val="clear" w:color="auto" w:fill="auto"/>
          </w:tcPr>
          <w:p w:rsidR="001C1B2C" w:rsidRPr="00A93D30" w:rsidRDefault="001C1B2C" w:rsidP="004B2D7D">
            <w:pPr>
              <w:overflowPunct/>
              <w:autoSpaceDE/>
              <w:autoSpaceDN/>
              <w:adjustRightInd/>
              <w:textAlignment w:val="auto"/>
              <w:rPr>
                <w:rFonts w:ascii="Calibri" w:hAnsi="Calibri" w:cs="Calibri"/>
              </w:rPr>
            </w:pPr>
          </w:p>
        </w:tc>
        <w:tc>
          <w:tcPr>
            <w:tcW w:w="1579" w:type="pct"/>
            <w:shd w:val="clear" w:color="auto" w:fill="auto"/>
          </w:tcPr>
          <w:p w:rsidR="001C1B2C" w:rsidRPr="00A93D30" w:rsidRDefault="001C1B2C" w:rsidP="005F49F6">
            <w:pPr>
              <w:spacing w:before="120" w:after="120"/>
              <w:jc w:val="both"/>
              <w:rPr>
                <w:rFonts w:ascii="Calibri" w:hAnsi="Calibri" w:cs="Calibri"/>
              </w:rPr>
            </w:pPr>
          </w:p>
        </w:tc>
        <w:tc>
          <w:tcPr>
            <w:tcW w:w="2494" w:type="pct"/>
            <w:shd w:val="clear" w:color="auto" w:fill="auto"/>
          </w:tcPr>
          <w:p w:rsidR="001C1B2C" w:rsidRPr="00A93D30" w:rsidRDefault="001C1B2C"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Národní program reforem 2012</w:t>
            </w:r>
            <w:r w:rsidRPr="00A93D30">
              <w:rPr>
                <w:rFonts w:ascii="Calibri" w:hAnsi="Calibri" w:cs="Calibri"/>
                <w:bCs/>
              </w:rPr>
              <w:t xml:space="preserve">: </w:t>
            </w:r>
            <w:r w:rsidRPr="00A93D30">
              <w:rPr>
                <w:rFonts w:ascii="Calibri" w:hAnsi="Calibri" w:cs="Calibri"/>
                <w:b/>
                <w:bCs/>
              </w:rPr>
              <w:t>tematický okruh NRP</w:t>
            </w:r>
            <w:r w:rsidRPr="00A93D30">
              <w:rPr>
                <w:rFonts w:ascii="Calibri" w:hAnsi="Calibri" w:cs="Calibri"/>
                <w:bCs/>
              </w:rPr>
              <w:t xml:space="preserve">: podpora nízkouhlíkové konkurenceschopné ekonomiky šetrné k životnímu prostředí – </w:t>
            </w:r>
            <w:r w:rsidR="004445C2" w:rsidRPr="00A93D30">
              <w:rPr>
                <w:rFonts w:ascii="Calibri" w:hAnsi="Calibri" w:cs="Calibri"/>
                <w:bCs/>
              </w:rPr>
              <w:t xml:space="preserve">platí pro všechny </w:t>
            </w:r>
            <w:r w:rsidR="000A72AA" w:rsidRPr="00A93D30">
              <w:rPr>
                <w:rFonts w:ascii="Calibri" w:hAnsi="Calibri" w:cs="Calibri"/>
                <w:bCs/>
              </w:rPr>
              <w:t xml:space="preserve">uvedené </w:t>
            </w:r>
            <w:r w:rsidR="004445C2" w:rsidRPr="00A93D30">
              <w:rPr>
                <w:rFonts w:ascii="Calibri" w:hAnsi="Calibri" w:cs="Calibri"/>
                <w:bCs/>
              </w:rPr>
              <w:t>investiční priority daného tematického cíle.</w:t>
            </w:r>
          </w:p>
          <w:p w:rsidR="000A72AA" w:rsidRPr="00A93D30" w:rsidRDefault="000A72AA"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 xml:space="preserve">Národní rozvojová priorita </w:t>
            </w:r>
            <w:r w:rsidR="006C27F1">
              <w:rPr>
                <w:rFonts w:ascii="Calibri" w:hAnsi="Calibri" w:cs="Calibri"/>
                <w:bCs/>
              </w:rPr>
              <w:t xml:space="preserve">(usnesení vlády č. 650/2011): </w:t>
            </w:r>
            <w:r w:rsidRPr="00A93D30">
              <w:rPr>
                <w:rFonts w:ascii="Calibri" w:hAnsi="Calibri" w:cs="Calibri"/>
                <w:bCs/>
              </w:rPr>
              <w:t>tematická oblast „podpora podnikání“ národní rozvojové priority „zvýšení konkurenceschopnosti ekonomky“ a tematická oblast „zkvalitňování energetických sítí“ národní rozvojové priority „rozvoj páteřní infrastruktury“ - platí pro všechny uvedené investiční priority daného tematického cíle.</w:t>
            </w:r>
          </w:p>
          <w:p w:rsidR="009F2255" w:rsidRPr="00A93D30" w:rsidRDefault="009F2255" w:rsidP="00851D6E">
            <w:pPr>
              <w:pStyle w:val="TextNOK"/>
              <w:numPr>
                <w:ilvl w:val="2"/>
                <w:numId w:val="10"/>
              </w:numPr>
              <w:tabs>
                <w:tab w:val="clear" w:pos="2160"/>
                <w:tab w:val="num" w:pos="0"/>
                <w:tab w:val="left" w:pos="523"/>
              </w:tabs>
              <w:spacing w:before="120" w:line="240" w:lineRule="auto"/>
              <w:ind w:left="0" w:firstLine="0"/>
              <w:rPr>
                <w:rFonts w:ascii="Calibri" w:hAnsi="Calibri" w:cs="Calibri"/>
                <w:b/>
                <w:bCs/>
              </w:rPr>
            </w:pPr>
            <w:r w:rsidRPr="00A93D30">
              <w:rPr>
                <w:rFonts w:ascii="Calibri" w:hAnsi="Calibri" w:cs="Calibri"/>
                <w:b/>
                <w:bCs/>
              </w:rPr>
              <w:t xml:space="preserve">Poziční dokument: </w:t>
            </w:r>
            <w:r w:rsidR="00225806" w:rsidRPr="00A93D30">
              <w:rPr>
                <w:rFonts w:ascii="Calibri" w:hAnsi="Calibri" w:cs="Calibri"/>
                <w:b/>
                <w:bCs/>
              </w:rPr>
              <w:t xml:space="preserve">Priorita financování </w:t>
            </w:r>
            <w:r w:rsidR="00225806" w:rsidRPr="00A93D30">
              <w:rPr>
                <w:rFonts w:ascii="Calibri" w:hAnsi="Calibri" w:cs="Calibri"/>
                <w:bCs/>
              </w:rPr>
              <w:t xml:space="preserve">„Hospodářství příznivé pro životní prostředí a </w:t>
            </w:r>
            <w:r w:rsidR="00967BBD" w:rsidRPr="00A93D30">
              <w:rPr>
                <w:rFonts w:ascii="Calibri" w:hAnsi="Calibri" w:cs="Calibri"/>
                <w:bCs/>
              </w:rPr>
              <w:t>nákladově efektivní hospodářství“ – Podpora posunu směrem k nízkouhlíkovému hospodářství ve všech odvětvích - platí pro všechny uvedené investiční priority daného tematického cíle.</w:t>
            </w:r>
          </w:p>
        </w:tc>
      </w:tr>
    </w:tbl>
    <w:p w:rsidR="00E963F0" w:rsidRDefault="00E963F0" w:rsidP="009072F3">
      <w:pPr>
        <w:jc w:val="both"/>
        <w:rPr>
          <w:rFonts w:ascii="Calibri" w:hAnsi="Calibri" w:cs="Calibri"/>
          <w:color w:val="FF0000"/>
          <w:sz w:val="24"/>
          <w:szCs w:val="24"/>
        </w:rPr>
      </w:pPr>
    </w:p>
    <w:p w:rsidR="00297A5A" w:rsidRDefault="00297A5A" w:rsidP="009072F3">
      <w:pPr>
        <w:jc w:val="both"/>
        <w:rPr>
          <w:rFonts w:ascii="Calibri" w:hAnsi="Calibri" w:cs="Calibri"/>
          <w:color w:val="FF0000"/>
          <w:sz w:val="24"/>
          <w:szCs w:val="24"/>
        </w:rPr>
      </w:pPr>
    </w:p>
    <w:p w:rsidR="00297A5A" w:rsidRPr="00F0637C" w:rsidRDefault="00297A5A" w:rsidP="009072F3">
      <w:pPr>
        <w:jc w:val="both"/>
        <w:rPr>
          <w:rFonts w:ascii="Calibri" w:hAnsi="Calibri" w:cs="Calibri"/>
          <w:color w:val="FF0000"/>
          <w:sz w:val="24"/>
          <w:szCs w:val="24"/>
        </w:rPr>
        <w:sectPr w:rsidR="00297A5A" w:rsidRPr="00F0637C" w:rsidSect="00E963F0">
          <w:headerReference w:type="default" r:id="rId31"/>
          <w:footerReference w:type="default" r:id="rId32"/>
          <w:pgSz w:w="16838" w:h="11906" w:orient="landscape" w:code="9"/>
          <w:pgMar w:top="1418" w:right="1418" w:bottom="1276" w:left="1276" w:header="709" w:footer="709" w:gutter="0"/>
          <w:cols w:space="708"/>
          <w:docGrid w:linePitch="272"/>
        </w:sectPr>
      </w:pPr>
    </w:p>
    <w:p w:rsidR="009072F3" w:rsidRPr="005B37F7" w:rsidRDefault="001E2583" w:rsidP="00987B30">
      <w:pPr>
        <w:pStyle w:val="Nadpis3"/>
      </w:pPr>
      <w:bookmarkStart w:id="17" w:name="_Toc351464353"/>
      <w:bookmarkStart w:id="18" w:name="_Toc352328357"/>
      <w:r w:rsidRPr="005B37F7">
        <w:rPr>
          <w:rStyle w:val="Nadpis3Char"/>
          <w:b/>
          <w:bCs/>
        </w:rPr>
        <w:lastRenderedPageBreak/>
        <w:t xml:space="preserve">Relevantní zjištěné potřeby, které nejsou řešeny prostřednictvím </w:t>
      </w:r>
      <w:r w:rsidR="009072F3" w:rsidRPr="005B37F7">
        <w:rPr>
          <w:rStyle w:val="Nadpis3Char"/>
          <w:b/>
          <w:bCs/>
        </w:rPr>
        <w:t>opera</w:t>
      </w:r>
      <w:r w:rsidR="00F34580" w:rsidRPr="005B37F7">
        <w:rPr>
          <w:rStyle w:val="Nadpis3Char"/>
          <w:b/>
          <w:bCs/>
        </w:rPr>
        <w:t xml:space="preserve">čního </w:t>
      </w:r>
      <w:r w:rsidRPr="005B37F7">
        <w:rPr>
          <w:rStyle w:val="Nadpis3Char"/>
          <w:b/>
          <w:bCs/>
        </w:rPr>
        <w:t>programu</w:t>
      </w:r>
      <w:bookmarkEnd w:id="17"/>
      <w:bookmarkEnd w:id="18"/>
      <w:r w:rsidRPr="005B37F7">
        <w:t xml:space="preserve"> </w:t>
      </w:r>
    </w:p>
    <w:p w:rsidR="009B705E" w:rsidRDefault="009B705E" w:rsidP="009C7BE0">
      <w:pPr>
        <w:jc w:val="both"/>
        <w:rPr>
          <w:rFonts w:ascii="Calibri" w:hAnsi="Calibri" w:cs="Calibri"/>
          <w:sz w:val="28"/>
          <w:szCs w:val="28"/>
        </w:rPr>
      </w:pPr>
    </w:p>
    <w:p w:rsidR="002E3E02" w:rsidRPr="009C7BE0" w:rsidRDefault="002E3E02" w:rsidP="009C7BE0">
      <w:pPr>
        <w:overflowPunct/>
        <w:jc w:val="both"/>
        <w:textAlignment w:val="auto"/>
        <w:rPr>
          <w:rFonts w:ascii="Calibri" w:hAnsi="Calibri" w:cs="Calibri"/>
          <w:bCs/>
          <w:i/>
          <w:color w:val="FF0000"/>
          <w:sz w:val="24"/>
          <w:szCs w:val="24"/>
        </w:rPr>
      </w:pPr>
      <w:r w:rsidRPr="009C7BE0">
        <w:rPr>
          <w:rFonts w:ascii="Calibri" w:hAnsi="Calibri" w:cs="Calibri"/>
          <w:i/>
          <w:color w:val="FF0000"/>
          <w:sz w:val="24"/>
          <w:szCs w:val="24"/>
        </w:rPr>
        <w:t xml:space="preserve">………………viz EK Draft </w:t>
      </w:r>
      <w:r w:rsidR="00D8197A" w:rsidRPr="009C7BE0">
        <w:rPr>
          <w:rFonts w:ascii="Calibri" w:hAnsi="Calibri" w:cs="Calibri"/>
          <w:i/>
          <w:color w:val="FF0000"/>
          <w:sz w:val="24"/>
          <w:szCs w:val="24"/>
        </w:rPr>
        <w:t>T</w:t>
      </w:r>
      <w:r w:rsidRPr="009C7BE0">
        <w:rPr>
          <w:rFonts w:ascii="Calibri" w:hAnsi="Calibri" w:cs="Calibri"/>
          <w:i/>
          <w:color w:val="FF0000"/>
          <w:sz w:val="24"/>
          <w:szCs w:val="24"/>
        </w:rPr>
        <w:t xml:space="preserve">emplate / </w:t>
      </w:r>
      <w:r w:rsidR="008D2962" w:rsidRPr="009C7BE0">
        <w:rPr>
          <w:rFonts w:ascii="Calibri" w:hAnsi="Calibri" w:cs="Calibri"/>
          <w:i/>
          <w:color w:val="FF0000"/>
          <w:sz w:val="24"/>
          <w:szCs w:val="24"/>
        </w:rPr>
        <w:t xml:space="preserve">verze </w:t>
      </w:r>
      <w:r w:rsidRPr="009C7BE0">
        <w:rPr>
          <w:rFonts w:ascii="Calibri" w:hAnsi="Calibri" w:cs="Calibri"/>
          <w:i/>
          <w:color w:val="FF0000"/>
          <w:sz w:val="24"/>
          <w:szCs w:val="24"/>
        </w:rPr>
        <w:t xml:space="preserve">leden 2013 </w:t>
      </w:r>
      <w:r w:rsidR="006B7AB3" w:rsidRPr="009C7BE0">
        <w:rPr>
          <w:rFonts w:ascii="Calibri" w:hAnsi="Calibri" w:cs="Calibri"/>
          <w:i/>
          <w:color w:val="FF0000"/>
          <w:sz w:val="24"/>
          <w:szCs w:val="24"/>
        </w:rPr>
        <w:t>(ve verzi únor 2013 tento bod obsažen není)</w:t>
      </w:r>
      <w:r w:rsidR="008D2962" w:rsidRPr="009C7BE0">
        <w:rPr>
          <w:rFonts w:ascii="Calibri" w:hAnsi="Calibri" w:cs="Calibri"/>
          <w:i/>
          <w:color w:val="FF0000"/>
          <w:sz w:val="24"/>
          <w:szCs w:val="24"/>
        </w:rPr>
        <w:t xml:space="preserve"> / </w:t>
      </w:r>
      <w:r w:rsidR="006B7AB3" w:rsidRPr="009C7BE0">
        <w:rPr>
          <w:rFonts w:ascii="Calibri" w:hAnsi="Calibri" w:cs="Calibri"/>
          <w:b/>
          <w:i/>
          <w:color w:val="FF0000"/>
          <w:sz w:val="24"/>
          <w:szCs w:val="24"/>
        </w:rPr>
        <w:t xml:space="preserve">bod </w:t>
      </w:r>
      <w:r w:rsidRPr="009C7BE0">
        <w:rPr>
          <w:rFonts w:ascii="Calibri" w:hAnsi="Calibri" w:cs="Calibri"/>
          <w:b/>
          <w:i/>
          <w:color w:val="FF0000"/>
          <w:sz w:val="24"/>
          <w:szCs w:val="24"/>
        </w:rPr>
        <w:t>2</w:t>
      </w:r>
      <w:r w:rsidR="006B7AB3" w:rsidRPr="009C7BE0">
        <w:rPr>
          <w:rFonts w:ascii="Calibri" w:hAnsi="Calibri" w:cs="Calibri"/>
          <w:b/>
          <w:i/>
          <w:color w:val="FF0000"/>
          <w:sz w:val="24"/>
          <w:szCs w:val="24"/>
        </w:rPr>
        <w:t>.2</w:t>
      </w:r>
      <w:r w:rsidR="008D2962" w:rsidRPr="009C7BE0">
        <w:rPr>
          <w:rFonts w:ascii="Calibri" w:hAnsi="Calibri" w:cs="Calibri"/>
          <w:i/>
          <w:color w:val="FF0000"/>
          <w:sz w:val="24"/>
          <w:szCs w:val="24"/>
        </w:rPr>
        <w:t xml:space="preserve"> / </w:t>
      </w:r>
      <w:r w:rsidR="006B7AB3" w:rsidRPr="009C7BE0">
        <w:rPr>
          <w:rFonts w:ascii="Calibri" w:hAnsi="Calibri" w:cs="Calibri"/>
          <w:i/>
          <w:color w:val="FF0000"/>
          <w:sz w:val="24"/>
          <w:szCs w:val="24"/>
        </w:rPr>
        <w:t>s</w:t>
      </w:r>
      <w:r w:rsidRPr="009C7BE0">
        <w:rPr>
          <w:rFonts w:ascii="Calibri" w:hAnsi="Calibri" w:cs="Calibri"/>
          <w:i/>
          <w:color w:val="FF0000"/>
          <w:sz w:val="24"/>
          <w:szCs w:val="24"/>
        </w:rPr>
        <w:t xml:space="preserve">tr. </w:t>
      </w:r>
      <w:smartTag w:uri="urn:schemas-microsoft-com:office:smarttags" w:element="metricconverter">
        <w:smartTagPr>
          <w:attr w:name="ProductID" w:val="4 a"/>
        </w:smartTagPr>
        <w:r w:rsidR="006B7AB3" w:rsidRPr="009C7BE0">
          <w:rPr>
            <w:rFonts w:ascii="Calibri" w:hAnsi="Calibri" w:cs="Calibri"/>
            <w:i/>
            <w:color w:val="FF0000"/>
            <w:sz w:val="24"/>
            <w:szCs w:val="24"/>
          </w:rPr>
          <w:t xml:space="preserve">4 </w:t>
        </w:r>
        <w:r w:rsidRPr="009C7BE0">
          <w:rPr>
            <w:rFonts w:ascii="Calibri" w:hAnsi="Calibri" w:cs="Calibri"/>
            <w:i/>
            <w:color w:val="FF0000"/>
            <w:sz w:val="24"/>
            <w:szCs w:val="24"/>
          </w:rPr>
          <w:t>a</w:t>
        </w:r>
      </w:smartTag>
      <w:r w:rsidRPr="009C7BE0">
        <w:rPr>
          <w:rFonts w:ascii="Calibri" w:hAnsi="Calibri" w:cs="Calibri"/>
          <w:i/>
          <w:color w:val="FF0000"/>
          <w:sz w:val="24"/>
          <w:szCs w:val="24"/>
        </w:rPr>
        <w:t xml:space="preserve"> Metodika, verze 1.2</w:t>
      </w:r>
      <w:r w:rsidR="008D2962" w:rsidRPr="009C7BE0">
        <w:rPr>
          <w:rFonts w:ascii="Calibri" w:hAnsi="Calibri" w:cs="Calibri"/>
          <w:i/>
          <w:color w:val="FF0000"/>
          <w:sz w:val="24"/>
          <w:szCs w:val="24"/>
        </w:rPr>
        <w:t xml:space="preserve"> </w:t>
      </w:r>
      <w:r w:rsidRPr="009C7BE0">
        <w:rPr>
          <w:rFonts w:ascii="Calibri" w:hAnsi="Calibri" w:cs="Calibri"/>
          <w:i/>
          <w:color w:val="FF0000"/>
          <w:sz w:val="24"/>
          <w:szCs w:val="24"/>
        </w:rPr>
        <w:t>únor 2013</w:t>
      </w:r>
      <w:r w:rsidR="008D2962" w:rsidRPr="009C7BE0">
        <w:rPr>
          <w:rFonts w:ascii="Calibri" w:hAnsi="Calibri" w:cs="Calibri"/>
          <w:i/>
          <w:color w:val="FF0000"/>
          <w:sz w:val="24"/>
          <w:szCs w:val="24"/>
        </w:rPr>
        <w:t xml:space="preserve"> / </w:t>
      </w:r>
      <w:r w:rsidRPr="009C7BE0">
        <w:rPr>
          <w:rFonts w:ascii="Calibri" w:hAnsi="Calibri" w:cs="Calibri"/>
          <w:b/>
          <w:i/>
          <w:color w:val="FF0000"/>
          <w:sz w:val="24"/>
          <w:szCs w:val="24"/>
        </w:rPr>
        <w:t>kap. 7.2.2</w:t>
      </w:r>
      <w:r w:rsidR="008D2962" w:rsidRPr="009C7BE0">
        <w:rPr>
          <w:rFonts w:ascii="Calibri" w:hAnsi="Calibri" w:cs="Calibri"/>
          <w:i/>
          <w:color w:val="FF0000"/>
          <w:sz w:val="24"/>
          <w:szCs w:val="24"/>
        </w:rPr>
        <w:t xml:space="preserve"> / </w:t>
      </w:r>
      <w:r w:rsidRPr="009C7BE0">
        <w:rPr>
          <w:rFonts w:ascii="Calibri" w:hAnsi="Calibri" w:cs="Calibri"/>
          <w:i/>
          <w:color w:val="FF0000"/>
          <w:sz w:val="24"/>
          <w:szCs w:val="24"/>
        </w:rPr>
        <w:t>str. 81</w:t>
      </w:r>
    </w:p>
    <w:p w:rsidR="002E3E02" w:rsidRPr="009C7BE0" w:rsidRDefault="002E3E02" w:rsidP="009C7BE0">
      <w:pPr>
        <w:jc w:val="both"/>
        <w:rPr>
          <w:rFonts w:ascii="Calibri" w:hAnsi="Calibri" w:cs="Calibri"/>
          <w:sz w:val="24"/>
          <w:szCs w:val="24"/>
        </w:rPr>
      </w:pPr>
    </w:p>
    <w:p w:rsidR="00DD0FDA" w:rsidRPr="00987B30" w:rsidRDefault="001E2583" w:rsidP="009C7BE0">
      <w:pPr>
        <w:pStyle w:val="Nadpis2"/>
        <w:spacing w:line="240" w:lineRule="auto"/>
      </w:pPr>
      <w:bookmarkStart w:id="19" w:name="_Toc351464354"/>
      <w:bookmarkStart w:id="20" w:name="_Toc352328358"/>
      <w:r w:rsidRPr="00987B30">
        <w:t>Zdůvodnění finančních alokací</w:t>
      </w:r>
      <w:bookmarkEnd w:id="19"/>
      <w:bookmarkEnd w:id="20"/>
      <w:r w:rsidRPr="00987B30">
        <w:t xml:space="preserve"> </w:t>
      </w:r>
    </w:p>
    <w:p w:rsidR="006E4E18" w:rsidRPr="002104FB" w:rsidRDefault="006E4E18" w:rsidP="009C7BE0">
      <w:pPr>
        <w:jc w:val="both"/>
        <w:rPr>
          <w:rFonts w:ascii="Calibri" w:hAnsi="Calibri" w:cs="Calibri"/>
          <w:color w:val="FF0000"/>
        </w:rPr>
      </w:pPr>
    </w:p>
    <w:p w:rsidR="006B7AB3" w:rsidRPr="009C7BE0" w:rsidRDefault="006B7AB3" w:rsidP="009C7BE0">
      <w:pPr>
        <w:overflowPunct/>
        <w:jc w:val="both"/>
        <w:textAlignment w:val="auto"/>
        <w:rPr>
          <w:rFonts w:ascii="Calibri" w:hAnsi="Calibri" w:cs="Calibri"/>
          <w:bCs/>
          <w:i/>
          <w:color w:val="FF0000"/>
          <w:sz w:val="24"/>
          <w:szCs w:val="24"/>
        </w:rPr>
      </w:pPr>
      <w:r w:rsidRPr="009C7BE0">
        <w:rPr>
          <w:rFonts w:ascii="Calibri" w:hAnsi="Calibri" w:cs="Calibri"/>
          <w:i/>
          <w:color w:val="FF0000"/>
          <w:sz w:val="24"/>
          <w:szCs w:val="24"/>
        </w:rPr>
        <w:t>………</w:t>
      </w:r>
      <w:r w:rsidR="00E84A09" w:rsidRPr="009C7BE0">
        <w:rPr>
          <w:rFonts w:ascii="Calibri" w:hAnsi="Calibri" w:cs="Calibri"/>
          <w:i/>
          <w:color w:val="FF0000"/>
          <w:sz w:val="24"/>
          <w:szCs w:val="24"/>
        </w:rPr>
        <w:t>……………</w:t>
      </w:r>
      <w:r w:rsidRPr="009C7BE0">
        <w:rPr>
          <w:rFonts w:ascii="Calibri" w:hAnsi="Calibri" w:cs="Calibri"/>
          <w:i/>
          <w:color w:val="FF0000"/>
          <w:sz w:val="24"/>
          <w:szCs w:val="24"/>
        </w:rPr>
        <w:t xml:space="preserve">………viz EK Draft </w:t>
      </w:r>
      <w:r w:rsidR="00D8197A" w:rsidRPr="009C7BE0">
        <w:rPr>
          <w:rFonts w:ascii="Calibri" w:hAnsi="Calibri" w:cs="Calibri"/>
          <w:i/>
          <w:color w:val="FF0000"/>
          <w:sz w:val="24"/>
          <w:szCs w:val="24"/>
        </w:rPr>
        <w:t>T</w:t>
      </w:r>
      <w:r w:rsidRPr="009C7BE0">
        <w:rPr>
          <w:rFonts w:ascii="Calibri" w:hAnsi="Calibri" w:cs="Calibri"/>
          <w:i/>
          <w:color w:val="FF0000"/>
          <w:sz w:val="24"/>
          <w:szCs w:val="24"/>
        </w:rPr>
        <w:t>emplate / leden 2013 (</w:t>
      </w:r>
      <w:r w:rsidRPr="009C7BE0">
        <w:rPr>
          <w:rFonts w:ascii="Calibri" w:hAnsi="Calibri" w:cs="Calibri"/>
          <w:b/>
          <w:i/>
          <w:color w:val="FF0000"/>
          <w:sz w:val="24"/>
          <w:szCs w:val="24"/>
        </w:rPr>
        <w:t>bod 2.3)</w:t>
      </w:r>
      <w:r w:rsidRPr="009C7BE0">
        <w:rPr>
          <w:rFonts w:ascii="Calibri" w:hAnsi="Calibri" w:cs="Calibri"/>
          <w:i/>
          <w:color w:val="FF0000"/>
          <w:sz w:val="24"/>
          <w:szCs w:val="24"/>
        </w:rPr>
        <w:t xml:space="preserve"> a únor 2013 (</w:t>
      </w:r>
      <w:r w:rsidRPr="009C7BE0">
        <w:rPr>
          <w:rFonts w:ascii="Calibri" w:hAnsi="Calibri" w:cs="Calibri"/>
          <w:b/>
          <w:i/>
          <w:color w:val="FF0000"/>
          <w:sz w:val="24"/>
          <w:szCs w:val="24"/>
        </w:rPr>
        <w:t>bod 2.2),</w:t>
      </w:r>
      <w:r w:rsidRPr="009C7BE0">
        <w:rPr>
          <w:rFonts w:ascii="Calibri" w:hAnsi="Calibri" w:cs="Calibri"/>
          <w:i/>
          <w:color w:val="FF0000"/>
          <w:sz w:val="24"/>
          <w:szCs w:val="24"/>
        </w:rPr>
        <w:t xml:space="preserve"> str. </w:t>
      </w:r>
      <w:smartTag w:uri="urn:schemas-microsoft-com:office:smarttags" w:element="metricconverter">
        <w:smartTagPr>
          <w:attr w:name="ProductID" w:val="4 a"/>
        </w:smartTagPr>
        <w:r w:rsidRPr="009C7BE0">
          <w:rPr>
            <w:rFonts w:ascii="Calibri" w:hAnsi="Calibri" w:cs="Calibri"/>
            <w:i/>
            <w:color w:val="FF0000"/>
            <w:sz w:val="24"/>
            <w:szCs w:val="24"/>
          </w:rPr>
          <w:t>4 a</w:t>
        </w:r>
      </w:smartTag>
      <w:r w:rsidRPr="009C7BE0">
        <w:rPr>
          <w:rFonts w:ascii="Calibri" w:hAnsi="Calibri" w:cs="Calibri"/>
          <w:i/>
          <w:color w:val="FF0000"/>
          <w:sz w:val="24"/>
          <w:szCs w:val="24"/>
        </w:rPr>
        <w:t xml:space="preserve"> Metodika, verze 1.2 / únor 2013,  </w:t>
      </w:r>
      <w:r w:rsidRPr="009C7BE0">
        <w:rPr>
          <w:rFonts w:ascii="Calibri" w:hAnsi="Calibri" w:cs="Calibri"/>
          <w:b/>
          <w:i/>
          <w:color w:val="FF0000"/>
          <w:sz w:val="24"/>
          <w:szCs w:val="24"/>
        </w:rPr>
        <w:t>kap. 7.2.</w:t>
      </w:r>
      <w:r w:rsidR="00E84A09" w:rsidRPr="009C7BE0">
        <w:rPr>
          <w:rFonts w:ascii="Calibri" w:hAnsi="Calibri" w:cs="Calibri"/>
          <w:b/>
          <w:i/>
          <w:color w:val="FF0000"/>
          <w:sz w:val="24"/>
          <w:szCs w:val="24"/>
        </w:rPr>
        <w:t xml:space="preserve">3 / </w:t>
      </w:r>
      <w:r w:rsidRPr="009C7BE0">
        <w:rPr>
          <w:rFonts w:ascii="Calibri" w:hAnsi="Calibri" w:cs="Calibri"/>
          <w:i/>
          <w:color w:val="FF0000"/>
          <w:sz w:val="24"/>
          <w:szCs w:val="24"/>
        </w:rPr>
        <w:t>str. 81</w:t>
      </w:r>
    </w:p>
    <w:p w:rsidR="007B1DAF" w:rsidRDefault="007B1DAF" w:rsidP="009C7BE0">
      <w:pPr>
        <w:spacing w:after="120"/>
        <w:jc w:val="both"/>
        <w:rPr>
          <w:rFonts w:ascii="Calibri" w:hAnsi="Calibri" w:cs="Calibri"/>
          <w:b/>
          <w:bCs/>
          <w:sz w:val="24"/>
          <w:szCs w:val="24"/>
          <w:highlight w:val="yellow"/>
        </w:rPr>
      </w:pPr>
    </w:p>
    <w:p w:rsidR="005566D2" w:rsidRPr="000C6BEF" w:rsidRDefault="005566D2" w:rsidP="009C7BE0">
      <w:pPr>
        <w:jc w:val="both"/>
        <w:rPr>
          <w:rFonts w:ascii="Calibri" w:hAnsi="Calibri" w:cs="Calibri"/>
          <w:bCs/>
          <w:color w:val="FF0000"/>
          <w:sz w:val="24"/>
          <w:szCs w:val="24"/>
          <w:highlight w:val="yellow"/>
        </w:rPr>
      </w:pPr>
    </w:p>
    <w:p w:rsidR="005566D2" w:rsidRPr="000C6BEF" w:rsidRDefault="000C6BEF" w:rsidP="009C7BE0">
      <w:pPr>
        <w:jc w:val="both"/>
        <w:rPr>
          <w:rFonts w:ascii="Calibri" w:hAnsi="Calibri" w:cs="Calibri"/>
          <w:bCs/>
          <w:color w:val="FF0000"/>
          <w:sz w:val="24"/>
          <w:szCs w:val="24"/>
          <w:highlight w:val="yellow"/>
        </w:rPr>
        <w:sectPr w:rsidR="005566D2" w:rsidRPr="000C6BEF" w:rsidSect="00297A5A">
          <w:headerReference w:type="default" r:id="rId33"/>
          <w:footerReference w:type="default" r:id="rId34"/>
          <w:type w:val="continuous"/>
          <w:pgSz w:w="11906" w:h="16838"/>
          <w:pgMar w:top="1418" w:right="1276" w:bottom="1276" w:left="1418" w:header="709" w:footer="709" w:gutter="0"/>
          <w:cols w:space="708"/>
          <w:docGrid w:linePitch="272"/>
        </w:sectPr>
      </w:pPr>
      <w:r w:rsidRPr="000C6BEF">
        <w:rPr>
          <w:rFonts w:ascii="Calibri" w:hAnsi="Calibri" w:cs="Calibri"/>
          <w:bCs/>
          <w:color w:val="FF0000"/>
          <w:sz w:val="24"/>
          <w:szCs w:val="24"/>
        </w:rPr>
        <w:t xml:space="preserve">Bude uvedeno zdůvodnění přidělení výší finančních alokací (tj. podpory Unie) na jednotlivé tematické cíle a investiční priority, v souladu s požadavky na tematickou koncentraci a při zohlednění ex-ante evaluace. </w:t>
      </w:r>
      <w:r>
        <w:rPr>
          <w:rFonts w:ascii="Calibri" w:hAnsi="Calibri" w:cs="Calibri"/>
          <w:bCs/>
          <w:color w:val="FF0000"/>
          <w:sz w:val="24"/>
          <w:szCs w:val="24"/>
        </w:rPr>
        <w:t>Přihlédnuto také bude</w:t>
      </w:r>
      <w:r w:rsidR="00FB6BDB">
        <w:rPr>
          <w:rFonts w:ascii="Calibri" w:hAnsi="Calibri" w:cs="Calibri"/>
          <w:bCs/>
          <w:color w:val="FF0000"/>
          <w:sz w:val="24"/>
          <w:szCs w:val="24"/>
        </w:rPr>
        <w:t xml:space="preserve"> k výsledkům realizace OPPI 2007 – 2013</w:t>
      </w:r>
      <w:r>
        <w:rPr>
          <w:rFonts w:ascii="Calibri" w:hAnsi="Calibri" w:cs="Calibri"/>
          <w:bCs/>
          <w:color w:val="FF0000"/>
          <w:sz w:val="24"/>
          <w:szCs w:val="24"/>
        </w:rPr>
        <w:t xml:space="preserve">. </w:t>
      </w:r>
      <w:r w:rsidRPr="000C6BEF">
        <w:rPr>
          <w:rFonts w:ascii="Calibri" w:hAnsi="Calibri" w:cs="Calibri"/>
          <w:bCs/>
          <w:color w:val="FF0000"/>
          <w:sz w:val="24"/>
          <w:szCs w:val="24"/>
        </w:rPr>
        <w:t>V této fázi tvorby operačního programu (březen 2013) není otázka finančních alokací řešena.</w:t>
      </w:r>
    </w:p>
    <w:p w:rsidR="00676C59" w:rsidRDefault="004C54D5" w:rsidP="009C7BE0">
      <w:pPr>
        <w:pStyle w:val="Titulek"/>
        <w:keepNext/>
        <w:spacing w:after="0"/>
      </w:pPr>
      <w:r w:rsidRPr="00EC794F">
        <w:lastRenderedPageBreak/>
        <w:t xml:space="preserve">Tabulka </w:t>
      </w:r>
      <w:fldSimple w:instr=" SEQ Tabulka \* ARABIC ">
        <w:r w:rsidR="00D92A26">
          <w:rPr>
            <w:noProof/>
          </w:rPr>
          <w:t>7</w:t>
        </w:r>
      </w:fldSimple>
      <w:r w:rsidR="00676C59" w:rsidRPr="00EC794F">
        <w:t>: P</w:t>
      </w:r>
      <w:r w:rsidR="00676C59" w:rsidRPr="006D1130">
        <w:t>řehled investiční strategie operačního programu</w:t>
      </w:r>
    </w:p>
    <w:p w:rsidR="00676C59" w:rsidRPr="005566D2" w:rsidRDefault="00676C59" w:rsidP="00676C59">
      <w:pPr>
        <w:overflowPunct/>
        <w:spacing w:after="120"/>
        <w:textAlignment w:val="auto"/>
        <w:rPr>
          <w:rFonts w:ascii="Calibri" w:hAnsi="Calibri" w:cs="Calibri"/>
          <w:color w:val="FF0000"/>
        </w:rPr>
      </w:pPr>
      <w:r w:rsidRPr="005566D2">
        <w:rPr>
          <w:rFonts w:ascii="Calibri" w:hAnsi="Calibri" w:cs="Calibri"/>
          <w:bCs/>
          <w:color w:val="FF0000"/>
        </w:rPr>
        <w:t>(viz tabulka č. 4 Metodiky, table 2 Template)</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5"/>
        <w:gridCol w:w="2052"/>
        <w:gridCol w:w="1765"/>
        <w:gridCol w:w="2056"/>
        <w:gridCol w:w="2336"/>
        <w:gridCol w:w="672"/>
        <w:gridCol w:w="1553"/>
        <w:gridCol w:w="1891"/>
      </w:tblGrid>
      <w:tr w:rsidR="00EF0708" w:rsidRPr="004731D0" w:rsidTr="000C6BEF">
        <w:trPr>
          <w:jc w:val="center"/>
        </w:trPr>
        <w:tc>
          <w:tcPr>
            <w:tcW w:w="626" w:type="pct"/>
            <w:shd w:val="clear" w:color="auto" w:fill="auto"/>
            <w:vAlign w:val="center"/>
          </w:tcPr>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Prioritní osa</w:t>
            </w:r>
          </w:p>
        </w:tc>
        <w:tc>
          <w:tcPr>
            <w:tcW w:w="728" w:type="pct"/>
            <w:shd w:val="clear" w:color="auto" w:fill="auto"/>
            <w:vAlign w:val="center"/>
          </w:tcPr>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Tematický cíl</w:t>
            </w:r>
          </w:p>
        </w:tc>
        <w:tc>
          <w:tcPr>
            <w:tcW w:w="626" w:type="pct"/>
            <w:shd w:val="clear" w:color="auto" w:fill="auto"/>
            <w:vAlign w:val="center"/>
          </w:tcPr>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Investiční priority</w:t>
            </w:r>
          </w:p>
        </w:tc>
        <w:tc>
          <w:tcPr>
            <w:tcW w:w="730" w:type="pct"/>
            <w:shd w:val="clear" w:color="auto" w:fill="auto"/>
            <w:vAlign w:val="center"/>
          </w:tcPr>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Specifické cíle odpovídající dané investiční prioritě</w:t>
            </w:r>
          </w:p>
        </w:tc>
        <w:tc>
          <w:tcPr>
            <w:tcW w:w="829" w:type="pct"/>
            <w:vAlign w:val="center"/>
          </w:tcPr>
          <w:p w:rsidR="00EF0708" w:rsidRPr="00A15EF7" w:rsidRDefault="00EF0708" w:rsidP="00EF0708">
            <w:pPr>
              <w:jc w:val="center"/>
              <w:rPr>
                <w:rFonts w:ascii="Calibri" w:hAnsi="Calibri" w:cs="Calibri"/>
                <w:b/>
                <w:sz w:val="22"/>
                <w:szCs w:val="22"/>
              </w:rPr>
            </w:pPr>
            <w:r>
              <w:rPr>
                <w:rFonts w:ascii="Calibri" w:hAnsi="Calibri" w:cs="Calibri"/>
                <w:b/>
                <w:sz w:val="22"/>
                <w:szCs w:val="22"/>
              </w:rPr>
              <w:t>Výsledkové indikátory související se specifickým cílem</w:t>
            </w:r>
          </w:p>
        </w:tc>
        <w:tc>
          <w:tcPr>
            <w:tcW w:w="238" w:type="pct"/>
            <w:shd w:val="clear" w:color="auto" w:fill="auto"/>
            <w:vAlign w:val="center"/>
          </w:tcPr>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Fond</w:t>
            </w:r>
          </w:p>
        </w:tc>
        <w:tc>
          <w:tcPr>
            <w:tcW w:w="551" w:type="pct"/>
            <w:shd w:val="clear" w:color="auto" w:fill="auto"/>
            <w:vAlign w:val="center"/>
          </w:tcPr>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Příspěvek EU (v EUR)</w:t>
            </w:r>
          </w:p>
        </w:tc>
        <w:tc>
          <w:tcPr>
            <w:tcW w:w="671" w:type="pct"/>
            <w:shd w:val="clear" w:color="auto" w:fill="auto"/>
            <w:vAlign w:val="center"/>
          </w:tcPr>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Podíl celkového příspěvku EU pro operační program</w:t>
            </w:r>
          </w:p>
          <w:p w:rsidR="00EF0708" w:rsidRPr="00A15EF7" w:rsidRDefault="00EF0708" w:rsidP="00B971DA">
            <w:pPr>
              <w:jc w:val="center"/>
              <w:rPr>
                <w:rFonts w:ascii="Calibri" w:hAnsi="Calibri" w:cs="Calibri"/>
                <w:b/>
                <w:sz w:val="22"/>
                <w:szCs w:val="22"/>
              </w:rPr>
            </w:pPr>
            <w:r w:rsidRPr="00A15EF7">
              <w:rPr>
                <w:rFonts w:ascii="Calibri" w:hAnsi="Calibri" w:cs="Calibri"/>
                <w:b/>
                <w:sz w:val="22"/>
                <w:szCs w:val="22"/>
              </w:rPr>
              <w:t>(v %)</w:t>
            </w:r>
          </w:p>
        </w:tc>
      </w:tr>
      <w:tr w:rsidR="00EF0708" w:rsidRPr="004731D0" w:rsidTr="000C6BEF">
        <w:trPr>
          <w:jc w:val="center"/>
        </w:trPr>
        <w:tc>
          <w:tcPr>
            <w:tcW w:w="626" w:type="pct"/>
            <w:vMerge w:val="restart"/>
            <w:shd w:val="clear" w:color="auto" w:fill="auto"/>
            <w:vAlign w:val="center"/>
          </w:tcPr>
          <w:p w:rsidR="00EF0708" w:rsidRPr="00A15EF7" w:rsidRDefault="00EF0708" w:rsidP="00B971DA">
            <w:pPr>
              <w:overflowPunct/>
              <w:autoSpaceDE/>
              <w:autoSpaceDN/>
              <w:adjustRightInd/>
              <w:textAlignment w:val="auto"/>
              <w:rPr>
                <w:rFonts w:ascii="Calibri" w:hAnsi="Calibri" w:cs="Calibri"/>
              </w:rPr>
            </w:pPr>
            <w:r w:rsidRPr="00A15EF7">
              <w:rPr>
                <w:rFonts w:ascii="Calibri" w:hAnsi="Calibri" w:cs="Calibri"/>
              </w:rPr>
              <w:t>P</w:t>
            </w:r>
            <w:r>
              <w:rPr>
                <w:rFonts w:ascii="Calibri" w:hAnsi="Calibri" w:cs="Calibri"/>
              </w:rPr>
              <w:t>O</w:t>
            </w:r>
            <w:r w:rsidRPr="00A15EF7">
              <w:rPr>
                <w:rFonts w:ascii="Calibri" w:hAnsi="Calibri" w:cs="Calibri"/>
              </w:rPr>
              <w:t>-1: Rozvoj podnikání založený na podpoře výzkumu, vývoje a inovací</w:t>
            </w:r>
          </w:p>
          <w:p w:rsidR="00EF0708" w:rsidRPr="00A15EF7" w:rsidRDefault="00EF0708" w:rsidP="00B971DA">
            <w:pPr>
              <w:rPr>
                <w:rFonts w:ascii="Calibri" w:hAnsi="Calibri" w:cs="Calibri"/>
              </w:rPr>
            </w:pPr>
          </w:p>
        </w:tc>
        <w:tc>
          <w:tcPr>
            <w:tcW w:w="728" w:type="pct"/>
            <w:vMerge w:val="restart"/>
            <w:shd w:val="clear" w:color="auto" w:fill="auto"/>
            <w:vAlign w:val="center"/>
          </w:tcPr>
          <w:p w:rsidR="00EF0708" w:rsidRPr="00A15EF7" w:rsidRDefault="00EF0708" w:rsidP="00B971DA">
            <w:pPr>
              <w:jc w:val="center"/>
              <w:rPr>
                <w:rFonts w:ascii="Calibri" w:hAnsi="Calibri" w:cs="Calibri"/>
              </w:rPr>
            </w:pPr>
            <w:r>
              <w:rPr>
                <w:rFonts w:ascii="Calibri" w:hAnsi="Calibri" w:cs="Calibri"/>
              </w:rPr>
              <w:t xml:space="preserve">(1) </w:t>
            </w:r>
            <w:r w:rsidRPr="00ED7BEB">
              <w:rPr>
                <w:rFonts w:ascii="Calibri" w:hAnsi="Calibri" w:cs="Calibri"/>
              </w:rPr>
              <w:t>Posílení výzkumu, technologického rozvoje a inovací</w:t>
            </w:r>
          </w:p>
        </w:tc>
        <w:tc>
          <w:tcPr>
            <w:tcW w:w="626" w:type="pct"/>
            <w:vMerge w:val="restart"/>
            <w:shd w:val="clear" w:color="auto" w:fill="auto"/>
            <w:vAlign w:val="center"/>
          </w:tcPr>
          <w:p w:rsidR="00EF0708" w:rsidRPr="00A15EF7" w:rsidRDefault="00EF0708" w:rsidP="00022856">
            <w:pPr>
              <w:jc w:val="center"/>
              <w:rPr>
                <w:rFonts w:ascii="Calibri" w:hAnsi="Calibri" w:cs="Calibri"/>
              </w:rPr>
            </w:pPr>
            <w:r>
              <w:rPr>
                <w:rFonts w:ascii="Calibri" w:hAnsi="Calibri" w:cs="Calibri"/>
              </w:rPr>
              <w:t>1b - P</w:t>
            </w:r>
            <w:r w:rsidRPr="00D8289A">
              <w:rPr>
                <w:rFonts w:ascii="Calibri" w:hAnsi="Calibri" w:cs="Calibri"/>
              </w:rPr>
              <w:t xml:space="preserve">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w:t>
            </w:r>
            <w:r w:rsidRPr="00D8289A">
              <w:rPr>
                <w:rFonts w:ascii="Calibri" w:hAnsi="Calibri" w:cs="Calibri"/>
              </w:rPr>
              <w:lastRenderedPageBreak/>
              <w:t>aplikovaného výzkumu, pilotních linek, opatření k včasnému ověřování produktů, schopností vyspělé výroby a prvovýroby v oblasti klíčových technologií a šíření technologií pro všeobecné</w:t>
            </w:r>
            <w:r>
              <w:rPr>
                <w:rFonts w:ascii="Calibri" w:hAnsi="Calibri" w:cs="Calibri"/>
              </w:rPr>
              <w:t xml:space="preserve"> použití</w:t>
            </w:r>
          </w:p>
        </w:tc>
        <w:tc>
          <w:tcPr>
            <w:tcW w:w="730" w:type="pct"/>
            <w:shd w:val="clear" w:color="auto" w:fill="auto"/>
            <w:vAlign w:val="center"/>
          </w:tcPr>
          <w:p w:rsidR="00EF0708" w:rsidRPr="00A15EF7" w:rsidRDefault="00EF0708" w:rsidP="00B971DA">
            <w:pPr>
              <w:jc w:val="center"/>
              <w:rPr>
                <w:rFonts w:ascii="Calibri" w:hAnsi="Calibri" w:cs="Calibri"/>
              </w:rPr>
            </w:pPr>
            <w:r w:rsidRPr="006038B8">
              <w:rPr>
                <w:rFonts w:ascii="Calibri" w:hAnsi="Calibri" w:cs="Calibri"/>
              </w:rPr>
              <w:lastRenderedPageBreak/>
              <w:t>1.1 - Zvýšení inovační výkonnosti podniků</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B971DA">
            <w:pPr>
              <w:rPr>
                <w:rFonts w:ascii="Calibri" w:hAnsi="Calibri" w:cs="Calibri"/>
              </w:rPr>
            </w:pPr>
          </w:p>
        </w:tc>
        <w:tc>
          <w:tcPr>
            <w:tcW w:w="728" w:type="pct"/>
            <w:vMerge/>
            <w:shd w:val="clear" w:color="auto" w:fill="auto"/>
            <w:vAlign w:val="center"/>
          </w:tcPr>
          <w:p w:rsidR="00EF0708" w:rsidRPr="00A15EF7" w:rsidRDefault="00EF0708" w:rsidP="00B971DA">
            <w:pPr>
              <w:jc w:val="center"/>
              <w:rPr>
                <w:rFonts w:ascii="Calibri" w:hAnsi="Calibri" w:cs="Calibri"/>
              </w:rPr>
            </w:pPr>
          </w:p>
        </w:tc>
        <w:tc>
          <w:tcPr>
            <w:tcW w:w="626" w:type="pct"/>
            <w:vMerge/>
            <w:shd w:val="clear" w:color="auto" w:fill="auto"/>
            <w:vAlign w:val="center"/>
          </w:tcPr>
          <w:p w:rsidR="00EF0708" w:rsidRPr="00A15EF7" w:rsidRDefault="00EF0708" w:rsidP="00022856">
            <w:pPr>
              <w:jc w:val="center"/>
              <w:rPr>
                <w:rFonts w:ascii="Calibri" w:hAnsi="Calibri" w:cs="Calibri"/>
              </w:rPr>
            </w:pPr>
          </w:p>
        </w:tc>
        <w:tc>
          <w:tcPr>
            <w:tcW w:w="730" w:type="pct"/>
            <w:shd w:val="clear" w:color="auto" w:fill="auto"/>
            <w:vAlign w:val="center"/>
          </w:tcPr>
          <w:p w:rsidR="00EF0708" w:rsidRPr="00A15EF7" w:rsidRDefault="00EF0708" w:rsidP="00B971DA">
            <w:pPr>
              <w:jc w:val="center"/>
              <w:rPr>
                <w:rFonts w:ascii="Calibri" w:hAnsi="Calibri" w:cs="Calibri"/>
              </w:rPr>
            </w:pPr>
            <w:r w:rsidRPr="006038B8">
              <w:rPr>
                <w:rFonts w:ascii="Calibri" w:hAnsi="Calibri" w:cs="Calibri"/>
              </w:rPr>
              <w:t>1.2 -</w:t>
            </w:r>
            <w:r>
              <w:t xml:space="preserve"> </w:t>
            </w:r>
            <w:r w:rsidRPr="00197326">
              <w:rPr>
                <w:rFonts w:ascii="Calibri" w:hAnsi="Calibri" w:cs="Calibri"/>
              </w:rPr>
              <w:t>Zvýšení intenzity a využití výsledků průmyslového výzkumu a experimentálního vývoje v rámci konceptu inteligentní specializace</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B971DA">
            <w:pPr>
              <w:rPr>
                <w:rFonts w:ascii="Calibri" w:hAnsi="Calibri" w:cs="Calibri"/>
              </w:rPr>
            </w:pPr>
          </w:p>
        </w:tc>
        <w:tc>
          <w:tcPr>
            <w:tcW w:w="728" w:type="pct"/>
            <w:vMerge/>
            <w:shd w:val="clear" w:color="auto" w:fill="auto"/>
            <w:vAlign w:val="center"/>
          </w:tcPr>
          <w:p w:rsidR="00EF0708" w:rsidRPr="00A15EF7" w:rsidRDefault="00EF0708" w:rsidP="00B971DA">
            <w:pPr>
              <w:jc w:val="center"/>
              <w:rPr>
                <w:rFonts w:ascii="Calibri" w:hAnsi="Calibri" w:cs="Calibri"/>
              </w:rPr>
            </w:pPr>
          </w:p>
        </w:tc>
        <w:tc>
          <w:tcPr>
            <w:tcW w:w="626" w:type="pct"/>
            <w:vMerge/>
            <w:shd w:val="clear" w:color="auto" w:fill="auto"/>
            <w:vAlign w:val="center"/>
          </w:tcPr>
          <w:p w:rsidR="00EF0708" w:rsidRPr="00A15EF7" w:rsidRDefault="00EF0708" w:rsidP="00022856">
            <w:pPr>
              <w:jc w:val="center"/>
              <w:rPr>
                <w:rFonts w:ascii="Calibri" w:hAnsi="Calibri" w:cs="Calibri"/>
              </w:rPr>
            </w:pPr>
          </w:p>
        </w:tc>
        <w:tc>
          <w:tcPr>
            <w:tcW w:w="730" w:type="pct"/>
            <w:shd w:val="clear" w:color="auto" w:fill="auto"/>
            <w:vAlign w:val="center"/>
          </w:tcPr>
          <w:p w:rsidR="00EF0708" w:rsidRPr="00A15EF7" w:rsidRDefault="00EF0708" w:rsidP="00B971DA">
            <w:pPr>
              <w:jc w:val="center"/>
              <w:rPr>
                <w:rFonts w:ascii="Calibri" w:hAnsi="Calibri" w:cs="Calibri"/>
              </w:rPr>
            </w:pPr>
            <w:r w:rsidRPr="006038B8">
              <w:rPr>
                <w:rFonts w:ascii="Calibri" w:hAnsi="Calibri" w:cs="Calibri"/>
              </w:rPr>
              <w:t xml:space="preserve">1.3 - </w:t>
            </w:r>
            <w:r w:rsidRPr="00197326">
              <w:rPr>
                <w:rFonts w:ascii="Calibri" w:hAnsi="Calibri" w:cs="Calibri"/>
              </w:rPr>
              <w:t>Rozvoj spolupráce mezi podnikatelským sektorem a veřejnými, vzdělávacími a vědecko-výzkumnými institucemi v duchu konceptu inteligentní specializace</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B971DA">
            <w:pPr>
              <w:rPr>
                <w:rFonts w:ascii="Calibri" w:hAnsi="Calibri" w:cs="Calibri"/>
              </w:rPr>
            </w:pPr>
          </w:p>
        </w:tc>
        <w:tc>
          <w:tcPr>
            <w:tcW w:w="728" w:type="pct"/>
            <w:vMerge/>
            <w:shd w:val="clear" w:color="auto" w:fill="auto"/>
            <w:vAlign w:val="center"/>
          </w:tcPr>
          <w:p w:rsidR="00EF0708" w:rsidRPr="00A15EF7" w:rsidRDefault="00EF0708" w:rsidP="00B971DA">
            <w:pPr>
              <w:jc w:val="center"/>
              <w:rPr>
                <w:rFonts w:ascii="Calibri" w:hAnsi="Calibri" w:cs="Calibri"/>
              </w:rPr>
            </w:pPr>
          </w:p>
        </w:tc>
        <w:tc>
          <w:tcPr>
            <w:tcW w:w="626" w:type="pct"/>
            <w:vMerge/>
            <w:shd w:val="clear" w:color="auto" w:fill="auto"/>
            <w:vAlign w:val="center"/>
          </w:tcPr>
          <w:p w:rsidR="00EF0708" w:rsidRPr="00A15EF7" w:rsidRDefault="00EF0708" w:rsidP="00022856">
            <w:pPr>
              <w:jc w:val="center"/>
              <w:rPr>
                <w:rFonts w:ascii="Calibri" w:hAnsi="Calibri" w:cs="Calibri"/>
              </w:rPr>
            </w:pPr>
          </w:p>
        </w:tc>
        <w:tc>
          <w:tcPr>
            <w:tcW w:w="730" w:type="pct"/>
            <w:shd w:val="clear" w:color="auto" w:fill="auto"/>
            <w:vAlign w:val="center"/>
          </w:tcPr>
          <w:p w:rsidR="00EF0708" w:rsidRPr="00A15EF7" w:rsidRDefault="00EF0708" w:rsidP="00B971DA">
            <w:pPr>
              <w:jc w:val="center"/>
              <w:rPr>
                <w:rFonts w:ascii="Calibri" w:hAnsi="Calibri" w:cs="Calibri"/>
              </w:rPr>
            </w:pPr>
            <w:r w:rsidRPr="006038B8">
              <w:rPr>
                <w:rFonts w:ascii="Calibri" w:hAnsi="Calibri" w:cs="Calibri"/>
              </w:rPr>
              <w:t xml:space="preserve">1.4 - </w:t>
            </w:r>
            <w:r w:rsidRPr="00197326">
              <w:rPr>
                <w:rFonts w:ascii="Calibri" w:hAnsi="Calibri" w:cs="Calibri"/>
              </w:rPr>
              <w:t>Zvýšení přístupu podnikatelských subjektů k rizikovému kapitálu</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trHeight w:val="1908"/>
          <w:jc w:val="center"/>
        </w:trPr>
        <w:tc>
          <w:tcPr>
            <w:tcW w:w="626" w:type="pct"/>
            <w:vMerge w:val="restart"/>
            <w:shd w:val="clear" w:color="auto" w:fill="auto"/>
            <w:vAlign w:val="center"/>
          </w:tcPr>
          <w:p w:rsidR="00EF0708" w:rsidRPr="00A15EF7" w:rsidRDefault="00EF0708" w:rsidP="00B971DA">
            <w:pPr>
              <w:rPr>
                <w:rFonts w:ascii="Calibri" w:hAnsi="Calibri" w:cs="Calibri"/>
              </w:rPr>
            </w:pPr>
            <w:r w:rsidRPr="00A15EF7">
              <w:rPr>
                <w:rFonts w:ascii="Calibri" w:hAnsi="Calibri" w:cs="Calibri"/>
              </w:rPr>
              <w:lastRenderedPageBreak/>
              <w:t xml:space="preserve">PO-2: Rozvoj infrastruktury a služeb podporujících podnikání ve znalostní ekonomice </w:t>
            </w:r>
          </w:p>
        </w:tc>
        <w:tc>
          <w:tcPr>
            <w:tcW w:w="728" w:type="pct"/>
            <w:vMerge w:val="restart"/>
            <w:shd w:val="clear" w:color="auto" w:fill="auto"/>
            <w:vAlign w:val="center"/>
          </w:tcPr>
          <w:p w:rsidR="00EF0708" w:rsidRPr="00A15EF7" w:rsidRDefault="00EF0708" w:rsidP="00ED7BEB">
            <w:pPr>
              <w:jc w:val="center"/>
              <w:rPr>
                <w:rFonts w:ascii="Calibri" w:hAnsi="Calibri" w:cs="Calibri"/>
              </w:rPr>
            </w:pPr>
            <w:r>
              <w:rPr>
                <w:rFonts w:ascii="Calibri" w:hAnsi="Calibri" w:cs="Calibri"/>
              </w:rPr>
              <w:t xml:space="preserve">(3) </w:t>
            </w:r>
            <w:r w:rsidRPr="00ED7BEB">
              <w:rPr>
                <w:rFonts w:ascii="Calibri" w:hAnsi="Calibri" w:cs="Calibri"/>
              </w:rPr>
              <w:t>Zvýšení konkurenceschopnosti malých a středních podniků, odvětví zemědělství (v případě EZFRV) a rybářství a akvakultury (v případě ENRF)</w:t>
            </w:r>
          </w:p>
        </w:tc>
        <w:tc>
          <w:tcPr>
            <w:tcW w:w="626" w:type="pct"/>
            <w:vMerge w:val="restart"/>
            <w:shd w:val="clear" w:color="auto" w:fill="auto"/>
            <w:vAlign w:val="center"/>
          </w:tcPr>
          <w:p w:rsidR="00EF0708" w:rsidRPr="00A93D30" w:rsidRDefault="00EF0708" w:rsidP="00022856">
            <w:pPr>
              <w:spacing w:before="120" w:after="120"/>
              <w:jc w:val="center"/>
              <w:rPr>
                <w:rFonts w:ascii="Calibri" w:hAnsi="Calibri" w:cs="Calibri"/>
              </w:rPr>
            </w:pPr>
            <w:r w:rsidRPr="00A93D30">
              <w:rPr>
                <w:rFonts w:ascii="Calibri" w:hAnsi="Calibri" w:cs="Calibri"/>
              </w:rPr>
              <w:t>3</w:t>
            </w:r>
            <w:r>
              <w:rPr>
                <w:rFonts w:ascii="Calibri" w:hAnsi="Calibri" w:cs="Calibri"/>
              </w:rPr>
              <w:t>a - P</w:t>
            </w:r>
            <w:r w:rsidRPr="00DD2FF9">
              <w:rPr>
                <w:rFonts w:ascii="Calibri" w:hAnsi="Calibri" w:cs="Calibri"/>
              </w:rPr>
              <w:t>odpora podnikání, zejména usnadněním hospodářského využívání nových myšlenek a podporou zakládání nových podniků, mimo jiné prostřednictvím podnikatelských inkubátorů</w:t>
            </w:r>
          </w:p>
        </w:tc>
        <w:tc>
          <w:tcPr>
            <w:tcW w:w="730" w:type="pct"/>
            <w:shd w:val="clear" w:color="auto" w:fill="auto"/>
            <w:vAlign w:val="center"/>
          </w:tcPr>
          <w:p w:rsidR="00EF0708" w:rsidRPr="00A15EF7" w:rsidRDefault="00EF0708" w:rsidP="00B971DA">
            <w:pPr>
              <w:jc w:val="center"/>
              <w:rPr>
                <w:rFonts w:ascii="Calibri" w:hAnsi="Calibri" w:cs="Calibri"/>
              </w:rPr>
            </w:pPr>
            <w:r w:rsidRPr="001F2BBC">
              <w:rPr>
                <w:rFonts w:ascii="Calibri" w:hAnsi="Calibri" w:cs="Calibri"/>
              </w:rPr>
              <w:t>2.1 - Zvýšení počtu nových podnikatelských subjektů a nových podnikatelských záměrů</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trHeight w:val="1739"/>
          <w:jc w:val="center"/>
        </w:trPr>
        <w:tc>
          <w:tcPr>
            <w:tcW w:w="626" w:type="pct"/>
            <w:vMerge/>
            <w:shd w:val="clear" w:color="auto" w:fill="auto"/>
            <w:vAlign w:val="center"/>
          </w:tcPr>
          <w:p w:rsidR="00EF0708" w:rsidRPr="00A15EF7" w:rsidRDefault="00EF0708" w:rsidP="00B971DA">
            <w:pPr>
              <w:rPr>
                <w:rFonts w:ascii="Calibri" w:hAnsi="Calibri" w:cs="Calibri"/>
              </w:rPr>
            </w:pPr>
          </w:p>
        </w:tc>
        <w:tc>
          <w:tcPr>
            <w:tcW w:w="728" w:type="pct"/>
            <w:vMerge/>
            <w:shd w:val="clear" w:color="auto" w:fill="auto"/>
            <w:vAlign w:val="center"/>
          </w:tcPr>
          <w:p w:rsidR="00EF0708" w:rsidRDefault="00EF0708" w:rsidP="00ED7BEB">
            <w:pPr>
              <w:jc w:val="center"/>
              <w:rPr>
                <w:rFonts w:ascii="Calibri" w:hAnsi="Calibri" w:cs="Calibri"/>
              </w:rPr>
            </w:pPr>
          </w:p>
        </w:tc>
        <w:tc>
          <w:tcPr>
            <w:tcW w:w="626" w:type="pct"/>
            <w:vMerge/>
            <w:shd w:val="clear" w:color="auto" w:fill="auto"/>
            <w:vAlign w:val="center"/>
          </w:tcPr>
          <w:p w:rsidR="00EF0708" w:rsidRPr="00A93D30" w:rsidRDefault="00EF0708" w:rsidP="00022856">
            <w:pPr>
              <w:spacing w:before="120" w:after="120"/>
              <w:jc w:val="center"/>
              <w:rPr>
                <w:rFonts w:ascii="Calibri" w:hAnsi="Calibri" w:cs="Calibri"/>
              </w:rPr>
            </w:pPr>
          </w:p>
        </w:tc>
        <w:tc>
          <w:tcPr>
            <w:tcW w:w="730" w:type="pct"/>
            <w:shd w:val="clear" w:color="auto" w:fill="auto"/>
            <w:vAlign w:val="center"/>
          </w:tcPr>
          <w:p w:rsidR="00EF0708" w:rsidRPr="00A15EF7" w:rsidRDefault="00EF0708" w:rsidP="00B971DA">
            <w:pPr>
              <w:jc w:val="center"/>
              <w:rPr>
                <w:rFonts w:ascii="Calibri" w:hAnsi="Calibri" w:cs="Calibri"/>
              </w:rPr>
            </w:pPr>
            <w:r w:rsidRPr="001F2BBC">
              <w:rPr>
                <w:rFonts w:ascii="Calibri" w:hAnsi="Calibri" w:cs="Calibri"/>
              </w:rPr>
              <w:t>2.2 - Zajištění kvalitní podnikatelské infrastruktury</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trHeight w:val="599"/>
          <w:jc w:val="center"/>
        </w:trPr>
        <w:tc>
          <w:tcPr>
            <w:tcW w:w="626" w:type="pct"/>
            <w:vMerge/>
            <w:shd w:val="clear" w:color="auto" w:fill="auto"/>
            <w:vAlign w:val="center"/>
          </w:tcPr>
          <w:p w:rsidR="00EF0708" w:rsidRPr="00A15EF7" w:rsidRDefault="00EF0708" w:rsidP="00022856">
            <w:pPr>
              <w:rPr>
                <w:rFonts w:ascii="Calibri" w:hAnsi="Calibri" w:cs="Calibri"/>
              </w:rPr>
            </w:pPr>
          </w:p>
        </w:tc>
        <w:tc>
          <w:tcPr>
            <w:tcW w:w="728" w:type="pct"/>
            <w:vMerge/>
            <w:shd w:val="clear" w:color="auto" w:fill="auto"/>
            <w:vAlign w:val="center"/>
          </w:tcPr>
          <w:p w:rsidR="00EF0708" w:rsidRPr="00A15EF7" w:rsidRDefault="00EF0708" w:rsidP="00022856">
            <w:pPr>
              <w:jc w:val="center"/>
              <w:rPr>
                <w:rFonts w:ascii="Calibri" w:hAnsi="Calibri" w:cs="Calibri"/>
              </w:rPr>
            </w:pPr>
          </w:p>
        </w:tc>
        <w:tc>
          <w:tcPr>
            <w:tcW w:w="626" w:type="pct"/>
            <w:vMerge w:val="restart"/>
            <w:shd w:val="clear" w:color="auto" w:fill="auto"/>
            <w:vAlign w:val="center"/>
          </w:tcPr>
          <w:p w:rsidR="00EF0708" w:rsidRPr="00A93D30" w:rsidRDefault="00EF0708" w:rsidP="001F2BBC">
            <w:pPr>
              <w:spacing w:before="120" w:after="120"/>
              <w:jc w:val="center"/>
              <w:rPr>
                <w:rFonts w:ascii="Calibri" w:hAnsi="Calibri" w:cs="Calibri"/>
              </w:rPr>
            </w:pPr>
            <w:r w:rsidRPr="00A93D30">
              <w:rPr>
                <w:rFonts w:ascii="Calibri" w:hAnsi="Calibri" w:cs="Calibri"/>
              </w:rPr>
              <w:t>3</w:t>
            </w:r>
            <w:r>
              <w:rPr>
                <w:rFonts w:ascii="Calibri" w:hAnsi="Calibri" w:cs="Calibri"/>
              </w:rPr>
              <w:t>b - V</w:t>
            </w:r>
            <w:r w:rsidRPr="00DD2FF9">
              <w:rPr>
                <w:rFonts w:ascii="Calibri" w:hAnsi="Calibri" w:cs="Calibri"/>
              </w:rPr>
              <w:t xml:space="preserve">yvíjení a zavádění nových obchodních modelů pro MSP, zejména pro </w:t>
            </w:r>
            <w:r w:rsidRPr="00DD2FF9">
              <w:rPr>
                <w:rFonts w:ascii="Calibri" w:hAnsi="Calibri" w:cs="Calibri"/>
              </w:rPr>
              <w:lastRenderedPageBreak/>
              <w:t>oblast mezinárodního obchodu</w:t>
            </w:r>
          </w:p>
        </w:tc>
        <w:tc>
          <w:tcPr>
            <w:tcW w:w="730" w:type="pct"/>
            <w:shd w:val="clear" w:color="auto" w:fill="auto"/>
            <w:vAlign w:val="center"/>
          </w:tcPr>
          <w:p w:rsidR="00EF0708" w:rsidRPr="00A15EF7" w:rsidRDefault="00EF0708" w:rsidP="00022856">
            <w:pPr>
              <w:jc w:val="center"/>
              <w:rPr>
                <w:rFonts w:ascii="Calibri" w:hAnsi="Calibri" w:cs="Calibri"/>
              </w:rPr>
            </w:pPr>
            <w:r w:rsidRPr="001F2BBC">
              <w:rPr>
                <w:rFonts w:ascii="Calibri" w:hAnsi="Calibri" w:cs="Calibri"/>
              </w:rPr>
              <w:lastRenderedPageBreak/>
              <w:t xml:space="preserve">2.3 - Rozšíření kvalitních služeb pro malé a střední podniky podporujících jejich mezinárodní konkurenceschopnost, </w:t>
            </w:r>
            <w:r w:rsidRPr="001F2BBC">
              <w:rPr>
                <w:rFonts w:ascii="Calibri" w:hAnsi="Calibri" w:cs="Calibri"/>
              </w:rPr>
              <w:lastRenderedPageBreak/>
              <w:t>zejména jejich marketingovou připravenost a zapojení do globálních produkčních a partnerských sítí</w:t>
            </w:r>
          </w:p>
        </w:tc>
        <w:tc>
          <w:tcPr>
            <w:tcW w:w="829" w:type="pct"/>
          </w:tcPr>
          <w:p w:rsidR="00EF0708" w:rsidRDefault="00EF0708" w:rsidP="00022856">
            <w:pPr>
              <w:jc w:val="center"/>
              <w:rPr>
                <w:rFonts w:ascii="Calibri" w:hAnsi="Calibri" w:cs="Calibri"/>
              </w:rPr>
            </w:pPr>
          </w:p>
        </w:tc>
        <w:tc>
          <w:tcPr>
            <w:tcW w:w="238" w:type="pct"/>
            <w:shd w:val="clear" w:color="auto" w:fill="auto"/>
            <w:vAlign w:val="center"/>
          </w:tcPr>
          <w:p w:rsidR="00EF0708" w:rsidRPr="00A15EF7" w:rsidRDefault="00EF0708" w:rsidP="00022856">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022856">
            <w:pPr>
              <w:jc w:val="center"/>
              <w:rPr>
                <w:rFonts w:ascii="Calibri" w:hAnsi="Calibri" w:cs="Calibri"/>
              </w:rPr>
            </w:pPr>
          </w:p>
        </w:tc>
        <w:tc>
          <w:tcPr>
            <w:tcW w:w="671" w:type="pct"/>
            <w:shd w:val="clear" w:color="auto" w:fill="auto"/>
            <w:vAlign w:val="center"/>
          </w:tcPr>
          <w:p w:rsidR="00EF0708" w:rsidRPr="00A15EF7" w:rsidRDefault="00EF0708" w:rsidP="00022856">
            <w:pPr>
              <w:jc w:val="center"/>
              <w:rPr>
                <w:rFonts w:ascii="Calibri" w:hAnsi="Calibri" w:cs="Calibri"/>
              </w:rPr>
            </w:pPr>
          </w:p>
        </w:tc>
      </w:tr>
      <w:tr w:rsidR="00EF0708" w:rsidRPr="004731D0" w:rsidTr="000C6BEF">
        <w:trPr>
          <w:trHeight w:val="729"/>
          <w:jc w:val="center"/>
        </w:trPr>
        <w:tc>
          <w:tcPr>
            <w:tcW w:w="626" w:type="pct"/>
            <w:vMerge/>
            <w:shd w:val="clear" w:color="auto" w:fill="auto"/>
            <w:vAlign w:val="center"/>
          </w:tcPr>
          <w:p w:rsidR="00EF0708" w:rsidRPr="00A15EF7" w:rsidRDefault="00EF0708" w:rsidP="00022856">
            <w:pPr>
              <w:rPr>
                <w:rFonts w:ascii="Calibri" w:hAnsi="Calibri" w:cs="Calibri"/>
              </w:rPr>
            </w:pPr>
          </w:p>
        </w:tc>
        <w:tc>
          <w:tcPr>
            <w:tcW w:w="728" w:type="pct"/>
            <w:vMerge/>
            <w:shd w:val="clear" w:color="auto" w:fill="auto"/>
            <w:vAlign w:val="center"/>
          </w:tcPr>
          <w:p w:rsidR="00EF0708" w:rsidRPr="00A15EF7" w:rsidRDefault="00EF0708" w:rsidP="00022856">
            <w:pPr>
              <w:jc w:val="center"/>
              <w:rPr>
                <w:rFonts w:ascii="Calibri" w:hAnsi="Calibri" w:cs="Calibri"/>
              </w:rPr>
            </w:pPr>
          </w:p>
        </w:tc>
        <w:tc>
          <w:tcPr>
            <w:tcW w:w="626" w:type="pct"/>
            <w:vMerge/>
            <w:shd w:val="clear" w:color="auto" w:fill="auto"/>
            <w:vAlign w:val="center"/>
          </w:tcPr>
          <w:p w:rsidR="00EF0708" w:rsidRPr="00A93D30" w:rsidRDefault="00EF0708" w:rsidP="00022856">
            <w:pPr>
              <w:spacing w:before="120" w:after="120"/>
              <w:jc w:val="center"/>
              <w:rPr>
                <w:rFonts w:ascii="Calibri" w:hAnsi="Calibri" w:cs="Calibri"/>
              </w:rPr>
            </w:pPr>
          </w:p>
        </w:tc>
        <w:tc>
          <w:tcPr>
            <w:tcW w:w="730" w:type="pct"/>
            <w:shd w:val="clear" w:color="auto" w:fill="auto"/>
            <w:vAlign w:val="center"/>
          </w:tcPr>
          <w:p w:rsidR="00EF0708" w:rsidRPr="00A15EF7" w:rsidRDefault="00EF0708" w:rsidP="00022856">
            <w:pPr>
              <w:jc w:val="center"/>
              <w:rPr>
                <w:rFonts w:ascii="Calibri" w:hAnsi="Calibri" w:cs="Calibri"/>
              </w:rPr>
            </w:pPr>
            <w:r w:rsidRPr="001F2BBC">
              <w:rPr>
                <w:rFonts w:ascii="Calibri" w:hAnsi="Calibri" w:cs="Calibri"/>
              </w:rPr>
              <w:t>2.4 - Větší uplatnění specializovaných poradenských služeb pro podnikatelské subjekty</w:t>
            </w:r>
          </w:p>
        </w:tc>
        <w:tc>
          <w:tcPr>
            <w:tcW w:w="829" w:type="pct"/>
          </w:tcPr>
          <w:p w:rsidR="00EF0708" w:rsidRDefault="00EF0708" w:rsidP="00022856">
            <w:pPr>
              <w:jc w:val="center"/>
              <w:rPr>
                <w:rFonts w:ascii="Calibri" w:hAnsi="Calibri" w:cs="Calibri"/>
              </w:rPr>
            </w:pPr>
          </w:p>
        </w:tc>
        <w:tc>
          <w:tcPr>
            <w:tcW w:w="238" w:type="pct"/>
            <w:shd w:val="clear" w:color="auto" w:fill="auto"/>
            <w:vAlign w:val="center"/>
          </w:tcPr>
          <w:p w:rsidR="00EF0708" w:rsidRDefault="00EF0708" w:rsidP="00022856">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022856">
            <w:pPr>
              <w:jc w:val="center"/>
              <w:rPr>
                <w:rFonts w:ascii="Calibri" w:hAnsi="Calibri" w:cs="Calibri"/>
              </w:rPr>
            </w:pPr>
          </w:p>
        </w:tc>
        <w:tc>
          <w:tcPr>
            <w:tcW w:w="671" w:type="pct"/>
            <w:shd w:val="clear" w:color="auto" w:fill="auto"/>
            <w:vAlign w:val="center"/>
          </w:tcPr>
          <w:p w:rsidR="00EF0708" w:rsidRPr="00A15EF7" w:rsidRDefault="00EF0708" w:rsidP="00022856">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022856">
            <w:pPr>
              <w:rPr>
                <w:rFonts w:ascii="Calibri" w:hAnsi="Calibri" w:cs="Calibri"/>
              </w:rPr>
            </w:pPr>
          </w:p>
        </w:tc>
        <w:tc>
          <w:tcPr>
            <w:tcW w:w="728" w:type="pct"/>
            <w:vMerge/>
            <w:shd w:val="clear" w:color="auto" w:fill="auto"/>
            <w:vAlign w:val="center"/>
          </w:tcPr>
          <w:p w:rsidR="00EF0708" w:rsidRPr="00A15EF7" w:rsidRDefault="00EF0708" w:rsidP="00022856">
            <w:pPr>
              <w:jc w:val="center"/>
              <w:rPr>
                <w:rFonts w:ascii="Calibri" w:hAnsi="Calibri" w:cs="Calibri"/>
              </w:rPr>
            </w:pPr>
          </w:p>
        </w:tc>
        <w:tc>
          <w:tcPr>
            <w:tcW w:w="626" w:type="pct"/>
            <w:shd w:val="clear" w:color="auto" w:fill="auto"/>
            <w:vAlign w:val="center"/>
          </w:tcPr>
          <w:p w:rsidR="00EF0708" w:rsidRPr="00A93D30" w:rsidRDefault="00EF0708" w:rsidP="00022856">
            <w:pPr>
              <w:spacing w:before="120" w:after="120"/>
              <w:jc w:val="center"/>
              <w:rPr>
                <w:rFonts w:ascii="Calibri" w:hAnsi="Calibri" w:cs="Calibri"/>
              </w:rPr>
            </w:pPr>
            <w:r w:rsidRPr="00A93D30">
              <w:rPr>
                <w:rFonts w:ascii="Calibri" w:hAnsi="Calibri" w:cs="Calibri"/>
              </w:rPr>
              <w:t>3</w:t>
            </w:r>
            <w:r>
              <w:rPr>
                <w:rFonts w:ascii="Calibri" w:hAnsi="Calibri" w:cs="Calibri"/>
              </w:rPr>
              <w:t>c - P</w:t>
            </w:r>
            <w:r w:rsidRPr="00DD2FF9">
              <w:rPr>
                <w:rFonts w:ascii="Calibri" w:hAnsi="Calibri" w:cs="Calibri"/>
              </w:rPr>
              <w:t>odpora budování a rozšiřování vyspělých kapacit pro rozvoj produktů a služeb</w:t>
            </w:r>
          </w:p>
        </w:tc>
        <w:tc>
          <w:tcPr>
            <w:tcW w:w="730" w:type="pct"/>
            <w:shd w:val="clear" w:color="auto" w:fill="auto"/>
            <w:vAlign w:val="center"/>
          </w:tcPr>
          <w:p w:rsidR="00EF0708" w:rsidRPr="00A15EF7" w:rsidRDefault="00EF0708" w:rsidP="00022856">
            <w:pPr>
              <w:jc w:val="center"/>
              <w:rPr>
                <w:rFonts w:ascii="Calibri" w:hAnsi="Calibri" w:cs="Calibri"/>
              </w:rPr>
            </w:pPr>
            <w:r w:rsidRPr="001F2BBC">
              <w:rPr>
                <w:rFonts w:ascii="Calibri" w:hAnsi="Calibri" w:cs="Calibri"/>
              </w:rPr>
              <w:t>2.5 - Rozvoj a využití stávající infrastruktury pro vzdělávání a rozvoj lidských zdrojů v podnikatelském sektoru včetně technického vzdělávání</w:t>
            </w:r>
          </w:p>
        </w:tc>
        <w:tc>
          <w:tcPr>
            <w:tcW w:w="829" w:type="pct"/>
          </w:tcPr>
          <w:p w:rsidR="00EF0708" w:rsidRDefault="00EF0708" w:rsidP="00022856">
            <w:pPr>
              <w:jc w:val="center"/>
              <w:rPr>
                <w:rFonts w:ascii="Calibri" w:hAnsi="Calibri" w:cs="Calibri"/>
              </w:rPr>
            </w:pPr>
          </w:p>
        </w:tc>
        <w:tc>
          <w:tcPr>
            <w:tcW w:w="238" w:type="pct"/>
            <w:shd w:val="clear" w:color="auto" w:fill="auto"/>
            <w:vAlign w:val="center"/>
          </w:tcPr>
          <w:p w:rsidR="00EF0708" w:rsidRPr="00A15EF7" w:rsidRDefault="00EF0708" w:rsidP="00022856">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022856">
            <w:pPr>
              <w:jc w:val="center"/>
              <w:rPr>
                <w:rFonts w:ascii="Calibri" w:hAnsi="Calibri" w:cs="Calibri"/>
              </w:rPr>
            </w:pPr>
          </w:p>
        </w:tc>
        <w:tc>
          <w:tcPr>
            <w:tcW w:w="671" w:type="pct"/>
            <w:shd w:val="clear" w:color="auto" w:fill="auto"/>
            <w:vAlign w:val="center"/>
          </w:tcPr>
          <w:p w:rsidR="00EF0708" w:rsidRPr="00A15EF7" w:rsidRDefault="00EF0708" w:rsidP="00022856">
            <w:pPr>
              <w:jc w:val="center"/>
              <w:rPr>
                <w:rFonts w:ascii="Calibri" w:hAnsi="Calibri" w:cs="Calibri"/>
              </w:rPr>
            </w:pPr>
          </w:p>
        </w:tc>
      </w:tr>
      <w:tr w:rsidR="00EF0708" w:rsidRPr="004731D0" w:rsidTr="000C6BEF">
        <w:trPr>
          <w:jc w:val="center"/>
        </w:trPr>
        <w:tc>
          <w:tcPr>
            <w:tcW w:w="626" w:type="pct"/>
            <w:vMerge w:val="restart"/>
            <w:shd w:val="clear" w:color="auto" w:fill="auto"/>
            <w:vAlign w:val="center"/>
          </w:tcPr>
          <w:p w:rsidR="00EF0708" w:rsidRPr="00A15EF7" w:rsidRDefault="00EF0708" w:rsidP="00B971DA">
            <w:pPr>
              <w:tabs>
                <w:tab w:val="left" w:pos="1215"/>
              </w:tabs>
              <w:overflowPunct/>
              <w:autoSpaceDE/>
              <w:autoSpaceDN/>
              <w:adjustRightInd/>
              <w:textAlignment w:val="auto"/>
              <w:rPr>
                <w:rFonts w:ascii="Calibri" w:hAnsi="Calibri" w:cs="Calibri"/>
              </w:rPr>
            </w:pPr>
            <w:r w:rsidRPr="00A15EF7">
              <w:rPr>
                <w:rFonts w:ascii="Calibri" w:hAnsi="Calibri" w:cs="Calibri"/>
              </w:rPr>
              <w:t xml:space="preserve">PO-3.: Udržitelné hospodaření s energií, podpora OZE a rozvoj inovací v energetice </w:t>
            </w:r>
          </w:p>
          <w:p w:rsidR="00EF0708" w:rsidRPr="00A15EF7" w:rsidRDefault="00EF0708" w:rsidP="00B971DA">
            <w:pPr>
              <w:rPr>
                <w:rFonts w:ascii="Calibri" w:hAnsi="Calibri" w:cs="Calibri"/>
              </w:rPr>
            </w:pPr>
          </w:p>
        </w:tc>
        <w:tc>
          <w:tcPr>
            <w:tcW w:w="728" w:type="pct"/>
            <w:vMerge w:val="restart"/>
            <w:shd w:val="clear" w:color="auto" w:fill="auto"/>
            <w:vAlign w:val="center"/>
          </w:tcPr>
          <w:p w:rsidR="00EF0708" w:rsidRPr="00A15EF7" w:rsidRDefault="00EF0708" w:rsidP="00B971DA">
            <w:pPr>
              <w:jc w:val="center"/>
              <w:rPr>
                <w:rFonts w:ascii="Calibri" w:hAnsi="Calibri" w:cs="Calibri"/>
              </w:rPr>
            </w:pPr>
            <w:r>
              <w:rPr>
                <w:rFonts w:ascii="Calibri" w:hAnsi="Calibri" w:cs="Calibri"/>
              </w:rPr>
              <w:t xml:space="preserve">(4) </w:t>
            </w:r>
            <w:r w:rsidRPr="00ED7BEB">
              <w:rPr>
                <w:rFonts w:ascii="Calibri" w:hAnsi="Calibri" w:cs="Calibri"/>
              </w:rPr>
              <w:t>Podpora přechodu na nízkouhlíkové hospodářství ve všech odvětvích</w:t>
            </w:r>
          </w:p>
        </w:tc>
        <w:tc>
          <w:tcPr>
            <w:tcW w:w="626" w:type="pct"/>
            <w:shd w:val="clear" w:color="auto" w:fill="auto"/>
            <w:vAlign w:val="center"/>
          </w:tcPr>
          <w:p w:rsidR="00EF0708" w:rsidRPr="00A93D30" w:rsidRDefault="00EF0708" w:rsidP="00022856">
            <w:pPr>
              <w:spacing w:before="120" w:after="120"/>
              <w:jc w:val="center"/>
              <w:rPr>
                <w:rFonts w:ascii="Calibri" w:hAnsi="Calibri" w:cs="Calibri"/>
              </w:rPr>
            </w:pPr>
            <w:r w:rsidRPr="00A93D30">
              <w:rPr>
                <w:rFonts w:ascii="Calibri" w:hAnsi="Calibri" w:cs="Calibri"/>
              </w:rPr>
              <w:t>4</w:t>
            </w:r>
            <w:r>
              <w:rPr>
                <w:rFonts w:ascii="Calibri" w:hAnsi="Calibri" w:cs="Calibri"/>
              </w:rPr>
              <w:t>a - Po</w:t>
            </w:r>
            <w:r w:rsidRPr="00DD2FF9">
              <w:rPr>
                <w:rFonts w:ascii="Calibri" w:hAnsi="Calibri" w:cs="Calibri"/>
              </w:rPr>
              <w:t>dpora produkce a šíření obnovitelných zdrojů energie</w:t>
            </w:r>
          </w:p>
        </w:tc>
        <w:tc>
          <w:tcPr>
            <w:tcW w:w="730"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 xml:space="preserve">3.1 - </w:t>
            </w:r>
            <w:r w:rsidRPr="001F2BBC">
              <w:rPr>
                <w:rFonts w:ascii="Calibri" w:hAnsi="Calibri" w:cs="Calibri"/>
              </w:rPr>
              <w:t>Zvýšení podílu využívání OZE v rámci energetického mixu ČR</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022856">
            <w:pPr>
              <w:rPr>
                <w:rFonts w:ascii="Calibri" w:hAnsi="Calibri" w:cs="Calibri"/>
              </w:rPr>
            </w:pPr>
          </w:p>
        </w:tc>
        <w:tc>
          <w:tcPr>
            <w:tcW w:w="728" w:type="pct"/>
            <w:vMerge/>
            <w:shd w:val="clear" w:color="auto" w:fill="auto"/>
            <w:vAlign w:val="center"/>
          </w:tcPr>
          <w:p w:rsidR="00EF0708" w:rsidRPr="00A15EF7" w:rsidRDefault="00EF0708" w:rsidP="00022856">
            <w:pPr>
              <w:jc w:val="center"/>
              <w:rPr>
                <w:rFonts w:ascii="Calibri" w:hAnsi="Calibri" w:cs="Calibri"/>
              </w:rPr>
            </w:pPr>
          </w:p>
        </w:tc>
        <w:tc>
          <w:tcPr>
            <w:tcW w:w="626" w:type="pct"/>
            <w:shd w:val="clear" w:color="auto" w:fill="auto"/>
            <w:vAlign w:val="center"/>
          </w:tcPr>
          <w:p w:rsidR="00EF0708" w:rsidRPr="00A93D30" w:rsidRDefault="00EF0708" w:rsidP="00022856">
            <w:pPr>
              <w:spacing w:before="120" w:after="120"/>
              <w:jc w:val="center"/>
              <w:rPr>
                <w:rFonts w:ascii="Calibri" w:hAnsi="Calibri" w:cs="Calibri"/>
              </w:rPr>
            </w:pPr>
            <w:r w:rsidRPr="00A93D30">
              <w:rPr>
                <w:rFonts w:ascii="Calibri" w:hAnsi="Calibri" w:cs="Calibri"/>
              </w:rPr>
              <w:t>4</w:t>
            </w:r>
            <w:r>
              <w:rPr>
                <w:rFonts w:ascii="Calibri" w:hAnsi="Calibri" w:cs="Calibri"/>
              </w:rPr>
              <w:t>b - P</w:t>
            </w:r>
            <w:r w:rsidRPr="00DD2FF9">
              <w:rPr>
                <w:rFonts w:ascii="Calibri" w:hAnsi="Calibri" w:cs="Calibri"/>
              </w:rPr>
              <w:t>odpora energetické účinnosti a využívání energie z obnovitelných zdrojů v podnicích</w:t>
            </w:r>
          </w:p>
        </w:tc>
        <w:tc>
          <w:tcPr>
            <w:tcW w:w="730" w:type="pct"/>
            <w:shd w:val="clear" w:color="auto" w:fill="auto"/>
            <w:vAlign w:val="center"/>
          </w:tcPr>
          <w:p w:rsidR="00EF0708" w:rsidRPr="00A15EF7" w:rsidRDefault="00EF0708" w:rsidP="00022856">
            <w:pPr>
              <w:jc w:val="center"/>
              <w:rPr>
                <w:rFonts w:ascii="Calibri" w:hAnsi="Calibri" w:cs="Calibri"/>
              </w:rPr>
            </w:pPr>
            <w:r>
              <w:rPr>
                <w:rFonts w:ascii="Calibri" w:hAnsi="Calibri" w:cs="Calibri"/>
              </w:rPr>
              <w:t xml:space="preserve">3.2 - </w:t>
            </w:r>
            <w:r w:rsidRPr="001F2BBC">
              <w:rPr>
                <w:rFonts w:ascii="Calibri" w:hAnsi="Calibri" w:cs="Calibri"/>
              </w:rPr>
              <w:t>Snižování energetické náročnosti podnikatelského sektoru a rozvíjení energetických služeb</w:t>
            </w:r>
          </w:p>
        </w:tc>
        <w:tc>
          <w:tcPr>
            <w:tcW w:w="829" w:type="pct"/>
          </w:tcPr>
          <w:p w:rsidR="00EF0708" w:rsidRDefault="00EF0708" w:rsidP="00022856">
            <w:pPr>
              <w:jc w:val="center"/>
              <w:rPr>
                <w:rFonts w:ascii="Calibri" w:hAnsi="Calibri" w:cs="Calibri"/>
              </w:rPr>
            </w:pPr>
          </w:p>
        </w:tc>
        <w:tc>
          <w:tcPr>
            <w:tcW w:w="238" w:type="pct"/>
            <w:shd w:val="clear" w:color="auto" w:fill="auto"/>
            <w:vAlign w:val="center"/>
          </w:tcPr>
          <w:p w:rsidR="00EF0708" w:rsidRDefault="00EF0708" w:rsidP="00022856">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022856">
            <w:pPr>
              <w:jc w:val="center"/>
              <w:rPr>
                <w:rFonts w:ascii="Calibri" w:hAnsi="Calibri" w:cs="Calibri"/>
              </w:rPr>
            </w:pPr>
          </w:p>
        </w:tc>
        <w:tc>
          <w:tcPr>
            <w:tcW w:w="671" w:type="pct"/>
            <w:shd w:val="clear" w:color="auto" w:fill="auto"/>
            <w:vAlign w:val="center"/>
          </w:tcPr>
          <w:p w:rsidR="00EF0708" w:rsidRPr="00A15EF7" w:rsidRDefault="00EF0708" w:rsidP="00022856">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022856">
            <w:pPr>
              <w:rPr>
                <w:rFonts w:ascii="Calibri" w:hAnsi="Calibri" w:cs="Calibri"/>
              </w:rPr>
            </w:pPr>
          </w:p>
        </w:tc>
        <w:tc>
          <w:tcPr>
            <w:tcW w:w="728" w:type="pct"/>
            <w:vMerge/>
            <w:shd w:val="clear" w:color="auto" w:fill="auto"/>
            <w:vAlign w:val="center"/>
          </w:tcPr>
          <w:p w:rsidR="00EF0708" w:rsidRPr="00A15EF7" w:rsidRDefault="00EF0708" w:rsidP="00022856">
            <w:pPr>
              <w:jc w:val="center"/>
              <w:rPr>
                <w:rFonts w:ascii="Calibri" w:hAnsi="Calibri" w:cs="Calibri"/>
              </w:rPr>
            </w:pPr>
          </w:p>
        </w:tc>
        <w:tc>
          <w:tcPr>
            <w:tcW w:w="626" w:type="pct"/>
            <w:shd w:val="clear" w:color="auto" w:fill="auto"/>
            <w:vAlign w:val="center"/>
          </w:tcPr>
          <w:p w:rsidR="00EF0708" w:rsidRPr="00A93D30" w:rsidRDefault="00EF0708" w:rsidP="00022856">
            <w:pPr>
              <w:spacing w:before="120" w:after="120"/>
              <w:jc w:val="center"/>
              <w:rPr>
                <w:rFonts w:ascii="Calibri" w:hAnsi="Calibri" w:cs="Calibri"/>
              </w:rPr>
            </w:pPr>
            <w:r w:rsidRPr="00A93D30">
              <w:rPr>
                <w:rFonts w:ascii="Calibri" w:hAnsi="Calibri" w:cs="Calibri"/>
              </w:rPr>
              <w:t>4</w:t>
            </w:r>
            <w:r>
              <w:rPr>
                <w:rFonts w:ascii="Calibri" w:hAnsi="Calibri" w:cs="Calibri"/>
              </w:rPr>
              <w:t>d - V</w:t>
            </w:r>
            <w:r w:rsidRPr="00ED7BEB">
              <w:rPr>
                <w:rFonts w:ascii="Calibri" w:hAnsi="Calibri" w:cs="Calibri"/>
              </w:rPr>
              <w:t xml:space="preserve">yvíjení a zavádění </w:t>
            </w:r>
            <w:r w:rsidRPr="00ED7BEB">
              <w:rPr>
                <w:rFonts w:ascii="Calibri" w:hAnsi="Calibri" w:cs="Calibri"/>
              </w:rPr>
              <w:lastRenderedPageBreak/>
              <w:t>inteligentních rozvodných systémů nízkého a středního napětí</w:t>
            </w:r>
          </w:p>
        </w:tc>
        <w:tc>
          <w:tcPr>
            <w:tcW w:w="730" w:type="pct"/>
            <w:shd w:val="clear" w:color="auto" w:fill="auto"/>
            <w:vAlign w:val="center"/>
          </w:tcPr>
          <w:p w:rsidR="00EF0708" w:rsidRPr="00A15EF7" w:rsidRDefault="00EF0708" w:rsidP="00022856">
            <w:pPr>
              <w:jc w:val="center"/>
              <w:rPr>
                <w:rFonts w:ascii="Calibri" w:hAnsi="Calibri" w:cs="Calibri"/>
              </w:rPr>
            </w:pPr>
            <w:r>
              <w:rPr>
                <w:rFonts w:ascii="Calibri" w:hAnsi="Calibri" w:cs="Calibri"/>
              </w:rPr>
              <w:lastRenderedPageBreak/>
              <w:t>3.3 -</w:t>
            </w:r>
            <w:r w:rsidRPr="001F2BBC">
              <w:rPr>
                <w:rFonts w:ascii="Calibri" w:hAnsi="Calibri" w:cs="Calibri"/>
              </w:rPr>
              <w:t xml:space="preserve"> Modernizace a rozvoj přenosových a distribučních sítí</w:t>
            </w:r>
          </w:p>
        </w:tc>
        <w:tc>
          <w:tcPr>
            <w:tcW w:w="829" w:type="pct"/>
          </w:tcPr>
          <w:p w:rsidR="00EF0708" w:rsidRDefault="00EF0708" w:rsidP="00022856">
            <w:pPr>
              <w:jc w:val="center"/>
              <w:rPr>
                <w:rFonts w:ascii="Calibri" w:hAnsi="Calibri" w:cs="Calibri"/>
              </w:rPr>
            </w:pPr>
          </w:p>
        </w:tc>
        <w:tc>
          <w:tcPr>
            <w:tcW w:w="238" w:type="pct"/>
            <w:shd w:val="clear" w:color="auto" w:fill="auto"/>
            <w:vAlign w:val="center"/>
          </w:tcPr>
          <w:p w:rsidR="00EF0708" w:rsidRDefault="00EF0708" w:rsidP="00022856">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022856">
            <w:pPr>
              <w:jc w:val="center"/>
              <w:rPr>
                <w:rFonts w:ascii="Calibri" w:hAnsi="Calibri" w:cs="Calibri"/>
              </w:rPr>
            </w:pPr>
          </w:p>
        </w:tc>
        <w:tc>
          <w:tcPr>
            <w:tcW w:w="671" w:type="pct"/>
            <w:shd w:val="clear" w:color="auto" w:fill="auto"/>
            <w:vAlign w:val="center"/>
          </w:tcPr>
          <w:p w:rsidR="00EF0708" w:rsidRPr="00A15EF7" w:rsidRDefault="00EF0708" w:rsidP="00022856">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022856">
            <w:pPr>
              <w:rPr>
                <w:rFonts w:ascii="Calibri" w:hAnsi="Calibri" w:cs="Calibri"/>
              </w:rPr>
            </w:pPr>
          </w:p>
        </w:tc>
        <w:tc>
          <w:tcPr>
            <w:tcW w:w="728" w:type="pct"/>
            <w:vMerge/>
            <w:shd w:val="clear" w:color="auto" w:fill="auto"/>
            <w:vAlign w:val="center"/>
          </w:tcPr>
          <w:p w:rsidR="00EF0708" w:rsidRPr="00A15EF7" w:rsidRDefault="00EF0708" w:rsidP="00022856">
            <w:pPr>
              <w:jc w:val="center"/>
              <w:rPr>
                <w:rFonts w:ascii="Calibri" w:hAnsi="Calibri" w:cs="Calibri"/>
              </w:rPr>
            </w:pPr>
          </w:p>
        </w:tc>
        <w:tc>
          <w:tcPr>
            <w:tcW w:w="626" w:type="pct"/>
            <w:shd w:val="clear" w:color="auto" w:fill="auto"/>
            <w:vAlign w:val="center"/>
          </w:tcPr>
          <w:p w:rsidR="00EF0708" w:rsidRPr="00A93D30" w:rsidRDefault="00EF0708" w:rsidP="00022856">
            <w:pPr>
              <w:spacing w:before="120" w:after="120"/>
              <w:jc w:val="center"/>
              <w:rPr>
                <w:rFonts w:ascii="Calibri" w:hAnsi="Calibri" w:cs="Calibri"/>
              </w:rPr>
            </w:pPr>
            <w:r w:rsidRPr="00A93D30">
              <w:rPr>
                <w:rFonts w:ascii="Calibri" w:hAnsi="Calibri" w:cs="Calibri"/>
              </w:rPr>
              <w:t>4</w:t>
            </w:r>
            <w:r>
              <w:rPr>
                <w:rFonts w:ascii="Calibri" w:hAnsi="Calibri" w:cs="Calibri"/>
              </w:rPr>
              <w:t>f - P</w:t>
            </w:r>
            <w:r w:rsidRPr="00ED7BEB">
              <w:rPr>
                <w:rFonts w:ascii="Calibri" w:hAnsi="Calibri" w:cs="Calibri"/>
              </w:rPr>
              <w:t>odpora výzkumu, inovací a zavádění nízkouhlíkových technologií</w:t>
            </w:r>
          </w:p>
        </w:tc>
        <w:tc>
          <w:tcPr>
            <w:tcW w:w="730" w:type="pct"/>
            <w:shd w:val="clear" w:color="auto" w:fill="auto"/>
            <w:vAlign w:val="center"/>
          </w:tcPr>
          <w:p w:rsidR="00EF0708" w:rsidRPr="00A15EF7" w:rsidRDefault="00EF0708" w:rsidP="001F2BBC">
            <w:pPr>
              <w:jc w:val="center"/>
              <w:rPr>
                <w:rFonts w:ascii="Calibri" w:hAnsi="Calibri" w:cs="Calibri"/>
              </w:rPr>
            </w:pPr>
            <w:r w:rsidRPr="001F2BBC">
              <w:rPr>
                <w:rFonts w:ascii="Calibri" w:hAnsi="Calibri" w:cs="Calibri"/>
              </w:rPr>
              <w:t>3.4</w:t>
            </w:r>
            <w:r>
              <w:rPr>
                <w:rFonts w:ascii="Calibri" w:hAnsi="Calibri" w:cs="Calibri"/>
              </w:rPr>
              <w:t xml:space="preserve"> -</w:t>
            </w:r>
            <w:r w:rsidRPr="001F2BBC">
              <w:rPr>
                <w:rFonts w:ascii="Calibri" w:hAnsi="Calibri" w:cs="Calibri"/>
              </w:rPr>
              <w:t xml:space="preserve">  Větší uplatnění výzkumu a inovací v energetice a zvýšení využívání druhotných surovin</w:t>
            </w:r>
          </w:p>
        </w:tc>
        <w:tc>
          <w:tcPr>
            <w:tcW w:w="829" w:type="pct"/>
          </w:tcPr>
          <w:p w:rsidR="00EF0708" w:rsidRDefault="00EF0708" w:rsidP="00022856">
            <w:pPr>
              <w:jc w:val="center"/>
              <w:rPr>
                <w:rFonts w:ascii="Calibri" w:hAnsi="Calibri" w:cs="Calibri"/>
              </w:rPr>
            </w:pPr>
          </w:p>
        </w:tc>
        <w:tc>
          <w:tcPr>
            <w:tcW w:w="238" w:type="pct"/>
            <w:shd w:val="clear" w:color="auto" w:fill="auto"/>
            <w:vAlign w:val="center"/>
          </w:tcPr>
          <w:p w:rsidR="00EF0708" w:rsidRDefault="00EF0708" w:rsidP="00022856">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022856">
            <w:pPr>
              <w:jc w:val="center"/>
              <w:rPr>
                <w:rFonts w:ascii="Calibri" w:hAnsi="Calibri" w:cs="Calibri"/>
              </w:rPr>
            </w:pPr>
          </w:p>
        </w:tc>
        <w:tc>
          <w:tcPr>
            <w:tcW w:w="671" w:type="pct"/>
            <w:shd w:val="clear" w:color="auto" w:fill="auto"/>
            <w:vAlign w:val="center"/>
          </w:tcPr>
          <w:p w:rsidR="00EF0708" w:rsidRPr="00A15EF7" w:rsidRDefault="00EF0708" w:rsidP="00022856">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B971DA">
            <w:pPr>
              <w:rPr>
                <w:rFonts w:ascii="Calibri" w:hAnsi="Calibri" w:cs="Calibri"/>
              </w:rPr>
            </w:pPr>
          </w:p>
        </w:tc>
        <w:tc>
          <w:tcPr>
            <w:tcW w:w="728" w:type="pct"/>
            <w:vMerge/>
            <w:shd w:val="clear" w:color="auto" w:fill="auto"/>
            <w:vAlign w:val="center"/>
          </w:tcPr>
          <w:p w:rsidR="00EF0708" w:rsidRPr="00A15EF7" w:rsidRDefault="00EF0708" w:rsidP="00B971DA">
            <w:pPr>
              <w:jc w:val="center"/>
              <w:rPr>
                <w:rFonts w:ascii="Calibri" w:hAnsi="Calibri" w:cs="Calibri"/>
              </w:rPr>
            </w:pPr>
          </w:p>
        </w:tc>
        <w:tc>
          <w:tcPr>
            <w:tcW w:w="626" w:type="pct"/>
            <w:shd w:val="clear" w:color="auto" w:fill="auto"/>
            <w:vAlign w:val="center"/>
          </w:tcPr>
          <w:p w:rsidR="00EF0708" w:rsidRPr="00A15EF7" w:rsidRDefault="00EF0708" w:rsidP="00022856">
            <w:pPr>
              <w:jc w:val="center"/>
              <w:rPr>
                <w:rFonts w:ascii="Calibri" w:hAnsi="Calibri" w:cs="Calibri"/>
              </w:rPr>
            </w:pPr>
            <w:r w:rsidRPr="00A93D30">
              <w:rPr>
                <w:rFonts w:ascii="Calibri" w:hAnsi="Calibri" w:cs="Calibri"/>
              </w:rPr>
              <w:t>4</w:t>
            </w:r>
            <w:r>
              <w:rPr>
                <w:rFonts w:ascii="Calibri" w:hAnsi="Calibri" w:cs="Calibri"/>
              </w:rPr>
              <w:t>g - P</w:t>
            </w:r>
            <w:r w:rsidRPr="00ED7BEB">
              <w:rPr>
                <w:rFonts w:ascii="Calibri" w:hAnsi="Calibri" w:cs="Calibri"/>
              </w:rPr>
              <w:t>odpora využívání vysoce účinné kombinované výroby tepla a elektřiny na základě poptávky po užitečném teple</w:t>
            </w:r>
          </w:p>
        </w:tc>
        <w:tc>
          <w:tcPr>
            <w:tcW w:w="730"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3.5 -</w:t>
            </w:r>
            <w:r w:rsidRPr="001F2BBC">
              <w:rPr>
                <w:rFonts w:ascii="Calibri" w:hAnsi="Calibri" w:cs="Calibri"/>
              </w:rPr>
              <w:t xml:space="preserve"> Zvýšení využití a zavádění kombinované výroby elektřiny a tepla</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jc w:val="center"/>
        </w:trPr>
        <w:tc>
          <w:tcPr>
            <w:tcW w:w="626" w:type="pct"/>
            <w:vMerge w:val="restart"/>
            <w:shd w:val="clear" w:color="auto" w:fill="auto"/>
            <w:vAlign w:val="center"/>
          </w:tcPr>
          <w:p w:rsidR="00EF0708" w:rsidRPr="00A15EF7" w:rsidRDefault="00EF0708" w:rsidP="00B971DA">
            <w:pPr>
              <w:rPr>
                <w:rFonts w:ascii="Calibri" w:hAnsi="Calibri" w:cs="Calibri"/>
              </w:rPr>
            </w:pPr>
            <w:r w:rsidRPr="00A15EF7">
              <w:rPr>
                <w:rFonts w:ascii="Calibri" w:hAnsi="Calibri" w:cs="Calibri"/>
              </w:rPr>
              <w:t>PO-4: Rozvoj vysokorychlostních přístupových sítí k internetu a podpora moderních informačních a komunikačních technologií</w:t>
            </w:r>
          </w:p>
        </w:tc>
        <w:tc>
          <w:tcPr>
            <w:tcW w:w="728" w:type="pct"/>
            <w:vMerge w:val="restart"/>
            <w:shd w:val="clear" w:color="auto" w:fill="auto"/>
            <w:vAlign w:val="center"/>
          </w:tcPr>
          <w:p w:rsidR="00EF0708" w:rsidRPr="00A15EF7" w:rsidRDefault="00EF0708" w:rsidP="00ED7BEB">
            <w:pPr>
              <w:jc w:val="center"/>
              <w:rPr>
                <w:rFonts w:ascii="Calibri" w:hAnsi="Calibri" w:cs="Calibri"/>
              </w:rPr>
            </w:pPr>
            <w:r>
              <w:rPr>
                <w:rFonts w:ascii="Calibri" w:hAnsi="Calibri" w:cs="Calibri"/>
              </w:rPr>
              <w:t xml:space="preserve">(2) </w:t>
            </w:r>
            <w:r w:rsidRPr="00ED7BEB">
              <w:rPr>
                <w:rFonts w:ascii="Calibri" w:hAnsi="Calibri" w:cs="Calibri"/>
              </w:rPr>
              <w:t>Zlepšení přístupu k informačním a komunikačním technologiím (IKT), jejich využití a kvality</w:t>
            </w:r>
          </w:p>
        </w:tc>
        <w:tc>
          <w:tcPr>
            <w:tcW w:w="626" w:type="pct"/>
            <w:shd w:val="clear" w:color="auto" w:fill="auto"/>
            <w:vAlign w:val="center"/>
          </w:tcPr>
          <w:p w:rsidR="00EF0708" w:rsidRPr="00A93D30" w:rsidRDefault="00EF0708" w:rsidP="00022856">
            <w:pPr>
              <w:spacing w:before="120" w:after="120"/>
              <w:jc w:val="center"/>
              <w:rPr>
                <w:rFonts w:ascii="Calibri" w:hAnsi="Calibri" w:cs="Calibri"/>
              </w:rPr>
            </w:pPr>
            <w:r>
              <w:rPr>
                <w:rFonts w:ascii="Calibri" w:hAnsi="Calibri" w:cs="Calibri"/>
              </w:rPr>
              <w:t>2a - R</w:t>
            </w:r>
            <w:r w:rsidRPr="00DD2FF9">
              <w:rPr>
                <w:rFonts w:ascii="Calibri" w:hAnsi="Calibri" w:cs="Calibri"/>
              </w:rPr>
              <w:t>ozšiřování širokopásmového připojení a zavádění vysokorychlostních sítí a podpora zavádění vznikajících technologií a sítí pro digitální hospodářství</w:t>
            </w:r>
          </w:p>
        </w:tc>
        <w:tc>
          <w:tcPr>
            <w:tcW w:w="730" w:type="pct"/>
            <w:shd w:val="clear" w:color="auto" w:fill="auto"/>
            <w:vAlign w:val="center"/>
          </w:tcPr>
          <w:p w:rsidR="00EF0708" w:rsidRPr="00A15EF7" w:rsidRDefault="00EF0708" w:rsidP="00EC6DD0">
            <w:pPr>
              <w:jc w:val="center"/>
              <w:rPr>
                <w:rFonts w:ascii="Calibri" w:hAnsi="Calibri" w:cs="Calibri"/>
              </w:rPr>
            </w:pPr>
            <w:r>
              <w:rPr>
                <w:rFonts w:ascii="Calibri" w:hAnsi="Calibri" w:cs="Calibri"/>
              </w:rPr>
              <w:t xml:space="preserve">4.1 - </w:t>
            </w:r>
            <w:r w:rsidR="00EC6DD0">
              <w:rPr>
                <w:rFonts w:ascii="Calibri" w:hAnsi="Calibri" w:cs="Calibri"/>
              </w:rPr>
              <w:t>Zvětšení</w:t>
            </w:r>
            <w:r w:rsidRPr="00DD2FF9">
              <w:rPr>
                <w:rFonts w:ascii="Calibri" w:hAnsi="Calibri" w:cs="Calibri"/>
              </w:rPr>
              <w:t xml:space="preserve"> pokrytí vysok</w:t>
            </w:r>
            <w:r>
              <w:rPr>
                <w:rFonts w:ascii="Calibri" w:hAnsi="Calibri" w:cs="Calibri"/>
              </w:rPr>
              <w:t>o</w:t>
            </w:r>
            <w:r w:rsidRPr="00DD2FF9">
              <w:rPr>
                <w:rFonts w:ascii="Calibri" w:hAnsi="Calibri" w:cs="Calibri"/>
              </w:rPr>
              <w:t>rychlostním přístupem k internetu</w:t>
            </w: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r w:rsidR="00EF0708" w:rsidRPr="004731D0" w:rsidTr="000C6BEF">
        <w:trPr>
          <w:jc w:val="center"/>
        </w:trPr>
        <w:tc>
          <w:tcPr>
            <w:tcW w:w="626" w:type="pct"/>
            <w:vMerge/>
            <w:shd w:val="clear" w:color="auto" w:fill="auto"/>
            <w:vAlign w:val="center"/>
          </w:tcPr>
          <w:p w:rsidR="00EF0708" w:rsidRPr="00A15EF7" w:rsidRDefault="00EF0708" w:rsidP="00022856">
            <w:pPr>
              <w:rPr>
                <w:rFonts w:ascii="Calibri" w:hAnsi="Calibri" w:cs="Calibri"/>
              </w:rPr>
            </w:pPr>
          </w:p>
        </w:tc>
        <w:tc>
          <w:tcPr>
            <w:tcW w:w="728" w:type="pct"/>
            <w:vMerge/>
            <w:shd w:val="clear" w:color="auto" w:fill="auto"/>
            <w:vAlign w:val="center"/>
          </w:tcPr>
          <w:p w:rsidR="00EF0708" w:rsidRPr="00A15EF7" w:rsidRDefault="00EF0708" w:rsidP="00022856">
            <w:pPr>
              <w:jc w:val="center"/>
              <w:rPr>
                <w:rFonts w:ascii="Calibri" w:hAnsi="Calibri" w:cs="Calibri"/>
              </w:rPr>
            </w:pPr>
          </w:p>
        </w:tc>
        <w:tc>
          <w:tcPr>
            <w:tcW w:w="626" w:type="pct"/>
            <w:shd w:val="clear" w:color="auto" w:fill="auto"/>
            <w:vAlign w:val="center"/>
          </w:tcPr>
          <w:p w:rsidR="00EF0708" w:rsidRPr="00A93D30" w:rsidRDefault="00EF0708" w:rsidP="00022856">
            <w:pPr>
              <w:spacing w:before="120" w:after="120"/>
              <w:jc w:val="center"/>
              <w:rPr>
                <w:rFonts w:ascii="Calibri" w:hAnsi="Calibri" w:cs="Calibri"/>
              </w:rPr>
            </w:pPr>
            <w:r w:rsidRPr="00A93D30">
              <w:rPr>
                <w:rFonts w:ascii="Calibri" w:hAnsi="Calibri" w:cs="Calibri"/>
              </w:rPr>
              <w:t>2</w:t>
            </w:r>
            <w:r>
              <w:rPr>
                <w:rFonts w:ascii="Calibri" w:hAnsi="Calibri" w:cs="Calibri"/>
              </w:rPr>
              <w:t>b - V</w:t>
            </w:r>
            <w:r w:rsidRPr="00DD2FF9">
              <w:rPr>
                <w:rFonts w:ascii="Calibri" w:hAnsi="Calibri" w:cs="Calibri"/>
              </w:rPr>
              <w:t xml:space="preserve">yvíjení produktů a služeb </w:t>
            </w:r>
            <w:r w:rsidRPr="00DD2FF9">
              <w:rPr>
                <w:rFonts w:ascii="Calibri" w:hAnsi="Calibri" w:cs="Calibri"/>
              </w:rPr>
              <w:lastRenderedPageBreak/>
              <w:t>v oblasti IKT, elektronického obchodu a zvyšování poptávky po IKT</w:t>
            </w:r>
          </w:p>
        </w:tc>
        <w:tc>
          <w:tcPr>
            <w:tcW w:w="730" w:type="pct"/>
            <w:shd w:val="clear" w:color="auto" w:fill="auto"/>
            <w:vAlign w:val="center"/>
          </w:tcPr>
          <w:p w:rsidR="00EF0708" w:rsidRPr="00A15EF7" w:rsidRDefault="00EF0708" w:rsidP="00022856">
            <w:pPr>
              <w:jc w:val="center"/>
              <w:rPr>
                <w:rFonts w:ascii="Calibri" w:hAnsi="Calibri" w:cs="Calibri"/>
              </w:rPr>
            </w:pPr>
            <w:r w:rsidRPr="001F2BBC">
              <w:rPr>
                <w:rFonts w:ascii="Calibri" w:hAnsi="Calibri" w:cs="Calibri"/>
              </w:rPr>
              <w:lastRenderedPageBreak/>
              <w:t xml:space="preserve">4.2 - Rozvoj nejmodernějších a </w:t>
            </w:r>
            <w:r w:rsidRPr="001F2BBC">
              <w:rPr>
                <w:rFonts w:ascii="Calibri" w:hAnsi="Calibri" w:cs="Calibri"/>
              </w:rPr>
              <w:lastRenderedPageBreak/>
              <w:t xml:space="preserve">pokročilých informačních a komunikačních technologií </w:t>
            </w:r>
            <w:r w:rsidR="00EC6DD0" w:rsidRPr="00EC6DD0">
              <w:rPr>
                <w:rFonts w:ascii="Calibri" w:hAnsi="Calibri" w:cs="Calibri"/>
              </w:rPr>
              <w:t>a podpora poskytování souvisejících sdílených služeb</w:t>
            </w:r>
          </w:p>
        </w:tc>
        <w:tc>
          <w:tcPr>
            <w:tcW w:w="829" w:type="pct"/>
          </w:tcPr>
          <w:p w:rsidR="00EF0708" w:rsidRDefault="00EF0708" w:rsidP="00022856">
            <w:pPr>
              <w:jc w:val="center"/>
              <w:rPr>
                <w:rFonts w:ascii="Calibri" w:hAnsi="Calibri" w:cs="Calibri"/>
              </w:rPr>
            </w:pPr>
          </w:p>
        </w:tc>
        <w:tc>
          <w:tcPr>
            <w:tcW w:w="238" w:type="pct"/>
            <w:shd w:val="clear" w:color="auto" w:fill="auto"/>
            <w:vAlign w:val="center"/>
          </w:tcPr>
          <w:p w:rsidR="00EF0708" w:rsidRPr="00A15EF7" w:rsidRDefault="00EF0708" w:rsidP="00022856">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022856">
            <w:pPr>
              <w:jc w:val="center"/>
              <w:rPr>
                <w:rFonts w:ascii="Calibri" w:hAnsi="Calibri" w:cs="Calibri"/>
              </w:rPr>
            </w:pPr>
          </w:p>
        </w:tc>
        <w:tc>
          <w:tcPr>
            <w:tcW w:w="671" w:type="pct"/>
            <w:shd w:val="clear" w:color="auto" w:fill="auto"/>
            <w:vAlign w:val="center"/>
          </w:tcPr>
          <w:p w:rsidR="00EF0708" w:rsidRPr="00A15EF7" w:rsidRDefault="00EF0708" w:rsidP="00022856">
            <w:pPr>
              <w:jc w:val="center"/>
              <w:rPr>
                <w:rFonts w:ascii="Calibri" w:hAnsi="Calibri" w:cs="Calibri"/>
              </w:rPr>
            </w:pPr>
          </w:p>
        </w:tc>
      </w:tr>
      <w:tr w:rsidR="00EF0708" w:rsidRPr="004731D0" w:rsidTr="000C6BEF">
        <w:trPr>
          <w:jc w:val="center"/>
        </w:trPr>
        <w:tc>
          <w:tcPr>
            <w:tcW w:w="626" w:type="pct"/>
            <w:shd w:val="clear" w:color="auto" w:fill="auto"/>
            <w:vAlign w:val="center"/>
          </w:tcPr>
          <w:p w:rsidR="00EF0708" w:rsidRPr="00A15EF7" w:rsidRDefault="00EF0708" w:rsidP="00B971DA">
            <w:pPr>
              <w:overflowPunct/>
              <w:autoSpaceDE/>
              <w:autoSpaceDN/>
              <w:adjustRightInd/>
              <w:textAlignment w:val="auto"/>
              <w:rPr>
                <w:rFonts w:ascii="Calibri" w:hAnsi="Calibri" w:cs="Calibri"/>
              </w:rPr>
            </w:pPr>
            <w:r w:rsidRPr="00A15EF7">
              <w:rPr>
                <w:rFonts w:ascii="Calibri" w:hAnsi="Calibri" w:cs="Calibri"/>
              </w:rPr>
              <w:lastRenderedPageBreak/>
              <w:t>P0-5: Technická pomoc</w:t>
            </w:r>
          </w:p>
          <w:p w:rsidR="00EF0708" w:rsidRPr="00A15EF7" w:rsidRDefault="00EF0708" w:rsidP="00B971DA">
            <w:pPr>
              <w:rPr>
                <w:rFonts w:ascii="Calibri" w:hAnsi="Calibri" w:cs="Calibri"/>
              </w:rPr>
            </w:pPr>
          </w:p>
        </w:tc>
        <w:tc>
          <w:tcPr>
            <w:tcW w:w="728" w:type="pct"/>
            <w:shd w:val="clear" w:color="auto" w:fill="auto"/>
            <w:vAlign w:val="center"/>
          </w:tcPr>
          <w:p w:rsidR="00EF0708" w:rsidRPr="00A15EF7" w:rsidRDefault="00EF0708" w:rsidP="00B971DA">
            <w:pPr>
              <w:jc w:val="center"/>
              <w:rPr>
                <w:rFonts w:ascii="Calibri" w:hAnsi="Calibri" w:cs="Calibri"/>
              </w:rPr>
            </w:pPr>
          </w:p>
        </w:tc>
        <w:tc>
          <w:tcPr>
            <w:tcW w:w="626" w:type="pct"/>
            <w:shd w:val="clear" w:color="auto" w:fill="auto"/>
            <w:vAlign w:val="center"/>
          </w:tcPr>
          <w:p w:rsidR="00EF0708" w:rsidRPr="00A15EF7" w:rsidRDefault="00EF0708" w:rsidP="00B971DA">
            <w:pPr>
              <w:jc w:val="center"/>
              <w:rPr>
                <w:rFonts w:ascii="Calibri" w:hAnsi="Calibri" w:cs="Calibri"/>
              </w:rPr>
            </w:pPr>
          </w:p>
        </w:tc>
        <w:tc>
          <w:tcPr>
            <w:tcW w:w="730" w:type="pct"/>
            <w:shd w:val="clear" w:color="auto" w:fill="auto"/>
            <w:vAlign w:val="center"/>
          </w:tcPr>
          <w:p w:rsidR="00EF0708" w:rsidRPr="00A15EF7" w:rsidRDefault="00EF0708" w:rsidP="00B971DA">
            <w:pPr>
              <w:jc w:val="center"/>
              <w:rPr>
                <w:rFonts w:ascii="Calibri" w:hAnsi="Calibri" w:cs="Calibri"/>
              </w:rPr>
            </w:pPr>
          </w:p>
        </w:tc>
        <w:tc>
          <w:tcPr>
            <w:tcW w:w="829" w:type="pct"/>
          </w:tcPr>
          <w:p w:rsidR="00EF0708" w:rsidRDefault="00EF0708" w:rsidP="00B971DA">
            <w:pPr>
              <w:jc w:val="center"/>
              <w:rPr>
                <w:rFonts w:ascii="Calibri" w:hAnsi="Calibri" w:cs="Calibri"/>
              </w:rPr>
            </w:pPr>
          </w:p>
        </w:tc>
        <w:tc>
          <w:tcPr>
            <w:tcW w:w="238" w:type="pct"/>
            <w:shd w:val="clear" w:color="auto" w:fill="auto"/>
            <w:vAlign w:val="center"/>
          </w:tcPr>
          <w:p w:rsidR="00EF0708" w:rsidRPr="00A15EF7" w:rsidRDefault="00EF0708" w:rsidP="00B971DA">
            <w:pPr>
              <w:jc w:val="center"/>
              <w:rPr>
                <w:rFonts w:ascii="Calibri" w:hAnsi="Calibri" w:cs="Calibri"/>
              </w:rPr>
            </w:pPr>
            <w:r>
              <w:rPr>
                <w:rFonts w:ascii="Calibri" w:hAnsi="Calibri" w:cs="Calibri"/>
              </w:rPr>
              <w:t>ERDF</w:t>
            </w:r>
          </w:p>
        </w:tc>
        <w:tc>
          <w:tcPr>
            <w:tcW w:w="551" w:type="pct"/>
            <w:shd w:val="clear" w:color="auto" w:fill="auto"/>
            <w:vAlign w:val="center"/>
          </w:tcPr>
          <w:p w:rsidR="00EF0708" w:rsidRPr="00A15EF7" w:rsidRDefault="00EF0708" w:rsidP="00B971DA">
            <w:pPr>
              <w:jc w:val="center"/>
              <w:rPr>
                <w:rFonts w:ascii="Calibri" w:hAnsi="Calibri" w:cs="Calibri"/>
              </w:rPr>
            </w:pPr>
          </w:p>
        </w:tc>
        <w:tc>
          <w:tcPr>
            <w:tcW w:w="671" w:type="pct"/>
            <w:shd w:val="clear" w:color="auto" w:fill="auto"/>
            <w:vAlign w:val="center"/>
          </w:tcPr>
          <w:p w:rsidR="00EF0708" w:rsidRPr="00A15EF7" w:rsidRDefault="00EF0708" w:rsidP="00B971DA">
            <w:pPr>
              <w:jc w:val="center"/>
              <w:rPr>
                <w:rFonts w:ascii="Calibri" w:hAnsi="Calibri" w:cs="Calibri"/>
              </w:rPr>
            </w:pPr>
          </w:p>
        </w:tc>
      </w:tr>
    </w:tbl>
    <w:p w:rsidR="001F2BBC" w:rsidRDefault="001F2BBC" w:rsidP="007B1DAF">
      <w:pPr>
        <w:jc w:val="center"/>
        <w:rPr>
          <w:rFonts w:ascii="Calibri" w:hAnsi="Calibri" w:cs="Calibri"/>
          <w:sz w:val="24"/>
          <w:szCs w:val="24"/>
        </w:rPr>
      </w:pPr>
    </w:p>
    <w:p w:rsidR="00DD0FDA" w:rsidRDefault="00DD0FDA" w:rsidP="007B1DAF">
      <w:pPr>
        <w:jc w:val="center"/>
        <w:rPr>
          <w:rFonts w:ascii="Calibri" w:hAnsi="Calibri" w:cs="Calibri"/>
          <w:sz w:val="24"/>
          <w:szCs w:val="24"/>
        </w:rPr>
      </w:pPr>
    </w:p>
    <w:p w:rsidR="007B1DAF" w:rsidRDefault="007B1DAF" w:rsidP="00642A20">
      <w:pPr>
        <w:jc w:val="both"/>
        <w:rPr>
          <w:rFonts w:ascii="Calibri" w:hAnsi="Calibri" w:cs="Calibri"/>
        </w:rPr>
        <w:sectPr w:rsidR="007B1DAF" w:rsidSect="007B1DAF">
          <w:headerReference w:type="default" r:id="rId35"/>
          <w:footerReference w:type="default" r:id="rId36"/>
          <w:pgSz w:w="16838" w:h="11906" w:orient="landscape" w:code="9"/>
          <w:pgMar w:top="1418" w:right="1418" w:bottom="1276" w:left="1276" w:header="709" w:footer="709" w:gutter="0"/>
          <w:cols w:space="708"/>
          <w:docGrid w:linePitch="272"/>
        </w:sectPr>
      </w:pPr>
    </w:p>
    <w:p w:rsidR="009E6172" w:rsidRPr="009A0366" w:rsidRDefault="009E6172" w:rsidP="00987B30">
      <w:pPr>
        <w:pStyle w:val="Nadpis1"/>
      </w:pPr>
      <w:bookmarkStart w:id="21" w:name="_Toc351464355"/>
      <w:bookmarkStart w:id="22" w:name="_Toc352328359"/>
      <w:r w:rsidRPr="009A0366">
        <w:lastRenderedPageBreak/>
        <w:t>Popis prioritních os</w:t>
      </w:r>
      <w:bookmarkEnd w:id="21"/>
      <w:bookmarkEnd w:id="22"/>
    </w:p>
    <w:p w:rsidR="00CB2B83" w:rsidRPr="00D36A59" w:rsidRDefault="00CB2B83" w:rsidP="00C14092">
      <w:pPr>
        <w:overflowPunct/>
        <w:textAlignment w:val="auto"/>
        <w:rPr>
          <w:b/>
          <w:sz w:val="24"/>
          <w:szCs w:val="24"/>
          <w:highlight w:val="lightGray"/>
          <w:lang w:val="de-DE"/>
        </w:rPr>
      </w:pPr>
    </w:p>
    <w:p w:rsidR="009222E7" w:rsidRPr="009C7BE0" w:rsidRDefault="00C14092" w:rsidP="00C60681">
      <w:pPr>
        <w:overflowPunct/>
        <w:jc w:val="both"/>
        <w:textAlignment w:val="auto"/>
        <w:rPr>
          <w:bCs/>
          <w:i/>
          <w:color w:val="FF0000"/>
          <w:sz w:val="24"/>
          <w:szCs w:val="24"/>
          <w:lang w:val="de-DE"/>
        </w:rPr>
      </w:pPr>
      <w:r w:rsidRPr="009C7BE0">
        <w:rPr>
          <w:i/>
          <w:color w:val="FF0000"/>
          <w:sz w:val="24"/>
          <w:szCs w:val="24"/>
          <w:lang w:val="de-DE"/>
        </w:rPr>
        <w:t>……</w:t>
      </w:r>
      <w:r w:rsidR="00C60681" w:rsidRPr="009C7BE0">
        <w:rPr>
          <w:i/>
          <w:color w:val="FF0000"/>
          <w:sz w:val="24"/>
          <w:szCs w:val="24"/>
          <w:lang w:val="de-DE"/>
        </w:rPr>
        <w:t>……</w:t>
      </w:r>
      <w:r w:rsidR="005566D2" w:rsidRPr="009C7BE0">
        <w:rPr>
          <w:i/>
          <w:color w:val="FF0000"/>
          <w:sz w:val="24"/>
          <w:szCs w:val="24"/>
          <w:lang w:val="de-DE"/>
        </w:rPr>
        <w:t xml:space="preserve"> </w:t>
      </w:r>
      <w:r w:rsidR="002E3E02" w:rsidRPr="009C7BE0">
        <w:rPr>
          <w:i/>
          <w:color w:val="FF0000"/>
          <w:sz w:val="24"/>
          <w:szCs w:val="24"/>
          <w:lang w:val="de-DE"/>
        </w:rPr>
        <w:t>v</w:t>
      </w:r>
      <w:r w:rsidRPr="009C7BE0">
        <w:rPr>
          <w:i/>
          <w:color w:val="FF0000"/>
          <w:sz w:val="24"/>
          <w:szCs w:val="24"/>
          <w:lang w:val="de-DE"/>
        </w:rPr>
        <w:t xml:space="preserve">iz </w:t>
      </w:r>
      <w:r w:rsidR="00AA19CB" w:rsidRPr="009C7BE0">
        <w:rPr>
          <w:i/>
          <w:color w:val="FF0000"/>
          <w:sz w:val="24"/>
          <w:szCs w:val="24"/>
          <w:lang w:val="de-DE"/>
        </w:rPr>
        <w:t>EK D</w:t>
      </w:r>
      <w:r w:rsidRPr="009C7BE0">
        <w:rPr>
          <w:i/>
          <w:color w:val="FF0000"/>
          <w:sz w:val="24"/>
          <w:szCs w:val="24"/>
          <w:lang w:val="de-DE"/>
        </w:rPr>
        <w:t xml:space="preserve">raft </w:t>
      </w:r>
      <w:r w:rsidR="007B21A9" w:rsidRPr="009C7BE0">
        <w:rPr>
          <w:i/>
          <w:color w:val="FF0000"/>
          <w:sz w:val="24"/>
          <w:szCs w:val="24"/>
          <w:lang w:val="de-DE"/>
        </w:rPr>
        <w:t>T</w:t>
      </w:r>
      <w:r w:rsidRPr="009C7BE0">
        <w:rPr>
          <w:i/>
          <w:color w:val="FF0000"/>
          <w:sz w:val="24"/>
          <w:szCs w:val="24"/>
          <w:lang w:val="de-DE"/>
        </w:rPr>
        <w:t xml:space="preserve">emplate / </w:t>
      </w:r>
      <w:r w:rsidR="002F6CB3" w:rsidRPr="009C7BE0">
        <w:rPr>
          <w:i/>
          <w:color w:val="FF0000"/>
          <w:sz w:val="24"/>
          <w:szCs w:val="24"/>
          <w:lang w:val="de-DE"/>
        </w:rPr>
        <w:t xml:space="preserve">verze </w:t>
      </w:r>
      <w:r w:rsidRPr="009C7BE0">
        <w:rPr>
          <w:i/>
          <w:color w:val="FF0000"/>
          <w:sz w:val="24"/>
          <w:szCs w:val="24"/>
          <w:lang w:val="de-DE"/>
        </w:rPr>
        <w:t xml:space="preserve">leden </w:t>
      </w:r>
      <w:smartTag w:uri="urn:schemas-microsoft-com:office:smarttags" w:element="metricconverter">
        <w:smartTagPr>
          <w:attr w:name="ProductID" w:val="2013 a"/>
        </w:smartTagPr>
        <w:r w:rsidRPr="009C7BE0">
          <w:rPr>
            <w:i/>
            <w:color w:val="FF0000"/>
            <w:sz w:val="24"/>
            <w:szCs w:val="24"/>
            <w:lang w:val="de-DE"/>
          </w:rPr>
          <w:t xml:space="preserve">2013 </w:t>
        </w:r>
        <w:r w:rsidR="005566D2" w:rsidRPr="009C7BE0">
          <w:rPr>
            <w:i/>
            <w:color w:val="FF0000"/>
            <w:sz w:val="24"/>
            <w:szCs w:val="24"/>
            <w:lang w:val="de-DE"/>
          </w:rPr>
          <w:t>a</w:t>
        </w:r>
      </w:smartTag>
      <w:r w:rsidR="005566D2" w:rsidRPr="009C7BE0">
        <w:rPr>
          <w:i/>
          <w:color w:val="FF0000"/>
          <w:sz w:val="24"/>
          <w:szCs w:val="24"/>
          <w:lang w:val="de-DE"/>
        </w:rPr>
        <w:t xml:space="preserve"> únor 2013</w:t>
      </w:r>
      <w:r w:rsidR="002F6CB3" w:rsidRPr="009C7BE0">
        <w:rPr>
          <w:i/>
          <w:color w:val="FF0000"/>
          <w:sz w:val="24"/>
          <w:szCs w:val="24"/>
          <w:lang w:val="de-DE"/>
        </w:rPr>
        <w:t xml:space="preserve"> / </w:t>
      </w:r>
      <w:r w:rsidRPr="009C7BE0">
        <w:rPr>
          <w:b/>
          <w:i/>
          <w:color w:val="FF0000"/>
          <w:sz w:val="24"/>
          <w:szCs w:val="24"/>
          <w:lang w:val="de-DE"/>
        </w:rPr>
        <w:t xml:space="preserve">sekce </w:t>
      </w:r>
      <w:r w:rsidR="00D97F09" w:rsidRPr="009C7BE0">
        <w:rPr>
          <w:b/>
          <w:i/>
          <w:color w:val="FF0000"/>
          <w:sz w:val="24"/>
          <w:szCs w:val="24"/>
          <w:lang w:val="de-DE"/>
        </w:rPr>
        <w:t>3</w:t>
      </w:r>
      <w:r w:rsidR="002F6CB3" w:rsidRPr="009C7BE0">
        <w:rPr>
          <w:i/>
          <w:color w:val="FF0000"/>
          <w:sz w:val="24"/>
          <w:szCs w:val="24"/>
          <w:lang w:val="de-DE"/>
        </w:rPr>
        <w:t xml:space="preserve"> / </w:t>
      </w:r>
      <w:r w:rsidRPr="009C7BE0">
        <w:rPr>
          <w:i/>
          <w:color w:val="FF0000"/>
          <w:sz w:val="24"/>
          <w:szCs w:val="24"/>
          <w:lang w:val="de-DE"/>
        </w:rPr>
        <w:t xml:space="preserve">str. 7 – </w:t>
      </w:r>
      <w:smartTag w:uri="urn:schemas-microsoft-com:office:smarttags" w:element="metricconverter">
        <w:smartTagPr>
          <w:attr w:name="ProductID" w:val="19 a"/>
        </w:smartTagPr>
        <w:r w:rsidR="00AA19CB" w:rsidRPr="009C7BE0">
          <w:rPr>
            <w:i/>
            <w:color w:val="FF0000"/>
            <w:sz w:val="24"/>
            <w:szCs w:val="24"/>
            <w:lang w:val="de-DE"/>
          </w:rPr>
          <w:t>19</w:t>
        </w:r>
        <w:r w:rsidR="002E3E02" w:rsidRPr="009C7BE0">
          <w:rPr>
            <w:i/>
            <w:color w:val="FF0000"/>
            <w:sz w:val="24"/>
            <w:szCs w:val="24"/>
            <w:lang w:val="de-DE"/>
          </w:rPr>
          <w:t xml:space="preserve"> a</w:t>
        </w:r>
      </w:smartTag>
      <w:r w:rsidR="002E3E02" w:rsidRPr="009C7BE0">
        <w:rPr>
          <w:i/>
          <w:color w:val="FF0000"/>
          <w:sz w:val="24"/>
          <w:szCs w:val="24"/>
          <w:lang w:val="de-DE"/>
        </w:rPr>
        <w:t xml:space="preserve"> </w:t>
      </w:r>
      <w:r w:rsidR="009222E7" w:rsidRPr="009C7BE0">
        <w:rPr>
          <w:i/>
          <w:color w:val="FF0000"/>
          <w:sz w:val="24"/>
          <w:szCs w:val="24"/>
          <w:lang w:val="de-DE"/>
        </w:rPr>
        <w:t>Metodika, verze 1.0</w:t>
      </w:r>
      <w:r w:rsidR="002F6CB3" w:rsidRPr="009C7BE0">
        <w:rPr>
          <w:i/>
          <w:color w:val="FF0000"/>
          <w:sz w:val="24"/>
          <w:szCs w:val="24"/>
          <w:lang w:val="de-DE"/>
        </w:rPr>
        <w:t xml:space="preserve"> </w:t>
      </w:r>
      <w:r w:rsidR="009222E7" w:rsidRPr="009C7BE0">
        <w:rPr>
          <w:i/>
          <w:color w:val="FF0000"/>
          <w:sz w:val="24"/>
          <w:szCs w:val="24"/>
          <w:lang w:val="de-DE"/>
        </w:rPr>
        <w:t>únor 2013</w:t>
      </w:r>
      <w:r w:rsidR="002F6CB3" w:rsidRPr="009C7BE0">
        <w:rPr>
          <w:i/>
          <w:color w:val="FF0000"/>
          <w:sz w:val="24"/>
          <w:szCs w:val="24"/>
          <w:lang w:val="de-DE"/>
        </w:rPr>
        <w:t xml:space="preserve"> / </w:t>
      </w:r>
      <w:r w:rsidR="009222E7" w:rsidRPr="009C7BE0">
        <w:rPr>
          <w:b/>
          <w:i/>
          <w:color w:val="FF0000"/>
          <w:sz w:val="24"/>
          <w:szCs w:val="24"/>
          <w:lang w:val="de-DE"/>
        </w:rPr>
        <w:t>kap. 7.3</w:t>
      </w:r>
      <w:r w:rsidR="002F6CB3" w:rsidRPr="009C7BE0">
        <w:rPr>
          <w:i/>
          <w:color w:val="FF0000"/>
          <w:sz w:val="24"/>
          <w:szCs w:val="24"/>
          <w:lang w:val="de-DE"/>
        </w:rPr>
        <w:t xml:space="preserve"> / </w:t>
      </w:r>
      <w:r w:rsidR="009222E7" w:rsidRPr="009C7BE0">
        <w:rPr>
          <w:i/>
          <w:color w:val="FF0000"/>
          <w:sz w:val="24"/>
          <w:szCs w:val="24"/>
          <w:lang w:val="de-DE"/>
        </w:rPr>
        <w:t>str. 83</w:t>
      </w:r>
      <w:r w:rsidR="002F6CB3" w:rsidRPr="009C7BE0">
        <w:rPr>
          <w:i/>
          <w:color w:val="FF0000"/>
          <w:sz w:val="24"/>
          <w:szCs w:val="24"/>
          <w:lang w:val="de-DE"/>
        </w:rPr>
        <w:t xml:space="preserve"> - </w:t>
      </w:r>
      <w:r w:rsidR="009222E7" w:rsidRPr="009C7BE0">
        <w:rPr>
          <w:i/>
          <w:color w:val="FF0000"/>
          <w:sz w:val="24"/>
          <w:szCs w:val="24"/>
          <w:lang w:val="de-DE"/>
        </w:rPr>
        <w:t>93</w:t>
      </w:r>
    </w:p>
    <w:p w:rsidR="00AA19CB" w:rsidRPr="009A0366" w:rsidRDefault="00AA19CB" w:rsidP="00C14092">
      <w:pPr>
        <w:overflowPunct/>
        <w:textAlignment w:val="auto"/>
        <w:rPr>
          <w:b/>
          <w:sz w:val="24"/>
          <w:szCs w:val="24"/>
          <w:lang w:val="de-DE"/>
        </w:rPr>
      </w:pPr>
    </w:p>
    <w:p w:rsidR="009865C9" w:rsidRPr="00A3013F" w:rsidRDefault="009865C9" w:rsidP="009C7BE0">
      <w:pPr>
        <w:pStyle w:val="Nadpis2"/>
        <w:spacing w:before="120"/>
      </w:pPr>
      <w:bookmarkStart w:id="23" w:name="_Toc351464356"/>
      <w:bookmarkStart w:id="24" w:name="_Toc352328360"/>
      <w:r w:rsidRPr="00A3013F">
        <w:t xml:space="preserve">Prioritní osa 1 </w:t>
      </w:r>
      <w:r w:rsidR="003568A9">
        <w:t xml:space="preserve">- </w:t>
      </w:r>
      <w:r w:rsidRPr="00A3013F">
        <w:t>Rozvoj podnikání založený na podpoře výzkumu, vývoje a inovací</w:t>
      </w:r>
      <w:bookmarkEnd w:id="23"/>
      <w:bookmarkEnd w:id="24"/>
    </w:p>
    <w:p w:rsidR="00AC779C" w:rsidRDefault="00E10173" w:rsidP="00AC779C">
      <w:pPr>
        <w:overflowPunct/>
        <w:jc w:val="both"/>
        <w:textAlignment w:val="auto"/>
        <w:rPr>
          <w:rFonts w:asciiTheme="minorHAnsi" w:hAnsiTheme="minorHAnsi" w:cstheme="minorHAnsi"/>
          <w:sz w:val="24"/>
          <w:szCs w:val="24"/>
        </w:rPr>
      </w:pPr>
      <w:r w:rsidRPr="00E40039">
        <w:rPr>
          <w:rFonts w:asciiTheme="minorHAnsi" w:hAnsiTheme="minorHAnsi" w:cstheme="minorHAnsi"/>
          <w:bCs/>
          <w:sz w:val="24"/>
          <w:szCs w:val="24"/>
        </w:rPr>
        <w:t xml:space="preserve">Tato prioritní osa bude implementována v návaznosti na tematický cíl č. 1 </w:t>
      </w:r>
      <w:r w:rsidR="00E40039" w:rsidRPr="00E40039">
        <w:rPr>
          <w:rFonts w:asciiTheme="minorHAnsi" w:hAnsiTheme="minorHAnsi" w:cstheme="minorHAnsi"/>
          <w:sz w:val="24"/>
          <w:szCs w:val="24"/>
        </w:rPr>
        <w:t>Posílení výzkumu, technologického rozvoje a inovací</w:t>
      </w:r>
      <w:r w:rsidR="00AC779C" w:rsidRPr="00E40039">
        <w:rPr>
          <w:rFonts w:asciiTheme="minorHAnsi" w:hAnsiTheme="minorHAnsi" w:cstheme="minorHAnsi"/>
          <w:sz w:val="24"/>
          <w:szCs w:val="24"/>
        </w:rPr>
        <w:t xml:space="preserve"> defino</w:t>
      </w:r>
      <w:r w:rsidR="00AC779C" w:rsidRPr="00EC794F">
        <w:rPr>
          <w:rFonts w:asciiTheme="minorHAnsi" w:hAnsiTheme="minorHAnsi" w:cstheme="minorHAnsi"/>
          <w:sz w:val="24"/>
          <w:szCs w:val="24"/>
        </w:rPr>
        <w:t>vaném v nařízení č. xxxx/2013 s cílem přispět k naplnění odpovídající investiční priority definované v nařízení č. xxxx/2013.</w:t>
      </w:r>
      <w:r w:rsidR="00AC779C" w:rsidRPr="00E40039">
        <w:rPr>
          <w:rFonts w:asciiTheme="minorHAnsi" w:hAnsiTheme="minorHAnsi" w:cstheme="minorHAnsi"/>
          <w:sz w:val="24"/>
          <w:szCs w:val="24"/>
        </w:rPr>
        <w:t xml:space="preserve"> </w:t>
      </w:r>
    </w:p>
    <w:p w:rsidR="001C52A9" w:rsidRDefault="001C52A9" w:rsidP="00AC779C">
      <w:pPr>
        <w:overflowPunct/>
        <w:jc w:val="both"/>
        <w:textAlignment w:val="auto"/>
        <w:rPr>
          <w:rFonts w:asciiTheme="minorHAnsi" w:hAnsiTheme="minorHAnsi" w:cstheme="minorHAnsi"/>
          <w:sz w:val="24"/>
          <w:szCs w:val="24"/>
        </w:rPr>
      </w:pPr>
    </w:p>
    <w:p w:rsidR="001C52A9" w:rsidRPr="009A0366" w:rsidRDefault="001C52A9" w:rsidP="001C52A9">
      <w:pPr>
        <w:pStyle w:val="TextNOK"/>
        <w:spacing w:before="60" w:line="240" w:lineRule="auto"/>
        <w:rPr>
          <w:rFonts w:ascii="Times New Roman" w:hAnsi="Times New Roman"/>
          <w:b/>
          <w:sz w:val="24"/>
          <w:szCs w:val="24"/>
        </w:rPr>
      </w:pPr>
      <w:r w:rsidRPr="00EC794F">
        <w:rPr>
          <w:rFonts w:ascii="Times New Roman" w:hAnsi="Times New Roman"/>
          <w:b/>
          <w:sz w:val="24"/>
          <w:szCs w:val="24"/>
        </w:rPr>
        <w:t xml:space="preserve">Tabulka </w:t>
      </w:r>
      <w:r w:rsidR="00530623" w:rsidRPr="00EC794F">
        <w:rPr>
          <w:rFonts w:ascii="Times New Roman" w:hAnsi="Times New Roman"/>
          <w:b/>
          <w:sz w:val="24"/>
          <w:szCs w:val="24"/>
        </w:rPr>
        <w:t>xx</w:t>
      </w:r>
      <w:r w:rsidRPr="00EC794F">
        <w:rPr>
          <w:rFonts w:ascii="Times New Roman" w:hAnsi="Times New Roman"/>
          <w:b/>
          <w:sz w:val="24"/>
          <w:szCs w:val="24"/>
        </w:rPr>
        <w:t>: Sezn</w:t>
      </w:r>
      <w:r w:rsidRPr="008A50E3">
        <w:rPr>
          <w:rFonts w:ascii="Times New Roman" w:hAnsi="Times New Roman"/>
          <w:b/>
          <w:sz w:val="24"/>
          <w:szCs w:val="24"/>
        </w:rPr>
        <w:t>am všech indikátorů programu</w:t>
      </w:r>
      <w:r w:rsidRPr="009A0366">
        <w:rPr>
          <w:rFonts w:ascii="Times New Roman" w:hAnsi="Times New Roman"/>
          <w:b/>
          <w:sz w:val="24"/>
          <w:szCs w:val="24"/>
        </w:rPr>
        <w:t xml:space="preserve"> </w:t>
      </w:r>
    </w:p>
    <w:tbl>
      <w:tblPr>
        <w:tblW w:w="10987"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1417"/>
        <w:gridCol w:w="992"/>
        <w:gridCol w:w="992"/>
        <w:gridCol w:w="992"/>
        <w:gridCol w:w="1134"/>
        <w:gridCol w:w="851"/>
        <w:gridCol w:w="815"/>
      </w:tblGrid>
      <w:tr w:rsidR="001C52A9" w:rsidRPr="009A0366" w:rsidTr="00641EA3">
        <w:tc>
          <w:tcPr>
            <w:tcW w:w="1101" w:type="dxa"/>
            <w:vMerge w:val="restart"/>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Specifický cíl</w:t>
            </w:r>
          </w:p>
        </w:tc>
        <w:tc>
          <w:tcPr>
            <w:tcW w:w="1134" w:type="dxa"/>
            <w:vMerge w:val="restart"/>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4110" w:type="dxa"/>
            <w:gridSpan w:val="4"/>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992" w:type="dxa"/>
            <w:vMerge w:val="restart"/>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815" w:type="dxa"/>
            <w:vMerge w:val="restart"/>
            <w:shd w:val="clear" w:color="auto" w:fill="auto"/>
          </w:tcPr>
          <w:p w:rsidR="001C52A9" w:rsidRPr="009A0366" w:rsidRDefault="001C52A9" w:rsidP="001C52A9">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1C52A9" w:rsidRPr="009A0366" w:rsidTr="00641EA3">
        <w:tc>
          <w:tcPr>
            <w:tcW w:w="1101" w:type="dxa"/>
            <w:vMerge/>
            <w:shd w:val="clear" w:color="auto" w:fill="auto"/>
          </w:tcPr>
          <w:p w:rsidR="001C52A9" w:rsidRPr="009A0366" w:rsidRDefault="001C52A9" w:rsidP="001C52A9">
            <w:pPr>
              <w:pStyle w:val="TextMetodika"/>
              <w:jc w:val="center"/>
              <w:rPr>
                <w:rFonts w:ascii="Times New Roman" w:hAnsi="Times New Roman"/>
                <w:b/>
                <w:bCs/>
                <w:sz w:val="22"/>
                <w:szCs w:val="22"/>
              </w:rPr>
            </w:pPr>
          </w:p>
        </w:tc>
        <w:tc>
          <w:tcPr>
            <w:tcW w:w="850" w:type="dxa"/>
            <w:vMerge/>
            <w:shd w:val="clear" w:color="auto" w:fill="auto"/>
          </w:tcPr>
          <w:p w:rsidR="001C52A9" w:rsidRPr="009A0366" w:rsidRDefault="001C52A9" w:rsidP="001C52A9">
            <w:pPr>
              <w:pStyle w:val="TextMetodika"/>
              <w:jc w:val="center"/>
              <w:rPr>
                <w:rFonts w:ascii="Times New Roman" w:hAnsi="Times New Roman"/>
                <w:b/>
                <w:bCs/>
                <w:sz w:val="22"/>
                <w:szCs w:val="22"/>
              </w:rPr>
            </w:pPr>
          </w:p>
        </w:tc>
        <w:tc>
          <w:tcPr>
            <w:tcW w:w="1134" w:type="dxa"/>
            <w:vMerge/>
            <w:shd w:val="clear" w:color="auto" w:fill="auto"/>
          </w:tcPr>
          <w:p w:rsidR="001C52A9" w:rsidRPr="009A0366" w:rsidRDefault="001C52A9" w:rsidP="001C52A9">
            <w:pPr>
              <w:pStyle w:val="TextMetodika"/>
              <w:jc w:val="center"/>
              <w:rPr>
                <w:rFonts w:ascii="Times New Roman" w:hAnsi="Times New Roman"/>
                <w:b/>
                <w:bCs/>
                <w:sz w:val="22"/>
                <w:szCs w:val="22"/>
              </w:rPr>
            </w:pPr>
          </w:p>
        </w:tc>
        <w:tc>
          <w:tcPr>
            <w:tcW w:w="709" w:type="dxa"/>
            <w:shd w:val="clear" w:color="auto" w:fill="auto"/>
          </w:tcPr>
          <w:p w:rsidR="001C52A9" w:rsidRPr="009A0366" w:rsidRDefault="001C52A9" w:rsidP="001C52A9">
            <w:pPr>
              <w:pStyle w:val="TextMetodika"/>
              <w:jc w:val="center"/>
              <w:rPr>
                <w:rFonts w:ascii="Times New Roman" w:hAnsi="Times New Roman"/>
                <w:b/>
                <w:bCs/>
                <w:sz w:val="22"/>
                <w:szCs w:val="22"/>
              </w:rPr>
            </w:pPr>
            <w:r w:rsidRPr="009A0366">
              <w:rPr>
                <w:rFonts w:ascii="Times New Roman" w:hAnsi="Times New Roman"/>
                <w:b/>
                <w:bCs/>
                <w:sz w:val="22"/>
                <w:szCs w:val="22"/>
              </w:rPr>
              <w:t>Kód NČI 2014+</w:t>
            </w:r>
          </w:p>
        </w:tc>
        <w:tc>
          <w:tcPr>
            <w:tcW w:w="1417" w:type="dxa"/>
            <w:shd w:val="clear" w:color="auto" w:fill="auto"/>
          </w:tcPr>
          <w:p w:rsidR="001C52A9" w:rsidRPr="009A0366" w:rsidRDefault="001C52A9" w:rsidP="001C52A9">
            <w:pPr>
              <w:pStyle w:val="TextMetodika"/>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1C52A9" w:rsidRPr="009A0366" w:rsidRDefault="001C52A9" w:rsidP="001C52A9">
            <w:pPr>
              <w:pStyle w:val="TextMetodika"/>
              <w:jc w:val="center"/>
              <w:rPr>
                <w:rFonts w:ascii="Times New Roman" w:hAnsi="Times New Roman"/>
                <w:b/>
                <w:bCs/>
                <w:sz w:val="22"/>
                <w:szCs w:val="22"/>
              </w:rPr>
            </w:pPr>
            <w:r w:rsidRPr="009A0366">
              <w:rPr>
                <w:rFonts w:ascii="Times New Roman" w:hAnsi="Times New Roman"/>
                <w:b/>
                <w:bCs/>
                <w:sz w:val="22"/>
                <w:szCs w:val="22"/>
              </w:rPr>
              <w:t>Měrná jednotka</w:t>
            </w:r>
          </w:p>
        </w:tc>
        <w:tc>
          <w:tcPr>
            <w:tcW w:w="992" w:type="dxa"/>
            <w:shd w:val="clear" w:color="auto" w:fill="auto"/>
          </w:tcPr>
          <w:p w:rsidR="001C52A9" w:rsidRPr="009A0366" w:rsidRDefault="001C52A9" w:rsidP="001C52A9">
            <w:pPr>
              <w:pStyle w:val="TextMetodika"/>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992" w:type="dxa"/>
            <w:vMerge/>
            <w:shd w:val="clear" w:color="auto" w:fill="auto"/>
          </w:tcPr>
          <w:p w:rsidR="001C52A9" w:rsidRPr="009A0366" w:rsidRDefault="001C52A9" w:rsidP="001C52A9">
            <w:pPr>
              <w:pStyle w:val="TextMetodika"/>
              <w:jc w:val="center"/>
              <w:rPr>
                <w:rFonts w:ascii="Times New Roman" w:hAnsi="Times New Roman"/>
                <w:b/>
                <w:bCs/>
                <w:sz w:val="22"/>
                <w:szCs w:val="22"/>
              </w:rPr>
            </w:pPr>
          </w:p>
        </w:tc>
        <w:tc>
          <w:tcPr>
            <w:tcW w:w="1134" w:type="dxa"/>
            <w:vMerge/>
            <w:shd w:val="clear" w:color="auto" w:fill="auto"/>
          </w:tcPr>
          <w:p w:rsidR="001C52A9" w:rsidRPr="009A0366" w:rsidRDefault="001C52A9" w:rsidP="001C52A9">
            <w:pPr>
              <w:pStyle w:val="TextMetodika"/>
              <w:jc w:val="center"/>
              <w:rPr>
                <w:rFonts w:ascii="Times New Roman" w:hAnsi="Times New Roman"/>
                <w:b/>
                <w:bCs/>
                <w:sz w:val="22"/>
                <w:szCs w:val="22"/>
              </w:rPr>
            </w:pPr>
          </w:p>
        </w:tc>
        <w:tc>
          <w:tcPr>
            <w:tcW w:w="851" w:type="dxa"/>
            <w:vMerge/>
            <w:shd w:val="clear" w:color="auto" w:fill="auto"/>
          </w:tcPr>
          <w:p w:rsidR="001C52A9" w:rsidRPr="009A0366" w:rsidRDefault="001C52A9" w:rsidP="001C52A9">
            <w:pPr>
              <w:pStyle w:val="TextMetodika"/>
              <w:jc w:val="center"/>
              <w:rPr>
                <w:rFonts w:ascii="Times New Roman" w:hAnsi="Times New Roman"/>
                <w:b/>
                <w:bCs/>
                <w:sz w:val="22"/>
                <w:szCs w:val="22"/>
              </w:rPr>
            </w:pPr>
          </w:p>
        </w:tc>
        <w:tc>
          <w:tcPr>
            <w:tcW w:w="815" w:type="dxa"/>
            <w:vMerge/>
            <w:shd w:val="clear" w:color="auto" w:fill="auto"/>
          </w:tcPr>
          <w:p w:rsidR="001C52A9" w:rsidRPr="009A0366" w:rsidRDefault="001C52A9" w:rsidP="001C52A9">
            <w:pPr>
              <w:pStyle w:val="TextMetodika"/>
              <w:jc w:val="center"/>
              <w:rPr>
                <w:rFonts w:ascii="Times New Roman" w:hAnsi="Times New Roman"/>
                <w:b/>
                <w:bCs/>
                <w:sz w:val="22"/>
                <w:szCs w:val="22"/>
              </w:rPr>
            </w:pPr>
          </w:p>
        </w:tc>
      </w:tr>
      <w:tr w:rsidR="001C52A9" w:rsidRPr="009A0366" w:rsidTr="00641EA3">
        <w:tc>
          <w:tcPr>
            <w:tcW w:w="1101" w:type="dxa"/>
            <w:shd w:val="clear" w:color="auto" w:fill="auto"/>
          </w:tcPr>
          <w:p w:rsidR="001C52A9" w:rsidRPr="00B47FEC" w:rsidRDefault="00B47FEC" w:rsidP="001C52A9">
            <w:pPr>
              <w:pStyle w:val="TextMetodika"/>
              <w:jc w:val="center"/>
              <w:rPr>
                <w:rFonts w:ascii="Times New Roman" w:hAnsi="Times New Roman"/>
                <w:bCs/>
                <w:sz w:val="22"/>
                <w:szCs w:val="22"/>
              </w:rPr>
            </w:pPr>
            <w:r w:rsidRPr="00B47FEC">
              <w:rPr>
                <w:rFonts w:ascii="Times New Roman" w:hAnsi="Times New Roman"/>
                <w:bCs/>
                <w:sz w:val="22"/>
                <w:szCs w:val="22"/>
              </w:rPr>
              <w:t>1b</w:t>
            </w:r>
          </w:p>
        </w:tc>
        <w:tc>
          <w:tcPr>
            <w:tcW w:w="850" w:type="dxa"/>
            <w:shd w:val="clear" w:color="auto" w:fill="auto"/>
          </w:tcPr>
          <w:p w:rsidR="001C52A9" w:rsidRPr="00B47FEC" w:rsidRDefault="001C52A9" w:rsidP="001C52A9">
            <w:pPr>
              <w:pStyle w:val="TextMetodika"/>
              <w:jc w:val="center"/>
              <w:rPr>
                <w:rFonts w:ascii="Times New Roman" w:hAnsi="Times New Roman"/>
                <w:bCs/>
                <w:sz w:val="22"/>
                <w:szCs w:val="22"/>
              </w:rPr>
            </w:pPr>
          </w:p>
        </w:tc>
        <w:tc>
          <w:tcPr>
            <w:tcW w:w="1134" w:type="dxa"/>
            <w:shd w:val="clear" w:color="auto" w:fill="auto"/>
          </w:tcPr>
          <w:p w:rsidR="001C52A9" w:rsidRPr="00B47FEC" w:rsidRDefault="001C52A9" w:rsidP="001C52A9">
            <w:pPr>
              <w:pStyle w:val="TextMetodika"/>
              <w:jc w:val="center"/>
              <w:rPr>
                <w:rFonts w:ascii="Times New Roman" w:hAnsi="Times New Roman"/>
                <w:bCs/>
                <w:sz w:val="22"/>
                <w:szCs w:val="22"/>
              </w:rPr>
            </w:pPr>
          </w:p>
        </w:tc>
        <w:tc>
          <w:tcPr>
            <w:tcW w:w="709" w:type="dxa"/>
            <w:shd w:val="clear" w:color="auto" w:fill="auto"/>
          </w:tcPr>
          <w:p w:rsidR="001C52A9" w:rsidRPr="00B47FEC" w:rsidRDefault="001C52A9" w:rsidP="001C52A9">
            <w:pPr>
              <w:pStyle w:val="TextMetodika"/>
              <w:jc w:val="center"/>
              <w:rPr>
                <w:rFonts w:ascii="Times New Roman" w:hAnsi="Times New Roman"/>
                <w:bCs/>
                <w:sz w:val="22"/>
                <w:szCs w:val="22"/>
              </w:rPr>
            </w:pPr>
          </w:p>
        </w:tc>
        <w:tc>
          <w:tcPr>
            <w:tcW w:w="1417" w:type="dxa"/>
            <w:shd w:val="clear" w:color="auto" w:fill="auto"/>
          </w:tcPr>
          <w:p w:rsidR="001C52A9" w:rsidRPr="00B47FEC" w:rsidRDefault="00B47FEC" w:rsidP="001C52A9">
            <w:pPr>
              <w:pStyle w:val="TextMetodika"/>
              <w:jc w:val="center"/>
              <w:rPr>
                <w:rFonts w:ascii="Times New Roman" w:hAnsi="Times New Roman"/>
                <w:bCs/>
                <w:sz w:val="22"/>
                <w:szCs w:val="22"/>
              </w:rPr>
            </w:pPr>
            <w:r w:rsidRPr="00B47FEC">
              <w:t>Number of enterprises receiving support</w:t>
            </w:r>
          </w:p>
        </w:tc>
        <w:tc>
          <w:tcPr>
            <w:tcW w:w="992" w:type="dxa"/>
            <w:shd w:val="clear" w:color="auto" w:fill="auto"/>
          </w:tcPr>
          <w:p w:rsidR="001C52A9" w:rsidRPr="00B47FEC" w:rsidRDefault="00B47FEC" w:rsidP="001C52A9">
            <w:pPr>
              <w:pStyle w:val="TextMetodika"/>
              <w:jc w:val="center"/>
              <w:rPr>
                <w:rFonts w:ascii="Times New Roman" w:hAnsi="Times New Roman"/>
                <w:bCs/>
                <w:sz w:val="22"/>
                <w:szCs w:val="22"/>
              </w:rPr>
            </w:pPr>
            <w:r w:rsidRPr="00B47FEC">
              <w:t>enterprises</w:t>
            </w:r>
          </w:p>
        </w:tc>
        <w:tc>
          <w:tcPr>
            <w:tcW w:w="992" w:type="dxa"/>
            <w:shd w:val="clear" w:color="auto" w:fill="auto"/>
          </w:tcPr>
          <w:p w:rsidR="001C52A9" w:rsidRPr="00B47FEC" w:rsidRDefault="00B47FEC" w:rsidP="001C52A9">
            <w:pPr>
              <w:pStyle w:val="TextMetodika"/>
              <w:jc w:val="center"/>
              <w:rPr>
                <w:rFonts w:ascii="Times New Roman" w:hAnsi="Times New Roman"/>
                <w:bCs/>
                <w:sz w:val="22"/>
                <w:szCs w:val="22"/>
              </w:rPr>
            </w:pPr>
            <w:r w:rsidRPr="00B47FEC">
              <w:rPr>
                <w:rFonts w:ascii="Times New Roman" w:hAnsi="Times New Roman"/>
                <w:bCs/>
                <w:sz w:val="22"/>
                <w:szCs w:val="22"/>
              </w:rPr>
              <w:t>výstup</w:t>
            </w:r>
          </w:p>
        </w:tc>
        <w:tc>
          <w:tcPr>
            <w:tcW w:w="992" w:type="dxa"/>
            <w:shd w:val="clear" w:color="auto" w:fill="auto"/>
          </w:tcPr>
          <w:p w:rsidR="001C52A9" w:rsidRPr="00B47FEC" w:rsidRDefault="00B47FEC" w:rsidP="001C52A9">
            <w:pPr>
              <w:pStyle w:val="TextMetodika"/>
              <w:jc w:val="center"/>
              <w:rPr>
                <w:rFonts w:ascii="Times New Roman" w:hAnsi="Times New Roman"/>
                <w:bCs/>
                <w:sz w:val="22"/>
                <w:szCs w:val="22"/>
              </w:rPr>
            </w:pPr>
            <w:r w:rsidRPr="00B47FEC">
              <w:rPr>
                <w:rFonts w:ascii="Times New Roman" w:hAnsi="Times New Roman"/>
                <w:bCs/>
                <w:sz w:val="22"/>
                <w:szCs w:val="22"/>
              </w:rPr>
              <w:t>0</w:t>
            </w:r>
          </w:p>
        </w:tc>
        <w:tc>
          <w:tcPr>
            <w:tcW w:w="1134" w:type="dxa"/>
            <w:shd w:val="clear" w:color="auto" w:fill="auto"/>
          </w:tcPr>
          <w:p w:rsidR="001C52A9" w:rsidRPr="00B47FEC" w:rsidRDefault="001C52A9" w:rsidP="001C52A9">
            <w:pPr>
              <w:pStyle w:val="TextMetodika"/>
              <w:jc w:val="center"/>
              <w:rPr>
                <w:rFonts w:ascii="Times New Roman" w:hAnsi="Times New Roman"/>
                <w:bCs/>
                <w:sz w:val="22"/>
                <w:szCs w:val="22"/>
              </w:rPr>
            </w:pPr>
          </w:p>
        </w:tc>
        <w:tc>
          <w:tcPr>
            <w:tcW w:w="851" w:type="dxa"/>
            <w:shd w:val="clear" w:color="auto" w:fill="auto"/>
          </w:tcPr>
          <w:p w:rsidR="001C52A9" w:rsidRPr="00B47FEC" w:rsidRDefault="00B47FEC" w:rsidP="001C52A9">
            <w:pPr>
              <w:pStyle w:val="TextMetodika"/>
              <w:jc w:val="center"/>
              <w:rPr>
                <w:rFonts w:ascii="Times New Roman" w:hAnsi="Times New Roman"/>
                <w:bCs/>
                <w:sz w:val="22"/>
                <w:szCs w:val="22"/>
              </w:rPr>
            </w:pPr>
            <w:r w:rsidRPr="00B47FEC">
              <w:rPr>
                <w:rFonts w:ascii="Times New Roman" w:hAnsi="Times New Roman"/>
                <w:bCs/>
                <w:sz w:val="22"/>
                <w:szCs w:val="22"/>
              </w:rPr>
              <w:t>IS</w:t>
            </w:r>
          </w:p>
        </w:tc>
        <w:tc>
          <w:tcPr>
            <w:tcW w:w="815" w:type="dxa"/>
            <w:shd w:val="clear" w:color="auto" w:fill="auto"/>
          </w:tcPr>
          <w:p w:rsidR="001C52A9" w:rsidRPr="00B47FEC" w:rsidRDefault="001C52A9" w:rsidP="001C52A9">
            <w:pPr>
              <w:pStyle w:val="TextMetodika"/>
              <w:jc w:val="center"/>
              <w:rPr>
                <w:rFonts w:ascii="Times New Roman" w:hAnsi="Times New Roman"/>
                <w:bCs/>
                <w:sz w:val="22"/>
                <w:szCs w:val="22"/>
              </w:rPr>
            </w:pPr>
          </w:p>
        </w:tc>
      </w:tr>
      <w:tr w:rsidR="00B47FEC" w:rsidRPr="009A0366" w:rsidTr="00641EA3">
        <w:tc>
          <w:tcPr>
            <w:tcW w:w="1101" w:type="dxa"/>
            <w:shd w:val="clear" w:color="auto" w:fill="auto"/>
          </w:tcPr>
          <w:p w:rsidR="00B47FEC" w:rsidRPr="00B47FEC" w:rsidRDefault="00B47FEC" w:rsidP="001C52A9">
            <w:pPr>
              <w:pStyle w:val="TextMetodika"/>
              <w:jc w:val="center"/>
              <w:rPr>
                <w:rFonts w:ascii="Times New Roman" w:hAnsi="Times New Roman"/>
                <w:bCs/>
                <w:sz w:val="22"/>
                <w:szCs w:val="22"/>
              </w:rPr>
            </w:pPr>
            <w:r w:rsidRPr="00B47FEC">
              <w:rPr>
                <w:rFonts w:ascii="Times New Roman" w:hAnsi="Times New Roman"/>
                <w:bCs/>
                <w:sz w:val="22"/>
                <w:szCs w:val="22"/>
              </w:rPr>
              <w:t>1b</w:t>
            </w:r>
          </w:p>
        </w:tc>
        <w:tc>
          <w:tcPr>
            <w:tcW w:w="850" w:type="dxa"/>
            <w:shd w:val="clear" w:color="auto" w:fill="auto"/>
          </w:tcPr>
          <w:p w:rsidR="00B47FEC" w:rsidRPr="00B47FEC" w:rsidRDefault="00B47FEC" w:rsidP="001C52A9">
            <w:pPr>
              <w:pStyle w:val="TextMetodika"/>
              <w:jc w:val="center"/>
              <w:rPr>
                <w:rFonts w:ascii="Times New Roman" w:hAnsi="Times New Roman"/>
                <w:bCs/>
                <w:sz w:val="22"/>
                <w:szCs w:val="22"/>
              </w:rPr>
            </w:pPr>
          </w:p>
        </w:tc>
        <w:tc>
          <w:tcPr>
            <w:tcW w:w="1134" w:type="dxa"/>
            <w:shd w:val="clear" w:color="auto" w:fill="auto"/>
          </w:tcPr>
          <w:p w:rsidR="00B47FEC" w:rsidRPr="00B47FEC" w:rsidRDefault="00B47FEC" w:rsidP="001C52A9">
            <w:pPr>
              <w:pStyle w:val="TextMetodika"/>
              <w:jc w:val="center"/>
              <w:rPr>
                <w:rFonts w:ascii="Times New Roman" w:hAnsi="Times New Roman"/>
                <w:bCs/>
                <w:sz w:val="22"/>
                <w:szCs w:val="22"/>
              </w:rPr>
            </w:pPr>
          </w:p>
        </w:tc>
        <w:tc>
          <w:tcPr>
            <w:tcW w:w="709" w:type="dxa"/>
            <w:shd w:val="clear" w:color="auto" w:fill="auto"/>
          </w:tcPr>
          <w:p w:rsidR="00B47FEC" w:rsidRPr="00B47FEC" w:rsidRDefault="00B47FEC" w:rsidP="001C52A9">
            <w:pPr>
              <w:pStyle w:val="TextMetodika"/>
              <w:jc w:val="center"/>
              <w:rPr>
                <w:rFonts w:ascii="Times New Roman" w:hAnsi="Times New Roman"/>
                <w:bCs/>
                <w:sz w:val="22"/>
                <w:szCs w:val="22"/>
              </w:rPr>
            </w:pPr>
          </w:p>
        </w:tc>
        <w:tc>
          <w:tcPr>
            <w:tcW w:w="1417" w:type="dxa"/>
            <w:shd w:val="clear" w:color="auto" w:fill="auto"/>
          </w:tcPr>
          <w:p w:rsidR="00B47FEC" w:rsidRPr="00B47FEC" w:rsidRDefault="00B47FEC" w:rsidP="001C52A9">
            <w:pPr>
              <w:pStyle w:val="TextMetodika"/>
              <w:jc w:val="center"/>
            </w:pPr>
            <w:r w:rsidRPr="00B47FEC">
              <w:t>Number of enterprises receiving grants</w:t>
            </w:r>
          </w:p>
        </w:tc>
        <w:tc>
          <w:tcPr>
            <w:tcW w:w="992" w:type="dxa"/>
            <w:shd w:val="clear" w:color="auto" w:fill="auto"/>
          </w:tcPr>
          <w:p w:rsidR="00B47FEC" w:rsidRPr="00B47FEC" w:rsidRDefault="00B47FEC" w:rsidP="001C52A9">
            <w:pPr>
              <w:pStyle w:val="TextMetodika"/>
              <w:jc w:val="center"/>
            </w:pPr>
            <w:r w:rsidRPr="00B47FEC">
              <w:t>enterprises</w:t>
            </w:r>
          </w:p>
        </w:tc>
        <w:tc>
          <w:tcPr>
            <w:tcW w:w="992" w:type="dxa"/>
            <w:shd w:val="clear" w:color="auto" w:fill="auto"/>
          </w:tcPr>
          <w:p w:rsidR="00B47FEC" w:rsidRPr="00B47FEC" w:rsidRDefault="00B47FEC" w:rsidP="001C52A9">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B47FEC" w:rsidRPr="00B47FEC" w:rsidRDefault="00B47FEC" w:rsidP="001C52A9">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B47FEC" w:rsidRPr="00B47FEC" w:rsidRDefault="00B47FEC" w:rsidP="001C52A9">
            <w:pPr>
              <w:pStyle w:val="TextMetodika"/>
              <w:jc w:val="center"/>
              <w:rPr>
                <w:rFonts w:ascii="Times New Roman" w:hAnsi="Times New Roman"/>
                <w:bCs/>
                <w:sz w:val="22"/>
                <w:szCs w:val="22"/>
              </w:rPr>
            </w:pPr>
          </w:p>
        </w:tc>
        <w:tc>
          <w:tcPr>
            <w:tcW w:w="851" w:type="dxa"/>
            <w:shd w:val="clear" w:color="auto" w:fill="auto"/>
          </w:tcPr>
          <w:p w:rsidR="00B47FEC" w:rsidRPr="00B47FEC" w:rsidRDefault="00B47FEC" w:rsidP="001C52A9">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B47FEC" w:rsidRPr="00B47FEC" w:rsidRDefault="00B47FEC" w:rsidP="001C52A9">
            <w:pPr>
              <w:pStyle w:val="TextMetodika"/>
              <w:jc w:val="center"/>
              <w:rPr>
                <w:rFonts w:ascii="Times New Roman" w:hAnsi="Times New Roman"/>
                <w:bCs/>
                <w:sz w:val="22"/>
                <w:szCs w:val="22"/>
              </w:rPr>
            </w:pPr>
          </w:p>
        </w:tc>
      </w:tr>
      <w:tr w:rsidR="00CF6368" w:rsidRPr="009A0366" w:rsidTr="00641EA3">
        <w:tc>
          <w:tcPr>
            <w:tcW w:w="1101" w:type="dxa"/>
            <w:shd w:val="clear" w:color="auto" w:fill="auto"/>
          </w:tcPr>
          <w:p w:rsidR="00CF6368" w:rsidRPr="00B47FEC" w:rsidRDefault="00CF6368" w:rsidP="001C52A9">
            <w:pPr>
              <w:pStyle w:val="TextMetodika"/>
              <w:jc w:val="center"/>
              <w:rPr>
                <w:rFonts w:ascii="Times New Roman" w:hAnsi="Times New Roman"/>
                <w:bCs/>
                <w:sz w:val="22"/>
                <w:szCs w:val="22"/>
              </w:rPr>
            </w:pPr>
            <w:r w:rsidRPr="00B47FEC">
              <w:rPr>
                <w:rFonts w:ascii="Times New Roman" w:hAnsi="Times New Roman"/>
                <w:bCs/>
                <w:sz w:val="22"/>
                <w:szCs w:val="22"/>
              </w:rPr>
              <w:t>1b</w:t>
            </w:r>
          </w:p>
        </w:tc>
        <w:tc>
          <w:tcPr>
            <w:tcW w:w="850" w:type="dxa"/>
            <w:shd w:val="clear" w:color="auto" w:fill="auto"/>
          </w:tcPr>
          <w:p w:rsidR="00CF6368" w:rsidRPr="00B47FEC" w:rsidRDefault="00CF6368" w:rsidP="001C52A9">
            <w:pPr>
              <w:pStyle w:val="TextMetodika"/>
              <w:jc w:val="center"/>
              <w:rPr>
                <w:rFonts w:ascii="Times New Roman" w:hAnsi="Times New Roman"/>
                <w:bCs/>
                <w:sz w:val="22"/>
                <w:szCs w:val="22"/>
              </w:rPr>
            </w:pPr>
          </w:p>
        </w:tc>
        <w:tc>
          <w:tcPr>
            <w:tcW w:w="1134" w:type="dxa"/>
            <w:shd w:val="clear" w:color="auto" w:fill="auto"/>
          </w:tcPr>
          <w:p w:rsidR="00CF6368" w:rsidRPr="00B47FEC" w:rsidRDefault="00CF6368" w:rsidP="001C52A9">
            <w:pPr>
              <w:pStyle w:val="TextMetodika"/>
              <w:jc w:val="center"/>
              <w:rPr>
                <w:rFonts w:ascii="Times New Roman" w:hAnsi="Times New Roman"/>
                <w:bCs/>
                <w:sz w:val="22"/>
                <w:szCs w:val="22"/>
              </w:rPr>
            </w:pPr>
          </w:p>
        </w:tc>
        <w:tc>
          <w:tcPr>
            <w:tcW w:w="709" w:type="dxa"/>
            <w:shd w:val="clear" w:color="auto" w:fill="auto"/>
          </w:tcPr>
          <w:p w:rsidR="00CF6368" w:rsidRPr="00B47FEC" w:rsidRDefault="00CF6368" w:rsidP="001C52A9">
            <w:pPr>
              <w:pStyle w:val="TextMetodika"/>
              <w:jc w:val="center"/>
              <w:rPr>
                <w:rFonts w:ascii="Times New Roman" w:hAnsi="Times New Roman"/>
                <w:bCs/>
                <w:sz w:val="22"/>
                <w:szCs w:val="22"/>
              </w:rPr>
            </w:pPr>
          </w:p>
        </w:tc>
        <w:tc>
          <w:tcPr>
            <w:tcW w:w="1417" w:type="dxa"/>
            <w:shd w:val="clear" w:color="auto" w:fill="auto"/>
          </w:tcPr>
          <w:p w:rsidR="00CF6368" w:rsidRPr="00B47FEC" w:rsidRDefault="00CF6368" w:rsidP="001C52A9">
            <w:pPr>
              <w:pStyle w:val="TextMetodika"/>
              <w:jc w:val="center"/>
            </w:pPr>
            <w:r w:rsidRPr="001F5E1A">
              <w:t>Number of enterprises receiving financial support other than grants</w:t>
            </w:r>
          </w:p>
        </w:tc>
        <w:tc>
          <w:tcPr>
            <w:tcW w:w="992" w:type="dxa"/>
            <w:shd w:val="clear" w:color="auto" w:fill="auto"/>
          </w:tcPr>
          <w:p w:rsidR="00CF6368" w:rsidRPr="00B47FEC" w:rsidRDefault="00CF6368" w:rsidP="00CF6368">
            <w:pPr>
              <w:pStyle w:val="TextMetodika"/>
              <w:jc w:val="center"/>
            </w:pPr>
            <w:r w:rsidRPr="00B47FEC">
              <w:t>enterprises</w:t>
            </w:r>
          </w:p>
        </w:tc>
        <w:tc>
          <w:tcPr>
            <w:tcW w:w="992" w:type="dxa"/>
            <w:shd w:val="clear" w:color="auto" w:fill="auto"/>
          </w:tcPr>
          <w:p w:rsidR="00CF6368" w:rsidRPr="00B47FEC" w:rsidRDefault="00CF6368" w:rsidP="00CF6368">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CF6368" w:rsidRPr="00B47FEC" w:rsidRDefault="00CF6368"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CF6368" w:rsidRPr="00B47FEC" w:rsidRDefault="00CF6368" w:rsidP="00CF6368">
            <w:pPr>
              <w:pStyle w:val="TextMetodika"/>
              <w:jc w:val="center"/>
              <w:rPr>
                <w:rFonts w:ascii="Times New Roman" w:hAnsi="Times New Roman"/>
                <w:bCs/>
                <w:sz w:val="22"/>
                <w:szCs w:val="22"/>
              </w:rPr>
            </w:pPr>
          </w:p>
        </w:tc>
        <w:tc>
          <w:tcPr>
            <w:tcW w:w="851" w:type="dxa"/>
            <w:shd w:val="clear" w:color="auto" w:fill="auto"/>
          </w:tcPr>
          <w:p w:rsidR="00CF6368" w:rsidRPr="00B47FEC" w:rsidRDefault="00CF6368"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CF6368" w:rsidRPr="00B47FEC" w:rsidRDefault="00CF6368" w:rsidP="00CF6368">
            <w:pPr>
              <w:pStyle w:val="TextMetodika"/>
              <w:jc w:val="center"/>
              <w:rPr>
                <w:rFonts w:ascii="Times New Roman" w:hAnsi="Times New Roman"/>
                <w:bCs/>
                <w:sz w:val="22"/>
                <w:szCs w:val="22"/>
              </w:rPr>
            </w:pPr>
          </w:p>
        </w:tc>
      </w:tr>
      <w:tr w:rsidR="00CF6368" w:rsidRPr="009A0366" w:rsidTr="00641EA3">
        <w:tc>
          <w:tcPr>
            <w:tcW w:w="1101"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r>
              <w:rPr>
                <w:rFonts w:ascii="Times New Roman" w:hAnsi="Times New Roman"/>
                <w:bCs/>
                <w:sz w:val="22"/>
                <w:szCs w:val="22"/>
              </w:rPr>
              <w:lastRenderedPageBreak/>
              <w:t>1b</w:t>
            </w:r>
          </w:p>
        </w:tc>
        <w:tc>
          <w:tcPr>
            <w:tcW w:w="850"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p>
        </w:tc>
        <w:tc>
          <w:tcPr>
            <w:tcW w:w="1134"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p>
        </w:tc>
        <w:tc>
          <w:tcPr>
            <w:tcW w:w="709"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p>
        </w:tc>
        <w:tc>
          <w:tcPr>
            <w:tcW w:w="1417" w:type="dxa"/>
            <w:shd w:val="clear" w:color="auto" w:fill="auto"/>
          </w:tcPr>
          <w:p w:rsidR="00CF6368" w:rsidRPr="001F5E1A" w:rsidRDefault="00CF6368" w:rsidP="00AE0AB9">
            <w:pPr>
              <w:pStyle w:val="TextMetodika"/>
              <w:keepNext/>
              <w:keepLines/>
              <w:jc w:val="center"/>
            </w:pPr>
            <w:r w:rsidRPr="007003FB">
              <w:t>Number of enterprises receiving non-financial support</w:t>
            </w:r>
            <w:r w:rsidR="00F140AE">
              <w:t>*</w:t>
            </w:r>
          </w:p>
        </w:tc>
        <w:tc>
          <w:tcPr>
            <w:tcW w:w="992" w:type="dxa"/>
            <w:shd w:val="clear" w:color="auto" w:fill="auto"/>
          </w:tcPr>
          <w:p w:rsidR="00CF6368" w:rsidRPr="00B47FEC" w:rsidRDefault="00CF6368" w:rsidP="00AE0AB9">
            <w:pPr>
              <w:pStyle w:val="TextMetodika"/>
              <w:keepNext/>
              <w:keepLines/>
              <w:jc w:val="center"/>
            </w:pPr>
            <w:r w:rsidRPr="00B47FEC">
              <w:t>enterprises</w:t>
            </w:r>
          </w:p>
        </w:tc>
        <w:tc>
          <w:tcPr>
            <w:tcW w:w="992"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p>
        </w:tc>
        <w:tc>
          <w:tcPr>
            <w:tcW w:w="851"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CF6368" w:rsidRPr="00B47FEC" w:rsidRDefault="00CF6368" w:rsidP="00AE0AB9">
            <w:pPr>
              <w:pStyle w:val="TextMetodika"/>
              <w:keepNext/>
              <w:keepLines/>
              <w:jc w:val="center"/>
              <w:rPr>
                <w:rFonts w:ascii="Times New Roman" w:hAnsi="Times New Roman"/>
                <w:bCs/>
                <w:sz w:val="22"/>
                <w:szCs w:val="22"/>
              </w:rPr>
            </w:pPr>
          </w:p>
        </w:tc>
      </w:tr>
      <w:tr w:rsidR="00CF6368" w:rsidRPr="009A0366" w:rsidTr="00641EA3">
        <w:tc>
          <w:tcPr>
            <w:tcW w:w="1101" w:type="dxa"/>
            <w:shd w:val="clear" w:color="auto" w:fill="auto"/>
          </w:tcPr>
          <w:p w:rsidR="00CF6368" w:rsidRDefault="00CF6368" w:rsidP="001C52A9">
            <w:pPr>
              <w:pStyle w:val="TextMetodika"/>
              <w:jc w:val="center"/>
              <w:rPr>
                <w:rFonts w:ascii="Times New Roman" w:hAnsi="Times New Roman"/>
                <w:bCs/>
                <w:sz w:val="22"/>
                <w:szCs w:val="22"/>
              </w:rPr>
            </w:pPr>
            <w:r>
              <w:rPr>
                <w:rFonts w:ascii="Times New Roman" w:hAnsi="Times New Roman"/>
                <w:bCs/>
                <w:sz w:val="22"/>
                <w:szCs w:val="22"/>
              </w:rPr>
              <w:t>1b</w:t>
            </w:r>
          </w:p>
        </w:tc>
        <w:tc>
          <w:tcPr>
            <w:tcW w:w="850" w:type="dxa"/>
            <w:shd w:val="clear" w:color="auto" w:fill="auto"/>
          </w:tcPr>
          <w:p w:rsidR="00CF6368" w:rsidRPr="00B47FEC" w:rsidRDefault="00CF6368" w:rsidP="001C52A9">
            <w:pPr>
              <w:pStyle w:val="TextMetodika"/>
              <w:jc w:val="center"/>
              <w:rPr>
                <w:rFonts w:ascii="Times New Roman" w:hAnsi="Times New Roman"/>
                <w:bCs/>
                <w:sz w:val="22"/>
                <w:szCs w:val="22"/>
              </w:rPr>
            </w:pPr>
          </w:p>
        </w:tc>
        <w:tc>
          <w:tcPr>
            <w:tcW w:w="1134" w:type="dxa"/>
            <w:shd w:val="clear" w:color="auto" w:fill="auto"/>
          </w:tcPr>
          <w:p w:rsidR="00CF6368" w:rsidRPr="00B47FEC" w:rsidRDefault="00CF6368" w:rsidP="001C52A9">
            <w:pPr>
              <w:pStyle w:val="TextMetodika"/>
              <w:jc w:val="center"/>
              <w:rPr>
                <w:rFonts w:ascii="Times New Roman" w:hAnsi="Times New Roman"/>
                <w:bCs/>
                <w:sz w:val="22"/>
                <w:szCs w:val="22"/>
              </w:rPr>
            </w:pPr>
          </w:p>
        </w:tc>
        <w:tc>
          <w:tcPr>
            <w:tcW w:w="709" w:type="dxa"/>
            <w:shd w:val="clear" w:color="auto" w:fill="auto"/>
          </w:tcPr>
          <w:p w:rsidR="00CF6368" w:rsidRPr="00B47FEC" w:rsidRDefault="00CF6368" w:rsidP="001C52A9">
            <w:pPr>
              <w:pStyle w:val="TextMetodika"/>
              <w:jc w:val="center"/>
              <w:rPr>
                <w:rFonts w:ascii="Times New Roman" w:hAnsi="Times New Roman"/>
                <w:bCs/>
                <w:sz w:val="22"/>
                <w:szCs w:val="22"/>
              </w:rPr>
            </w:pPr>
          </w:p>
        </w:tc>
        <w:tc>
          <w:tcPr>
            <w:tcW w:w="1417" w:type="dxa"/>
            <w:shd w:val="clear" w:color="auto" w:fill="auto"/>
          </w:tcPr>
          <w:p w:rsidR="00CF6368" w:rsidRPr="007003FB" w:rsidRDefault="00CF6368" w:rsidP="001C52A9">
            <w:pPr>
              <w:pStyle w:val="TextMetodika"/>
              <w:jc w:val="center"/>
            </w:pPr>
            <w:r w:rsidRPr="001F5E1A">
              <w:t>Number of new enterprises supported</w:t>
            </w:r>
          </w:p>
        </w:tc>
        <w:tc>
          <w:tcPr>
            <w:tcW w:w="992" w:type="dxa"/>
            <w:shd w:val="clear" w:color="auto" w:fill="auto"/>
          </w:tcPr>
          <w:p w:rsidR="00CF6368" w:rsidRPr="00B47FEC" w:rsidRDefault="00CF6368" w:rsidP="00CF6368">
            <w:pPr>
              <w:pStyle w:val="TextMetodika"/>
              <w:jc w:val="center"/>
            </w:pPr>
            <w:r w:rsidRPr="00B47FEC">
              <w:t>enterprises</w:t>
            </w:r>
          </w:p>
        </w:tc>
        <w:tc>
          <w:tcPr>
            <w:tcW w:w="992" w:type="dxa"/>
            <w:shd w:val="clear" w:color="auto" w:fill="auto"/>
          </w:tcPr>
          <w:p w:rsidR="00CF6368" w:rsidRPr="00B47FEC" w:rsidRDefault="00CF6368" w:rsidP="00CF6368">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CF6368" w:rsidRPr="00B47FEC" w:rsidRDefault="00CF6368"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CF6368" w:rsidRPr="00B47FEC" w:rsidRDefault="00CF6368" w:rsidP="00CF6368">
            <w:pPr>
              <w:pStyle w:val="TextMetodika"/>
              <w:jc w:val="center"/>
              <w:rPr>
                <w:rFonts w:ascii="Times New Roman" w:hAnsi="Times New Roman"/>
                <w:bCs/>
                <w:sz w:val="22"/>
                <w:szCs w:val="22"/>
              </w:rPr>
            </w:pPr>
          </w:p>
        </w:tc>
        <w:tc>
          <w:tcPr>
            <w:tcW w:w="851" w:type="dxa"/>
            <w:shd w:val="clear" w:color="auto" w:fill="auto"/>
          </w:tcPr>
          <w:p w:rsidR="00CF6368" w:rsidRPr="00B47FEC" w:rsidRDefault="00CF6368"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CF6368" w:rsidRPr="00B47FEC" w:rsidRDefault="00CF6368" w:rsidP="00CF6368">
            <w:pPr>
              <w:pStyle w:val="TextMetodika"/>
              <w:jc w:val="center"/>
              <w:rPr>
                <w:rFonts w:ascii="Times New Roman" w:hAnsi="Times New Roman"/>
                <w:bCs/>
                <w:sz w:val="22"/>
                <w:szCs w:val="22"/>
              </w:rPr>
            </w:pPr>
          </w:p>
        </w:tc>
      </w:tr>
      <w:tr w:rsidR="006D13A1" w:rsidRPr="009A0366" w:rsidTr="00641EA3">
        <w:tc>
          <w:tcPr>
            <w:tcW w:w="1101" w:type="dxa"/>
            <w:shd w:val="clear" w:color="auto" w:fill="auto"/>
          </w:tcPr>
          <w:p w:rsidR="006D13A1" w:rsidRDefault="006D13A1" w:rsidP="001C52A9">
            <w:pPr>
              <w:pStyle w:val="TextMetodika"/>
              <w:jc w:val="center"/>
              <w:rPr>
                <w:rFonts w:ascii="Times New Roman" w:hAnsi="Times New Roman"/>
                <w:bCs/>
                <w:sz w:val="22"/>
                <w:szCs w:val="22"/>
              </w:rPr>
            </w:pPr>
            <w:r>
              <w:rPr>
                <w:rFonts w:ascii="Times New Roman" w:hAnsi="Times New Roman"/>
                <w:bCs/>
                <w:sz w:val="22"/>
                <w:szCs w:val="22"/>
              </w:rPr>
              <w:t>1b</w:t>
            </w:r>
          </w:p>
        </w:tc>
        <w:tc>
          <w:tcPr>
            <w:tcW w:w="850"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134"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709"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417" w:type="dxa"/>
            <w:shd w:val="clear" w:color="auto" w:fill="auto"/>
          </w:tcPr>
          <w:p w:rsidR="006D13A1" w:rsidRPr="001F5E1A" w:rsidRDefault="006D13A1" w:rsidP="001C52A9">
            <w:pPr>
              <w:pStyle w:val="TextMetodika"/>
              <w:jc w:val="center"/>
            </w:pPr>
            <w:r w:rsidRPr="007003FB">
              <w:t>Private investment matching public support to enterprises (grants)</w:t>
            </w:r>
          </w:p>
        </w:tc>
        <w:tc>
          <w:tcPr>
            <w:tcW w:w="992" w:type="dxa"/>
            <w:shd w:val="clear" w:color="auto" w:fill="auto"/>
          </w:tcPr>
          <w:p w:rsidR="006D13A1" w:rsidRPr="00B47FEC" w:rsidRDefault="006D13A1" w:rsidP="006D13A1">
            <w:pPr>
              <w:pStyle w:val="TextMetodika"/>
              <w:jc w:val="center"/>
            </w:pPr>
            <w:r>
              <w:t>EUR</w:t>
            </w:r>
          </w:p>
        </w:tc>
        <w:tc>
          <w:tcPr>
            <w:tcW w:w="992" w:type="dxa"/>
            <w:shd w:val="clear" w:color="auto" w:fill="auto"/>
          </w:tcPr>
          <w:p w:rsidR="006D13A1" w:rsidRDefault="006D13A1" w:rsidP="006D13A1">
            <w:pPr>
              <w:pStyle w:val="TextMetodika"/>
              <w:jc w:val="center"/>
              <w:rPr>
                <w:rFonts w:ascii="Times New Roman" w:hAnsi="Times New Roman"/>
                <w:bCs/>
                <w:sz w:val="22"/>
                <w:szCs w:val="22"/>
              </w:rPr>
            </w:pPr>
            <w:r>
              <w:rPr>
                <w:rFonts w:ascii="Times New Roman" w:hAnsi="Times New Roman"/>
                <w:bCs/>
                <w:sz w:val="22"/>
                <w:szCs w:val="22"/>
              </w:rPr>
              <w:t>vstup</w:t>
            </w:r>
          </w:p>
        </w:tc>
        <w:tc>
          <w:tcPr>
            <w:tcW w:w="992" w:type="dxa"/>
            <w:shd w:val="clear" w:color="auto" w:fill="auto"/>
          </w:tcPr>
          <w:p w:rsidR="006D13A1" w:rsidRDefault="006D13A1" w:rsidP="006D13A1">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6D13A1" w:rsidRPr="00B47FEC" w:rsidRDefault="006D13A1" w:rsidP="006D13A1">
            <w:pPr>
              <w:pStyle w:val="TextMetodika"/>
              <w:jc w:val="center"/>
              <w:rPr>
                <w:rFonts w:ascii="Times New Roman" w:hAnsi="Times New Roman"/>
                <w:bCs/>
                <w:sz w:val="22"/>
                <w:szCs w:val="22"/>
              </w:rPr>
            </w:pPr>
          </w:p>
        </w:tc>
        <w:tc>
          <w:tcPr>
            <w:tcW w:w="851" w:type="dxa"/>
            <w:shd w:val="clear" w:color="auto" w:fill="auto"/>
          </w:tcPr>
          <w:p w:rsidR="006D13A1" w:rsidRDefault="006D13A1" w:rsidP="006D13A1">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6D13A1" w:rsidRPr="00B47FEC" w:rsidRDefault="006D13A1" w:rsidP="006D13A1">
            <w:pPr>
              <w:pStyle w:val="TextMetodika"/>
              <w:jc w:val="center"/>
              <w:rPr>
                <w:rFonts w:ascii="Times New Roman" w:hAnsi="Times New Roman"/>
                <w:bCs/>
                <w:sz w:val="22"/>
                <w:szCs w:val="22"/>
              </w:rPr>
            </w:pPr>
          </w:p>
        </w:tc>
      </w:tr>
      <w:tr w:rsidR="006D13A1" w:rsidRPr="009A0366" w:rsidTr="00641EA3">
        <w:tc>
          <w:tcPr>
            <w:tcW w:w="1101" w:type="dxa"/>
            <w:shd w:val="clear" w:color="auto" w:fill="auto"/>
          </w:tcPr>
          <w:p w:rsidR="006D13A1" w:rsidRDefault="006D13A1" w:rsidP="001C52A9">
            <w:pPr>
              <w:pStyle w:val="TextMetodika"/>
              <w:jc w:val="center"/>
              <w:rPr>
                <w:rFonts w:ascii="Times New Roman" w:hAnsi="Times New Roman"/>
                <w:bCs/>
                <w:sz w:val="22"/>
                <w:szCs w:val="22"/>
              </w:rPr>
            </w:pPr>
            <w:r>
              <w:rPr>
                <w:rFonts w:ascii="Times New Roman" w:hAnsi="Times New Roman"/>
                <w:bCs/>
                <w:sz w:val="22"/>
                <w:szCs w:val="22"/>
              </w:rPr>
              <w:t>1b</w:t>
            </w:r>
          </w:p>
        </w:tc>
        <w:tc>
          <w:tcPr>
            <w:tcW w:w="850"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134"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709"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417" w:type="dxa"/>
            <w:shd w:val="clear" w:color="auto" w:fill="auto"/>
          </w:tcPr>
          <w:p w:rsidR="006D13A1" w:rsidRPr="001F5E1A" w:rsidRDefault="006D13A1" w:rsidP="001C52A9">
            <w:pPr>
              <w:pStyle w:val="TextMetodika"/>
              <w:jc w:val="center"/>
            </w:pPr>
            <w:r w:rsidRPr="007003FB">
              <w:t>Private investment matching public support to enterprises (non-grants)</w:t>
            </w:r>
          </w:p>
        </w:tc>
        <w:tc>
          <w:tcPr>
            <w:tcW w:w="992" w:type="dxa"/>
            <w:shd w:val="clear" w:color="auto" w:fill="auto"/>
          </w:tcPr>
          <w:p w:rsidR="006D13A1" w:rsidRPr="00B47FEC" w:rsidRDefault="006D13A1" w:rsidP="00CF6368">
            <w:pPr>
              <w:pStyle w:val="TextMetodika"/>
              <w:jc w:val="center"/>
            </w:pPr>
            <w:r>
              <w:t>EUR</w:t>
            </w:r>
          </w:p>
        </w:tc>
        <w:tc>
          <w:tcPr>
            <w:tcW w:w="992" w:type="dxa"/>
            <w:shd w:val="clear" w:color="auto" w:fill="auto"/>
          </w:tcPr>
          <w:p w:rsidR="006D13A1" w:rsidRDefault="00F140AE" w:rsidP="00CF6368">
            <w:pPr>
              <w:pStyle w:val="TextMetodika"/>
              <w:jc w:val="center"/>
              <w:rPr>
                <w:rFonts w:ascii="Times New Roman" w:hAnsi="Times New Roman"/>
                <w:bCs/>
                <w:sz w:val="22"/>
                <w:szCs w:val="22"/>
              </w:rPr>
            </w:pPr>
            <w:r>
              <w:rPr>
                <w:rFonts w:ascii="Times New Roman" w:hAnsi="Times New Roman"/>
                <w:bCs/>
                <w:sz w:val="22"/>
                <w:szCs w:val="22"/>
              </w:rPr>
              <w:t>V</w:t>
            </w:r>
            <w:r w:rsidR="006D13A1">
              <w:rPr>
                <w:rFonts w:ascii="Times New Roman" w:hAnsi="Times New Roman"/>
                <w:bCs/>
                <w:sz w:val="22"/>
                <w:szCs w:val="22"/>
              </w:rPr>
              <w:t>stup</w:t>
            </w:r>
            <w:r>
              <w:rPr>
                <w:rFonts w:ascii="Times New Roman" w:hAnsi="Times New Roman"/>
                <w:bCs/>
                <w:sz w:val="22"/>
                <w:szCs w:val="22"/>
              </w:rPr>
              <w:t>**</w:t>
            </w:r>
          </w:p>
        </w:tc>
        <w:tc>
          <w:tcPr>
            <w:tcW w:w="992"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6D13A1" w:rsidRPr="00B47FEC" w:rsidRDefault="006D13A1" w:rsidP="00CF6368">
            <w:pPr>
              <w:pStyle w:val="TextMetodika"/>
              <w:jc w:val="center"/>
              <w:rPr>
                <w:rFonts w:ascii="Times New Roman" w:hAnsi="Times New Roman"/>
                <w:bCs/>
                <w:sz w:val="22"/>
                <w:szCs w:val="22"/>
              </w:rPr>
            </w:pPr>
          </w:p>
        </w:tc>
        <w:tc>
          <w:tcPr>
            <w:tcW w:w="851"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6D13A1" w:rsidRPr="00B47FEC" w:rsidRDefault="006D13A1" w:rsidP="00CF6368">
            <w:pPr>
              <w:pStyle w:val="TextMetodika"/>
              <w:jc w:val="center"/>
              <w:rPr>
                <w:rFonts w:ascii="Times New Roman" w:hAnsi="Times New Roman"/>
                <w:bCs/>
                <w:sz w:val="22"/>
                <w:szCs w:val="22"/>
              </w:rPr>
            </w:pPr>
          </w:p>
        </w:tc>
      </w:tr>
      <w:tr w:rsidR="006D13A1" w:rsidRPr="009A0366" w:rsidTr="00641EA3">
        <w:tc>
          <w:tcPr>
            <w:tcW w:w="1101" w:type="dxa"/>
            <w:shd w:val="clear" w:color="auto" w:fill="auto"/>
          </w:tcPr>
          <w:p w:rsidR="006D13A1" w:rsidRDefault="006D13A1" w:rsidP="001C52A9">
            <w:pPr>
              <w:pStyle w:val="TextMetodika"/>
              <w:jc w:val="center"/>
              <w:rPr>
                <w:rFonts w:ascii="Times New Roman" w:hAnsi="Times New Roman"/>
                <w:bCs/>
                <w:sz w:val="22"/>
                <w:szCs w:val="22"/>
              </w:rPr>
            </w:pPr>
            <w:r>
              <w:rPr>
                <w:rFonts w:ascii="Times New Roman" w:hAnsi="Times New Roman"/>
                <w:bCs/>
                <w:sz w:val="22"/>
                <w:szCs w:val="22"/>
              </w:rPr>
              <w:t>1b</w:t>
            </w:r>
          </w:p>
        </w:tc>
        <w:tc>
          <w:tcPr>
            <w:tcW w:w="850"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134"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709"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417" w:type="dxa"/>
            <w:shd w:val="clear" w:color="auto" w:fill="auto"/>
          </w:tcPr>
          <w:p w:rsidR="006D13A1" w:rsidRPr="007003FB" w:rsidRDefault="006D13A1" w:rsidP="001C52A9">
            <w:pPr>
              <w:pStyle w:val="TextMetodika"/>
              <w:jc w:val="center"/>
            </w:pPr>
            <w:r w:rsidRPr="007003FB">
              <w:t>Employment increase in supported enterprises</w:t>
            </w:r>
          </w:p>
        </w:tc>
        <w:tc>
          <w:tcPr>
            <w:tcW w:w="992" w:type="dxa"/>
            <w:shd w:val="clear" w:color="auto" w:fill="auto"/>
          </w:tcPr>
          <w:p w:rsidR="006D13A1" w:rsidRDefault="006D13A1" w:rsidP="00CF6368">
            <w:pPr>
              <w:pStyle w:val="TextMetodika"/>
              <w:jc w:val="center"/>
            </w:pPr>
            <w:r w:rsidRPr="007003FB">
              <w:t>FTE</w:t>
            </w:r>
          </w:p>
        </w:tc>
        <w:tc>
          <w:tcPr>
            <w:tcW w:w="992" w:type="dxa"/>
            <w:shd w:val="clear" w:color="auto" w:fill="auto"/>
          </w:tcPr>
          <w:p w:rsidR="006D13A1" w:rsidRDefault="00F140AE" w:rsidP="00CF6368">
            <w:pPr>
              <w:pStyle w:val="TextMetodika"/>
              <w:jc w:val="center"/>
              <w:rPr>
                <w:rFonts w:ascii="Times New Roman" w:hAnsi="Times New Roman"/>
                <w:bCs/>
                <w:sz w:val="22"/>
                <w:szCs w:val="22"/>
              </w:rPr>
            </w:pPr>
            <w:r>
              <w:rPr>
                <w:rFonts w:ascii="Times New Roman" w:hAnsi="Times New Roman"/>
                <w:bCs/>
                <w:sz w:val="22"/>
                <w:szCs w:val="22"/>
              </w:rPr>
              <w:t>V</w:t>
            </w:r>
            <w:r w:rsidR="006D13A1">
              <w:rPr>
                <w:rFonts w:ascii="Times New Roman" w:hAnsi="Times New Roman"/>
                <w:bCs/>
                <w:sz w:val="22"/>
                <w:szCs w:val="22"/>
              </w:rPr>
              <w:t>ýsledek</w:t>
            </w:r>
            <w:r>
              <w:rPr>
                <w:rFonts w:ascii="Times New Roman" w:hAnsi="Times New Roman"/>
                <w:bCs/>
                <w:sz w:val="22"/>
                <w:szCs w:val="22"/>
              </w:rPr>
              <w:t>**</w:t>
            </w:r>
          </w:p>
        </w:tc>
        <w:tc>
          <w:tcPr>
            <w:tcW w:w="992"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6D13A1" w:rsidRPr="00B47FEC" w:rsidRDefault="006D13A1" w:rsidP="00CF6368">
            <w:pPr>
              <w:pStyle w:val="TextMetodika"/>
              <w:jc w:val="center"/>
              <w:rPr>
                <w:rFonts w:ascii="Times New Roman" w:hAnsi="Times New Roman"/>
                <w:bCs/>
                <w:sz w:val="22"/>
                <w:szCs w:val="22"/>
              </w:rPr>
            </w:pPr>
          </w:p>
        </w:tc>
        <w:tc>
          <w:tcPr>
            <w:tcW w:w="851"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6D13A1" w:rsidRPr="00B47FEC" w:rsidRDefault="006D13A1" w:rsidP="00CF6368">
            <w:pPr>
              <w:pStyle w:val="TextMetodika"/>
              <w:jc w:val="center"/>
              <w:rPr>
                <w:rFonts w:ascii="Times New Roman" w:hAnsi="Times New Roman"/>
                <w:bCs/>
                <w:sz w:val="22"/>
                <w:szCs w:val="22"/>
              </w:rPr>
            </w:pPr>
          </w:p>
        </w:tc>
      </w:tr>
      <w:tr w:rsidR="006D13A1" w:rsidRPr="009A0366" w:rsidTr="00641EA3">
        <w:tc>
          <w:tcPr>
            <w:tcW w:w="1101" w:type="dxa"/>
            <w:shd w:val="clear" w:color="auto" w:fill="auto"/>
          </w:tcPr>
          <w:p w:rsidR="006D13A1" w:rsidRPr="008D2D25" w:rsidRDefault="006D13A1" w:rsidP="008D2D25">
            <w:pPr>
              <w:pStyle w:val="TextMetodika"/>
              <w:jc w:val="center"/>
              <w:rPr>
                <w:rFonts w:ascii="Times New Roman" w:hAnsi="Times New Roman"/>
                <w:bCs/>
                <w:sz w:val="22"/>
                <w:szCs w:val="22"/>
              </w:rPr>
            </w:pPr>
            <w:r w:rsidRPr="001C2307">
              <w:rPr>
                <w:rFonts w:ascii="Times New Roman" w:hAnsi="Times New Roman"/>
                <w:bCs/>
                <w:sz w:val="22"/>
                <w:szCs w:val="22"/>
              </w:rPr>
              <w:t>1b</w:t>
            </w:r>
          </w:p>
        </w:tc>
        <w:tc>
          <w:tcPr>
            <w:tcW w:w="850"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134"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709"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417" w:type="dxa"/>
            <w:shd w:val="clear" w:color="auto" w:fill="auto"/>
          </w:tcPr>
          <w:p w:rsidR="006D13A1" w:rsidRPr="007003FB" w:rsidRDefault="006D13A1" w:rsidP="001C52A9">
            <w:pPr>
              <w:pStyle w:val="TextMetodika"/>
              <w:jc w:val="center"/>
            </w:pPr>
            <w:r w:rsidRPr="001F5E1A">
              <w:t>Number of new researchers in supported entities</w:t>
            </w:r>
            <w:r w:rsidR="00D62F1C">
              <w:t>***</w:t>
            </w:r>
          </w:p>
        </w:tc>
        <w:tc>
          <w:tcPr>
            <w:tcW w:w="992" w:type="dxa"/>
            <w:shd w:val="clear" w:color="auto" w:fill="auto"/>
          </w:tcPr>
          <w:p w:rsidR="006D13A1" w:rsidRPr="007003FB" w:rsidRDefault="006D13A1" w:rsidP="00CF6368">
            <w:pPr>
              <w:pStyle w:val="TextMetodika"/>
              <w:jc w:val="center"/>
            </w:pPr>
            <w:r w:rsidRPr="007003FB">
              <w:t>FTE</w:t>
            </w:r>
          </w:p>
        </w:tc>
        <w:tc>
          <w:tcPr>
            <w:tcW w:w="992" w:type="dxa"/>
            <w:shd w:val="clear" w:color="auto" w:fill="auto"/>
          </w:tcPr>
          <w:p w:rsidR="006D13A1" w:rsidRDefault="006D13A1" w:rsidP="008D2D25">
            <w:pPr>
              <w:pStyle w:val="TextMetodika"/>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6D13A1" w:rsidRPr="00B47FEC" w:rsidRDefault="006D13A1" w:rsidP="00CF6368">
            <w:pPr>
              <w:pStyle w:val="TextMetodika"/>
              <w:jc w:val="center"/>
              <w:rPr>
                <w:rFonts w:ascii="Times New Roman" w:hAnsi="Times New Roman"/>
                <w:bCs/>
                <w:sz w:val="22"/>
                <w:szCs w:val="22"/>
              </w:rPr>
            </w:pPr>
          </w:p>
        </w:tc>
        <w:tc>
          <w:tcPr>
            <w:tcW w:w="851"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6D13A1" w:rsidRPr="00B47FEC" w:rsidRDefault="006D13A1" w:rsidP="00CF6368">
            <w:pPr>
              <w:pStyle w:val="TextMetodika"/>
              <w:jc w:val="center"/>
              <w:rPr>
                <w:rFonts w:ascii="Times New Roman" w:hAnsi="Times New Roman"/>
                <w:bCs/>
                <w:sz w:val="22"/>
                <w:szCs w:val="22"/>
              </w:rPr>
            </w:pPr>
          </w:p>
        </w:tc>
      </w:tr>
      <w:tr w:rsidR="006D13A1" w:rsidRPr="009A0366" w:rsidTr="00641EA3">
        <w:tc>
          <w:tcPr>
            <w:tcW w:w="1101" w:type="dxa"/>
            <w:shd w:val="clear" w:color="auto" w:fill="auto"/>
          </w:tcPr>
          <w:p w:rsidR="006D13A1" w:rsidRPr="008D2D25" w:rsidRDefault="006D13A1" w:rsidP="00AE0AB9">
            <w:pPr>
              <w:pStyle w:val="TextMetodika"/>
              <w:keepNext/>
              <w:jc w:val="center"/>
              <w:rPr>
                <w:rFonts w:ascii="Times New Roman" w:hAnsi="Times New Roman"/>
                <w:bCs/>
                <w:sz w:val="22"/>
                <w:szCs w:val="22"/>
              </w:rPr>
            </w:pPr>
            <w:r w:rsidRPr="001C2307">
              <w:rPr>
                <w:rFonts w:ascii="Times New Roman" w:hAnsi="Times New Roman"/>
                <w:bCs/>
                <w:sz w:val="22"/>
                <w:szCs w:val="22"/>
              </w:rPr>
              <w:lastRenderedPageBreak/>
              <w:t>1b</w:t>
            </w:r>
          </w:p>
        </w:tc>
        <w:tc>
          <w:tcPr>
            <w:tcW w:w="850" w:type="dxa"/>
            <w:shd w:val="clear" w:color="auto" w:fill="auto"/>
          </w:tcPr>
          <w:p w:rsidR="006D13A1" w:rsidRPr="00B47FEC" w:rsidRDefault="006D13A1" w:rsidP="00AE0AB9">
            <w:pPr>
              <w:pStyle w:val="TextMetodika"/>
              <w:keepNext/>
              <w:jc w:val="center"/>
              <w:rPr>
                <w:rFonts w:ascii="Times New Roman" w:hAnsi="Times New Roman"/>
                <w:bCs/>
                <w:sz w:val="22"/>
                <w:szCs w:val="22"/>
              </w:rPr>
            </w:pPr>
          </w:p>
        </w:tc>
        <w:tc>
          <w:tcPr>
            <w:tcW w:w="1134" w:type="dxa"/>
            <w:shd w:val="clear" w:color="auto" w:fill="auto"/>
          </w:tcPr>
          <w:p w:rsidR="006D13A1" w:rsidRPr="00B47FEC" w:rsidRDefault="006D13A1" w:rsidP="00AE0AB9">
            <w:pPr>
              <w:pStyle w:val="TextMetodika"/>
              <w:keepNext/>
              <w:jc w:val="center"/>
              <w:rPr>
                <w:rFonts w:ascii="Times New Roman" w:hAnsi="Times New Roman"/>
                <w:bCs/>
                <w:sz w:val="22"/>
                <w:szCs w:val="22"/>
              </w:rPr>
            </w:pPr>
          </w:p>
        </w:tc>
        <w:tc>
          <w:tcPr>
            <w:tcW w:w="709" w:type="dxa"/>
            <w:shd w:val="clear" w:color="auto" w:fill="auto"/>
          </w:tcPr>
          <w:p w:rsidR="006D13A1" w:rsidRPr="00B47FEC" w:rsidRDefault="006D13A1" w:rsidP="00AE0AB9">
            <w:pPr>
              <w:pStyle w:val="TextMetodika"/>
              <w:keepNext/>
              <w:jc w:val="center"/>
              <w:rPr>
                <w:rFonts w:ascii="Times New Roman" w:hAnsi="Times New Roman"/>
                <w:bCs/>
                <w:sz w:val="22"/>
                <w:szCs w:val="22"/>
              </w:rPr>
            </w:pPr>
          </w:p>
        </w:tc>
        <w:tc>
          <w:tcPr>
            <w:tcW w:w="1417" w:type="dxa"/>
            <w:shd w:val="clear" w:color="auto" w:fill="auto"/>
          </w:tcPr>
          <w:p w:rsidR="006D13A1" w:rsidRPr="007003FB" w:rsidRDefault="006D13A1" w:rsidP="00AE0AB9">
            <w:pPr>
              <w:pStyle w:val="TextMetodika"/>
              <w:keepNext/>
              <w:jc w:val="center"/>
            </w:pPr>
            <w:r w:rsidRPr="001F5E1A">
              <w:t>Number of researchers working in improved research infrastructure facilities</w:t>
            </w:r>
            <w:r w:rsidR="00D62F1C">
              <w:t>****</w:t>
            </w:r>
          </w:p>
        </w:tc>
        <w:tc>
          <w:tcPr>
            <w:tcW w:w="992" w:type="dxa"/>
            <w:shd w:val="clear" w:color="auto" w:fill="auto"/>
          </w:tcPr>
          <w:p w:rsidR="006D13A1" w:rsidRPr="007003FB" w:rsidRDefault="006D13A1" w:rsidP="00AE0AB9">
            <w:pPr>
              <w:pStyle w:val="TextMetodika"/>
              <w:keepNext/>
              <w:jc w:val="center"/>
            </w:pPr>
            <w:r>
              <w:t>FTE</w:t>
            </w:r>
          </w:p>
        </w:tc>
        <w:tc>
          <w:tcPr>
            <w:tcW w:w="992" w:type="dxa"/>
            <w:shd w:val="clear" w:color="auto" w:fill="auto"/>
          </w:tcPr>
          <w:p w:rsidR="006D13A1" w:rsidRDefault="006D13A1" w:rsidP="00AE0AB9">
            <w:pPr>
              <w:pStyle w:val="TextMetodika"/>
              <w:keepNext/>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6D13A1" w:rsidRDefault="006D13A1" w:rsidP="00AE0AB9">
            <w:pPr>
              <w:pStyle w:val="TextMetodika"/>
              <w:keepNext/>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6D13A1" w:rsidRPr="00B47FEC" w:rsidRDefault="006D13A1" w:rsidP="00AE0AB9">
            <w:pPr>
              <w:pStyle w:val="TextMetodika"/>
              <w:keepNext/>
              <w:jc w:val="center"/>
              <w:rPr>
                <w:rFonts w:ascii="Times New Roman" w:hAnsi="Times New Roman"/>
                <w:bCs/>
                <w:sz w:val="22"/>
                <w:szCs w:val="22"/>
              </w:rPr>
            </w:pPr>
          </w:p>
        </w:tc>
        <w:tc>
          <w:tcPr>
            <w:tcW w:w="851" w:type="dxa"/>
            <w:shd w:val="clear" w:color="auto" w:fill="auto"/>
          </w:tcPr>
          <w:p w:rsidR="006D13A1" w:rsidRDefault="006D13A1" w:rsidP="00AE0AB9">
            <w:pPr>
              <w:pStyle w:val="TextMetodika"/>
              <w:keepNext/>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6D13A1" w:rsidRPr="00B47FEC" w:rsidRDefault="006D13A1" w:rsidP="00AE0AB9">
            <w:pPr>
              <w:pStyle w:val="TextMetodika"/>
              <w:keepNext/>
              <w:jc w:val="center"/>
              <w:rPr>
                <w:rFonts w:ascii="Times New Roman" w:hAnsi="Times New Roman"/>
                <w:bCs/>
                <w:sz w:val="22"/>
                <w:szCs w:val="22"/>
              </w:rPr>
            </w:pPr>
          </w:p>
        </w:tc>
      </w:tr>
      <w:tr w:rsidR="006D13A1" w:rsidRPr="009A0366" w:rsidTr="00641EA3">
        <w:tc>
          <w:tcPr>
            <w:tcW w:w="1101" w:type="dxa"/>
            <w:shd w:val="clear" w:color="auto" w:fill="auto"/>
          </w:tcPr>
          <w:p w:rsidR="006D13A1" w:rsidRPr="008D2D25" w:rsidRDefault="006D13A1" w:rsidP="008D2D25">
            <w:pPr>
              <w:pStyle w:val="TextMetodika"/>
              <w:jc w:val="center"/>
              <w:rPr>
                <w:rFonts w:ascii="Times New Roman" w:hAnsi="Times New Roman"/>
                <w:bCs/>
                <w:sz w:val="22"/>
                <w:szCs w:val="22"/>
              </w:rPr>
            </w:pPr>
            <w:r w:rsidRPr="001C2307">
              <w:rPr>
                <w:rFonts w:ascii="Times New Roman" w:hAnsi="Times New Roman"/>
                <w:bCs/>
                <w:sz w:val="22"/>
                <w:szCs w:val="22"/>
              </w:rPr>
              <w:t>1b</w:t>
            </w:r>
          </w:p>
        </w:tc>
        <w:tc>
          <w:tcPr>
            <w:tcW w:w="850"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134"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709" w:type="dxa"/>
            <w:shd w:val="clear" w:color="auto" w:fill="auto"/>
          </w:tcPr>
          <w:p w:rsidR="006D13A1" w:rsidRPr="00B47FEC" w:rsidRDefault="006D13A1" w:rsidP="001C52A9">
            <w:pPr>
              <w:pStyle w:val="TextMetodika"/>
              <w:jc w:val="center"/>
              <w:rPr>
                <w:rFonts w:ascii="Times New Roman" w:hAnsi="Times New Roman"/>
                <w:bCs/>
                <w:sz w:val="22"/>
                <w:szCs w:val="22"/>
              </w:rPr>
            </w:pPr>
          </w:p>
        </w:tc>
        <w:tc>
          <w:tcPr>
            <w:tcW w:w="1417" w:type="dxa"/>
            <w:shd w:val="clear" w:color="auto" w:fill="auto"/>
          </w:tcPr>
          <w:p w:rsidR="006D13A1" w:rsidRPr="007003FB" w:rsidRDefault="006D13A1" w:rsidP="001C52A9">
            <w:pPr>
              <w:pStyle w:val="TextMetodika"/>
              <w:jc w:val="center"/>
            </w:pPr>
            <w:r w:rsidRPr="001F5E1A">
              <w:t>Number of enterprises cooperating with supported research institutions</w:t>
            </w:r>
            <w:r w:rsidR="00D62F1C">
              <w:t>*****</w:t>
            </w:r>
          </w:p>
        </w:tc>
        <w:tc>
          <w:tcPr>
            <w:tcW w:w="992" w:type="dxa"/>
            <w:shd w:val="clear" w:color="auto" w:fill="auto"/>
          </w:tcPr>
          <w:p w:rsidR="006D13A1" w:rsidRPr="00B47FEC" w:rsidRDefault="006D13A1" w:rsidP="006D13A1">
            <w:pPr>
              <w:pStyle w:val="TextMetodika"/>
              <w:jc w:val="center"/>
            </w:pPr>
            <w:r w:rsidRPr="00B47FEC">
              <w:t>enterprises</w:t>
            </w:r>
          </w:p>
        </w:tc>
        <w:tc>
          <w:tcPr>
            <w:tcW w:w="992" w:type="dxa"/>
            <w:shd w:val="clear" w:color="auto" w:fill="auto"/>
          </w:tcPr>
          <w:p w:rsidR="006D13A1" w:rsidRDefault="006D13A1" w:rsidP="00CF6368">
            <w:pPr>
              <w:pStyle w:val="TextMetodika"/>
              <w:jc w:val="center"/>
              <w:rPr>
                <w:rFonts w:ascii="Times New Roman" w:hAnsi="Times New Roman"/>
                <w:bCs/>
                <w:sz w:val="22"/>
                <w:szCs w:val="22"/>
              </w:rPr>
            </w:pPr>
          </w:p>
        </w:tc>
        <w:tc>
          <w:tcPr>
            <w:tcW w:w="992"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6D13A1" w:rsidRPr="00B47FEC" w:rsidRDefault="006D13A1" w:rsidP="00CF6368">
            <w:pPr>
              <w:pStyle w:val="TextMetodika"/>
              <w:jc w:val="center"/>
              <w:rPr>
                <w:rFonts w:ascii="Times New Roman" w:hAnsi="Times New Roman"/>
                <w:bCs/>
                <w:sz w:val="22"/>
                <w:szCs w:val="22"/>
              </w:rPr>
            </w:pPr>
          </w:p>
        </w:tc>
        <w:tc>
          <w:tcPr>
            <w:tcW w:w="851" w:type="dxa"/>
            <w:shd w:val="clear" w:color="auto" w:fill="auto"/>
          </w:tcPr>
          <w:p w:rsidR="006D13A1" w:rsidRDefault="006D13A1"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6D13A1" w:rsidRPr="00B47FEC" w:rsidRDefault="006D13A1" w:rsidP="00CF6368">
            <w:pPr>
              <w:pStyle w:val="TextMetodika"/>
              <w:jc w:val="center"/>
              <w:rPr>
                <w:rFonts w:ascii="Times New Roman" w:hAnsi="Times New Roman"/>
                <w:bCs/>
                <w:sz w:val="22"/>
                <w:szCs w:val="22"/>
              </w:rPr>
            </w:pPr>
          </w:p>
        </w:tc>
      </w:tr>
      <w:tr w:rsidR="00F40A4B" w:rsidRPr="009A0366" w:rsidTr="00641EA3">
        <w:tc>
          <w:tcPr>
            <w:tcW w:w="1101" w:type="dxa"/>
            <w:shd w:val="clear" w:color="auto" w:fill="auto"/>
          </w:tcPr>
          <w:p w:rsidR="00F40A4B" w:rsidRPr="008D2D25" w:rsidRDefault="00F40A4B" w:rsidP="008D2D25">
            <w:pPr>
              <w:pStyle w:val="TextMetodika"/>
              <w:jc w:val="center"/>
              <w:rPr>
                <w:rFonts w:ascii="Times New Roman" w:hAnsi="Times New Roman"/>
                <w:bCs/>
                <w:sz w:val="22"/>
                <w:szCs w:val="22"/>
              </w:rPr>
            </w:pPr>
            <w:r w:rsidRPr="001C2307">
              <w:rPr>
                <w:rFonts w:ascii="Times New Roman" w:hAnsi="Times New Roman"/>
                <w:bCs/>
                <w:sz w:val="22"/>
                <w:szCs w:val="22"/>
              </w:rPr>
              <w:t>1b</w:t>
            </w:r>
          </w:p>
        </w:tc>
        <w:tc>
          <w:tcPr>
            <w:tcW w:w="850"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1134"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709"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1417" w:type="dxa"/>
            <w:shd w:val="clear" w:color="auto" w:fill="auto"/>
          </w:tcPr>
          <w:p w:rsidR="00F40A4B" w:rsidRPr="007003FB" w:rsidRDefault="00F40A4B" w:rsidP="00F40A4B">
            <w:pPr>
              <w:pStyle w:val="TextMetodika"/>
              <w:jc w:val="center"/>
            </w:pPr>
            <w:r w:rsidRPr="007003FB">
              <w:t>Private investment matching public support in innovation or R&amp;D projects</w:t>
            </w:r>
          </w:p>
        </w:tc>
        <w:tc>
          <w:tcPr>
            <w:tcW w:w="992" w:type="dxa"/>
            <w:shd w:val="clear" w:color="auto" w:fill="auto"/>
          </w:tcPr>
          <w:p w:rsidR="00F40A4B" w:rsidRPr="007003FB" w:rsidRDefault="00F40A4B" w:rsidP="00F40A4B">
            <w:pPr>
              <w:pStyle w:val="TextMetodika"/>
              <w:jc w:val="center"/>
            </w:pPr>
            <w:r w:rsidRPr="007003FB">
              <w:t>EUR</w:t>
            </w:r>
          </w:p>
        </w:tc>
        <w:tc>
          <w:tcPr>
            <w:tcW w:w="992" w:type="dxa"/>
            <w:shd w:val="clear" w:color="auto" w:fill="auto"/>
          </w:tcPr>
          <w:p w:rsidR="00F40A4B" w:rsidRDefault="00F40A4B" w:rsidP="00CF6368">
            <w:pPr>
              <w:pStyle w:val="TextMetodika"/>
              <w:jc w:val="center"/>
              <w:rPr>
                <w:rFonts w:ascii="Times New Roman" w:hAnsi="Times New Roman"/>
                <w:bCs/>
                <w:sz w:val="22"/>
                <w:szCs w:val="22"/>
              </w:rPr>
            </w:pPr>
            <w:r>
              <w:rPr>
                <w:rFonts w:ascii="Times New Roman" w:hAnsi="Times New Roman"/>
                <w:bCs/>
                <w:sz w:val="22"/>
                <w:szCs w:val="22"/>
              </w:rPr>
              <w:t>vstup</w:t>
            </w:r>
          </w:p>
        </w:tc>
        <w:tc>
          <w:tcPr>
            <w:tcW w:w="992" w:type="dxa"/>
            <w:shd w:val="clear" w:color="auto" w:fill="auto"/>
          </w:tcPr>
          <w:p w:rsidR="00F40A4B" w:rsidRDefault="00F40A4B"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40A4B" w:rsidRPr="00B47FEC" w:rsidRDefault="00F40A4B" w:rsidP="00CF6368">
            <w:pPr>
              <w:pStyle w:val="TextMetodika"/>
              <w:jc w:val="center"/>
              <w:rPr>
                <w:rFonts w:ascii="Times New Roman" w:hAnsi="Times New Roman"/>
                <w:bCs/>
                <w:sz w:val="22"/>
                <w:szCs w:val="22"/>
              </w:rPr>
            </w:pPr>
          </w:p>
        </w:tc>
        <w:tc>
          <w:tcPr>
            <w:tcW w:w="851" w:type="dxa"/>
            <w:shd w:val="clear" w:color="auto" w:fill="auto"/>
          </w:tcPr>
          <w:p w:rsidR="00F40A4B" w:rsidRDefault="00F40A4B"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40A4B" w:rsidRPr="00B47FEC" w:rsidRDefault="00F40A4B" w:rsidP="00CF6368">
            <w:pPr>
              <w:pStyle w:val="TextMetodika"/>
              <w:jc w:val="center"/>
              <w:rPr>
                <w:rFonts w:ascii="Times New Roman" w:hAnsi="Times New Roman"/>
                <w:bCs/>
                <w:sz w:val="22"/>
                <w:szCs w:val="22"/>
              </w:rPr>
            </w:pPr>
          </w:p>
        </w:tc>
      </w:tr>
      <w:tr w:rsidR="00F40A4B" w:rsidRPr="009A0366" w:rsidTr="00641EA3">
        <w:tc>
          <w:tcPr>
            <w:tcW w:w="1101" w:type="dxa"/>
            <w:shd w:val="clear" w:color="auto" w:fill="auto"/>
          </w:tcPr>
          <w:p w:rsidR="00F40A4B" w:rsidRPr="008D2D25" w:rsidRDefault="00F40A4B" w:rsidP="008D2D25">
            <w:pPr>
              <w:pStyle w:val="TextMetodika"/>
              <w:jc w:val="center"/>
              <w:rPr>
                <w:rFonts w:ascii="Times New Roman" w:hAnsi="Times New Roman"/>
                <w:bCs/>
                <w:sz w:val="22"/>
                <w:szCs w:val="22"/>
              </w:rPr>
            </w:pPr>
            <w:r w:rsidRPr="001C2307">
              <w:rPr>
                <w:rFonts w:ascii="Times New Roman" w:hAnsi="Times New Roman"/>
                <w:bCs/>
                <w:sz w:val="22"/>
                <w:szCs w:val="22"/>
              </w:rPr>
              <w:t>1b</w:t>
            </w:r>
          </w:p>
        </w:tc>
        <w:tc>
          <w:tcPr>
            <w:tcW w:w="850"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1134"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709"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1417" w:type="dxa"/>
            <w:shd w:val="clear" w:color="auto" w:fill="auto"/>
          </w:tcPr>
          <w:p w:rsidR="00F40A4B" w:rsidRPr="007003FB" w:rsidRDefault="00F40A4B" w:rsidP="001C52A9">
            <w:pPr>
              <w:pStyle w:val="TextMetodika"/>
              <w:jc w:val="center"/>
            </w:pPr>
            <w:r w:rsidRPr="007003FB">
              <w:t>Number of enterprises supported to introduce new to the market products</w:t>
            </w:r>
            <w:r w:rsidR="00F140AE">
              <w:t>****</w:t>
            </w:r>
            <w:r w:rsidR="00D62F1C">
              <w:t>**</w:t>
            </w:r>
          </w:p>
        </w:tc>
        <w:tc>
          <w:tcPr>
            <w:tcW w:w="992" w:type="dxa"/>
            <w:shd w:val="clear" w:color="auto" w:fill="auto"/>
          </w:tcPr>
          <w:p w:rsidR="00F40A4B" w:rsidRPr="007003FB" w:rsidRDefault="00F40A4B" w:rsidP="00CF6368">
            <w:pPr>
              <w:pStyle w:val="TextMetodika"/>
              <w:jc w:val="center"/>
            </w:pPr>
            <w:r w:rsidRPr="007003FB">
              <w:t>enterprises</w:t>
            </w:r>
          </w:p>
        </w:tc>
        <w:tc>
          <w:tcPr>
            <w:tcW w:w="992" w:type="dxa"/>
            <w:shd w:val="clear" w:color="auto" w:fill="auto"/>
          </w:tcPr>
          <w:p w:rsidR="00F40A4B" w:rsidRDefault="00722E2A" w:rsidP="00CF6368">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40A4B" w:rsidRDefault="00F40A4B"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40A4B" w:rsidRPr="00B47FEC" w:rsidRDefault="00F40A4B" w:rsidP="00CF6368">
            <w:pPr>
              <w:pStyle w:val="TextMetodika"/>
              <w:jc w:val="center"/>
              <w:rPr>
                <w:rFonts w:ascii="Times New Roman" w:hAnsi="Times New Roman"/>
                <w:bCs/>
                <w:sz w:val="22"/>
                <w:szCs w:val="22"/>
              </w:rPr>
            </w:pPr>
          </w:p>
        </w:tc>
        <w:tc>
          <w:tcPr>
            <w:tcW w:w="851" w:type="dxa"/>
            <w:shd w:val="clear" w:color="auto" w:fill="auto"/>
          </w:tcPr>
          <w:p w:rsidR="00F40A4B" w:rsidRDefault="00F40A4B"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40A4B" w:rsidRPr="00B47FEC" w:rsidRDefault="00F40A4B" w:rsidP="00CF6368">
            <w:pPr>
              <w:pStyle w:val="TextMetodika"/>
              <w:jc w:val="center"/>
              <w:rPr>
                <w:rFonts w:ascii="Times New Roman" w:hAnsi="Times New Roman"/>
                <w:bCs/>
                <w:sz w:val="22"/>
                <w:szCs w:val="22"/>
              </w:rPr>
            </w:pPr>
          </w:p>
        </w:tc>
      </w:tr>
      <w:tr w:rsidR="00F40A4B" w:rsidRPr="009A0366" w:rsidTr="00641EA3">
        <w:tc>
          <w:tcPr>
            <w:tcW w:w="1101" w:type="dxa"/>
            <w:shd w:val="clear" w:color="auto" w:fill="auto"/>
          </w:tcPr>
          <w:p w:rsidR="00F40A4B" w:rsidRPr="001C2307" w:rsidRDefault="00F40A4B" w:rsidP="008D2D25">
            <w:pPr>
              <w:pStyle w:val="TextMetodika"/>
              <w:jc w:val="center"/>
              <w:rPr>
                <w:rFonts w:ascii="Times New Roman" w:hAnsi="Times New Roman"/>
                <w:bCs/>
                <w:sz w:val="22"/>
                <w:szCs w:val="22"/>
              </w:rPr>
            </w:pPr>
            <w:r>
              <w:rPr>
                <w:rFonts w:ascii="Times New Roman" w:hAnsi="Times New Roman"/>
                <w:bCs/>
                <w:sz w:val="22"/>
                <w:szCs w:val="22"/>
              </w:rPr>
              <w:t>1b</w:t>
            </w:r>
          </w:p>
        </w:tc>
        <w:tc>
          <w:tcPr>
            <w:tcW w:w="850"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1134"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709" w:type="dxa"/>
            <w:shd w:val="clear" w:color="auto" w:fill="auto"/>
          </w:tcPr>
          <w:p w:rsidR="00F40A4B" w:rsidRPr="00B47FEC" w:rsidRDefault="00F40A4B" w:rsidP="001C52A9">
            <w:pPr>
              <w:pStyle w:val="TextMetodika"/>
              <w:jc w:val="center"/>
              <w:rPr>
                <w:rFonts w:ascii="Times New Roman" w:hAnsi="Times New Roman"/>
                <w:bCs/>
                <w:sz w:val="22"/>
                <w:szCs w:val="22"/>
              </w:rPr>
            </w:pPr>
          </w:p>
        </w:tc>
        <w:tc>
          <w:tcPr>
            <w:tcW w:w="1417" w:type="dxa"/>
            <w:shd w:val="clear" w:color="auto" w:fill="auto"/>
          </w:tcPr>
          <w:p w:rsidR="00F40A4B" w:rsidRPr="007003FB" w:rsidRDefault="00F40A4B" w:rsidP="001C52A9">
            <w:pPr>
              <w:pStyle w:val="TextMetodika"/>
              <w:jc w:val="center"/>
            </w:pPr>
            <w:r w:rsidRPr="001F5E1A">
              <w:t>Number of enterprises supported to introduce new to the firm products</w:t>
            </w:r>
            <w:r w:rsidR="00F140AE">
              <w:t>****</w:t>
            </w:r>
            <w:r w:rsidR="00D62F1C">
              <w:t>**</w:t>
            </w:r>
          </w:p>
        </w:tc>
        <w:tc>
          <w:tcPr>
            <w:tcW w:w="992" w:type="dxa"/>
            <w:shd w:val="clear" w:color="auto" w:fill="auto"/>
          </w:tcPr>
          <w:p w:rsidR="00F40A4B" w:rsidRPr="007003FB" w:rsidRDefault="00F40A4B" w:rsidP="00CF6368">
            <w:pPr>
              <w:pStyle w:val="TextMetodika"/>
              <w:jc w:val="center"/>
            </w:pPr>
            <w:r w:rsidRPr="007003FB">
              <w:t>enterprises</w:t>
            </w:r>
          </w:p>
        </w:tc>
        <w:tc>
          <w:tcPr>
            <w:tcW w:w="992" w:type="dxa"/>
            <w:shd w:val="clear" w:color="auto" w:fill="auto"/>
          </w:tcPr>
          <w:p w:rsidR="00F40A4B" w:rsidRDefault="00722E2A" w:rsidP="00CF6368">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40A4B" w:rsidRDefault="00F40A4B" w:rsidP="00CF6368">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40A4B" w:rsidRPr="00B47FEC" w:rsidRDefault="00F40A4B" w:rsidP="00CF6368">
            <w:pPr>
              <w:pStyle w:val="TextMetodika"/>
              <w:jc w:val="center"/>
              <w:rPr>
                <w:rFonts w:ascii="Times New Roman" w:hAnsi="Times New Roman"/>
                <w:bCs/>
                <w:sz w:val="22"/>
                <w:szCs w:val="22"/>
              </w:rPr>
            </w:pPr>
          </w:p>
        </w:tc>
        <w:tc>
          <w:tcPr>
            <w:tcW w:w="851" w:type="dxa"/>
            <w:shd w:val="clear" w:color="auto" w:fill="auto"/>
          </w:tcPr>
          <w:p w:rsidR="00F40A4B" w:rsidRDefault="00F40A4B" w:rsidP="00CF6368">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40A4B" w:rsidRPr="00B47FEC" w:rsidRDefault="00F40A4B" w:rsidP="00CF6368">
            <w:pPr>
              <w:pStyle w:val="TextMetodika"/>
              <w:jc w:val="center"/>
              <w:rPr>
                <w:rFonts w:ascii="Times New Roman" w:hAnsi="Times New Roman"/>
                <w:bCs/>
                <w:sz w:val="22"/>
                <w:szCs w:val="22"/>
              </w:rPr>
            </w:pPr>
          </w:p>
        </w:tc>
      </w:tr>
    </w:tbl>
    <w:p w:rsidR="001C52A9" w:rsidRPr="00EC794F" w:rsidRDefault="00F140AE" w:rsidP="00F140AE">
      <w:pPr>
        <w:spacing w:line="288" w:lineRule="auto"/>
        <w:jc w:val="both"/>
        <w:rPr>
          <w:rFonts w:asciiTheme="minorHAnsi" w:hAnsiTheme="minorHAnsi" w:cstheme="minorHAnsi"/>
          <w:iCs/>
          <w:color w:val="FF0000"/>
        </w:rPr>
      </w:pPr>
      <w:r w:rsidRPr="00EC794F">
        <w:rPr>
          <w:b/>
          <w:bCs/>
          <w:color w:val="FF0000"/>
          <w:lang w:val="en-GB"/>
        </w:rPr>
        <w:t xml:space="preserve">* </w:t>
      </w:r>
      <w:r w:rsidRPr="00EC794F">
        <w:rPr>
          <w:rFonts w:asciiTheme="minorHAnsi" w:hAnsiTheme="minorHAnsi" w:cstheme="minorHAnsi"/>
          <w:iCs/>
          <w:color w:val="FF0000"/>
        </w:rPr>
        <w:t>Projednat s odborem implementace a MMR, zda je relevantní.</w:t>
      </w:r>
    </w:p>
    <w:p w:rsidR="00F140AE" w:rsidRPr="00EC794F" w:rsidRDefault="00F140AE" w:rsidP="00F140AE">
      <w:pPr>
        <w:spacing w:line="288" w:lineRule="auto"/>
        <w:jc w:val="both"/>
      </w:pPr>
      <w:r w:rsidRPr="00EC794F">
        <w:rPr>
          <w:rFonts w:asciiTheme="minorHAnsi" w:hAnsiTheme="minorHAnsi" w:cstheme="minorHAnsi"/>
          <w:iCs/>
          <w:color w:val="FF0000"/>
        </w:rPr>
        <w:lastRenderedPageBreak/>
        <w:t>**Připomínky odeslány na MMR-NOK. V Guide EK chybí uvedení typu ukazatele</w:t>
      </w:r>
      <w:r w:rsidR="00D62F1C" w:rsidRPr="00EC794F">
        <w:rPr>
          <w:rFonts w:asciiTheme="minorHAnsi" w:hAnsiTheme="minorHAnsi" w:cstheme="minorHAnsi"/>
          <w:iCs/>
          <w:color w:val="FF0000"/>
        </w:rPr>
        <w:t xml:space="preserve"> (pro všechny common indikátory)</w:t>
      </w:r>
      <w:r w:rsidRPr="00EC794F">
        <w:rPr>
          <w:rFonts w:asciiTheme="minorHAnsi" w:hAnsiTheme="minorHAnsi" w:cstheme="minorHAnsi"/>
          <w:iCs/>
          <w:color w:val="FF0000"/>
        </w:rPr>
        <w:t>.</w:t>
      </w:r>
    </w:p>
    <w:p w:rsidR="00F140AE" w:rsidRPr="00EC794F" w:rsidRDefault="00F140AE" w:rsidP="00F140AE">
      <w:pPr>
        <w:spacing w:line="288" w:lineRule="auto"/>
        <w:jc w:val="both"/>
        <w:rPr>
          <w:rFonts w:asciiTheme="minorHAnsi" w:hAnsiTheme="minorHAnsi" w:cstheme="minorHAnsi"/>
          <w:iCs/>
          <w:color w:val="FF0000"/>
        </w:rPr>
      </w:pPr>
      <w:r w:rsidRPr="00EC794F">
        <w:rPr>
          <w:rFonts w:asciiTheme="minorHAnsi" w:hAnsiTheme="minorHAnsi" w:cstheme="minorHAnsi"/>
          <w:iCs/>
          <w:color w:val="FF0000"/>
        </w:rPr>
        <w:t>*** Připomínky odeslány na MMR-NOK. Jak je definováno supported entities?</w:t>
      </w:r>
    </w:p>
    <w:p w:rsidR="00D62F1C" w:rsidRPr="00EC794F" w:rsidRDefault="00D62F1C" w:rsidP="00F140AE">
      <w:pPr>
        <w:spacing w:line="288" w:lineRule="auto"/>
        <w:jc w:val="both"/>
        <w:rPr>
          <w:rFonts w:asciiTheme="minorHAnsi" w:hAnsiTheme="minorHAnsi" w:cstheme="minorHAnsi"/>
          <w:iCs/>
          <w:color w:val="FF0000"/>
        </w:rPr>
      </w:pPr>
      <w:r w:rsidRPr="00EC794F">
        <w:rPr>
          <w:rFonts w:asciiTheme="minorHAnsi" w:hAnsiTheme="minorHAnsi" w:cstheme="minorHAnsi"/>
          <w:iCs/>
          <w:color w:val="FF0000"/>
        </w:rPr>
        <w:t>**** Připomínky odeslány na MMR-NOK. Jak je definováno improved research infrastructure facilities. Je relevantní pro OP PIK (firemní VaV pracoviště) nebo jen pro infrastrukturu OP VaVaI?</w:t>
      </w:r>
    </w:p>
    <w:p w:rsidR="00D62F1C" w:rsidRPr="00EC794F" w:rsidRDefault="00D62F1C" w:rsidP="00F140AE">
      <w:pPr>
        <w:spacing w:line="288" w:lineRule="auto"/>
        <w:jc w:val="both"/>
        <w:rPr>
          <w:rFonts w:asciiTheme="minorHAnsi" w:hAnsiTheme="minorHAnsi" w:cstheme="minorHAnsi"/>
          <w:iCs/>
          <w:color w:val="FF0000"/>
        </w:rPr>
      </w:pPr>
      <w:r w:rsidRPr="00EC794F">
        <w:rPr>
          <w:rFonts w:asciiTheme="minorHAnsi" w:hAnsiTheme="minorHAnsi" w:cstheme="minorHAnsi"/>
          <w:iCs/>
          <w:color w:val="FF0000"/>
        </w:rPr>
        <w:t>*****Vyjasnit s MMR-NOK načítání podniků jako účastníků.</w:t>
      </w:r>
    </w:p>
    <w:p w:rsidR="00F140AE" w:rsidRPr="00EC794F" w:rsidRDefault="00F140AE" w:rsidP="00F140AE">
      <w:pPr>
        <w:spacing w:line="288" w:lineRule="auto"/>
        <w:jc w:val="both"/>
        <w:rPr>
          <w:rFonts w:asciiTheme="minorHAnsi" w:hAnsiTheme="minorHAnsi" w:cstheme="minorHAnsi"/>
          <w:iCs/>
          <w:color w:val="FF0000"/>
        </w:rPr>
      </w:pPr>
      <w:r w:rsidRPr="00EC794F">
        <w:rPr>
          <w:rFonts w:asciiTheme="minorHAnsi" w:hAnsiTheme="minorHAnsi" w:cstheme="minorHAnsi"/>
          <w:iCs/>
          <w:color w:val="FF0000"/>
        </w:rPr>
        <w:t>****</w:t>
      </w:r>
      <w:r w:rsidR="00D62F1C" w:rsidRPr="00EC794F">
        <w:rPr>
          <w:rFonts w:asciiTheme="minorHAnsi" w:hAnsiTheme="minorHAnsi" w:cstheme="minorHAnsi"/>
          <w:iCs/>
          <w:color w:val="FF0000"/>
        </w:rPr>
        <w:t>**</w:t>
      </w:r>
      <w:r w:rsidRPr="00EC794F">
        <w:rPr>
          <w:rFonts w:asciiTheme="minorHAnsi" w:hAnsiTheme="minorHAnsi" w:cstheme="minorHAnsi"/>
          <w:iCs/>
          <w:color w:val="FF0000"/>
        </w:rPr>
        <w:t>Obtížná kvantifikace indikátorů. Projednat s MMR. Není problém určení počtu podniků s inovací, ovšem členění na inovace na trhu nebo pro firmu.</w:t>
      </w:r>
    </w:p>
    <w:p w:rsidR="00D71D90" w:rsidRPr="00E40039" w:rsidRDefault="00D71D90" w:rsidP="00D71D90">
      <w:pPr>
        <w:spacing w:line="288" w:lineRule="auto"/>
        <w:jc w:val="both"/>
        <w:rPr>
          <w:rFonts w:asciiTheme="minorHAnsi" w:hAnsiTheme="minorHAnsi" w:cstheme="minorHAnsi"/>
          <w:iCs/>
          <w:sz w:val="24"/>
          <w:szCs w:val="24"/>
        </w:rPr>
      </w:pPr>
    </w:p>
    <w:p w:rsidR="00E10173" w:rsidRDefault="00B85EE3" w:rsidP="00B85EE3">
      <w:pPr>
        <w:pStyle w:val="Nadpis3"/>
      </w:pPr>
      <w:bookmarkStart w:id="25" w:name="_Toc351464357"/>
      <w:bookmarkStart w:id="26" w:name="_Toc352328361"/>
      <w:r>
        <w:t>Identifikace investičních priorit a popis specifických cílů</w:t>
      </w:r>
      <w:bookmarkEnd w:id="25"/>
      <w:bookmarkEnd w:id="26"/>
      <w:r w:rsidR="00AC779C">
        <w:t xml:space="preserve"> </w:t>
      </w:r>
    </w:p>
    <w:p w:rsidR="00B85EE3" w:rsidRPr="007A7549" w:rsidRDefault="00B85EE3" w:rsidP="00B85EE3">
      <w:pPr>
        <w:overflowPunct/>
        <w:spacing w:after="120"/>
        <w:jc w:val="both"/>
        <w:textAlignment w:val="auto"/>
        <w:rPr>
          <w:rFonts w:asciiTheme="minorHAnsi" w:hAnsiTheme="minorHAnsi" w:cstheme="minorHAnsi"/>
          <w:sz w:val="24"/>
          <w:szCs w:val="24"/>
        </w:rPr>
      </w:pPr>
      <w:r w:rsidRPr="00E40039">
        <w:rPr>
          <w:rFonts w:asciiTheme="minorHAnsi" w:hAnsiTheme="minorHAnsi" w:cstheme="minorHAnsi"/>
          <w:sz w:val="24"/>
          <w:szCs w:val="24"/>
        </w:rPr>
        <w:t>Na základě analýzy problémů a potřeb ČR identifikovaných a popsaných pro</w:t>
      </w:r>
      <w:r>
        <w:rPr>
          <w:rFonts w:asciiTheme="minorHAnsi" w:hAnsiTheme="minorHAnsi" w:cstheme="minorHAnsi"/>
          <w:sz w:val="24"/>
          <w:szCs w:val="24"/>
        </w:rPr>
        <w:t xml:space="preserve"> prioritní osu 1 byly identifikovány následující investiční priority a </w:t>
      </w:r>
      <w:r w:rsidRPr="007A7549">
        <w:rPr>
          <w:rFonts w:asciiTheme="minorHAnsi" w:hAnsiTheme="minorHAnsi" w:cstheme="minorHAnsi"/>
          <w:sz w:val="24"/>
          <w:szCs w:val="24"/>
        </w:rPr>
        <w:t>specifické cíle:</w:t>
      </w:r>
    </w:p>
    <w:p w:rsidR="00B85EE3" w:rsidRPr="00B85EE3" w:rsidRDefault="00B85EE3" w:rsidP="00B85EE3"/>
    <w:tbl>
      <w:tblPr>
        <w:tblStyle w:val="Mkatabulky"/>
        <w:tblW w:w="0" w:type="auto"/>
        <w:tblLook w:val="04A0"/>
      </w:tblPr>
      <w:tblGrid>
        <w:gridCol w:w="4676"/>
        <w:gridCol w:w="4676"/>
      </w:tblGrid>
      <w:tr w:rsidR="00B85EE3" w:rsidRPr="00B85EE3" w:rsidTr="00B85EE3">
        <w:tc>
          <w:tcPr>
            <w:tcW w:w="4676" w:type="dxa"/>
            <w:shd w:val="clear" w:color="auto" w:fill="92CDDC" w:themeFill="accent5" w:themeFillTint="99"/>
          </w:tcPr>
          <w:p w:rsidR="00B85EE3" w:rsidRPr="00B85EE3" w:rsidRDefault="00B85EE3" w:rsidP="00B85EE3">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Investiční priorita</w:t>
            </w:r>
          </w:p>
        </w:tc>
        <w:tc>
          <w:tcPr>
            <w:tcW w:w="4676" w:type="dxa"/>
            <w:shd w:val="clear" w:color="auto" w:fill="92CDDC" w:themeFill="accent5" w:themeFillTint="99"/>
          </w:tcPr>
          <w:p w:rsidR="00B85EE3" w:rsidRPr="00B85EE3" w:rsidRDefault="00B85EE3" w:rsidP="00B85EE3">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Specifický cíl</w:t>
            </w:r>
          </w:p>
        </w:tc>
      </w:tr>
      <w:tr w:rsidR="00B85EE3" w:rsidRPr="00B85EE3" w:rsidTr="00B85EE3">
        <w:trPr>
          <w:trHeight w:val="1066"/>
        </w:trPr>
        <w:tc>
          <w:tcPr>
            <w:tcW w:w="4676" w:type="dxa"/>
            <w:vMerge w:val="restart"/>
          </w:tcPr>
          <w:p w:rsidR="00B85EE3" w:rsidRPr="00B85EE3" w:rsidRDefault="00B85EE3" w:rsidP="00AC779C">
            <w:pPr>
              <w:overflowPunct/>
              <w:jc w:val="both"/>
              <w:textAlignment w:val="auto"/>
              <w:rPr>
                <w:rFonts w:asciiTheme="minorHAnsi" w:hAnsiTheme="minorHAnsi" w:cstheme="minorHAnsi"/>
                <w:bCs/>
                <w:sz w:val="24"/>
                <w:szCs w:val="24"/>
              </w:rPr>
            </w:pPr>
            <w:r w:rsidRPr="00B85EE3">
              <w:rPr>
                <w:rFonts w:asciiTheme="minorHAnsi" w:hAnsiTheme="minorHAnsi" w:cstheme="minorHAnsi"/>
                <w:bCs/>
                <w:sz w:val="24"/>
                <w:szCs w:val="24"/>
              </w:rPr>
              <w:t xml:space="preserve">Podpora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aplikovaného výzkumu, pilotních linek, opatření k včasnému ověřování produktů, schopností vyspělé výroby a prvovýroby v oblasti klíčových technologií a šíření technologií pro všeobecné použití </w:t>
            </w:r>
            <w:r w:rsidRPr="00EC794F">
              <w:rPr>
                <w:rFonts w:asciiTheme="minorHAnsi" w:hAnsiTheme="minorHAnsi" w:cstheme="minorHAnsi"/>
                <w:bCs/>
                <w:sz w:val="24"/>
                <w:szCs w:val="24"/>
              </w:rPr>
              <w:t>(nařízení o ERDF, článek 5, odst. (1) bod b)</w:t>
            </w:r>
          </w:p>
        </w:tc>
        <w:tc>
          <w:tcPr>
            <w:tcW w:w="4676" w:type="dxa"/>
            <w:vAlign w:val="center"/>
          </w:tcPr>
          <w:p w:rsidR="00B85EE3" w:rsidRPr="00B85EE3" w:rsidRDefault="00B85EE3" w:rsidP="00B85EE3">
            <w:pPr>
              <w:rPr>
                <w:rFonts w:asciiTheme="minorHAnsi" w:hAnsiTheme="minorHAnsi" w:cstheme="minorHAnsi"/>
                <w:sz w:val="24"/>
              </w:rPr>
            </w:pPr>
            <w:r w:rsidRPr="00B85EE3">
              <w:rPr>
                <w:rFonts w:asciiTheme="minorHAnsi" w:hAnsiTheme="minorHAnsi" w:cstheme="minorHAnsi"/>
                <w:sz w:val="24"/>
              </w:rPr>
              <w:t>1.1 - Zvýšení inovační výkonnosti podniků</w:t>
            </w:r>
          </w:p>
        </w:tc>
      </w:tr>
      <w:tr w:rsidR="00B85EE3" w:rsidRPr="00B85EE3" w:rsidTr="00B85EE3">
        <w:trPr>
          <w:trHeight w:val="1066"/>
        </w:trPr>
        <w:tc>
          <w:tcPr>
            <w:tcW w:w="4676" w:type="dxa"/>
            <w:vMerge/>
          </w:tcPr>
          <w:p w:rsidR="00B85EE3" w:rsidRPr="00B85EE3" w:rsidRDefault="00B85EE3" w:rsidP="00AC779C">
            <w:pPr>
              <w:overflowPunct/>
              <w:jc w:val="both"/>
              <w:textAlignment w:val="auto"/>
              <w:rPr>
                <w:rFonts w:asciiTheme="minorHAnsi" w:hAnsiTheme="minorHAnsi" w:cstheme="minorHAnsi"/>
                <w:b/>
                <w:bCs/>
                <w:sz w:val="24"/>
                <w:szCs w:val="24"/>
              </w:rPr>
            </w:pPr>
          </w:p>
        </w:tc>
        <w:tc>
          <w:tcPr>
            <w:tcW w:w="4676" w:type="dxa"/>
            <w:vAlign w:val="center"/>
          </w:tcPr>
          <w:p w:rsidR="00B85EE3" w:rsidRPr="00B85EE3" w:rsidRDefault="00B85EE3" w:rsidP="00B85EE3">
            <w:pPr>
              <w:rPr>
                <w:rFonts w:asciiTheme="minorHAnsi" w:hAnsiTheme="minorHAnsi" w:cstheme="minorHAnsi"/>
                <w:sz w:val="24"/>
              </w:rPr>
            </w:pPr>
            <w:r w:rsidRPr="00B85EE3">
              <w:rPr>
                <w:rFonts w:asciiTheme="minorHAnsi" w:hAnsiTheme="minorHAnsi" w:cstheme="minorHAnsi"/>
                <w:sz w:val="24"/>
              </w:rPr>
              <w:t>1.2 - Zvýšení intenzity a využití výsledků průmyslového výzkumu a experimentálního vývoje v rámci konceptu inteligentní specializace</w:t>
            </w:r>
          </w:p>
        </w:tc>
      </w:tr>
      <w:tr w:rsidR="00B85EE3" w:rsidRPr="00B85EE3" w:rsidTr="00B85EE3">
        <w:trPr>
          <w:trHeight w:val="1066"/>
        </w:trPr>
        <w:tc>
          <w:tcPr>
            <w:tcW w:w="4676" w:type="dxa"/>
            <w:vMerge/>
          </w:tcPr>
          <w:p w:rsidR="00B85EE3" w:rsidRPr="00B85EE3" w:rsidRDefault="00B85EE3" w:rsidP="00AC779C">
            <w:pPr>
              <w:overflowPunct/>
              <w:jc w:val="both"/>
              <w:textAlignment w:val="auto"/>
              <w:rPr>
                <w:rFonts w:asciiTheme="minorHAnsi" w:hAnsiTheme="minorHAnsi" w:cstheme="minorHAnsi"/>
                <w:b/>
                <w:bCs/>
                <w:sz w:val="24"/>
                <w:szCs w:val="24"/>
              </w:rPr>
            </w:pPr>
          </w:p>
        </w:tc>
        <w:tc>
          <w:tcPr>
            <w:tcW w:w="4676" w:type="dxa"/>
            <w:vAlign w:val="center"/>
          </w:tcPr>
          <w:p w:rsidR="00B85EE3" w:rsidRPr="00B85EE3" w:rsidRDefault="00B85EE3" w:rsidP="00B85EE3">
            <w:pPr>
              <w:rPr>
                <w:rFonts w:asciiTheme="minorHAnsi" w:hAnsiTheme="minorHAnsi" w:cstheme="minorHAnsi"/>
                <w:sz w:val="24"/>
              </w:rPr>
            </w:pPr>
            <w:r w:rsidRPr="00B85EE3">
              <w:rPr>
                <w:rFonts w:asciiTheme="minorHAnsi" w:hAnsiTheme="minorHAnsi" w:cstheme="minorHAnsi"/>
                <w:sz w:val="24"/>
              </w:rPr>
              <w:t>1.3 - Rozvoj spolupráce mezi podnikatelským sektorem a veřejnými, vzdělávacími a vědecko-výzkumnými institucemi v duchu konceptu inteligentní specializace</w:t>
            </w:r>
          </w:p>
        </w:tc>
      </w:tr>
      <w:tr w:rsidR="00B85EE3" w:rsidRPr="00B85EE3" w:rsidTr="00B85EE3">
        <w:trPr>
          <w:trHeight w:val="1066"/>
        </w:trPr>
        <w:tc>
          <w:tcPr>
            <w:tcW w:w="4676" w:type="dxa"/>
            <w:vMerge/>
          </w:tcPr>
          <w:p w:rsidR="00B85EE3" w:rsidRPr="00B85EE3" w:rsidRDefault="00B85EE3" w:rsidP="00AC779C">
            <w:pPr>
              <w:overflowPunct/>
              <w:jc w:val="both"/>
              <w:textAlignment w:val="auto"/>
              <w:rPr>
                <w:rFonts w:asciiTheme="minorHAnsi" w:hAnsiTheme="minorHAnsi" w:cstheme="minorHAnsi"/>
                <w:b/>
                <w:bCs/>
                <w:sz w:val="24"/>
                <w:szCs w:val="24"/>
              </w:rPr>
            </w:pPr>
          </w:p>
        </w:tc>
        <w:tc>
          <w:tcPr>
            <w:tcW w:w="4676" w:type="dxa"/>
            <w:vAlign w:val="center"/>
          </w:tcPr>
          <w:p w:rsidR="00B85EE3" w:rsidRPr="00B85EE3" w:rsidRDefault="00B85EE3" w:rsidP="00B85EE3">
            <w:pPr>
              <w:rPr>
                <w:rFonts w:asciiTheme="minorHAnsi" w:hAnsiTheme="minorHAnsi" w:cstheme="minorHAnsi"/>
                <w:sz w:val="24"/>
              </w:rPr>
            </w:pPr>
            <w:r w:rsidRPr="00B85EE3">
              <w:rPr>
                <w:rFonts w:asciiTheme="minorHAnsi" w:hAnsiTheme="minorHAnsi" w:cstheme="minorHAnsi"/>
                <w:sz w:val="24"/>
              </w:rPr>
              <w:t>1.4 - Zvýšení přístupu podnikatelských subjektů k rizikovému kapitálu</w:t>
            </w:r>
          </w:p>
        </w:tc>
      </w:tr>
    </w:tbl>
    <w:p w:rsidR="00B85EE3" w:rsidRDefault="00B85EE3" w:rsidP="00AC779C">
      <w:pPr>
        <w:overflowPunct/>
        <w:jc w:val="both"/>
        <w:textAlignment w:val="auto"/>
        <w:rPr>
          <w:b/>
          <w:bCs/>
          <w:sz w:val="24"/>
          <w:szCs w:val="24"/>
        </w:rPr>
      </w:pPr>
    </w:p>
    <w:p w:rsidR="00E10173" w:rsidRDefault="008A50E3" w:rsidP="008A50E3">
      <w:pPr>
        <w:pStyle w:val="Nadpis4"/>
      </w:pPr>
      <w:bookmarkStart w:id="27" w:name="_Toc351464358"/>
      <w:r>
        <w:rPr>
          <w:szCs w:val="24"/>
        </w:rPr>
        <w:t xml:space="preserve">Specifický cíl 1.1 - </w:t>
      </w:r>
      <w:r w:rsidRPr="00B85EE3">
        <w:t>Zvýšení inovační výkonnosti podniků</w:t>
      </w:r>
      <w:bookmarkEnd w:id="27"/>
    </w:p>
    <w:p w:rsidR="008A50E3" w:rsidRDefault="008A50E3" w:rsidP="000220B9">
      <w:pPr>
        <w:overflowPunct/>
        <w:textAlignment w:val="auto"/>
        <w:rPr>
          <w:b/>
          <w:bCs/>
          <w:sz w:val="24"/>
          <w:szCs w:val="24"/>
        </w:rPr>
      </w:pPr>
    </w:p>
    <w:p w:rsidR="008A50E3" w:rsidRPr="008A50E3" w:rsidRDefault="008A50E3" w:rsidP="0038738E">
      <w:pPr>
        <w:spacing w:after="120"/>
        <w:jc w:val="both"/>
        <w:rPr>
          <w:rFonts w:asciiTheme="minorHAnsi" w:hAnsiTheme="minorHAnsi" w:cstheme="minorHAnsi"/>
          <w:bCs/>
          <w:sz w:val="24"/>
          <w:szCs w:val="24"/>
        </w:rPr>
      </w:pPr>
      <w:r>
        <w:rPr>
          <w:rFonts w:asciiTheme="minorHAnsi" w:hAnsiTheme="minorHAnsi" w:cstheme="minorHAnsi"/>
          <w:bCs/>
          <w:sz w:val="24"/>
          <w:szCs w:val="24"/>
        </w:rPr>
        <w:t>Specifický c</w:t>
      </w:r>
      <w:r w:rsidRPr="008A50E3">
        <w:rPr>
          <w:rFonts w:asciiTheme="minorHAnsi" w:hAnsiTheme="minorHAnsi" w:cstheme="minorHAnsi"/>
          <w:bCs/>
          <w:sz w:val="24"/>
          <w:szCs w:val="24"/>
        </w:rPr>
        <w:t>íl je zaměřen na zvýšení konkurenceschopnosti jednotlivých regionů České republiky formou podpory výzkumných a inovačních aktivit a inovativní aplikace znalostí především v malých a středních podnicích, ale taktéž i v odůvodněných případech ve velkých podnicích.</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V České republice je nízká podpora výzkumných aktivit v podnicích (dle srovnání IUS). Ačkoliv je podíl výdajů na VaV podnikatelského sek</w:t>
      </w:r>
      <w:r>
        <w:rPr>
          <w:rFonts w:asciiTheme="minorHAnsi" w:hAnsiTheme="minorHAnsi" w:cstheme="minorHAnsi"/>
          <w:bCs/>
          <w:sz w:val="24"/>
          <w:szCs w:val="24"/>
        </w:rPr>
        <w:t xml:space="preserve">toru na celkových VaV výdajích </w:t>
      </w:r>
      <w:r w:rsidRPr="008A50E3">
        <w:rPr>
          <w:rFonts w:asciiTheme="minorHAnsi" w:hAnsiTheme="minorHAnsi" w:cstheme="minorHAnsi"/>
          <w:bCs/>
          <w:sz w:val="24"/>
          <w:szCs w:val="24"/>
        </w:rPr>
        <w:t xml:space="preserve">relativně vysoký, podíl celkových výdajů soukromého i veřejného sektoru na VaV na HDP zůstává nízký. Lze za tím spatřovat především nízkou motivaci domácích firem pro budování podnikání založených </w:t>
      </w:r>
      <w:r w:rsidRPr="008A50E3">
        <w:rPr>
          <w:rFonts w:asciiTheme="minorHAnsi" w:hAnsiTheme="minorHAnsi" w:cstheme="minorHAnsi"/>
          <w:bCs/>
          <w:sz w:val="24"/>
          <w:szCs w:val="24"/>
        </w:rPr>
        <w:lastRenderedPageBreak/>
        <w:t xml:space="preserve">na znalostech, a tím získání konkurenční výhody. Příčiny jsou dány zejména postavením domácích podniků na hodnotovém řetězci, kdy jsou svými odběrateli omezeni ve strategickém plánování zahrnující i možnosti aplikovat vlastní inovace. </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Ze srovnání evropského šetření o inovacích CIS (Community Innovation Survey) vyplývá, že asi třetina českých podniků provádí inovace, především technické, ale i netechnické, a řadí se v tomto směru k nejlepším v Evropě. To se však zatím významně nepromítá ve znalostní náročnosti české produkce, kde převládají výrobky méně náročné na znalosti. Je to způsobeno především kvalitou zaváděných inovací, která stále není schopna generovat významnější množství nových technologií. Nicméně situace se postupně zlepšuje, kdy sice se ČR řadí k zemím s nižšími hodnotami ukazatelů inovativnosti, ale u velké části z nich však dochází ke zlepšení (viz žebříček EIS zaměřený na inovativnost ekonomik EU).</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Absence moderních technologických zařízení je jedna z přetrvávajících bariér konkurenceschopnosti českých podnikatelů, nicméně samotná investice do těchto zařízení sama o sobě tuto konkurenceschopnost neposílí. Sofistikované investice musí být doplněny rozvojem vlastních znalostních a vývojových aktivit a rozvojem samotného výrobního produktu, tzn. nikoliv pouhým nákupem inovací.</w:t>
      </w:r>
    </w:p>
    <w:p w:rsidR="001C52A9"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V neposlední řadě je v rámci podpory inovačního potenciálu a jeho rozvoje v České republice třeba zlepšit povědomí podniků o významu využívání patentové ochrany a duševního vlastnictví vůbec jako nástroje zvyšování konkurenceschopnosti. Je třeba zaměřit se na jejich lepší orientaci v relevantních právních předpisech a informovanost o opatřeních a projektech na podporu ochrany práv průmyslového vlastnictví.</w:t>
      </w:r>
      <w:r w:rsidR="005362CD">
        <w:rPr>
          <w:rFonts w:asciiTheme="minorHAnsi" w:hAnsiTheme="minorHAnsi" w:cstheme="minorHAnsi"/>
          <w:bCs/>
          <w:sz w:val="24"/>
          <w:szCs w:val="24"/>
        </w:rPr>
        <w:t xml:space="preserve"> Problematika zvyšování inovační výkonnosti podniků zahrnuje i aktivity v oblasti tzv. kreativních průmyslů.</w:t>
      </w:r>
    </w:p>
    <w:p w:rsidR="008A50E3" w:rsidRPr="008A50E3" w:rsidRDefault="008A50E3" w:rsidP="0038738E">
      <w:pPr>
        <w:spacing w:after="120"/>
        <w:jc w:val="both"/>
        <w:rPr>
          <w:rFonts w:asciiTheme="minorHAnsi" w:hAnsiTheme="minorHAnsi" w:cstheme="minorHAnsi"/>
          <w:bCs/>
          <w:sz w:val="24"/>
          <w:szCs w:val="24"/>
        </w:rPr>
      </w:pPr>
      <w:r>
        <w:rPr>
          <w:rFonts w:asciiTheme="minorHAnsi" w:hAnsiTheme="minorHAnsi" w:cstheme="minorHAnsi"/>
          <w:bCs/>
          <w:sz w:val="24"/>
          <w:szCs w:val="24"/>
        </w:rPr>
        <w:t>Cílem je</w:t>
      </w:r>
      <w:r w:rsidRPr="008A50E3">
        <w:rPr>
          <w:rFonts w:asciiTheme="minorHAnsi" w:hAnsiTheme="minorHAnsi" w:cstheme="minorHAnsi"/>
          <w:bCs/>
          <w:sz w:val="24"/>
          <w:szCs w:val="24"/>
        </w:rPr>
        <w:t xml:space="preserve"> zvrátit negativní postavení českých podniků, posílit vývojové a inovační kapacity, zvýšit soukromé výdaje na výzkum a vývoj a zároveň zvýšit potenciál pro zapojení podpořených VaV center do různých platforem spolupráce. Existuje zde i prostor pro mobilitu pracovníků a know-how na bázi spolupráce s VaV institucemi. Cílem je taktéž zvýšit angažovanost a motivaci především malých a středních podniků financovat výzkum a vývoj, a to jak vlastní, tak i externí nakoupený od jiné soukromé společnosti či veřejné instituce.</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 xml:space="preserve">Prostřednictvím tohoto </w:t>
      </w:r>
      <w:r>
        <w:rPr>
          <w:rFonts w:asciiTheme="minorHAnsi" w:hAnsiTheme="minorHAnsi" w:cstheme="minorHAnsi"/>
          <w:bCs/>
          <w:sz w:val="24"/>
          <w:szCs w:val="24"/>
        </w:rPr>
        <w:t xml:space="preserve">specifického </w:t>
      </w:r>
      <w:r w:rsidRPr="008A50E3">
        <w:rPr>
          <w:rFonts w:asciiTheme="minorHAnsi" w:hAnsiTheme="minorHAnsi" w:cstheme="minorHAnsi"/>
          <w:bCs/>
          <w:sz w:val="24"/>
          <w:szCs w:val="24"/>
        </w:rPr>
        <w:t>cíle dojde k přímé podpoře inovačních projektů firem a klíčovým faktorem bude především přenesení výsledků výzkumu a vývoje, případně dalších nových znalostí do praxe. Výsledkem poskytnutých podpor bude zvýšení konkurenceschopnosti ČR, vznik nových pracovních příležitostí a pozitivní dopad na životní prostředí a společnost prostřednictvím inovací v oblasti používaných technologií.</w:t>
      </w:r>
    </w:p>
    <w:p w:rsidR="008A50E3" w:rsidRDefault="008A50E3" w:rsidP="008A50E3">
      <w:pPr>
        <w:spacing w:after="60" w:line="312" w:lineRule="auto"/>
        <w:jc w:val="both"/>
        <w:rPr>
          <w:rFonts w:asciiTheme="minorHAnsi" w:hAnsiTheme="minorHAnsi" w:cstheme="minorHAnsi"/>
          <w:bCs/>
          <w:sz w:val="24"/>
          <w:szCs w:val="24"/>
        </w:rPr>
      </w:pPr>
    </w:p>
    <w:p w:rsidR="008A50E3" w:rsidRDefault="008A50E3" w:rsidP="008A50E3">
      <w:pPr>
        <w:pStyle w:val="Nadpis4"/>
      </w:pPr>
      <w:bookmarkStart w:id="28" w:name="_Toc351464359"/>
      <w:r>
        <w:rPr>
          <w:szCs w:val="24"/>
        </w:rPr>
        <w:t xml:space="preserve">Specifický cíl 1.2 - </w:t>
      </w:r>
      <w:r w:rsidRPr="00B85EE3">
        <w:rPr>
          <w:rFonts w:cstheme="minorHAnsi"/>
        </w:rPr>
        <w:t>Zvýšení intenzity a využití výsledků průmyslového výzkumu a experimentálního vývoje v rámci konceptu inteligentní specializace</w:t>
      </w:r>
      <w:bookmarkEnd w:id="28"/>
    </w:p>
    <w:p w:rsidR="008A50E3" w:rsidRDefault="008A50E3" w:rsidP="008A50E3">
      <w:pPr>
        <w:spacing w:after="60" w:line="312" w:lineRule="auto"/>
        <w:jc w:val="both"/>
        <w:rPr>
          <w:rFonts w:asciiTheme="minorHAnsi" w:hAnsiTheme="minorHAnsi" w:cstheme="minorHAnsi"/>
          <w:bCs/>
          <w:sz w:val="24"/>
          <w:szCs w:val="24"/>
        </w:rPr>
      </w:pP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 xml:space="preserve">Klíčovou podmínkou pro konkurenceschopnost ČR je rozvoj inovačních aktivit firem a efektivní transfer znalostí a technologií, závislý na rozvinuté spolupráci mezi podniky a výzkumnými </w:t>
      </w:r>
      <w:r w:rsidRPr="008A50E3">
        <w:rPr>
          <w:rFonts w:asciiTheme="minorHAnsi" w:hAnsiTheme="minorHAnsi" w:cstheme="minorHAnsi"/>
          <w:bCs/>
          <w:sz w:val="24"/>
          <w:szCs w:val="24"/>
        </w:rPr>
        <w:lastRenderedPageBreak/>
        <w:t xml:space="preserve">institucemi. Rozvoj je v tomto kontextu chápán zejména ve smyslu kvalitativním, tzn. zvýšení ambicióznosti inovačního úsilí firem. </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Jedním z problémů české ekonomiky je uzamčení značné části českých výrobců, kteří jsou dodavateli velkých nadnárodních firem, v nízkých patrech hodnotových řetězců. Další slabinou inovačního prostředí v ČR je nedostatečné propojení výzkumné a firemní sféry a nízká poptávka firem po inovacích, které by vyžadovaly špičkové know-how a byly založeny na výsledcích výzkumu prováděného ve veřejných institucích či v rámci vlastních výzkumných a vývojových aktivit. Výdaje na VaV financované z podnikatelských zdrojů jako podíl na HDP (r. 2009) umísťují ČR s 0,66% až pod průměr EU 27 s 1,02%. Hlavním identifikovaným problémem jsou tak nízké výdaje na firemní výzkum a vývoj a nízká míra spolupráce firem a výzkumných institucí, což vede k nedostatečnému zavádění inovací vyšších řádů.</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Působení řady českých výrobců - dodavatelů v nízkých patrech hodnotového řetězce, nižší dostupnost finančních zdrojů na inovační aktivity, relativně nízký počet společných projektů firem a výzkumných organizací, daný mj. nedostatečnou praktickou zkušeností s touto spoluprací, nízká motivace a schopnosti veřejné výzkumné sféry produkovat výsledky uplatnitelné v praxi. Nízká spolupráce inovujících firem; míra specializace a technické provázanosti současné výroby ovšem spolupráci vyžaduje, nežádoucí koncentrace výdajů na výzkum a vývoj v průmyslu (konkrétně v odvětví výroby motorových vozidel - 28% výdajů na VaV), snižující celkový inovační potenciál a potřebnou diverzifikaci inovačního prostředí.</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 xml:space="preserve">Pro většinu firem v ČR (zejména MSP) je příliš riskantní či finančně nedostupné realizovat náročnější projekty výzkumu a vývoje ve vlastní režii. Nedostatek praktických zkušeností a relativní závislost místních firem na strukturách nadnárodních společností omezuje rozvoj spolupráce na VaV projektech s výzkumnými institucemi. </w:t>
      </w:r>
    </w:p>
    <w:p w:rsidR="008A50E3" w:rsidRPr="008A50E3" w:rsidRDefault="008A50E3" w:rsidP="0038738E">
      <w:pPr>
        <w:spacing w:after="120"/>
        <w:jc w:val="both"/>
        <w:rPr>
          <w:rFonts w:asciiTheme="minorHAnsi" w:hAnsiTheme="minorHAnsi" w:cstheme="minorHAnsi"/>
          <w:bCs/>
          <w:sz w:val="24"/>
          <w:szCs w:val="24"/>
        </w:rPr>
      </w:pPr>
      <w:r w:rsidRPr="008A50E3">
        <w:rPr>
          <w:rFonts w:asciiTheme="minorHAnsi" w:hAnsiTheme="minorHAnsi" w:cstheme="minorHAnsi"/>
          <w:bCs/>
          <w:sz w:val="24"/>
          <w:szCs w:val="24"/>
        </w:rPr>
        <w:t xml:space="preserve">Zatímco </w:t>
      </w:r>
      <w:r w:rsidR="00380F31">
        <w:rPr>
          <w:rFonts w:asciiTheme="minorHAnsi" w:hAnsiTheme="minorHAnsi" w:cstheme="minorHAnsi"/>
          <w:bCs/>
          <w:sz w:val="24"/>
          <w:szCs w:val="24"/>
        </w:rPr>
        <w:t xml:space="preserve">specifický </w:t>
      </w:r>
      <w:r w:rsidRPr="008A50E3">
        <w:rPr>
          <w:rFonts w:asciiTheme="minorHAnsi" w:hAnsiTheme="minorHAnsi" w:cstheme="minorHAnsi"/>
          <w:bCs/>
          <w:sz w:val="24"/>
          <w:szCs w:val="24"/>
        </w:rPr>
        <w:t xml:space="preserve">cíl 1.1 je zaměřen především na investice podnikatelského sektoru do výzkumného a inovačního vybavení, </w:t>
      </w:r>
      <w:r w:rsidR="00380F31">
        <w:rPr>
          <w:rFonts w:asciiTheme="minorHAnsi" w:hAnsiTheme="minorHAnsi" w:cstheme="minorHAnsi"/>
          <w:bCs/>
          <w:sz w:val="24"/>
          <w:szCs w:val="24"/>
        </w:rPr>
        <w:t xml:space="preserve">specifický </w:t>
      </w:r>
      <w:r w:rsidRPr="008A50E3">
        <w:rPr>
          <w:rFonts w:asciiTheme="minorHAnsi" w:hAnsiTheme="minorHAnsi" w:cstheme="minorHAnsi"/>
          <w:bCs/>
          <w:sz w:val="24"/>
          <w:szCs w:val="24"/>
        </w:rPr>
        <w:t>cíl 1.2 se zaměřuje přímo na intenzitu provádění průmyslového výzkumu a experimentálního vývoje podnikatelskými subjekty.</w:t>
      </w:r>
    </w:p>
    <w:p w:rsidR="008A50E3" w:rsidRPr="008A50E3" w:rsidRDefault="008A50E3" w:rsidP="0038738E">
      <w:pPr>
        <w:jc w:val="both"/>
        <w:rPr>
          <w:rFonts w:asciiTheme="minorHAnsi" w:hAnsiTheme="minorHAnsi" w:cstheme="minorHAnsi"/>
          <w:bCs/>
          <w:sz w:val="24"/>
          <w:szCs w:val="24"/>
        </w:rPr>
      </w:pPr>
      <w:r w:rsidRPr="008A50E3">
        <w:rPr>
          <w:rFonts w:asciiTheme="minorHAnsi" w:hAnsiTheme="minorHAnsi" w:cstheme="minorHAnsi"/>
          <w:bCs/>
          <w:sz w:val="24"/>
          <w:szCs w:val="24"/>
        </w:rPr>
        <w:t>Realizace podpory projektů průmyslového výzkumu a experimentálního vývoje v podnikatelském sektoru bude významným impulsem pro zvýšení vlastních podnikových výdajů na výzkum a vývoj, povede k tvorbě nových konkurenceschopných produktů, navíc přispěje k vytvoření mechanismů dlouhodobé spolupráce různých účastníků inovačního systému (zejména podniků a výzkumných institucí v souladu se strategií inteligentní specializace), bude stimulovat výzkumné organizace k tvorbě výsledků využitelných v průmyslu a podpoří využívání nově vybudovaných výzkumných i podnikových infrastruktur.</w:t>
      </w:r>
    </w:p>
    <w:p w:rsidR="00902E7F" w:rsidRPr="00C561C7" w:rsidRDefault="00902E7F" w:rsidP="0038738E">
      <w:pPr>
        <w:overflowPunct/>
        <w:ind w:left="1410" w:hanging="1410"/>
        <w:jc w:val="both"/>
        <w:textAlignment w:val="auto"/>
        <w:rPr>
          <w:rFonts w:ascii="Calibri" w:hAnsi="Calibri" w:cs="Calibri"/>
          <w:b/>
          <w:bCs/>
          <w:color w:val="FF0000"/>
          <w:sz w:val="24"/>
          <w:szCs w:val="24"/>
        </w:rPr>
      </w:pPr>
    </w:p>
    <w:p w:rsidR="00380F31" w:rsidRDefault="00380F31" w:rsidP="00380F31">
      <w:pPr>
        <w:pStyle w:val="Nadpis4"/>
      </w:pPr>
      <w:bookmarkStart w:id="29" w:name="_Toc351464360"/>
      <w:r>
        <w:rPr>
          <w:szCs w:val="24"/>
        </w:rPr>
        <w:t xml:space="preserve">Specifický cíl 1.3 - </w:t>
      </w:r>
      <w:r w:rsidRPr="00B85EE3">
        <w:rPr>
          <w:rFonts w:cstheme="minorHAnsi"/>
        </w:rPr>
        <w:t>Rozvoj spolupráce mezi podnikatelským sektorem a veřejnými, vzdělávacími a vědecko-výzkumnými institucemi v duchu konceptu inteligentní specializace</w:t>
      </w:r>
      <w:bookmarkEnd w:id="29"/>
    </w:p>
    <w:p w:rsidR="004C042F" w:rsidRDefault="004C042F" w:rsidP="00C342B3">
      <w:pPr>
        <w:overflowPunct/>
        <w:ind w:left="1410" w:hanging="1410"/>
        <w:jc w:val="both"/>
        <w:textAlignment w:val="auto"/>
        <w:rPr>
          <w:rFonts w:ascii="Calibri" w:hAnsi="Calibri" w:cs="Calibri"/>
          <w:b/>
          <w:bCs/>
          <w:color w:val="FF0000"/>
          <w:sz w:val="24"/>
          <w:szCs w:val="24"/>
        </w:rPr>
      </w:pPr>
    </w:p>
    <w:p w:rsidR="00380F31" w:rsidRPr="00380F31" w:rsidRDefault="00380F31" w:rsidP="0038738E">
      <w:pPr>
        <w:spacing w:after="120"/>
        <w:jc w:val="both"/>
        <w:rPr>
          <w:rFonts w:asciiTheme="minorHAnsi" w:hAnsiTheme="minorHAnsi" w:cstheme="minorHAnsi"/>
          <w:bCs/>
          <w:sz w:val="24"/>
          <w:szCs w:val="24"/>
        </w:rPr>
      </w:pPr>
      <w:r w:rsidRPr="00380F31">
        <w:rPr>
          <w:rFonts w:asciiTheme="minorHAnsi" w:hAnsiTheme="minorHAnsi" w:cstheme="minorHAnsi"/>
          <w:bCs/>
          <w:sz w:val="24"/>
          <w:szCs w:val="24"/>
        </w:rPr>
        <w:t xml:space="preserve">Jedním z hlavních problémů inovačního systému ČR, ale i řady dalších zemí nejen v EU, je to, že výsledky výzkumu veřejných výzkumných institucí, které mají potenciál komerčního využití, zůstávají často nevyužity. Pokud jsou pro komerční využití rozvíjeny, často takové úsilí končí bez úspěchu v podobě inovací v aplikační sféře. Národohospodářský potenciál veřejné </w:t>
      </w:r>
      <w:r w:rsidRPr="00380F31">
        <w:rPr>
          <w:rFonts w:asciiTheme="minorHAnsi" w:hAnsiTheme="minorHAnsi" w:cstheme="minorHAnsi"/>
          <w:bCs/>
          <w:sz w:val="24"/>
          <w:szCs w:val="24"/>
        </w:rPr>
        <w:lastRenderedPageBreak/>
        <w:t>výzkumné sféry tak zůstává z velké části nevyužit. Zvýšení využívání výsledků výzkumu v praxi je jedním ze základních cílů národních i evropských strategických dokumentů. Naplnění tohoto cíle stimuluje rozvoj konkurenční výhody firem, a tím i ekonomiky v globálním měřítku. Naplnění tohoto cíle předpokládá intenzivní spolupráci výzkumných organizací se subjekty aplikační sféry. Výsledky analýz jednoznačně ukazují, že intenzita spolupráce mezi akademickým a podnikovým sektorem v ČR je podstatně nižší než v zemích, které dosahují předních pozic při srovnání konkurenceschopnosti či výkonnosti a povahy národního inovačního systému.</w:t>
      </w:r>
    </w:p>
    <w:p w:rsidR="00380F31" w:rsidRPr="00380F31" w:rsidRDefault="00380F31" w:rsidP="0038738E">
      <w:pPr>
        <w:spacing w:after="120"/>
        <w:jc w:val="both"/>
        <w:rPr>
          <w:rFonts w:asciiTheme="minorHAnsi" w:hAnsiTheme="minorHAnsi" w:cstheme="minorHAnsi"/>
          <w:bCs/>
          <w:sz w:val="24"/>
          <w:szCs w:val="24"/>
        </w:rPr>
      </w:pPr>
      <w:r w:rsidRPr="00380F31">
        <w:rPr>
          <w:rFonts w:asciiTheme="minorHAnsi" w:hAnsiTheme="minorHAnsi" w:cstheme="minorHAnsi"/>
          <w:bCs/>
          <w:sz w:val="24"/>
          <w:szCs w:val="24"/>
        </w:rPr>
        <w:t>Tento specifický cíl navazuje na výsledky programu Prosperita, který v období 2007 - 2013 pomohl založit podpůrnou infrastrukturu s vazbami na univerzity či výzkumné organizace (inkubátory, VTP, CTT ad.), v jejichž rámci jsou postupně vytvářeny služby a podmínky pro užší spolupráci podnikové a akademické sféry. Vedle toho program Spolupráce přispěl k vytvoření a rozvoji klastrových seskupení v různých odvětvových a technologických oblastech a do určité míry přispěl k překonávání nedůvěry ve společné aktivity, definovaní společných potřeb MSP i k zahájení a realizaci společných VaV projektů.</w:t>
      </w:r>
    </w:p>
    <w:p w:rsidR="00380F31" w:rsidRPr="00380F31" w:rsidRDefault="00380F31" w:rsidP="0038738E">
      <w:pPr>
        <w:spacing w:after="120"/>
        <w:jc w:val="both"/>
        <w:rPr>
          <w:rFonts w:asciiTheme="minorHAnsi" w:hAnsiTheme="minorHAnsi" w:cstheme="minorHAnsi"/>
          <w:bCs/>
          <w:sz w:val="24"/>
          <w:szCs w:val="24"/>
        </w:rPr>
      </w:pPr>
      <w:r w:rsidRPr="00380F31">
        <w:rPr>
          <w:rFonts w:asciiTheme="minorHAnsi" w:hAnsiTheme="minorHAnsi" w:cstheme="minorHAnsi"/>
          <w:bCs/>
          <w:sz w:val="24"/>
          <w:szCs w:val="24"/>
        </w:rPr>
        <w:t>Cílem pro období 2014+ bude postup do další fáze, která se zaměří zejména na zkvalitňování služeb VaV infrastruktury, rozšiřování úspěšných parků a inkubátorů a naplňování jejich poslání – růst počtu transferů technologií, zlepšování podmínek pro rozvoj inovačních firem, atd. Cílem tedy již není založení spolupráce, ale její další zefektivnění vedoucí k růstu konkurenceschopnosti regionů. V oblasti klastrů bude cílem vychovat excelentní klastry, které budou generovat kvalitní výstupy v oblasti VaV a budou schopny se úspěšně zapojovat např. do projektů rámcového programu HORIZONT 2020. Lze předpokládat, že některé klastry se do roku 2014 stanou zcela nezávislými na podpoře běžných společných projektů. Bude však potřeba podporovat excelenci, která povede k maximálně efektivnímu zapojení klastrů do inovačního řetězce. Na zkvalitnění podnikatelského prostředí a strategické zacílení výzkumu a vývoje ve významných technologických oblastech na národní nebo mezinárodní úrovni bude nadále zaměřena činnost technologických platforem, jejichž cílem je vytvořit, podporovat a naplňovat střednědobé až dlouhodobé vize technologického vývoje v návaznosti na otázky budoucího hospodářského růstu, konkurenceschopnosti a trvale udržitelného rozvoje v České republice i v Evropě.</w:t>
      </w:r>
      <w:r w:rsidR="005362CD">
        <w:rPr>
          <w:rFonts w:asciiTheme="minorHAnsi" w:hAnsiTheme="minorHAnsi" w:cstheme="minorHAnsi"/>
          <w:bCs/>
          <w:sz w:val="24"/>
          <w:szCs w:val="24"/>
        </w:rPr>
        <w:t xml:space="preserve"> Spolupráce mezi podnikatelským a veřejným sektorem v oblasti VaV bude zahrnovat rovněž problematiku kosmických aktivit, což je i aktivita řešená v Národním programu reforem 2013.</w:t>
      </w:r>
    </w:p>
    <w:p w:rsidR="00380F31" w:rsidRDefault="00380F31" w:rsidP="0038738E">
      <w:pPr>
        <w:spacing w:after="60"/>
        <w:jc w:val="both"/>
        <w:rPr>
          <w:rFonts w:asciiTheme="minorHAnsi" w:hAnsiTheme="minorHAnsi" w:cstheme="minorHAnsi"/>
          <w:bCs/>
          <w:sz w:val="24"/>
          <w:szCs w:val="24"/>
        </w:rPr>
      </w:pPr>
      <w:r w:rsidRPr="00380F31">
        <w:rPr>
          <w:rFonts w:asciiTheme="minorHAnsi" w:hAnsiTheme="minorHAnsi" w:cstheme="minorHAnsi"/>
          <w:bCs/>
          <w:sz w:val="24"/>
          <w:szCs w:val="24"/>
        </w:rPr>
        <w:t>Rozvoj spolupráce mezi podnikatelským sektorem a veřejnými, vzdělávacími a vědecko-výzkumnými institucemi bude tedy veden za účelem z</w:t>
      </w:r>
      <w:r>
        <w:rPr>
          <w:rFonts w:asciiTheme="minorHAnsi" w:hAnsiTheme="minorHAnsi" w:cstheme="minorHAnsi"/>
          <w:bCs/>
          <w:sz w:val="24"/>
          <w:szCs w:val="24"/>
        </w:rPr>
        <w:t>a</w:t>
      </w:r>
      <w:r w:rsidRPr="00380F31">
        <w:rPr>
          <w:rFonts w:asciiTheme="minorHAnsi" w:hAnsiTheme="minorHAnsi" w:cstheme="minorHAnsi"/>
          <w:bCs/>
          <w:sz w:val="24"/>
          <w:szCs w:val="24"/>
        </w:rPr>
        <w:t>vádění inovací procesů/produktů a služeb v podnicích a sblížení výzkumných témat prováděných ve veřejném sektoru s potřebami podniků. Nárůst interakcí mezi podniky a veřejnými VaV a vzdělávacími institucemi povede k lepšímu porozumění jejich skutečným přínosům na obou stranách a většímu otevření univerzit ke spolupráci s podnikatelskou sférou.</w:t>
      </w:r>
    </w:p>
    <w:p w:rsidR="00EC794F" w:rsidRDefault="00EC794F" w:rsidP="0038738E">
      <w:pPr>
        <w:spacing w:after="60"/>
        <w:jc w:val="both"/>
        <w:rPr>
          <w:rFonts w:asciiTheme="minorHAnsi" w:hAnsiTheme="minorHAnsi" w:cstheme="minorHAnsi"/>
          <w:bCs/>
          <w:sz w:val="24"/>
          <w:szCs w:val="24"/>
        </w:rPr>
      </w:pPr>
    </w:p>
    <w:p w:rsidR="00EC794F" w:rsidRPr="00380F31" w:rsidRDefault="00EC794F" w:rsidP="0038738E">
      <w:pPr>
        <w:spacing w:after="60"/>
        <w:jc w:val="both"/>
        <w:rPr>
          <w:rFonts w:asciiTheme="minorHAnsi" w:hAnsiTheme="minorHAnsi" w:cstheme="minorHAnsi"/>
          <w:bCs/>
          <w:sz w:val="24"/>
          <w:szCs w:val="24"/>
        </w:rPr>
      </w:pPr>
    </w:p>
    <w:p w:rsidR="00380F31" w:rsidRDefault="00380F31" w:rsidP="00C342B3">
      <w:pPr>
        <w:overflowPunct/>
        <w:ind w:left="1410" w:hanging="1410"/>
        <w:jc w:val="both"/>
        <w:textAlignment w:val="auto"/>
        <w:rPr>
          <w:rFonts w:ascii="Calibri" w:hAnsi="Calibri" w:cs="Calibri"/>
          <w:b/>
          <w:bCs/>
          <w:color w:val="FF0000"/>
          <w:sz w:val="24"/>
          <w:szCs w:val="24"/>
        </w:rPr>
      </w:pPr>
    </w:p>
    <w:p w:rsidR="00380F31" w:rsidRDefault="00380F31" w:rsidP="00380F31">
      <w:pPr>
        <w:pStyle w:val="Nadpis4"/>
      </w:pPr>
      <w:bookmarkStart w:id="30" w:name="_Toc351464361"/>
      <w:r>
        <w:rPr>
          <w:szCs w:val="24"/>
        </w:rPr>
        <w:lastRenderedPageBreak/>
        <w:t xml:space="preserve">Specifický cíl 1.4 - </w:t>
      </w:r>
      <w:r w:rsidRPr="00B85EE3">
        <w:rPr>
          <w:rFonts w:cstheme="minorHAnsi"/>
        </w:rPr>
        <w:t>Zvýšení přístupu podnikatelských subjektů k rizikovému kapitálu</w:t>
      </w:r>
      <w:bookmarkEnd w:id="30"/>
    </w:p>
    <w:p w:rsidR="00380F31" w:rsidRDefault="00380F31" w:rsidP="00C342B3">
      <w:pPr>
        <w:overflowPunct/>
        <w:ind w:left="1410" w:hanging="1410"/>
        <w:jc w:val="both"/>
        <w:textAlignment w:val="auto"/>
        <w:rPr>
          <w:rFonts w:ascii="Calibri" w:hAnsi="Calibri" w:cs="Calibri"/>
          <w:b/>
          <w:bCs/>
          <w:color w:val="FF0000"/>
          <w:sz w:val="24"/>
          <w:szCs w:val="24"/>
        </w:rPr>
      </w:pPr>
    </w:p>
    <w:p w:rsidR="00380F31" w:rsidRPr="00A3317B" w:rsidRDefault="00380F31" w:rsidP="0038738E">
      <w:pPr>
        <w:spacing w:after="120"/>
        <w:jc w:val="both"/>
        <w:rPr>
          <w:rFonts w:ascii="Calibri" w:hAnsi="Calibri" w:cs="Calibri"/>
          <w:sz w:val="24"/>
          <w:szCs w:val="24"/>
        </w:rPr>
      </w:pPr>
      <w:r w:rsidRPr="00A3317B">
        <w:rPr>
          <w:rFonts w:ascii="Calibri" w:hAnsi="Calibri" w:cs="Calibri"/>
          <w:sz w:val="24"/>
          <w:szCs w:val="24"/>
        </w:rPr>
        <w:t>Tento specifický cíl se soustředí na podporu růstu počtu a objemu zainvestovaných prostředků do inovativně zam</w:t>
      </w:r>
      <w:r>
        <w:rPr>
          <w:rFonts w:ascii="Calibri" w:hAnsi="Calibri" w:cs="Calibri"/>
          <w:sz w:val="24"/>
          <w:szCs w:val="24"/>
        </w:rPr>
        <w:t>ěřených začínajících podniků. Investice rizikového kapitálu umožní tržní valuaci výsledků výzkumu a vývoje a inovačně orientovaných podnikatelských projektů, čímž bude podpořena konkurenceschopnost cílových regionů.</w:t>
      </w:r>
    </w:p>
    <w:p w:rsidR="00380F31" w:rsidRPr="00A3317B" w:rsidRDefault="00380F31" w:rsidP="0038738E">
      <w:pPr>
        <w:spacing w:after="120"/>
        <w:jc w:val="both"/>
        <w:rPr>
          <w:rFonts w:ascii="Calibri" w:hAnsi="Calibri" w:cs="Calibri"/>
          <w:sz w:val="24"/>
          <w:szCs w:val="24"/>
        </w:rPr>
      </w:pPr>
      <w:r w:rsidRPr="00A3317B">
        <w:rPr>
          <w:rFonts w:ascii="Calibri" w:hAnsi="Calibri" w:cs="Calibri"/>
          <w:sz w:val="24"/>
          <w:szCs w:val="24"/>
        </w:rPr>
        <w:t>Vývoj počtu a celkové výše investic rizikového kapitálu zaznamenal v ČR vzestupný trend po přijetí zákona č. 189/2004 Sb., o kolektivním investování, a to zejména od roku 2007. Finanční krize však rozvíjející se trh rychle oslabila. Podíl rizikového kapitálu na celkových investicích do private equity (veřejně neobchodované společnosti) v České republice byl v průměru let 2007-2010 pouze 3,2</w:t>
      </w:r>
      <w:r>
        <w:rPr>
          <w:rFonts w:ascii="Calibri" w:hAnsi="Calibri" w:cs="Calibri"/>
          <w:sz w:val="24"/>
          <w:szCs w:val="24"/>
        </w:rPr>
        <w:t xml:space="preserve"> %, což je hluboko pod evropským</w:t>
      </w:r>
      <w:r w:rsidRPr="00A3317B">
        <w:rPr>
          <w:rFonts w:ascii="Calibri" w:hAnsi="Calibri" w:cs="Calibri"/>
          <w:sz w:val="24"/>
          <w:szCs w:val="24"/>
        </w:rPr>
        <w:t xml:space="preserve"> </w:t>
      </w:r>
      <w:r>
        <w:rPr>
          <w:rFonts w:ascii="Calibri" w:hAnsi="Calibri" w:cs="Calibri"/>
          <w:sz w:val="24"/>
          <w:szCs w:val="24"/>
        </w:rPr>
        <w:t>průměrem, který je na úrovni</w:t>
      </w:r>
      <w:r w:rsidRPr="00A3317B">
        <w:rPr>
          <w:rFonts w:ascii="Calibri" w:hAnsi="Calibri" w:cs="Calibri"/>
          <w:sz w:val="24"/>
          <w:szCs w:val="24"/>
        </w:rPr>
        <w:t xml:space="preserve"> cca. 12 %.</w:t>
      </w:r>
    </w:p>
    <w:p w:rsidR="00380F31" w:rsidRPr="00A3317B" w:rsidRDefault="00380F31" w:rsidP="0038738E">
      <w:pPr>
        <w:spacing w:after="120"/>
        <w:jc w:val="both"/>
        <w:rPr>
          <w:rFonts w:ascii="Calibri" w:hAnsi="Calibri" w:cs="Calibri"/>
          <w:sz w:val="24"/>
          <w:szCs w:val="24"/>
        </w:rPr>
      </w:pPr>
      <w:r w:rsidRPr="00A3317B">
        <w:rPr>
          <w:rFonts w:ascii="Calibri" w:hAnsi="Calibri" w:cs="Calibri"/>
          <w:sz w:val="24"/>
          <w:szCs w:val="24"/>
        </w:rPr>
        <w:t>Zvláště složitá je situace ve financování počátečních fází podnikání (tzv. seed a start-up). V letech 2008-2011 se investice fondů rizikového kapitálu do těchto fází objevují jen sporadicky, spíše jsou v této oblasti aktivní jen business angels, privátně operující tzv. HNWI (High Net-Worth Individuals), fyzické osoby nabízející financování v řádu max. několika milionů korun výměnou za obchodní podíl. Fondy rizikového kapitálu oproti tomu v ČR obvykle investují do pozdějších fází rozvoje firem v průměru 50-100 mil. Kč. Vzniká tak vzniká tzv. equity gap, mezera na finančním trhu, kde není trh schopen efektivně alokovat zdroje ve prospěch začínajících inovativ</w:t>
      </w:r>
      <w:r>
        <w:rPr>
          <w:rFonts w:ascii="Calibri" w:hAnsi="Calibri" w:cs="Calibri"/>
          <w:sz w:val="24"/>
          <w:szCs w:val="24"/>
        </w:rPr>
        <w:t xml:space="preserve">ně orientovaných společností. </w:t>
      </w:r>
      <w:r w:rsidRPr="00A3317B">
        <w:rPr>
          <w:rFonts w:ascii="Calibri" w:hAnsi="Calibri" w:cs="Calibri"/>
          <w:sz w:val="24"/>
          <w:szCs w:val="24"/>
        </w:rPr>
        <w:t>Základní příčiny se nalézají na trhu rizikového kapitálu jak na straně nabídky, tak na straně poptávky.</w:t>
      </w:r>
    </w:p>
    <w:p w:rsidR="00380F31" w:rsidRPr="00A3317B" w:rsidRDefault="00380F31" w:rsidP="0038738E">
      <w:pPr>
        <w:spacing w:after="120"/>
        <w:jc w:val="both"/>
        <w:rPr>
          <w:rFonts w:ascii="Calibri" w:hAnsi="Calibri" w:cs="Calibri"/>
          <w:sz w:val="24"/>
          <w:szCs w:val="24"/>
        </w:rPr>
      </w:pPr>
      <w:r w:rsidRPr="00A3317B">
        <w:rPr>
          <w:rFonts w:ascii="Calibri" w:hAnsi="Calibri" w:cs="Calibri"/>
          <w:sz w:val="24"/>
          <w:szCs w:val="24"/>
        </w:rPr>
        <w:t xml:space="preserve">Investoři jsou málo ochotní přistoupit na riziko v podobě investice v řádech </w:t>
      </w:r>
      <w:r>
        <w:rPr>
          <w:rFonts w:ascii="Calibri" w:hAnsi="Calibri" w:cs="Calibri"/>
          <w:sz w:val="24"/>
          <w:szCs w:val="24"/>
        </w:rPr>
        <w:t xml:space="preserve">jednotek až </w:t>
      </w:r>
      <w:r w:rsidRPr="00A3317B">
        <w:rPr>
          <w:rFonts w:ascii="Calibri" w:hAnsi="Calibri" w:cs="Calibri"/>
          <w:sz w:val="24"/>
          <w:szCs w:val="24"/>
        </w:rPr>
        <w:t>desítek milionů korun do začínajících inovativních společností bez historie, často s nezkušeným týmem. Investoři mají připraven dostatek kapitálu na investice, ale nenalézají dostatek investičních příležitostí, které splňují jejich požadavky.</w:t>
      </w:r>
    </w:p>
    <w:p w:rsidR="00380F31" w:rsidRPr="00A3317B" w:rsidRDefault="00380F31" w:rsidP="0038738E">
      <w:pPr>
        <w:spacing w:after="120"/>
        <w:jc w:val="both"/>
        <w:rPr>
          <w:rFonts w:ascii="Calibri" w:hAnsi="Calibri" w:cs="Calibri"/>
          <w:sz w:val="24"/>
          <w:szCs w:val="24"/>
        </w:rPr>
      </w:pPr>
      <w:r w:rsidRPr="00A3317B">
        <w:rPr>
          <w:rFonts w:ascii="Calibri" w:hAnsi="Calibri" w:cs="Calibri"/>
          <w:sz w:val="24"/>
          <w:szCs w:val="24"/>
        </w:rPr>
        <w:t>Oproti tomu začínající inovativní MSP se většinou příliš orientují na technologii a opomíjejí obchodní stránku podnikání, často nemají kvalitně zpracovaný business plán, čímž se snižuje jejich atraktivita pro potenciální investory. Kromě toho zde hraje určitou roli i nedůvěra nebo neznalost principů poskytování privátního kapitálu mezi zakladateli nových společností. Dalším základním problémem je nedostatek dostatečně kvalifikovaných</w:t>
      </w:r>
      <w:r>
        <w:rPr>
          <w:rFonts w:ascii="Calibri" w:hAnsi="Calibri" w:cs="Calibri"/>
          <w:sz w:val="24"/>
          <w:szCs w:val="24"/>
        </w:rPr>
        <w:t xml:space="preserve"> a motivovaných absolventů techn</w:t>
      </w:r>
      <w:r w:rsidRPr="00A3317B">
        <w:rPr>
          <w:rFonts w:ascii="Calibri" w:hAnsi="Calibri" w:cs="Calibri"/>
          <w:sz w:val="24"/>
          <w:szCs w:val="24"/>
        </w:rPr>
        <w:t>ických oborů, kteří jsou často nositeli inovati</w:t>
      </w:r>
      <w:r>
        <w:rPr>
          <w:rFonts w:ascii="Calibri" w:hAnsi="Calibri" w:cs="Calibri"/>
          <w:sz w:val="24"/>
          <w:szCs w:val="24"/>
        </w:rPr>
        <w:t xml:space="preserve">vních podnikatelských záměrů. </w:t>
      </w:r>
      <w:r w:rsidRPr="00A3317B">
        <w:rPr>
          <w:rFonts w:ascii="Calibri" w:hAnsi="Calibri" w:cs="Calibri"/>
          <w:sz w:val="24"/>
          <w:szCs w:val="24"/>
        </w:rPr>
        <w:t>Jak je zřejmé z popisu příčin problému, jedná se o poměrně komplexní problematiku, zvláště na straně poptávky po rizikovém kapitálu.</w:t>
      </w:r>
    </w:p>
    <w:p w:rsidR="00380F31" w:rsidRPr="00A3317B" w:rsidRDefault="00380F31" w:rsidP="0038738E">
      <w:pPr>
        <w:spacing w:after="120"/>
        <w:jc w:val="both"/>
        <w:rPr>
          <w:rFonts w:ascii="Calibri" w:hAnsi="Calibri" w:cs="Calibri"/>
          <w:sz w:val="24"/>
          <w:szCs w:val="24"/>
        </w:rPr>
      </w:pPr>
      <w:r w:rsidRPr="00A3317B">
        <w:rPr>
          <w:rFonts w:ascii="Calibri" w:hAnsi="Calibri" w:cs="Calibri"/>
          <w:sz w:val="24"/>
          <w:szCs w:val="24"/>
        </w:rPr>
        <w:t xml:space="preserve">Výsledkem </w:t>
      </w:r>
      <w:r>
        <w:rPr>
          <w:rFonts w:ascii="Calibri" w:hAnsi="Calibri" w:cs="Calibri"/>
          <w:sz w:val="24"/>
          <w:szCs w:val="24"/>
        </w:rPr>
        <w:t xml:space="preserve">podpory bude </w:t>
      </w:r>
      <w:r w:rsidRPr="00A3317B">
        <w:rPr>
          <w:rFonts w:ascii="Calibri" w:hAnsi="Calibri" w:cs="Calibri"/>
          <w:sz w:val="24"/>
          <w:szCs w:val="24"/>
        </w:rPr>
        <w:t>vyšší počet a objem investic rizikového kapitálu do raných fází podnikání, zejména ve fázích seed a start-up, ale také v</w:t>
      </w:r>
      <w:r>
        <w:rPr>
          <w:rFonts w:ascii="Calibri" w:hAnsi="Calibri" w:cs="Calibri"/>
          <w:sz w:val="24"/>
          <w:szCs w:val="24"/>
        </w:rPr>
        <w:t xml:space="preserve">e fázi rozšíření (expansion). </w:t>
      </w:r>
      <w:r w:rsidRPr="00A3317B">
        <w:rPr>
          <w:rFonts w:ascii="Calibri" w:hAnsi="Calibri" w:cs="Calibri"/>
          <w:sz w:val="24"/>
          <w:szCs w:val="24"/>
        </w:rPr>
        <w:t xml:space="preserve">Základní aktivitou bude </w:t>
      </w:r>
      <w:r>
        <w:rPr>
          <w:rFonts w:ascii="Calibri" w:hAnsi="Calibri" w:cs="Calibri"/>
          <w:sz w:val="24"/>
          <w:szCs w:val="24"/>
        </w:rPr>
        <w:t>přímá účast prostředků operačního programu na investicích</w:t>
      </w:r>
      <w:r w:rsidRPr="00A3317B">
        <w:rPr>
          <w:rFonts w:ascii="Calibri" w:hAnsi="Calibri" w:cs="Calibri"/>
          <w:sz w:val="24"/>
          <w:szCs w:val="24"/>
        </w:rPr>
        <w:t xml:space="preserve"> rizikového kapitálu</w:t>
      </w:r>
      <w:r>
        <w:rPr>
          <w:rFonts w:ascii="Calibri" w:hAnsi="Calibri" w:cs="Calibri"/>
          <w:sz w:val="24"/>
          <w:szCs w:val="24"/>
        </w:rPr>
        <w:t xml:space="preserve">. </w:t>
      </w:r>
      <w:r w:rsidRPr="00A3317B">
        <w:rPr>
          <w:rFonts w:ascii="Calibri" w:hAnsi="Calibri" w:cs="Calibri"/>
          <w:sz w:val="24"/>
          <w:szCs w:val="24"/>
        </w:rPr>
        <w:t>Výběr nejvhod</w:t>
      </w:r>
      <w:r>
        <w:rPr>
          <w:rFonts w:ascii="Calibri" w:hAnsi="Calibri" w:cs="Calibri"/>
          <w:sz w:val="24"/>
          <w:szCs w:val="24"/>
        </w:rPr>
        <w:t xml:space="preserve">nější formy realizace finančních nástrojů </w:t>
      </w:r>
      <w:r w:rsidRPr="00A3317B">
        <w:rPr>
          <w:rFonts w:ascii="Calibri" w:hAnsi="Calibri" w:cs="Calibri"/>
          <w:sz w:val="24"/>
          <w:szCs w:val="24"/>
        </w:rPr>
        <w:t>rizikového kapitálu</w:t>
      </w:r>
      <w:r>
        <w:rPr>
          <w:rFonts w:ascii="Calibri" w:hAnsi="Calibri" w:cs="Calibri"/>
          <w:sz w:val="24"/>
          <w:szCs w:val="24"/>
        </w:rPr>
        <w:t xml:space="preserve"> bude ponechán</w:t>
      </w:r>
      <w:r w:rsidRPr="00A3317B">
        <w:rPr>
          <w:rFonts w:ascii="Calibri" w:hAnsi="Calibri" w:cs="Calibri"/>
          <w:sz w:val="24"/>
          <w:szCs w:val="24"/>
        </w:rPr>
        <w:t xml:space="preserve"> na ex-ante analýze finančních nástrojů OP PIK dle čl. 32 návrhu obecného nařízení.</w:t>
      </w:r>
    </w:p>
    <w:p w:rsidR="00380F31" w:rsidRDefault="00380F31" w:rsidP="0038738E">
      <w:pPr>
        <w:spacing w:after="120"/>
        <w:jc w:val="both"/>
        <w:rPr>
          <w:rFonts w:ascii="Calibri" w:hAnsi="Calibri" w:cs="Calibri"/>
          <w:sz w:val="24"/>
          <w:szCs w:val="24"/>
        </w:rPr>
      </w:pPr>
      <w:r w:rsidRPr="00A3317B">
        <w:rPr>
          <w:rFonts w:ascii="Calibri" w:hAnsi="Calibri" w:cs="Calibri"/>
          <w:sz w:val="24"/>
          <w:szCs w:val="24"/>
        </w:rPr>
        <w:t>Pokud to umožní pravidla pro veřejnou podporu v oblasti poskytování rizikového kapitálu</w:t>
      </w:r>
      <w:r>
        <w:rPr>
          <w:rFonts w:ascii="Calibri" w:hAnsi="Calibri" w:cs="Calibri"/>
          <w:sz w:val="24"/>
          <w:szCs w:val="24"/>
        </w:rPr>
        <w:t xml:space="preserve"> po roce 2013</w:t>
      </w:r>
      <w:r w:rsidRPr="00A3317B">
        <w:rPr>
          <w:rFonts w:ascii="Calibri" w:hAnsi="Calibri" w:cs="Calibri"/>
          <w:sz w:val="24"/>
          <w:szCs w:val="24"/>
        </w:rPr>
        <w:t xml:space="preserve">, budou investice zaměřeny také na náhradní (replacement) kapitál a růstový (growth) kapitál z důvodu podpory rozvoje i pokročilejších fází podnikání prostřednictvím finančních nástrojů a z důvodu diverzifikace vysokého rizika, které </w:t>
      </w:r>
      <w:r>
        <w:rPr>
          <w:rFonts w:ascii="Calibri" w:hAnsi="Calibri" w:cs="Calibri"/>
          <w:sz w:val="24"/>
          <w:szCs w:val="24"/>
        </w:rPr>
        <w:t>operační program</w:t>
      </w:r>
      <w:r w:rsidRPr="00A3317B">
        <w:rPr>
          <w:rFonts w:ascii="Calibri" w:hAnsi="Calibri" w:cs="Calibri"/>
          <w:sz w:val="24"/>
          <w:szCs w:val="24"/>
        </w:rPr>
        <w:t xml:space="preserve"> investicemi do ra</w:t>
      </w:r>
      <w:r>
        <w:rPr>
          <w:rFonts w:ascii="Calibri" w:hAnsi="Calibri" w:cs="Calibri"/>
          <w:sz w:val="24"/>
          <w:szCs w:val="24"/>
        </w:rPr>
        <w:t>ných fází podnikání podstupuje.</w:t>
      </w:r>
    </w:p>
    <w:p w:rsidR="00380F31" w:rsidRDefault="00380F31" w:rsidP="00C342B3">
      <w:pPr>
        <w:overflowPunct/>
        <w:ind w:left="1410" w:hanging="1410"/>
        <w:jc w:val="both"/>
        <w:textAlignment w:val="auto"/>
        <w:rPr>
          <w:rFonts w:ascii="Calibri" w:hAnsi="Calibri" w:cs="Calibri"/>
          <w:b/>
          <w:bCs/>
          <w:color w:val="FF0000"/>
          <w:sz w:val="24"/>
          <w:szCs w:val="24"/>
        </w:rPr>
      </w:pPr>
    </w:p>
    <w:p w:rsidR="00FF25A4" w:rsidRDefault="00FF25A4" w:rsidP="00FF25A4">
      <w:pPr>
        <w:pStyle w:val="Nadpis3"/>
      </w:pPr>
      <w:bookmarkStart w:id="31" w:name="_Toc351464362"/>
      <w:bookmarkStart w:id="32" w:name="_Toc352328362"/>
      <w:r w:rsidRPr="00FF25A4">
        <w:t>Popis typu a příkladů aktivit, které budou</w:t>
      </w:r>
      <w:r>
        <w:t xml:space="preserve"> podporovány v rámci </w:t>
      </w:r>
      <w:r w:rsidRPr="00FF25A4">
        <w:t>dané investiční priority (dle investičních priorit)</w:t>
      </w:r>
      <w:bookmarkEnd w:id="31"/>
      <w:bookmarkEnd w:id="32"/>
    </w:p>
    <w:p w:rsidR="00D71D90" w:rsidRDefault="00D71D90" w:rsidP="00D71D90">
      <w:pPr>
        <w:jc w:val="both"/>
        <w:rPr>
          <w:rFonts w:asciiTheme="minorHAnsi" w:hAnsiTheme="minorHAnsi" w:cstheme="minorHAnsi"/>
          <w:b/>
          <w:sz w:val="24"/>
          <w:szCs w:val="24"/>
        </w:rPr>
      </w:pPr>
    </w:p>
    <w:p w:rsidR="00D71D90" w:rsidRDefault="00D71D90" w:rsidP="00D71D90">
      <w:pPr>
        <w:jc w:val="both"/>
        <w:rPr>
          <w:rFonts w:asciiTheme="minorHAnsi" w:hAnsiTheme="minorHAnsi" w:cstheme="minorHAnsi"/>
          <w:b/>
          <w:bCs/>
          <w:sz w:val="24"/>
          <w:szCs w:val="24"/>
        </w:rPr>
      </w:pPr>
      <w:r w:rsidRPr="00D71D90">
        <w:rPr>
          <w:rFonts w:asciiTheme="minorHAnsi" w:hAnsiTheme="minorHAnsi" w:cstheme="minorHAnsi"/>
          <w:b/>
          <w:sz w:val="24"/>
          <w:szCs w:val="24"/>
        </w:rPr>
        <w:t xml:space="preserve">Investiční priorita: </w:t>
      </w:r>
      <w:r w:rsidRPr="00D71D90">
        <w:rPr>
          <w:rFonts w:asciiTheme="minorHAnsi" w:hAnsiTheme="minorHAnsi" w:cstheme="minorHAnsi"/>
          <w:b/>
          <w:bCs/>
          <w:sz w:val="24"/>
          <w:szCs w:val="24"/>
        </w:rPr>
        <w:t>Podpora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aplikovaného výzkumu, pilotních l</w:t>
      </w:r>
      <w:r w:rsidRPr="00EC794F">
        <w:rPr>
          <w:rFonts w:asciiTheme="minorHAnsi" w:hAnsiTheme="minorHAnsi" w:cstheme="minorHAnsi"/>
          <w:b/>
          <w:bCs/>
          <w:sz w:val="24"/>
          <w:szCs w:val="24"/>
        </w:rPr>
        <w:t>inek, opatření k včasnému ověřování produktů, schopností vyspělé výroby a prvovýroby v oblasti klíčových technologií a šíření technologií pro všeobecné použití (nařízení o ERDF, článek 5, odst. (1) bod b)</w:t>
      </w:r>
    </w:p>
    <w:p w:rsidR="00330E3C" w:rsidRDefault="00330E3C" w:rsidP="00D71D90">
      <w:pPr>
        <w:jc w:val="both"/>
        <w:rPr>
          <w:rFonts w:asciiTheme="minorHAnsi" w:hAnsiTheme="minorHAnsi" w:cstheme="minorHAnsi"/>
          <w:b/>
          <w:bCs/>
          <w:sz w:val="24"/>
          <w:szCs w:val="24"/>
        </w:rPr>
      </w:pPr>
    </w:p>
    <w:p w:rsidR="00D71D90" w:rsidRDefault="00D71D90" w:rsidP="00D71D90">
      <w:pPr>
        <w:pStyle w:val="Nadpis4"/>
      </w:pPr>
      <w:bookmarkStart w:id="33" w:name="_Toc351464363"/>
      <w:r>
        <w:rPr>
          <w:szCs w:val="24"/>
        </w:rPr>
        <w:t xml:space="preserve">Specifický cíl 1.1 - </w:t>
      </w:r>
      <w:r w:rsidRPr="00B85EE3">
        <w:t>Zvýšení inovační výkonnosti podniků</w:t>
      </w:r>
      <w:bookmarkEnd w:id="33"/>
    </w:p>
    <w:p w:rsidR="00FF1673" w:rsidRDefault="00902E7F" w:rsidP="00D71D90">
      <w:pPr>
        <w:pStyle w:val="Nadpis5"/>
      </w:pPr>
      <w:r w:rsidRPr="00FF25A4">
        <w:t>Popis typů a příkladů financovaných aktivit a jejich očekávaný příspěvek ke specifickým cílům, včetně, pokud je to možné</w:t>
      </w:r>
    </w:p>
    <w:p w:rsidR="00D71D90" w:rsidRPr="0036610F" w:rsidRDefault="00D71D90" w:rsidP="0036610F">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Podporované aktivity</w:t>
      </w:r>
      <w:r w:rsidR="0036610F" w:rsidRPr="0036610F">
        <w:rPr>
          <w:rFonts w:asciiTheme="minorHAnsi" w:hAnsiTheme="minorHAnsi" w:cstheme="minorHAnsi"/>
          <w:b/>
          <w:sz w:val="24"/>
          <w:szCs w:val="24"/>
        </w:rPr>
        <w:t xml:space="preserve">: </w:t>
      </w:r>
      <w:r w:rsidRPr="0036610F">
        <w:rPr>
          <w:rFonts w:asciiTheme="minorHAnsi" w:hAnsiTheme="minorHAnsi" w:cstheme="minorHAnsi"/>
          <w:bCs/>
          <w:sz w:val="24"/>
          <w:szCs w:val="24"/>
        </w:rPr>
        <w:t>Podporovány budou aktivity směřující k zakládání nových nebo rozvoji stávajících podnikových výzkumně vývojových pracovišť, k zavádění technických a netechnických inovací v podnicích na bázi efektivních technologií a aktivity směřující k ochraně práv průmyslového vlastnictví.</w:t>
      </w:r>
    </w:p>
    <w:p w:rsidR="00D71D90" w:rsidRPr="0036610F" w:rsidRDefault="00D71D90" w:rsidP="0036610F">
      <w:pPr>
        <w:spacing w:after="120"/>
        <w:jc w:val="both"/>
        <w:rPr>
          <w:rFonts w:asciiTheme="minorHAnsi" w:hAnsiTheme="minorHAnsi" w:cstheme="minorHAnsi"/>
          <w:sz w:val="24"/>
        </w:rPr>
      </w:pPr>
      <w:r w:rsidRPr="0036610F">
        <w:rPr>
          <w:rFonts w:asciiTheme="minorHAnsi" w:hAnsiTheme="minorHAnsi" w:cstheme="minorHAnsi"/>
          <w:b/>
          <w:bCs/>
          <w:sz w:val="24"/>
          <w:szCs w:val="24"/>
        </w:rPr>
        <w:t>Hlavní cílová skupina</w:t>
      </w:r>
      <w:r w:rsidR="0036610F" w:rsidRPr="0036610F">
        <w:rPr>
          <w:rFonts w:asciiTheme="minorHAnsi" w:hAnsiTheme="minorHAnsi" w:cstheme="minorHAnsi"/>
          <w:b/>
          <w:bCs/>
          <w:sz w:val="24"/>
          <w:szCs w:val="24"/>
        </w:rPr>
        <w:t xml:space="preserve">: </w:t>
      </w:r>
      <w:r w:rsidRPr="0036610F">
        <w:rPr>
          <w:rFonts w:asciiTheme="minorHAnsi" w:hAnsiTheme="minorHAnsi" w:cstheme="minorHAnsi"/>
          <w:sz w:val="24"/>
        </w:rPr>
        <w:t>Podnikatelské subjekty</w:t>
      </w:r>
      <w:r w:rsidR="00724A93">
        <w:rPr>
          <w:rFonts w:asciiTheme="minorHAnsi" w:hAnsiTheme="minorHAnsi" w:cstheme="minorHAnsi"/>
          <w:sz w:val="24"/>
        </w:rPr>
        <w:t>.</w:t>
      </w:r>
    </w:p>
    <w:p w:rsidR="00D71D90" w:rsidRPr="0036610F" w:rsidRDefault="00D71D90" w:rsidP="0036610F">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Cílové území</w:t>
      </w:r>
      <w:r w:rsidR="0036610F" w:rsidRPr="0036610F">
        <w:rPr>
          <w:rFonts w:asciiTheme="minorHAnsi" w:hAnsiTheme="minorHAnsi" w:cstheme="minorHAnsi"/>
          <w:b/>
          <w:bCs/>
          <w:sz w:val="24"/>
          <w:szCs w:val="24"/>
        </w:rPr>
        <w:t xml:space="preserve">: </w:t>
      </w:r>
      <w:r w:rsidRPr="0036610F">
        <w:rPr>
          <w:rFonts w:asciiTheme="minorHAnsi" w:hAnsiTheme="minorHAnsi" w:cstheme="minorHAnsi"/>
          <w:bCs/>
          <w:sz w:val="24"/>
          <w:szCs w:val="24"/>
        </w:rPr>
        <w:t>Území České republiky, mimo území hl. města Prahy.</w:t>
      </w:r>
    </w:p>
    <w:p w:rsidR="00D71D90" w:rsidRPr="0036610F" w:rsidRDefault="00D71D90" w:rsidP="0036610F">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Typy příjemců</w:t>
      </w:r>
      <w:r w:rsidR="0036610F" w:rsidRPr="0036610F">
        <w:rPr>
          <w:rFonts w:asciiTheme="minorHAnsi" w:hAnsiTheme="minorHAnsi" w:cstheme="minorHAnsi"/>
          <w:b/>
          <w:bCs/>
          <w:sz w:val="24"/>
          <w:szCs w:val="24"/>
        </w:rPr>
        <w:t xml:space="preserve">: </w:t>
      </w:r>
      <w:r w:rsidRPr="0036610F">
        <w:rPr>
          <w:rFonts w:asciiTheme="minorHAnsi" w:hAnsiTheme="minorHAnsi" w:cstheme="minorHAnsi"/>
          <w:bCs/>
          <w:sz w:val="24"/>
          <w:szCs w:val="24"/>
        </w:rPr>
        <w:t>Podnikatelské subjekty (zejména malé a střední, v odůvodněných případech velké podniky), vysoké školy, vědeckovýzkumné instituce a fyzické osoby.</w:t>
      </w:r>
    </w:p>
    <w:p w:rsidR="00D71D90" w:rsidRDefault="00D71D90" w:rsidP="00D71D90">
      <w:pPr>
        <w:pStyle w:val="Nadpis5"/>
      </w:pPr>
      <w:r w:rsidRPr="00D71D90">
        <w:t>Popis principů pro výběr operací</w:t>
      </w:r>
    </w:p>
    <w:p w:rsidR="0036610F" w:rsidRPr="0036610F" w:rsidRDefault="0036610F" w:rsidP="0036610F">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36610F" w:rsidRPr="0036610F" w:rsidRDefault="0036610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36610F" w:rsidRPr="0036610F" w:rsidRDefault="0036610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D71D90" w:rsidRDefault="00D71D90" w:rsidP="00D71D90">
      <w:pPr>
        <w:pStyle w:val="Nadpis5"/>
      </w:pPr>
      <w:r w:rsidRPr="00D71D90">
        <w:t>Plánované využití finančních nástrojů</w:t>
      </w:r>
    </w:p>
    <w:p w:rsidR="00D71D90" w:rsidRPr="009C7BE0" w:rsidRDefault="00724A93" w:rsidP="00D71D90">
      <w:pPr>
        <w:spacing w:after="60" w:line="312" w:lineRule="auto"/>
        <w:jc w:val="both"/>
        <w:rPr>
          <w:rFonts w:asciiTheme="minorHAnsi" w:hAnsiTheme="minorHAnsi" w:cstheme="minorHAnsi"/>
          <w:bCs/>
          <w:color w:val="FF0000"/>
          <w:sz w:val="24"/>
          <w:szCs w:val="24"/>
        </w:rPr>
      </w:pPr>
      <w:r w:rsidRPr="009C7BE0">
        <w:rPr>
          <w:rFonts w:asciiTheme="minorHAnsi" w:hAnsiTheme="minorHAnsi" w:cstheme="minorHAnsi"/>
          <w:bCs/>
          <w:color w:val="FF0000"/>
          <w:sz w:val="24"/>
          <w:szCs w:val="24"/>
        </w:rPr>
        <w:t xml:space="preserve">Využití a případný výběr nejvhodnějších forem finančních nástrojů a jejich specifické zaměření bude ponechán na ex-ante analýze </w:t>
      </w:r>
      <w:r w:rsidRPr="00EC794F">
        <w:rPr>
          <w:rFonts w:asciiTheme="minorHAnsi" w:hAnsiTheme="minorHAnsi" w:cstheme="minorHAnsi"/>
          <w:bCs/>
          <w:color w:val="FF0000"/>
          <w:sz w:val="24"/>
          <w:szCs w:val="24"/>
        </w:rPr>
        <w:t>finančních nástrojů OP PIK dle čl. 32 návrhu obecného nařízení.</w:t>
      </w:r>
    </w:p>
    <w:p w:rsidR="00D71D90" w:rsidRPr="00D71D90" w:rsidRDefault="00D71D90" w:rsidP="00D71D90">
      <w:pPr>
        <w:pStyle w:val="Nadpis5"/>
      </w:pPr>
      <w:r w:rsidRPr="00D71D90">
        <w:lastRenderedPageBreak/>
        <w:t>Specifikace velkých projektů</w:t>
      </w:r>
    </w:p>
    <w:p w:rsidR="00724A93" w:rsidRPr="000C6BEF" w:rsidRDefault="000C6BEF" w:rsidP="00724A93">
      <w:pPr>
        <w:overflowPunct/>
        <w:jc w:val="both"/>
        <w:textAlignment w:val="auto"/>
        <w:rPr>
          <w:rFonts w:asciiTheme="minorHAnsi" w:hAnsiTheme="minorHAnsi" w:cstheme="minorHAnsi"/>
          <w:color w:val="FF0000"/>
          <w:sz w:val="24"/>
          <w:szCs w:val="24"/>
        </w:rPr>
      </w:pPr>
      <w:r w:rsidRPr="000C6BEF">
        <w:rPr>
          <w:rFonts w:asciiTheme="minorHAnsi" w:hAnsiTheme="minorHAnsi" w:cstheme="minorHAnsi"/>
          <w:color w:val="FF0000"/>
          <w:sz w:val="24"/>
          <w:szCs w:val="24"/>
        </w:rPr>
        <w:t xml:space="preserve">Otázka </w:t>
      </w:r>
      <w:r w:rsidR="00724A93" w:rsidRPr="000C6BEF">
        <w:rPr>
          <w:rFonts w:asciiTheme="minorHAnsi" w:hAnsiTheme="minorHAnsi" w:cstheme="minorHAnsi"/>
          <w:color w:val="FF0000"/>
          <w:sz w:val="24"/>
          <w:szCs w:val="24"/>
        </w:rPr>
        <w:t>realizace velkých projektů dl</w:t>
      </w:r>
      <w:r w:rsidR="00724A93" w:rsidRPr="00EC794F">
        <w:rPr>
          <w:rFonts w:asciiTheme="minorHAnsi" w:hAnsiTheme="minorHAnsi" w:cstheme="minorHAnsi"/>
          <w:color w:val="FF0000"/>
          <w:sz w:val="24"/>
          <w:szCs w:val="24"/>
        </w:rPr>
        <w:t>e vymezení čl. 87 odst. 2 písm. (b)(iii) nařízení č. xxxx/2013</w:t>
      </w:r>
      <w:r w:rsidRPr="00EC794F">
        <w:rPr>
          <w:rFonts w:asciiTheme="minorHAnsi" w:hAnsiTheme="minorHAnsi" w:cstheme="minorHAnsi"/>
          <w:color w:val="FF0000"/>
          <w:sz w:val="24"/>
          <w:szCs w:val="24"/>
        </w:rPr>
        <w:t xml:space="preserve"> bude řešena dle vývoje přípravy operačního progra</w:t>
      </w:r>
      <w:r w:rsidRPr="000C6BEF">
        <w:rPr>
          <w:rFonts w:asciiTheme="minorHAnsi" w:hAnsiTheme="minorHAnsi" w:cstheme="minorHAnsi"/>
          <w:color w:val="FF0000"/>
          <w:sz w:val="24"/>
          <w:szCs w:val="24"/>
        </w:rPr>
        <w:t xml:space="preserve">mu.  </w:t>
      </w:r>
      <w:r w:rsidR="00724A93" w:rsidRPr="000C6BEF">
        <w:rPr>
          <w:rFonts w:asciiTheme="minorHAnsi" w:hAnsiTheme="minorHAnsi" w:cstheme="minorHAnsi"/>
          <w:color w:val="FF0000"/>
          <w:sz w:val="24"/>
          <w:szCs w:val="24"/>
        </w:rPr>
        <w:t xml:space="preserve">  </w:t>
      </w:r>
    </w:p>
    <w:p w:rsidR="00C16A07" w:rsidRDefault="00C16A07" w:rsidP="00AE0AB9">
      <w:pPr>
        <w:pStyle w:val="Nadpis5"/>
      </w:pPr>
      <w:r w:rsidRPr="00C16A07">
        <w:t>Společné a specifické indikátory</w:t>
      </w:r>
    </w:p>
    <w:p w:rsidR="00724A93" w:rsidRDefault="00724A93" w:rsidP="00AE0AB9">
      <w:pPr>
        <w:keepNext/>
      </w:pPr>
    </w:p>
    <w:p w:rsidR="00C16A07" w:rsidRPr="009A0366" w:rsidRDefault="00530623" w:rsidP="00AE0AB9">
      <w:pPr>
        <w:pStyle w:val="TextNOK"/>
        <w:keepNext/>
        <w:keepLines/>
        <w:spacing w:before="60" w:line="240" w:lineRule="auto"/>
        <w:rPr>
          <w:rFonts w:ascii="Times New Roman" w:hAnsi="Times New Roman"/>
          <w:b/>
          <w:sz w:val="24"/>
          <w:szCs w:val="24"/>
        </w:rPr>
      </w:pPr>
      <w:r w:rsidRPr="00EC794F">
        <w:rPr>
          <w:rFonts w:ascii="Times New Roman" w:hAnsi="Times New Roman"/>
          <w:b/>
          <w:sz w:val="24"/>
          <w:szCs w:val="24"/>
        </w:rPr>
        <w:t>Tabulka xx</w:t>
      </w:r>
      <w:r w:rsidR="00C16A07" w:rsidRPr="00EC794F">
        <w:rPr>
          <w:rFonts w:ascii="Times New Roman" w:hAnsi="Times New Roman"/>
          <w:b/>
          <w:sz w:val="24"/>
          <w:szCs w:val="24"/>
        </w:rPr>
        <w:t>: Sezn</w:t>
      </w:r>
      <w:r w:rsidR="00C16A07" w:rsidRPr="008A50E3">
        <w:rPr>
          <w:rFonts w:ascii="Times New Roman" w:hAnsi="Times New Roman"/>
          <w:b/>
          <w:sz w:val="24"/>
          <w:szCs w:val="24"/>
        </w:rPr>
        <w:t>am všech indikátorů programu</w:t>
      </w:r>
      <w:r w:rsidR="00C16A07" w:rsidRPr="009A0366">
        <w:rPr>
          <w:rFonts w:ascii="Times New Roman" w:hAnsi="Times New Roman"/>
          <w:b/>
          <w:sz w:val="24"/>
          <w:szCs w:val="24"/>
        </w:rPr>
        <w:t xml:space="preserve">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851"/>
        <w:gridCol w:w="992"/>
        <w:gridCol w:w="992"/>
        <w:gridCol w:w="992"/>
        <w:gridCol w:w="1134"/>
        <w:gridCol w:w="851"/>
        <w:gridCol w:w="815"/>
      </w:tblGrid>
      <w:tr w:rsidR="00C16A07" w:rsidRPr="009A0366" w:rsidTr="0036610F">
        <w:tc>
          <w:tcPr>
            <w:tcW w:w="1101" w:type="dxa"/>
            <w:vMerge w:val="restart"/>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Specifický cíl </w:t>
            </w:r>
          </w:p>
        </w:tc>
        <w:tc>
          <w:tcPr>
            <w:tcW w:w="1134" w:type="dxa"/>
            <w:vMerge w:val="restart"/>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3544" w:type="dxa"/>
            <w:gridSpan w:val="4"/>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992" w:type="dxa"/>
            <w:vMerge w:val="restart"/>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815" w:type="dxa"/>
            <w:vMerge w:val="restart"/>
            <w:shd w:val="clear" w:color="auto" w:fill="auto"/>
          </w:tcPr>
          <w:p w:rsidR="00C16A07" w:rsidRPr="009A0366" w:rsidRDefault="00C16A07"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C16A07" w:rsidRPr="009A0366" w:rsidTr="0036610F">
        <w:tc>
          <w:tcPr>
            <w:tcW w:w="1101" w:type="dxa"/>
            <w:vMerge/>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p>
        </w:tc>
        <w:tc>
          <w:tcPr>
            <w:tcW w:w="850" w:type="dxa"/>
            <w:vMerge/>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p>
        </w:tc>
        <w:tc>
          <w:tcPr>
            <w:tcW w:w="1134" w:type="dxa"/>
            <w:vMerge/>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p>
        </w:tc>
        <w:tc>
          <w:tcPr>
            <w:tcW w:w="709" w:type="dxa"/>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Kód NČI 2014+</w:t>
            </w:r>
          </w:p>
        </w:tc>
        <w:tc>
          <w:tcPr>
            <w:tcW w:w="851" w:type="dxa"/>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Měrná jednotka</w:t>
            </w:r>
          </w:p>
        </w:tc>
        <w:tc>
          <w:tcPr>
            <w:tcW w:w="992" w:type="dxa"/>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992" w:type="dxa"/>
            <w:vMerge/>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p>
        </w:tc>
        <w:tc>
          <w:tcPr>
            <w:tcW w:w="1134" w:type="dxa"/>
            <w:vMerge/>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p>
        </w:tc>
        <w:tc>
          <w:tcPr>
            <w:tcW w:w="851" w:type="dxa"/>
            <w:vMerge/>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p>
        </w:tc>
        <w:tc>
          <w:tcPr>
            <w:tcW w:w="815" w:type="dxa"/>
            <w:vMerge/>
            <w:shd w:val="clear" w:color="auto" w:fill="auto"/>
          </w:tcPr>
          <w:p w:rsidR="00C16A07" w:rsidRPr="009A0366" w:rsidRDefault="00C16A07" w:rsidP="00AE0AB9">
            <w:pPr>
              <w:pStyle w:val="TextMetodika"/>
              <w:keepNext/>
              <w:keepLines/>
              <w:jc w:val="center"/>
              <w:rPr>
                <w:rFonts w:ascii="Times New Roman" w:hAnsi="Times New Roman"/>
                <w:b/>
                <w:bCs/>
                <w:sz w:val="22"/>
                <w:szCs w:val="22"/>
              </w:rPr>
            </w:pPr>
          </w:p>
        </w:tc>
      </w:tr>
      <w:tr w:rsidR="00C16A07" w:rsidRPr="009A0366" w:rsidTr="0036610F">
        <w:tc>
          <w:tcPr>
            <w:tcW w:w="1101"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850"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1134"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709"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851"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992"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992"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992"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1134"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851" w:type="dxa"/>
            <w:shd w:val="clear" w:color="auto" w:fill="auto"/>
          </w:tcPr>
          <w:p w:rsidR="00C16A07" w:rsidRPr="009A0366" w:rsidRDefault="00C16A07" w:rsidP="0036610F">
            <w:pPr>
              <w:pStyle w:val="TextMetodika"/>
              <w:jc w:val="center"/>
              <w:rPr>
                <w:rFonts w:ascii="Times New Roman" w:hAnsi="Times New Roman"/>
                <w:b/>
                <w:bCs/>
                <w:sz w:val="22"/>
                <w:szCs w:val="22"/>
              </w:rPr>
            </w:pPr>
          </w:p>
        </w:tc>
        <w:tc>
          <w:tcPr>
            <w:tcW w:w="815" w:type="dxa"/>
            <w:shd w:val="clear" w:color="auto" w:fill="auto"/>
          </w:tcPr>
          <w:p w:rsidR="00C16A07" w:rsidRPr="009A0366" w:rsidRDefault="00C16A07" w:rsidP="0036610F">
            <w:pPr>
              <w:pStyle w:val="TextMetodika"/>
              <w:jc w:val="center"/>
              <w:rPr>
                <w:rFonts w:ascii="Times New Roman" w:hAnsi="Times New Roman"/>
                <w:b/>
                <w:bCs/>
                <w:sz w:val="22"/>
                <w:szCs w:val="22"/>
              </w:rPr>
            </w:pPr>
          </w:p>
        </w:tc>
      </w:tr>
    </w:tbl>
    <w:p w:rsidR="00C16A07" w:rsidRDefault="00C16A07" w:rsidP="00FF1673">
      <w:pPr>
        <w:overflowPunct/>
        <w:textAlignment w:val="auto"/>
        <w:rPr>
          <w:sz w:val="24"/>
          <w:szCs w:val="24"/>
        </w:rPr>
      </w:pPr>
    </w:p>
    <w:p w:rsidR="00C16A07" w:rsidRDefault="00C16A07" w:rsidP="00FF1673">
      <w:pPr>
        <w:overflowPunct/>
        <w:textAlignment w:val="auto"/>
        <w:rPr>
          <w:sz w:val="24"/>
          <w:szCs w:val="24"/>
        </w:rPr>
      </w:pPr>
    </w:p>
    <w:p w:rsidR="0036610F" w:rsidRPr="00047389" w:rsidRDefault="0036610F" w:rsidP="00047389">
      <w:pPr>
        <w:pStyle w:val="Nadpis4"/>
      </w:pPr>
      <w:bookmarkStart w:id="34" w:name="_Toc351464364"/>
      <w:r w:rsidRPr="00047389">
        <w:t>Specifický cíl 1.2 - Zvýšení intenzity a využití výsledků průmyslového výzkumu a experimentálního vývoje v rámci konceptu inteligentní specializace</w:t>
      </w:r>
      <w:bookmarkEnd w:id="34"/>
    </w:p>
    <w:p w:rsidR="0036610F" w:rsidRDefault="0036610F" w:rsidP="0036610F">
      <w:pPr>
        <w:pStyle w:val="Nadpis5"/>
      </w:pPr>
      <w:r w:rsidRPr="00FF25A4">
        <w:t>Popis typů a příkladů financovaných aktivit a jejich očekávaný příspěvek ke specifickým cílům, včetně, pokud je to možné</w:t>
      </w:r>
    </w:p>
    <w:p w:rsidR="0036610F" w:rsidRPr="0036610F" w:rsidRDefault="0036610F" w:rsidP="0036610F">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724A93" w:rsidRPr="00724A93">
        <w:rPr>
          <w:rFonts w:asciiTheme="minorHAnsi" w:hAnsiTheme="minorHAnsi" w:cstheme="minorHAnsi"/>
          <w:sz w:val="24"/>
          <w:szCs w:val="24"/>
        </w:rPr>
        <w:t>Podpora projektů aplikovaného výzkumu a experimentálního vývoje v podnikovém sektoru, realizovaných zejména ve spolupráci firem a výzkumných institucí, jejichž výsledky povedou následně k zavádění inovací vyšších řádů a k tvorbě produktů konkurenceschopných na světových trzích.</w:t>
      </w:r>
    </w:p>
    <w:p w:rsidR="0036610F" w:rsidRPr="00724A93" w:rsidRDefault="0036610F" w:rsidP="0036610F">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724A93" w:rsidRPr="00724A93">
        <w:rPr>
          <w:rFonts w:asciiTheme="minorHAnsi" w:hAnsiTheme="minorHAnsi" w:cstheme="minorHAnsi"/>
          <w:sz w:val="24"/>
          <w:szCs w:val="24"/>
        </w:rPr>
        <w:t>Podnikatelské subjekty.</w:t>
      </w:r>
    </w:p>
    <w:p w:rsidR="0036610F" w:rsidRPr="0036610F" w:rsidRDefault="0036610F" w:rsidP="0036610F">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00724A93" w:rsidRPr="00724A93">
        <w:rPr>
          <w:rFonts w:asciiTheme="minorHAnsi" w:hAnsiTheme="minorHAnsi" w:cstheme="minorHAnsi"/>
          <w:bCs/>
          <w:sz w:val="24"/>
          <w:szCs w:val="24"/>
        </w:rPr>
        <w:t>Území České republiky, mimo území hl. m. Prahy.</w:t>
      </w:r>
    </w:p>
    <w:p w:rsidR="0036610F" w:rsidRPr="0036610F" w:rsidRDefault="0036610F" w:rsidP="0036610F">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724A93" w:rsidRPr="00724A93">
        <w:rPr>
          <w:rFonts w:asciiTheme="minorHAnsi" w:hAnsiTheme="minorHAnsi" w:cstheme="minorHAnsi"/>
          <w:bCs/>
          <w:sz w:val="24"/>
          <w:szCs w:val="24"/>
        </w:rPr>
        <w:t>Podnikatelské subjekty (bez omezení velikosti).</w:t>
      </w:r>
    </w:p>
    <w:p w:rsidR="0036610F" w:rsidRDefault="0036610F" w:rsidP="0036610F">
      <w:pPr>
        <w:pStyle w:val="Nadpis5"/>
      </w:pPr>
      <w:r w:rsidRPr="00D71D90">
        <w:t>Popis principů pro výběr operací</w:t>
      </w:r>
    </w:p>
    <w:p w:rsidR="0036610F" w:rsidRPr="0036610F" w:rsidRDefault="0036610F" w:rsidP="0036610F">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36610F" w:rsidRPr="0036610F" w:rsidRDefault="0036610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36610F" w:rsidRPr="0036610F" w:rsidRDefault="0036610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36610F" w:rsidRDefault="0036610F" w:rsidP="0036610F">
      <w:pPr>
        <w:pStyle w:val="Nadpis5"/>
      </w:pPr>
      <w:r w:rsidRPr="00D71D90">
        <w:lastRenderedPageBreak/>
        <w:t>Plánované využití finančních nástrojů</w:t>
      </w:r>
    </w:p>
    <w:p w:rsidR="0036610F" w:rsidRPr="0036610F" w:rsidRDefault="00724A93" w:rsidP="0036610F">
      <w:pPr>
        <w:spacing w:after="60" w:line="312" w:lineRule="auto"/>
        <w:jc w:val="both"/>
        <w:rPr>
          <w:rFonts w:asciiTheme="minorHAnsi" w:hAnsiTheme="minorHAnsi" w:cstheme="minorHAnsi"/>
          <w:bCs/>
          <w:sz w:val="24"/>
          <w:szCs w:val="24"/>
        </w:rPr>
      </w:pPr>
      <w:r>
        <w:rPr>
          <w:rFonts w:asciiTheme="minorHAnsi" w:hAnsiTheme="minorHAnsi" w:cstheme="minorHAnsi"/>
          <w:bCs/>
          <w:sz w:val="24"/>
          <w:szCs w:val="24"/>
        </w:rPr>
        <w:t>Využití a případný v</w:t>
      </w:r>
      <w:r w:rsidR="0036610F" w:rsidRPr="0036610F">
        <w:rPr>
          <w:rFonts w:asciiTheme="minorHAnsi" w:hAnsiTheme="minorHAnsi" w:cstheme="minorHAnsi"/>
          <w:bCs/>
          <w:sz w:val="24"/>
          <w:szCs w:val="24"/>
        </w:rPr>
        <w:t>ýběr nejvhodnějších forem finančních nástrojů a jejich specifické zaměření bude ponechán na ex-ante analýze finančních nástrojů OP PIK dle čl. 32 návrhu obecného nařízení.</w:t>
      </w:r>
    </w:p>
    <w:p w:rsidR="0036610F" w:rsidRPr="00D71D90" w:rsidRDefault="0036610F" w:rsidP="0036610F">
      <w:pPr>
        <w:pStyle w:val="Nadpis5"/>
      </w:pPr>
      <w:r w:rsidRPr="00D71D90">
        <w:t>Specifikace velkých projektů</w:t>
      </w:r>
    </w:p>
    <w:p w:rsidR="00724A93" w:rsidRPr="002474C1" w:rsidRDefault="002474C1" w:rsidP="00724A93">
      <w:pPr>
        <w:overflowPunct/>
        <w:jc w:val="both"/>
        <w:textAlignment w:val="auto"/>
        <w:rPr>
          <w:rFonts w:asciiTheme="minorHAnsi" w:hAnsiTheme="minorHAnsi" w:cstheme="minorHAnsi"/>
          <w:color w:val="FF0000"/>
          <w:sz w:val="24"/>
          <w:szCs w:val="24"/>
        </w:rPr>
      </w:pPr>
      <w:r w:rsidRPr="002474C1">
        <w:rPr>
          <w:rFonts w:asciiTheme="minorHAnsi" w:hAnsiTheme="minorHAnsi" w:cstheme="minorHAnsi"/>
          <w:color w:val="FF0000"/>
          <w:sz w:val="24"/>
          <w:szCs w:val="24"/>
        </w:rPr>
        <w:t>Otázka realizace velkých projektů dl</w:t>
      </w:r>
      <w:r w:rsidRPr="00EC794F">
        <w:rPr>
          <w:rFonts w:asciiTheme="minorHAnsi" w:hAnsiTheme="minorHAnsi" w:cstheme="minorHAnsi"/>
          <w:color w:val="FF0000"/>
          <w:sz w:val="24"/>
          <w:szCs w:val="24"/>
        </w:rPr>
        <w:t>e vymezení čl. 87 odst. 2 písm. (b)(iii) nařízení č. xxxx/2013 bude řešena dle vývoje přípravy operačního pro</w:t>
      </w:r>
      <w:r w:rsidRPr="002474C1">
        <w:rPr>
          <w:rFonts w:asciiTheme="minorHAnsi" w:hAnsiTheme="minorHAnsi" w:cstheme="minorHAnsi"/>
          <w:color w:val="FF0000"/>
          <w:sz w:val="24"/>
          <w:szCs w:val="24"/>
        </w:rPr>
        <w:t xml:space="preserve">gramu. </w:t>
      </w:r>
      <w:r w:rsidR="00724A93" w:rsidRPr="002474C1">
        <w:rPr>
          <w:rFonts w:asciiTheme="minorHAnsi" w:hAnsiTheme="minorHAnsi" w:cstheme="minorHAnsi"/>
          <w:color w:val="FF0000"/>
          <w:sz w:val="24"/>
          <w:szCs w:val="24"/>
        </w:rPr>
        <w:t xml:space="preserve">  </w:t>
      </w:r>
    </w:p>
    <w:p w:rsidR="0036610F" w:rsidRPr="00724A93" w:rsidRDefault="0036610F" w:rsidP="0036610F">
      <w:pPr>
        <w:pStyle w:val="Nadpis5"/>
      </w:pPr>
      <w:r w:rsidRPr="00724A93">
        <w:t>Společné a specifické indikátory</w:t>
      </w:r>
    </w:p>
    <w:p w:rsidR="0036610F" w:rsidRDefault="0036610F" w:rsidP="00FF1673">
      <w:pPr>
        <w:overflowPunct/>
        <w:textAlignment w:val="auto"/>
        <w:rPr>
          <w:sz w:val="24"/>
          <w:szCs w:val="24"/>
        </w:rPr>
      </w:pPr>
    </w:p>
    <w:p w:rsidR="00724A93" w:rsidRDefault="00724A93" w:rsidP="00724A93">
      <w:pPr>
        <w:pStyle w:val="Nadpis4"/>
      </w:pPr>
      <w:bookmarkStart w:id="35" w:name="_Toc351464365"/>
      <w:r>
        <w:rPr>
          <w:szCs w:val="24"/>
        </w:rPr>
        <w:t>Specifický cíl 1.3 -</w:t>
      </w:r>
      <w:r w:rsidRPr="00724A93">
        <w:t xml:space="preserve"> </w:t>
      </w:r>
      <w:r w:rsidRPr="00724A93">
        <w:rPr>
          <w:szCs w:val="24"/>
        </w:rPr>
        <w:t>Rozvoj spolupráce mezi podnikatelským sektorem a veřejnými, vzdělávacími a vědecko-výzkumnými institucemi v duchu konceptu inteligentní specializace</w:t>
      </w:r>
      <w:bookmarkEnd w:id="35"/>
    </w:p>
    <w:p w:rsidR="00724A93" w:rsidRDefault="00724A93" w:rsidP="00724A93">
      <w:pPr>
        <w:pStyle w:val="Nadpis5"/>
      </w:pPr>
      <w:r w:rsidRPr="00FF25A4">
        <w:t>Popis typů a příkladů financovaných aktivit a jejich očekávaný příspěvek ke specifickým cílům, včetně, pokud je to možné</w:t>
      </w:r>
    </w:p>
    <w:p w:rsidR="00724A93" w:rsidRPr="0036610F" w:rsidRDefault="00724A93" w:rsidP="00724A93">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Pr="00724A93">
        <w:rPr>
          <w:rFonts w:asciiTheme="minorHAnsi" w:hAnsiTheme="minorHAnsi" w:cstheme="minorHAnsi"/>
          <w:sz w:val="24"/>
          <w:szCs w:val="24"/>
        </w:rPr>
        <w:t>Rozvoj služeb podpůrné infrastruktury- věděckotechnických parků, podnikatelských inovačních center, podnikatelskcýh inkubátorů, poradenské služby zaměřené na inovační startupy a MSP;  Rozvoj sítí spolupráce, vč. klastrů a technologických platforem (zejména kolektivní výzkum, založený na potřebách většího počtu MSP i větších firem, rozvoj mezisektorové spolupráce a internacionalizace); Vytváření partnerství pro znalostní transfer mezi podniky a univerzitami za účasti kvalifikovaných absolventů, při kterých dochází k přímé aplikaci výzkumných poznatků v podniku, které mají strategický význam pro jeho další rozvoj.</w:t>
      </w:r>
    </w:p>
    <w:p w:rsidR="00724A93" w:rsidRPr="0036610F" w:rsidRDefault="00724A93" w:rsidP="00724A93">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Pr="00724A93">
        <w:rPr>
          <w:rFonts w:asciiTheme="minorHAnsi" w:hAnsiTheme="minorHAnsi" w:cstheme="minorHAnsi"/>
          <w:bCs/>
          <w:sz w:val="24"/>
          <w:szCs w:val="24"/>
        </w:rPr>
        <w:t>Podnikatelské subjekty (zejména MSP) s historií i bez historie</w:t>
      </w:r>
      <w:r>
        <w:rPr>
          <w:rFonts w:asciiTheme="minorHAnsi" w:hAnsiTheme="minorHAnsi" w:cstheme="minorHAnsi"/>
          <w:bCs/>
          <w:sz w:val="24"/>
          <w:szCs w:val="24"/>
        </w:rPr>
        <w:t>.</w:t>
      </w:r>
    </w:p>
    <w:p w:rsidR="00724A93" w:rsidRPr="0036610F" w:rsidRDefault="00724A93" w:rsidP="00724A93">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Pr="00724A93">
        <w:rPr>
          <w:rFonts w:asciiTheme="minorHAnsi" w:hAnsiTheme="minorHAnsi" w:cstheme="minorHAnsi"/>
          <w:bCs/>
          <w:sz w:val="24"/>
          <w:szCs w:val="24"/>
        </w:rPr>
        <w:t>Území České republiky, mimo území hl. m. Prahy</w:t>
      </w:r>
      <w:r>
        <w:rPr>
          <w:rFonts w:asciiTheme="minorHAnsi" w:hAnsiTheme="minorHAnsi" w:cstheme="minorHAnsi"/>
          <w:bCs/>
          <w:sz w:val="24"/>
          <w:szCs w:val="24"/>
        </w:rPr>
        <w:t>.</w:t>
      </w:r>
    </w:p>
    <w:p w:rsidR="00724A93" w:rsidRPr="0036610F" w:rsidRDefault="00724A93" w:rsidP="00724A93">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Pr="00724A93">
        <w:rPr>
          <w:rFonts w:asciiTheme="minorHAnsi" w:hAnsiTheme="minorHAnsi" w:cstheme="minorHAnsi"/>
          <w:bCs/>
          <w:sz w:val="24"/>
          <w:szCs w:val="24"/>
        </w:rPr>
        <w:t>Podnikatelské subjekty, sdružení podnikatelů, územní samosprávné celky a jejich svazky, veřejné výzkumné instituce, vysoké školy</w:t>
      </w:r>
      <w:r>
        <w:rPr>
          <w:rFonts w:asciiTheme="minorHAnsi" w:hAnsiTheme="minorHAnsi" w:cstheme="minorHAnsi"/>
          <w:bCs/>
          <w:sz w:val="24"/>
          <w:szCs w:val="24"/>
        </w:rPr>
        <w:t>.</w:t>
      </w:r>
    </w:p>
    <w:p w:rsidR="00724A93" w:rsidRDefault="00724A93" w:rsidP="00724A93">
      <w:pPr>
        <w:pStyle w:val="Nadpis5"/>
      </w:pPr>
      <w:r w:rsidRPr="00D71D90">
        <w:t>Popis principů pro výběr operací</w:t>
      </w:r>
    </w:p>
    <w:p w:rsidR="00724A93" w:rsidRPr="0036610F" w:rsidRDefault="00724A93" w:rsidP="00724A93">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724A93" w:rsidRPr="0036610F" w:rsidRDefault="00724A93"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724A93" w:rsidRPr="0036610F" w:rsidRDefault="00724A93"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724A93" w:rsidRDefault="00724A93" w:rsidP="00724A93">
      <w:pPr>
        <w:pStyle w:val="Nadpis5"/>
      </w:pPr>
      <w:r w:rsidRPr="00D71D90">
        <w:lastRenderedPageBreak/>
        <w:t>Plánované využití finančních nástrojů</w:t>
      </w:r>
    </w:p>
    <w:p w:rsidR="00724A93" w:rsidRPr="009C7BE0" w:rsidRDefault="00724A93" w:rsidP="00724A93">
      <w:pPr>
        <w:spacing w:after="60" w:line="312" w:lineRule="auto"/>
        <w:jc w:val="both"/>
        <w:rPr>
          <w:rFonts w:asciiTheme="minorHAnsi" w:hAnsiTheme="minorHAnsi" w:cstheme="minorHAnsi"/>
          <w:bCs/>
          <w:color w:val="FF0000"/>
          <w:sz w:val="24"/>
          <w:szCs w:val="24"/>
        </w:rPr>
      </w:pPr>
      <w:r w:rsidRPr="009C7BE0">
        <w:rPr>
          <w:rFonts w:asciiTheme="minorHAnsi" w:hAnsiTheme="minorHAnsi" w:cstheme="minorHAnsi"/>
          <w:bCs/>
          <w:color w:val="FF0000"/>
          <w:sz w:val="24"/>
          <w:szCs w:val="24"/>
        </w:rPr>
        <w:t>Využití a případný výběr nejvhodnějších forem finančních nástrojů a jejich specifické zaměření bude ponechán na ex-ant</w:t>
      </w:r>
      <w:r w:rsidRPr="00EC794F">
        <w:rPr>
          <w:rFonts w:asciiTheme="minorHAnsi" w:hAnsiTheme="minorHAnsi" w:cstheme="minorHAnsi"/>
          <w:bCs/>
          <w:color w:val="FF0000"/>
          <w:sz w:val="24"/>
          <w:szCs w:val="24"/>
        </w:rPr>
        <w:t>e analýze finančních nástrojů OP PIK dle čl. 32 návrhu obecného nařízení.</w:t>
      </w:r>
    </w:p>
    <w:p w:rsidR="00724A93" w:rsidRPr="00D71D90" w:rsidRDefault="00724A93" w:rsidP="00724A93">
      <w:pPr>
        <w:pStyle w:val="Nadpis5"/>
      </w:pPr>
      <w:r w:rsidRPr="00D71D90">
        <w:t>Specifikace velkých projektů</w:t>
      </w:r>
    </w:p>
    <w:p w:rsidR="00724A93" w:rsidRPr="002474C1" w:rsidRDefault="002474C1" w:rsidP="00724A93">
      <w:pPr>
        <w:overflowPunct/>
        <w:jc w:val="both"/>
        <w:textAlignment w:val="auto"/>
        <w:rPr>
          <w:rFonts w:asciiTheme="minorHAnsi" w:hAnsiTheme="minorHAnsi" w:cstheme="minorHAnsi"/>
          <w:color w:val="FF0000"/>
          <w:sz w:val="24"/>
          <w:szCs w:val="24"/>
        </w:rPr>
      </w:pPr>
      <w:r w:rsidRPr="002474C1">
        <w:rPr>
          <w:rFonts w:asciiTheme="minorHAnsi" w:hAnsiTheme="minorHAnsi" w:cstheme="minorHAnsi"/>
          <w:color w:val="FF0000"/>
          <w:sz w:val="24"/>
          <w:szCs w:val="24"/>
        </w:rPr>
        <w:t>Otázka realizace velkých projekt</w:t>
      </w:r>
      <w:r w:rsidRPr="00EC794F">
        <w:rPr>
          <w:rFonts w:asciiTheme="minorHAnsi" w:hAnsiTheme="minorHAnsi" w:cstheme="minorHAnsi"/>
          <w:color w:val="FF0000"/>
          <w:sz w:val="24"/>
          <w:szCs w:val="24"/>
        </w:rPr>
        <w:t>ů dle vymezení čl. 87 odst. 2 písm. (b)(iii) nařízení č. xxxx/2013 bude řešena dle vývoje přípravy ope</w:t>
      </w:r>
      <w:r w:rsidRPr="002474C1">
        <w:rPr>
          <w:rFonts w:asciiTheme="minorHAnsi" w:hAnsiTheme="minorHAnsi" w:cstheme="minorHAnsi"/>
          <w:color w:val="FF0000"/>
          <w:sz w:val="24"/>
          <w:szCs w:val="24"/>
        </w:rPr>
        <w:t xml:space="preserve">račního programu. </w:t>
      </w:r>
      <w:r w:rsidR="00724A93" w:rsidRPr="002474C1">
        <w:rPr>
          <w:rFonts w:asciiTheme="minorHAnsi" w:hAnsiTheme="minorHAnsi" w:cstheme="minorHAnsi"/>
          <w:color w:val="FF0000"/>
          <w:sz w:val="24"/>
          <w:szCs w:val="24"/>
        </w:rPr>
        <w:t xml:space="preserve">  </w:t>
      </w:r>
    </w:p>
    <w:p w:rsidR="00724A93" w:rsidRPr="00724A93" w:rsidRDefault="00724A93" w:rsidP="00724A93">
      <w:pPr>
        <w:pStyle w:val="Nadpis5"/>
      </w:pPr>
      <w:r w:rsidRPr="00724A93">
        <w:t>Společné a specifické indikátory</w:t>
      </w:r>
    </w:p>
    <w:p w:rsidR="0036610F" w:rsidRDefault="0036610F" w:rsidP="00FF1673">
      <w:pPr>
        <w:overflowPunct/>
        <w:textAlignment w:val="auto"/>
        <w:rPr>
          <w:sz w:val="24"/>
          <w:szCs w:val="24"/>
        </w:rPr>
      </w:pPr>
    </w:p>
    <w:p w:rsidR="00724A93" w:rsidRDefault="00724A93" w:rsidP="00724A93">
      <w:pPr>
        <w:pStyle w:val="Nadpis4"/>
      </w:pPr>
      <w:bookmarkStart w:id="36" w:name="_Toc351464366"/>
      <w:r>
        <w:rPr>
          <w:szCs w:val="24"/>
        </w:rPr>
        <w:t xml:space="preserve">Specifický cíl 1.4 - </w:t>
      </w:r>
      <w:r w:rsidRPr="00724A93">
        <w:rPr>
          <w:szCs w:val="24"/>
        </w:rPr>
        <w:t>Zvýšení přístupu podnikatelských subjektů k rizikovému kapitálu</w:t>
      </w:r>
      <w:bookmarkEnd w:id="36"/>
    </w:p>
    <w:p w:rsidR="00724A93" w:rsidRDefault="00724A93" w:rsidP="00724A93">
      <w:pPr>
        <w:pStyle w:val="Nadpis5"/>
      </w:pPr>
      <w:r w:rsidRPr="00FF25A4">
        <w:t>Popis typů a příkladů financovaných aktivit a jejich očekávaný příspěvek ke specifickým cílům, včetně, pokud je to možné</w:t>
      </w:r>
    </w:p>
    <w:p w:rsidR="00724A93" w:rsidRPr="0036610F" w:rsidRDefault="00724A93" w:rsidP="00724A93">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Pr="00724A93">
        <w:rPr>
          <w:rFonts w:asciiTheme="minorHAnsi" w:hAnsiTheme="minorHAnsi" w:cstheme="minorHAnsi"/>
          <w:sz w:val="24"/>
          <w:szCs w:val="24"/>
        </w:rPr>
        <w:t xml:space="preserve">Podporovanou aktivitou bude zejména přímá účast prostředků operačního programu na investicích rizikového kapitálu do inovativně orientovaných malých a středních podniků, především ve fázích seed, start-up a expansion. </w:t>
      </w:r>
      <w:r>
        <w:rPr>
          <w:rFonts w:ascii="Calibri" w:hAnsi="Calibri" w:cs="Calibri"/>
          <w:sz w:val="24"/>
          <w:szCs w:val="24"/>
        </w:rPr>
        <w:t>Vedlejší aktivitou vedoucí k dosažení specifického cíle bude překonání identifikovaných obtíží při propojování nabídkové a poptávkové strany na trhu rizikového kapitálu, a to v podobě podpory rozvoje sítí business angels, podpory networkingových a skautingových aktivit na trhu rizikového kapitálu, team-matchingu a podpory při zakládání a rozvoji inovačně orientovaných firem (koučink a další podpůrné služby).</w:t>
      </w:r>
      <w:r w:rsidR="00DB73B5">
        <w:rPr>
          <w:rStyle w:val="Znakapoznpodarou"/>
          <w:rFonts w:ascii="Calibri" w:hAnsi="Calibri" w:cs="Calibri"/>
          <w:sz w:val="24"/>
          <w:szCs w:val="24"/>
        </w:rPr>
        <w:footnoteReference w:id="9"/>
      </w:r>
    </w:p>
    <w:p w:rsidR="00724A93" w:rsidRPr="0036610F" w:rsidRDefault="00724A93" w:rsidP="00724A93">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Pr="00724A93">
        <w:rPr>
          <w:rFonts w:asciiTheme="minorHAnsi" w:hAnsiTheme="minorHAnsi" w:cstheme="minorHAnsi"/>
          <w:bCs/>
          <w:sz w:val="24"/>
          <w:szCs w:val="24"/>
        </w:rPr>
        <w:t>Inovativně orientované podnikatelské subjekty.</w:t>
      </w:r>
    </w:p>
    <w:p w:rsidR="00724A93" w:rsidRPr="0036610F" w:rsidRDefault="00724A93" w:rsidP="00724A93">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Pr="00724A93">
        <w:rPr>
          <w:rFonts w:asciiTheme="minorHAnsi" w:hAnsiTheme="minorHAnsi" w:cstheme="minorHAnsi"/>
          <w:bCs/>
          <w:sz w:val="24"/>
          <w:szCs w:val="24"/>
        </w:rPr>
        <w:t>Území České republiky, mimo území hl. m. Prahy.</w:t>
      </w:r>
    </w:p>
    <w:p w:rsidR="00724A93" w:rsidRPr="0036610F" w:rsidRDefault="00724A93" w:rsidP="00724A93">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Pr="00724A93">
        <w:rPr>
          <w:rFonts w:asciiTheme="minorHAnsi" w:hAnsiTheme="minorHAnsi" w:cstheme="minorHAnsi"/>
          <w:bCs/>
          <w:sz w:val="24"/>
          <w:szCs w:val="24"/>
        </w:rPr>
        <w:t>Podnikatelské subjekty (malé a střední podniky).</w:t>
      </w:r>
    </w:p>
    <w:p w:rsidR="00724A93" w:rsidRDefault="00724A93" w:rsidP="00724A93">
      <w:pPr>
        <w:pStyle w:val="Nadpis5"/>
      </w:pPr>
      <w:r w:rsidRPr="00D71D90">
        <w:t>Popis principů pro výběr operací</w:t>
      </w:r>
    </w:p>
    <w:p w:rsidR="00724A93" w:rsidRPr="0036610F" w:rsidRDefault="00724A93" w:rsidP="00724A93">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724A93" w:rsidRPr="0036610F" w:rsidRDefault="00724A93"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724A93" w:rsidRPr="0036610F" w:rsidRDefault="00724A93"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724A93" w:rsidRDefault="00724A93" w:rsidP="00724A93">
      <w:pPr>
        <w:pStyle w:val="Nadpis5"/>
      </w:pPr>
      <w:r w:rsidRPr="00D71D90">
        <w:lastRenderedPageBreak/>
        <w:t>Plánované využití finančních nástrojů</w:t>
      </w:r>
    </w:p>
    <w:p w:rsidR="00724A93" w:rsidRPr="009C7BE0" w:rsidRDefault="00724A93" w:rsidP="00724A93">
      <w:pPr>
        <w:spacing w:after="60" w:line="312" w:lineRule="auto"/>
        <w:jc w:val="both"/>
        <w:rPr>
          <w:rFonts w:asciiTheme="minorHAnsi" w:hAnsiTheme="minorHAnsi" w:cstheme="minorHAnsi"/>
          <w:bCs/>
          <w:color w:val="FF0000"/>
          <w:sz w:val="24"/>
          <w:szCs w:val="24"/>
        </w:rPr>
      </w:pPr>
      <w:r w:rsidRPr="009C7BE0">
        <w:rPr>
          <w:rFonts w:asciiTheme="minorHAnsi" w:hAnsiTheme="minorHAnsi" w:cstheme="minorHAnsi"/>
          <w:bCs/>
          <w:color w:val="FF0000"/>
          <w:sz w:val="24"/>
          <w:szCs w:val="24"/>
        </w:rPr>
        <w:t>Využití a případný výběr nejvhodnějších forem finančních nástrojů a jejich specifické zaměření bude ponechán na ex-ante analýze fin</w:t>
      </w:r>
      <w:r w:rsidRPr="00EC794F">
        <w:rPr>
          <w:rFonts w:asciiTheme="minorHAnsi" w:hAnsiTheme="minorHAnsi" w:cstheme="minorHAnsi"/>
          <w:bCs/>
          <w:color w:val="FF0000"/>
          <w:sz w:val="24"/>
          <w:szCs w:val="24"/>
        </w:rPr>
        <w:t>ančních nástrojů OP PIK dle čl. 32 návrhu obecného nařízení.</w:t>
      </w:r>
    </w:p>
    <w:p w:rsidR="00724A93" w:rsidRPr="00D71D90" w:rsidRDefault="00724A93" w:rsidP="00724A93">
      <w:pPr>
        <w:pStyle w:val="Nadpis5"/>
      </w:pPr>
      <w:r w:rsidRPr="00D71D90">
        <w:t>Specifikace velkých projektů</w:t>
      </w:r>
    </w:p>
    <w:p w:rsidR="00724A93" w:rsidRPr="002474C1" w:rsidRDefault="002474C1" w:rsidP="00724A93">
      <w:pPr>
        <w:overflowPunct/>
        <w:jc w:val="both"/>
        <w:textAlignment w:val="auto"/>
        <w:rPr>
          <w:rFonts w:asciiTheme="minorHAnsi" w:hAnsiTheme="minorHAnsi" w:cstheme="minorHAnsi"/>
          <w:color w:val="FF0000"/>
          <w:sz w:val="24"/>
          <w:szCs w:val="24"/>
        </w:rPr>
      </w:pPr>
      <w:r w:rsidRPr="002474C1">
        <w:rPr>
          <w:rFonts w:asciiTheme="minorHAnsi" w:hAnsiTheme="minorHAnsi" w:cstheme="minorHAnsi"/>
          <w:color w:val="FF0000"/>
          <w:sz w:val="24"/>
          <w:szCs w:val="24"/>
        </w:rPr>
        <w:t>Otázka realizace velkých projek</w:t>
      </w:r>
      <w:r w:rsidRPr="00EC794F">
        <w:rPr>
          <w:rFonts w:asciiTheme="minorHAnsi" w:hAnsiTheme="minorHAnsi" w:cstheme="minorHAnsi"/>
          <w:color w:val="FF0000"/>
          <w:sz w:val="24"/>
          <w:szCs w:val="24"/>
        </w:rPr>
        <w:t>tů dle vymezení čl. 87 odst. 2 písm. (b)(iii) nařízení č. xxxx/2013 bude řešena dle vývoje přípravy o</w:t>
      </w:r>
      <w:r w:rsidRPr="002474C1">
        <w:rPr>
          <w:rFonts w:asciiTheme="minorHAnsi" w:hAnsiTheme="minorHAnsi" w:cstheme="minorHAnsi"/>
          <w:color w:val="FF0000"/>
          <w:sz w:val="24"/>
          <w:szCs w:val="24"/>
        </w:rPr>
        <w:t xml:space="preserve">peračního programu. </w:t>
      </w:r>
      <w:r w:rsidR="00724A93" w:rsidRPr="002474C1">
        <w:rPr>
          <w:rFonts w:asciiTheme="minorHAnsi" w:hAnsiTheme="minorHAnsi" w:cstheme="minorHAnsi"/>
          <w:color w:val="FF0000"/>
          <w:sz w:val="24"/>
          <w:szCs w:val="24"/>
        </w:rPr>
        <w:t xml:space="preserve">  </w:t>
      </w:r>
    </w:p>
    <w:p w:rsidR="00724A93" w:rsidRPr="00724A93" w:rsidRDefault="00724A93" w:rsidP="00724A93">
      <w:pPr>
        <w:pStyle w:val="Nadpis5"/>
      </w:pPr>
      <w:r w:rsidRPr="00724A93">
        <w:t>Společné a specifické indikátory</w:t>
      </w:r>
    </w:p>
    <w:p w:rsidR="004C042F" w:rsidRPr="002474C1" w:rsidRDefault="004C042F" w:rsidP="00DD2DF6">
      <w:pPr>
        <w:overflowPunct/>
        <w:jc w:val="both"/>
        <w:textAlignment w:val="auto"/>
        <w:rPr>
          <w:rFonts w:ascii="Calibri" w:hAnsi="Calibri" w:cs="Calibri"/>
          <w:b/>
          <w:bCs/>
          <w:color w:val="FF0000"/>
          <w:sz w:val="24"/>
          <w:szCs w:val="24"/>
        </w:rPr>
      </w:pPr>
    </w:p>
    <w:p w:rsidR="00DB73B5" w:rsidRDefault="00DB73B5" w:rsidP="00DB73B5">
      <w:pPr>
        <w:pStyle w:val="Nadpis3"/>
      </w:pPr>
      <w:bookmarkStart w:id="37" w:name="_Toc351464367"/>
      <w:bookmarkStart w:id="38" w:name="_Toc352328363"/>
      <w:r>
        <w:t>Výkonnostní rámec</w:t>
      </w:r>
      <w:bookmarkEnd w:id="37"/>
      <w:bookmarkEnd w:id="38"/>
    </w:p>
    <w:p w:rsidR="00FB2288" w:rsidRPr="009A0366" w:rsidRDefault="00FB2288" w:rsidP="00821D0D">
      <w:pPr>
        <w:spacing w:before="240" w:after="120"/>
        <w:rPr>
          <w:b/>
          <w:i/>
          <w:iCs/>
          <w:sz w:val="24"/>
          <w:szCs w:val="24"/>
        </w:rPr>
      </w:pPr>
      <w:r w:rsidRPr="00EC794F">
        <w:rPr>
          <w:b/>
          <w:iCs/>
          <w:sz w:val="24"/>
          <w:szCs w:val="24"/>
        </w:rPr>
        <w:t xml:space="preserve">Tabulka </w:t>
      </w:r>
      <w:r w:rsidR="009C7BE0" w:rsidRPr="00EC794F">
        <w:rPr>
          <w:b/>
          <w:iCs/>
          <w:sz w:val="24"/>
          <w:szCs w:val="24"/>
        </w:rPr>
        <w:t>xx</w:t>
      </w:r>
      <w:r w:rsidRPr="00EC794F">
        <w:rPr>
          <w:b/>
          <w:iCs/>
          <w:sz w:val="24"/>
          <w:szCs w:val="24"/>
        </w:rPr>
        <w:t>: Vý</w:t>
      </w:r>
      <w:r w:rsidRPr="009A0366">
        <w:rPr>
          <w:b/>
          <w:iCs/>
          <w:sz w:val="24"/>
          <w:szCs w:val="24"/>
        </w:rPr>
        <w:t xml:space="preserve">konnostní rámec na úrovni dané prioritní osy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101"/>
        <w:gridCol w:w="1134"/>
        <w:gridCol w:w="2126"/>
        <w:gridCol w:w="1276"/>
        <w:gridCol w:w="1701"/>
        <w:gridCol w:w="2090"/>
      </w:tblGrid>
      <w:tr w:rsidR="00FB2288" w:rsidRPr="009A0366">
        <w:tc>
          <w:tcPr>
            <w:tcW w:w="1101" w:type="dxa"/>
            <w:shd w:val="clear" w:color="auto" w:fill="auto"/>
            <w:tcMar>
              <w:top w:w="0" w:type="dxa"/>
              <w:left w:w="108" w:type="dxa"/>
              <w:bottom w:w="0" w:type="dxa"/>
              <w:right w:w="108" w:type="dxa"/>
            </w:tcMar>
            <w:vAlign w:val="center"/>
          </w:tcPr>
          <w:p w:rsidR="00FB2288" w:rsidRPr="009A0366" w:rsidRDefault="00FB2288" w:rsidP="009A0366">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Prioritní osa </w:t>
            </w:r>
          </w:p>
        </w:tc>
        <w:tc>
          <w:tcPr>
            <w:tcW w:w="1134" w:type="dxa"/>
            <w:shd w:val="clear" w:color="auto" w:fill="auto"/>
            <w:tcMar>
              <w:top w:w="0" w:type="dxa"/>
              <w:left w:w="108" w:type="dxa"/>
              <w:bottom w:w="0" w:type="dxa"/>
              <w:right w:w="108" w:type="dxa"/>
            </w:tcMar>
            <w:vAlign w:val="center"/>
          </w:tcPr>
          <w:p w:rsidR="00FB2288" w:rsidRPr="009A0366" w:rsidRDefault="00FB2288" w:rsidP="009A0366">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Název milníku</w:t>
            </w:r>
          </w:p>
          <w:p w:rsidR="00FB2288" w:rsidRPr="009A0366" w:rsidRDefault="00FB2288" w:rsidP="009A0366">
            <w:pPr>
              <w:pStyle w:val="TextMetodika"/>
              <w:spacing w:before="0" w:after="0" w:line="240" w:lineRule="auto"/>
              <w:jc w:val="center"/>
              <w:rPr>
                <w:rFonts w:ascii="Times New Roman" w:hAnsi="Times New Roman"/>
                <w:b/>
                <w:sz w:val="22"/>
                <w:szCs w:val="22"/>
              </w:rPr>
            </w:pPr>
          </w:p>
        </w:tc>
        <w:tc>
          <w:tcPr>
            <w:tcW w:w="2126" w:type="dxa"/>
            <w:shd w:val="clear" w:color="auto" w:fill="auto"/>
            <w:tcMar>
              <w:top w:w="0" w:type="dxa"/>
              <w:left w:w="108" w:type="dxa"/>
              <w:bottom w:w="0" w:type="dxa"/>
              <w:right w:w="108" w:type="dxa"/>
            </w:tcMar>
            <w:vAlign w:val="center"/>
          </w:tcPr>
          <w:p w:rsidR="00FB2288" w:rsidRPr="009A0366" w:rsidRDefault="00FB2288" w:rsidP="009A0366">
            <w:pPr>
              <w:pStyle w:val="TextMetodika"/>
              <w:spacing w:before="0" w:after="0" w:line="240" w:lineRule="auto"/>
              <w:jc w:val="center"/>
              <w:rPr>
                <w:rFonts w:ascii="Times New Roman" w:hAnsi="Times New Roman"/>
                <w:b/>
                <w:sz w:val="22"/>
                <w:szCs w:val="22"/>
              </w:rPr>
            </w:pPr>
            <w:r w:rsidRPr="009A0366">
              <w:rPr>
                <w:rFonts w:ascii="Times New Roman" w:hAnsi="Times New Roman"/>
                <w:b/>
                <w:bCs/>
                <w:sz w:val="22"/>
                <w:szCs w:val="22"/>
              </w:rPr>
              <w:t xml:space="preserve">Definice milníku a měrná </w:t>
            </w:r>
            <w:r w:rsidRPr="009A0366">
              <w:rPr>
                <w:rFonts w:ascii="Times New Roman" w:hAnsi="Times New Roman"/>
                <w:b/>
                <w:sz w:val="22"/>
                <w:szCs w:val="22"/>
              </w:rPr>
              <w:t>jednotka</w:t>
            </w:r>
          </w:p>
        </w:tc>
        <w:tc>
          <w:tcPr>
            <w:tcW w:w="1276" w:type="dxa"/>
            <w:shd w:val="clear" w:color="auto" w:fill="auto"/>
            <w:tcMar>
              <w:top w:w="0" w:type="dxa"/>
              <w:left w:w="108" w:type="dxa"/>
              <w:bottom w:w="0" w:type="dxa"/>
              <w:right w:w="108" w:type="dxa"/>
            </w:tcMar>
            <w:vAlign w:val="center"/>
          </w:tcPr>
          <w:p w:rsidR="00FB2288" w:rsidRPr="009A0366" w:rsidRDefault="00FB2288" w:rsidP="009A0366">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Hodnota milníku v r.</w:t>
            </w:r>
            <w:r w:rsidRPr="009A0366">
              <w:rPr>
                <w:rFonts w:ascii="Times New Roman" w:hAnsi="Times New Roman"/>
                <w:b/>
                <w:bCs/>
                <w:sz w:val="22"/>
                <w:szCs w:val="22"/>
              </w:rPr>
              <w:t xml:space="preserve">  </w:t>
            </w:r>
            <w:r w:rsidRPr="009A0366">
              <w:rPr>
                <w:rFonts w:ascii="Times New Roman" w:hAnsi="Times New Roman"/>
                <w:b/>
                <w:sz w:val="22"/>
                <w:szCs w:val="22"/>
              </w:rPr>
              <w:t xml:space="preserve"> 2018</w:t>
            </w:r>
          </w:p>
        </w:tc>
        <w:tc>
          <w:tcPr>
            <w:tcW w:w="1701" w:type="dxa"/>
            <w:shd w:val="clear" w:color="auto" w:fill="auto"/>
            <w:tcMar>
              <w:top w:w="0" w:type="dxa"/>
              <w:left w:w="108" w:type="dxa"/>
              <w:bottom w:w="0" w:type="dxa"/>
              <w:right w:w="108" w:type="dxa"/>
            </w:tcMar>
            <w:vAlign w:val="center"/>
          </w:tcPr>
          <w:p w:rsidR="00FB2288" w:rsidRPr="009A0366" w:rsidRDefault="00FB2288" w:rsidP="009A0366">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Cílová hodnota milníku k roku 2022 </w:t>
            </w:r>
          </w:p>
        </w:tc>
        <w:tc>
          <w:tcPr>
            <w:tcW w:w="2090" w:type="dxa"/>
            <w:shd w:val="clear" w:color="auto" w:fill="auto"/>
            <w:tcMar>
              <w:top w:w="0" w:type="dxa"/>
              <w:left w:w="108" w:type="dxa"/>
              <w:bottom w:w="0" w:type="dxa"/>
              <w:right w:w="108" w:type="dxa"/>
            </w:tcMar>
            <w:vAlign w:val="center"/>
          </w:tcPr>
          <w:p w:rsidR="00FB2288" w:rsidRPr="009A0366" w:rsidRDefault="00FB2288" w:rsidP="009A0366">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Odůvodnění, jakým způsobem byly hodnoty stanoveny</w:t>
            </w:r>
          </w:p>
        </w:tc>
      </w:tr>
      <w:tr w:rsidR="00FB2288" w:rsidRPr="009A0366">
        <w:tc>
          <w:tcPr>
            <w:tcW w:w="1101" w:type="dxa"/>
            <w:shd w:val="clear" w:color="auto" w:fill="auto"/>
            <w:tcMar>
              <w:top w:w="0" w:type="dxa"/>
              <w:left w:w="108" w:type="dxa"/>
              <w:bottom w:w="0" w:type="dxa"/>
              <w:right w:w="108" w:type="dxa"/>
            </w:tcMar>
            <w:vAlign w:val="center"/>
          </w:tcPr>
          <w:p w:rsidR="00FB2288" w:rsidRPr="009A0366" w:rsidRDefault="00FB2288" w:rsidP="009E62A8">
            <w:pPr>
              <w:pStyle w:val="TextMetodika"/>
              <w:jc w:val="center"/>
              <w:rPr>
                <w:rFonts w:ascii="Times New Roman" w:hAnsi="Times New Roman"/>
              </w:rPr>
            </w:pPr>
          </w:p>
        </w:tc>
        <w:tc>
          <w:tcPr>
            <w:tcW w:w="1134" w:type="dxa"/>
            <w:shd w:val="clear" w:color="auto" w:fill="auto"/>
            <w:tcMar>
              <w:top w:w="0" w:type="dxa"/>
              <w:left w:w="108" w:type="dxa"/>
              <w:bottom w:w="0" w:type="dxa"/>
              <w:right w:w="108" w:type="dxa"/>
            </w:tcMar>
            <w:vAlign w:val="center"/>
          </w:tcPr>
          <w:p w:rsidR="00FB2288" w:rsidRPr="009A0366" w:rsidRDefault="00FB2288" w:rsidP="009E62A8">
            <w:pPr>
              <w:pStyle w:val="TextMetodika"/>
              <w:jc w:val="center"/>
              <w:rPr>
                <w:rFonts w:ascii="Times New Roman" w:hAnsi="Times New Roman"/>
              </w:rPr>
            </w:pPr>
          </w:p>
        </w:tc>
        <w:tc>
          <w:tcPr>
            <w:tcW w:w="2126" w:type="dxa"/>
            <w:shd w:val="clear" w:color="auto" w:fill="auto"/>
            <w:tcMar>
              <w:top w:w="0" w:type="dxa"/>
              <w:left w:w="108" w:type="dxa"/>
              <w:bottom w:w="0" w:type="dxa"/>
              <w:right w:w="108" w:type="dxa"/>
            </w:tcMar>
            <w:vAlign w:val="center"/>
          </w:tcPr>
          <w:p w:rsidR="00FB2288" w:rsidRPr="009A0366" w:rsidRDefault="00FB2288" w:rsidP="009E62A8">
            <w:pPr>
              <w:pStyle w:val="TextMetodika"/>
              <w:jc w:val="center"/>
              <w:rPr>
                <w:rFonts w:ascii="Times New Roman" w:hAnsi="Times New Roman"/>
              </w:rPr>
            </w:pPr>
          </w:p>
        </w:tc>
        <w:tc>
          <w:tcPr>
            <w:tcW w:w="1276" w:type="dxa"/>
            <w:shd w:val="clear" w:color="auto" w:fill="auto"/>
            <w:tcMar>
              <w:top w:w="0" w:type="dxa"/>
              <w:left w:w="108" w:type="dxa"/>
              <w:bottom w:w="0" w:type="dxa"/>
              <w:right w:w="108" w:type="dxa"/>
            </w:tcMar>
            <w:vAlign w:val="center"/>
          </w:tcPr>
          <w:p w:rsidR="00FB2288" w:rsidRPr="009A0366" w:rsidRDefault="00FB2288" w:rsidP="009E62A8">
            <w:pPr>
              <w:pStyle w:val="TextMetodika"/>
              <w:jc w:val="center"/>
              <w:rPr>
                <w:rFonts w:ascii="Times New Roman" w:hAnsi="Times New Roman"/>
              </w:rPr>
            </w:pPr>
          </w:p>
        </w:tc>
        <w:tc>
          <w:tcPr>
            <w:tcW w:w="1701" w:type="dxa"/>
            <w:shd w:val="clear" w:color="auto" w:fill="auto"/>
            <w:tcMar>
              <w:top w:w="0" w:type="dxa"/>
              <w:left w:w="108" w:type="dxa"/>
              <w:bottom w:w="0" w:type="dxa"/>
              <w:right w:w="108" w:type="dxa"/>
            </w:tcMar>
            <w:vAlign w:val="center"/>
          </w:tcPr>
          <w:p w:rsidR="00FB2288" w:rsidRPr="009A0366" w:rsidRDefault="00FB2288" w:rsidP="009E62A8">
            <w:pPr>
              <w:pStyle w:val="TextMetodika"/>
              <w:jc w:val="center"/>
              <w:rPr>
                <w:rFonts w:ascii="Times New Roman" w:hAnsi="Times New Roman"/>
              </w:rPr>
            </w:pPr>
          </w:p>
        </w:tc>
        <w:tc>
          <w:tcPr>
            <w:tcW w:w="2090" w:type="dxa"/>
            <w:shd w:val="clear" w:color="auto" w:fill="auto"/>
            <w:tcMar>
              <w:top w:w="0" w:type="dxa"/>
              <w:left w:w="108" w:type="dxa"/>
              <w:bottom w:w="0" w:type="dxa"/>
              <w:right w:w="108" w:type="dxa"/>
            </w:tcMar>
            <w:vAlign w:val="center"/>
          </w:tcPr>
          <w:p w:rsidR="00FB2288" w:rsidRPr="009A0366" w:rsidRDefault="00FB2288" w:rsidP="009E62A8">
            <w:pPr>
              <w:pStyle w:val="TextMetodika"/>
              <w:jc w:val="center"/>
              <w:rPr>
                <w:rFonts w:ascii="Times New Roman" w:hAnsi="Times New Roman"/>
              </w:rPr>
            </w:pPr>
          </w:p>
        </w:tc>
      </w:tr>
    </w:tbl>
    <w:p w:rsidR="003E384D" w:rsidRDefault="003E384D" w:rsidP="00932A10">
      <w:pPr>
        <w:overflowPunct/>
        <w:jc w:val="both"/>
        <w:textAlignment w:val="auto"/>
        <w:rPr>
          <w:b/>
          <w:bCs/>
          <w:color w:val="FF0000"/>
          <w:sz w:val="24"/>
          <w:szCs w:val="24"/>
        </w:rPr>
      </w:pPr>
    </w:p>
    <w:p w:rsidR="00DB73B5" w:rsidRDefault="00DB73B5" w:rsidP="00DB73B5">
      <w:pPr>
        <w:pStyle w:val="Nadpis3"/>
      </w:pPr>
      <w:bookmarkStart w:id="39" w:name="_Toc351464368"/>
      <w:bookmarkStart w:id="40" w:name="_Toc352328364"/>
      <w:r>
        <w:t>Kategorie intervencí</w:t>
      </w:r>
      <w:bookmarkEnd w:id="39"/>
      <w:bookmarkEnd w:id="40"/>
    </w:p>
    <w:p w:rsidR="000978F9" w:rsidRPr="009A0366" w:rsidRDefault="000978F9" w:rsidP="009A2305">
      <w:pPr>
        <w:overflowPunct/>
        <w:jc w:val="both"/>
        <w:textAlignment w:val="auto"/>
        <w:rPr>
          <w:b/>
          <w:bCs/>
          <w:color w:val="FF0000"/>
          <w:sz w:val="24"/>
          <w:szCs w:val="24"/>
          <w:lang w:val="it-IT"/>
        </w:rPr>
      </w:pPr>
    </w:p>
    <w:p w:rsidR="003D2733" w:rsidRPr="009A0366" w:rsidRDefault="003D2733" w:rsidP="00821D0D">
      <w:pPr>
        <w:spacing w:after="120"/>
        <w:rPr>
          <w:b/>
          <w:sz w:val="24"/>
          <w:szCs w:val="24"/>
        </w:rPr>
      </w:pPr>
      <w:r w:rsidRPr="00EC794F">
        <w:rPr>
          <w:b/>
          <w:sz w:val="24"/>
          <w:szCs w:val="24"/>
        </w:rPr>
        <w:t xml:space="preserve">Tabuka </w:t>
      </w:r>
      <w:r w:rsidR="009C7BE0" w:rsidRPr="00EC794F">
        <w:rPr>
          <w:b/>
          <w:sz w:val="24"/>
          <w:szCs w:val="24"/>
        </w:rPr>
        <w:t>xx</w:t>
      </w:r>
      <w:r w:rsidRPr="00EC794F">
        <w:rPr>
          <w:b/>
          <w:sz w:val="24"/>
          <w:szCs w:val="24"/>
        </w:rPr>
        <w:t>: Dim</w:t>
      </w:r>
      <w:r w:rsidRPr="009A0366">
        <w:rPr>
          <w:b/>
          <w:sz w:val="24"/>
          <w:szCs w:val="24"/>
        </w:rPr>
        <w:t>enze 1: Intervenční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3D2733" w:rsidRPr="009A0366">
        <w:tc>
          <w:tcPr>
            <w:tcW w:w="4640" w:type="dxa"/>
            <w:shd w:val="clear" w:color="auto" w:fill="auto"/>
          </w:tcPr>
          <w:p w:rsidR="003D2733" w:rsidRPr="009A0366" w:rsidRDefault="003D2733" w:rsidP="009E62A8">
            <w:pPr>
              <w:spacing w:after="120" w:line="288" w:lineRule="auto"/>
              <w:rPr>
                <w:b/>
                <w:sz w:val="22"/>
                <w:szCs w:val="22"/>
              </w:rPr>
            </w:pPr>
            <w:r w:rsidRPr="009A0366">
              <w:rPr>
                <w:b/>
                <w:sz w:val="22"/>
                <w:szCs w:val="22"/>
              </w:rPr>
              <w:t>Kód</w:t>
            </w:r>
          </w:p>
        </w:tc>
        <w:tc>
          <w:tcPr>
            <w:tcW w:w="4640" w:type="dxa"/>
            <w:shd w:val="clear" w:color="auto" w:fill="auto"/>
          </w:tcPr>
          <w:p w:rsidR="003D2733" w:rsidRPr="009A0366" w:rsidRDefault="003D2733" w:rsidP="009E62A8">
            <w:pPr>
              <w:spacing w:after="120" w:line="288" w:lineRule="auto"/>
              <w:rPr>
                <w:b/>
                <w:sz w:val="22"/>
                <w:szCs w:val="22"/>
              </w:rPr>
            </w:pPr>
            <w:r w:rsidRPr="009A0366">
              <w:rPr>
                <w:b/>
                <w:bCs/>
                <w:sz w:val="22"/>
                <w:szCs w:val="22"/>
              </w:rPr>
              <w:t>Příspěvek z EU: indikativní částka (EUR)</w:t>
            </w:r>
          </w:p>
        </w:tc>
      </w:tr>
      <w:tr w:rsidR="003D2733" w:rsidRPr="009A0366">
        <w:tc>
          <w:tcPr>
            <w:tcW w:w="4640" w:type="dxa"/>
            <w:shd w:val="clear" w:color="auto" w:fill="auto"/>
          </w:tcPr>
          <w:p w:rsidR="003D2733" w:rsidRPr="009A0366" w:rsidRDefault="003D2733" w:rsidP="009E62A8">
            <w:pPr>
              <w:spacing w:after="120" w:line="288" w:lineRule="auto"/>
            </w:pPr>
          </w:p>
        </w:tc>
        <w:tc>
          <w:tcPr>
            <w:tcW w:w="4640" w:type="dxa"/>
            <w:shd w:val="clear" w:color="auto" w:fill="auto"/>
          </w:tcPr>
          <w:p w:rsidR="003D2733" w:rsidRPr="009A0366" w:rsidRDefault="003D2733" w:rsidP="009E62A8">
            <w:pPr>
              <w:spacing w:after="120" w:line="288" w:lineRule="auto"/>
            </w:pPr>
          </w:p>
        </w:tc>
      </w:tr>
    </w:tbl>
    <w:p w:rsidR="003D2733" w:rsidRPr="009A0366" w:rsidRDefault="003D2733" w:rsidP="003D2733">
      <w:pPr>
        <w:pStyle w:val="TextNOK"/>
        <w:spacing w:before="60" w:after="60"/>
        <w:rPr>
          <w:rFonts w:ascii="Times New Roman" w:hAnsi="Times New Roman"/>
          <w:szCs w:val="20"/>
        </w:rPr>
      </w:pPr>
      <w:r w:rsidRPr="009A0366">
        <w:rPr>
          <w:rFonts w:ascii="Times New Roman" w:hAnsi="Times New Roman"/>
          <w:szCs w:val="20"/>
        </w:rPr>
        <w:t>Zdroj: Evropská komise</w:t>
      </w:r>
    </w:p>
    <w:p w:rsidR="003D2733" w:rsidRPr="009A0366" w:rsidRDefault="003D2733" w:rsidP="003D2733">
      <w:pPr>
        <w:spacing w:after="120" w:line="288" w:lineRule="auto"/>
      </w:pPr>
    </w:p>
    <w:p w:rsidR="003D2733" w:rsidRPr="009A0366" w:rsidRDefault="003D2733" w:rsidP="00821D0D">
      <w:pPr>
        <w:spacing w:after="120"/>
        <w:rPr>
          <w:b/>
          <w:sz w:val="24"/>
          <w:szCs w:val="24"/>
        </w:rPr>
      </w:pPr>
      <w:r w:rsidRPr="00EC794F">
        <w:rPr>
          <w:b/>
          <w:sz w:val="24"/>
          <w:szCs w:val="24"/>
        </w:rPr>
        <w:t>Tabulka</w:t>
      </w:r>
      <w:r w:rsidR="003520F2" w:rsidRPr="00EC794F">
        <w:rPr>
          <w:b/>
          <w:sz w:val="24"/>
          <w:szCs w:val="24"/>
        </w:rPr>
        <w:t xml:space="preserve"> </w:t>
      </w:r>
      <w:r w:rsidR="009C7BE0" w:rsidRPr="00EC794F">
        <w:rPr>
          <w:b/>
          <w:sz w:val="24"/>
          <w:szCs w:val="24"/>
        </w:rPr>
        <w:t>xx</w:t>
      </w:r>
      <w:r w:rsidRPr="00EC794F">
        <w:rPr>
          <w:b/>
          <w:sz w:val="24"/>
          <w:szCs w:val="24"/>
        </w:rPr>
        <w:t>: Dime</w:t>
      </w:r>
      <w:r w:rsidRPr="009A0366">
        <w:rPr>
          <w:b/>
          <w:sz w:val="24"/>
          <w:szCs w:val="24"/>
        </w:rPr>
        <w:t>nze 2: Forma financování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3D2733" w:rsidRPr="009A0366">
        <w:tc>
          <w:tcPr>
            <w:tcW w:w="4640" w:type="dxa"/>
            <w:shd w:val="clear" w:color="auto" w:fill="auto"/>
          </w:tcPr>
          <w:p w:rsidR="003D2733" w:rsidRPr="009A0366" w:rsidRDefault="003D2733" w:rsidP="009E62A8">
            <w:pPr>
              <w:spacing w:after="120" w:line="288" w:lineRule="auto"/>
              <w:rPr>
                <w:b/>
                <w:sz w:val="22"/>
                <w:szCs w:val="22"/>
              </w:rPr>
            </w:pPr>
            <w:r w:rsidRPr="009A0366">
              <w:rPr>
                <w:b/>
                <w:sz w:val="22"/>
                <w:szCs w:val="22"/>
              </w:rPr>
              <w:t>Kód</w:t>
            </w:r>
          </w:p>
        </w:tc>
        <w:tc>
          <w:tcPr>
            <w:tcW w:w="4640" w:type="dxa"/>
            <w:shd w:val="clear" w:color="auto" w:fill="auto"/>
          </w:tcPr>
          <w:p w:rsidR="003D2733" w:rsidRPr="009A0366" w:rsidRDefault="003D2733" w:rsidP="009E62A8">
            <w:pPr>
              <w:spacing w:after="120" w:line="288" w:lineRule="auto"/>
              <w:rPr>
                <w:b/>
                <w:sz w:val="22"/>
                <w:szCs w:val="22"/>
              </w:rPr>
            </w:pPr>
            <w:r w:rsidRPr="009A0366">
              <w:rPr>
                <w:b/>
                <w:bCs/>
                <w:sz w:val="22"/>
                <w:szCs w:val="22"/>
              </w:rPr>
              <w:t>Příspěvek z EU: indikativní částka (EUR)</w:t>
            </w:r>
          </w:p>
        </w:tc>
      </w:tr>
      <w:tr w:rsidR="003D2733" w:rsidRPr="009A0366">
        <w:tc>
          <w:tcPr>
            <w:tcW w:w="4640" w:type="dxa"/>
            <w:shd w:val="clear" w:color="auto" w:fill="auto"/>
          </w:tcPr>
          <w:p w:rsidR="003D2733" w:rsidRPr="009A0366" w:rsidRDefault="003D2733" w:rsidP="009E62A8">
            <w:pPr>
              <w:spacing w:after="120" w:line="288" w:lineRule="auto"/>
            </w:pPr>
          </w:p>
        </w:tc>
        <w:tc>
          <w:tcPr>
            <w:tcW w:w="4640" w:type="dxa"/>
            <w:shd w:val="clear" w:color="auto" w:fill="auto"/>
          </w:tcPr>
          <w:p w:rsidR="003D2733" w:rsidRPr="009A0366" w:rsidRDefault="003D2733" w:rsidP="009E62A8">
            <w:pPr>
              <w:spacing w:after="120" w:line="288" w:lineRule="auto"/>
            </w:pPr>
          </w:p>
        </w:tc>
      </w:tr>
    </w:tbl>
    <w:p w:rsidR="003D2733" w:rsidRPr="009A0366" w:rsidRDefault="003D2733" w:rsidP="003D2733">
      <w:pPr>
        <w:pStyle w:val="TextNOK"/>
        <w:spacing w:before="60" w:after="60"/>
        <w:rPr>
          <w:rFonts w:ascii="Times New Roman" w:hAnsi="Times New Roman"/>
          <w:szCs w:val="20"/>
        </w:rPr>
      </w:pPr>
      <w:r w:rsidRPr="009A0366">
        <w:rPr>
          <w:rFonts w:ascii="Times New Roman" w:hAnsi="Times New Roman"/>
          <w:szCs w:val="20"/>
        </w:rPr>
        <w:t>Zdroj: Evropská komise</w:t>
      </w:r>
    </w:p>
    <w:p w:rsidR="003D2733" w:rsidRPr="009A0366" w:rsidRDefault="003D2733" w:rsidP="009A2305"/>
    <w:p w:rsidR="003D2733" w:rsidRPr="009A0366" w:rsidRDefault="003D2733" w:rsidP="00821D0D">
      <w:pPr>
        <w:spacing w:after="120"/>
        <w:rPr>
          <w:b/>
          <w:sz w:val="24"/>
          <w:szCs w:val="24"/>
        </w:rPr>
      </w:pPr>
      <w:r w:rsidRPr="00EC794F">
        <w:rPr>
          <w:b/>
          <w:sz w:val="24"/>
          <w:szCs w:val="24"/>
        </w:rPr>
        <w:t>Tabulka</w:t>
      </w:r>
      <w:r w:rsidR="003520F2" w:rsidRPr="00EC794F">
        <w:rPr>
          <w:b/>
          <w:sz w:val="24"/>
          <w:szCs w:val="24"/>
        </w:rPr>
        <w:t xml:space="preserve"> </w:t>
      </w:r>
      <w:r w:rsidR="009C7BE0" w:rsidRPr="00EC794F">
        <w:rPr>
          <w:b/>
          <w:sz w:val="24"/>
          <w:szCs w:val="24"/>
        </w:rPr>
        <w:t>xx</w:t>
      </w:r>
      <w:r w:rsidRPr="00EC794F">
        <w:rPr>
          <w:b/>
          <w:sz w:val="24"/>
          <w:szCs w:val="24"/>
        </w:rPr>
        <w:t>: Di</w:t>
      </w:r>
      <w:r w:rsidRPr="009A0366">
        <w:rPr>
          <w:b/>
          <w:sz w:val="24"/>
          <w:szCs w:val="24"/>
        </w:rPr>
        <w:t>menze 3: Území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3D2733" w:rsidRPr="009A0366">
        <w:tc>
          <w:tcPr>
            <w:tcW w:w="4640" w:type="dxa"/>
            <w:shd w:val="clear" w:color="auto" w:fill="auto"/>
          </w:tcPr>
          <w:p w:rsidR="003D2733" w:rsidRPr="009A0366" w:rsidRDefault="003D2733" w:rsidP="009E62A8">
            <w:pPr>
              <w:spacing w:after="120" w:line="288" w:lineRule="auto"/>
              <w:rPr>
                <w:b/>
                <w:sz w:val="22"/>
                <w:szCs w:val="22"/>
              </w:rPr>
            </w:pPr>
            <w:r w:rsidRPr="009A0366">
              <w:rPr>
                <w:b/>
                <w:sz w:val="22"/>
                <w:szCs w:val="22"/>
              </w:rPr>
              <w:t>Kód</w:t>
            </w:r>
          </w:p>
        </w:tc>
        <w:tc>
          <w:tcPr>
            <w:tcW w:w="4640" w:type="dxa"/>
            <w:shd w:val="clear" w:color="auto" w:fill="auto"/>
          </w:tcPr>
          <w:p w:rsidR="003D2733" w:rsidRPr="009A0366" w:rsidRDefault="003D2733" w:rsidP="009E62A8">
            <w:pPr>
              <w:spacing w:after="120" w:line="288" w:lineRule="auto"/>
              <w:rPr>
                <w:b/>
                <w:sz w:val="22"/>
                <w:szCs w:val="22"/>
              </w:rPr>
            </w:pPr>
            <w:r w:rsidRPr="009A0366">
              <w:rPr>
                <w:b/>
                <w:bCs/>
                <w:sz w:val="22"/>
                <w:szCs w:val="22"/>
              </w:rPr>
              <w:t>Příspěvek z EU: indikativní částka (EUR)</w:t>
            </w:r>
          </w:p>
        </w:tc>
      </w:tr>
      <w:tr w:rsidR="003D2733" w:rsidRPr="009A0366">
        <w:tc>
          <w:tcPr>
            <w:tcW w:w="4640" w:type="dxa"/>
            <w:shd w:val="clear" w:color="auto" w:fill="auto"/>
          </w:tcPr>
          <w:p w:rsidR="003D2733" w:rsidRPr="009A0366" w:rsidRDefault="003D2733" w:rsidP="009E62A8">
            <w:pPr>
              <w:spacing w:after="120" w:line="288" w:lineRule="auto"/>
            </w:pPr>
          </w:p>
        </w:tc>
        <w:tc>
          <w:tcPr>
            <w:tcW w:w="4640" w:type="dxa"/>
            <w:shd w:val="clear" w:color="auto" w:fill="auto"/>
          </w:tcPr>
          <w:p w:rsidR="003D2733" w:rsidRPr="009A0366" w:rsidRDefault="003D2733" w:rsidP="009E62A8">
            <w:pPr>
              <w:spacing w:after="120" w:line="288" w:lineRule="auto"/>
            </w:pPr>
          </w:p>
        </w:tc>
      </w:tr>
    </w:tbl>
    <w:p w:rsidR="003D2733" w:rsidRPr="009A0366" w:rsidRDefault="003D2733" w:rsidP="003D2733">
      <w:pPr>
        <w:pStyle w:val="TextNOK"/>
        <w:spacing w:before="60" w:after="60"/>
        <w:rPr>
          <w:rFonts w:ascii="Times New Roman" w:hAnsi="Times New Roman"/>
          <w:szCs w:val="20"/>
        </w:rPr>
      </w:pPr>
      <w:r w:rsidRPr="009A0366">
        <w:rPr>
          <w:rFonts w:ascii="Times New Roman" w:hAnsi="Times New Roman"/>
          <w:szCs w:val="20"/>
        </w:rPr>
        <w:t>Zdroj: Evropská komise</w:t>
      </w:r>
    </w:p>
    <w:p w:rsidR="003D2733" w:rsidRPr="009A0366" w:rsidRDefault="003D2733" w:rsidP="009A2305"/>
    <w:p w:rsidR="003D2733" w:rsidRPr="009A0366" w:rsidRDefault="003D2733" w:rsidP="00821D0D">
      <w:pPr>
        <w:spacing w:after="120"/>
        <w:rPr>
          <w:b/>
          <w:sz w:val="24"/>
          <w:szCs w:val="24"/>
        </w:rPr>
      </w:pPr>
      <w:r w:rsidRPr="00EC794F">
        <w:rPr>
          <w:b/>
          <w:sz w:val="24"/>
          <w:szCs w:val="24"/>
        </w:rPr>
        <w:t xml:space="preserve">Tabulka </w:t>
      </w:r>
      <w:r w:rsidR="002104FB" w:rsidRPr="00EC794F">
        <w:rPr>
          <w:b/>
          <w:sz w:val="24"/>
          <w:szCs w:val="24"/>
        </w:rPr>
        <w:t>11</w:t>
      </w:r>
      <w:r w:rsidRPr="00EC794F">
        <w:rPr>
          <w:b/>
          <w:sz w:val="24"/>
          <w:szCs w:val="24"/>
        </w:rPr>
        <w:t>: Di</w:t>
      </w:r>
      <w:r w:rsidRPr="009A0366">
        <w:rPr>
          <w:b/>
          <w:sz w:val="24"/>
          <w:szCs w:val="24"/>
        </w:rPr>
        <w:t>menze 4: Sekundární téma pro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3D2733" w:rsidRPr="009A0366">
        <w:tc>
          <w:tcPr>
            <w:tcW w:w="4640" w:type="dxa"/>
            <w:shd w:val="clear" w:color="auto" w:fill="auto"/>
          </w:tcPr>
          <w:p w:rsidR="003D2733" w:rsidRPr="009A0366" w:rsidRDefault="003D2733" w:rsidP="009E62A8">
            <w:pPr>
              <w:spacing w:after="120" w:line="288" w:lineRule="auto"/>
              <w:rPr>
                <w:b/>
                <w:sz w:val="22"/>
                <w:szCs w:val="22"/>
              </w:rPr>
            </w:pPr>
            <w:r w:rsidRPr="009A0366">
              <w:rPr>
                <w:b/>
                <w:sz w:val="22"/>
                <w:szCs w:val="22"/>
              </w:rPr>
              <w:t>Kód</w:t>
            </w:r>
          </w:p>
        </w:tc>
        <w:tc>
          <w:tcPr>
            <w:tcW w:w="4640" w:type="dxa"/>
            <w:shd w:val="clear" w:color="auto" w:fill="auto"/>
          </w:tcPr>
          <w:p w:rsidR="003D2733" w:rsidRPr="009A0366" w:rsidRDefault="003D2733" w:rsidP="009E62A8">
            <w:pPr>
              <w:spacing w:after="120" w:line="288" w:lineRule="auto"/>
              <w:rPr>
                <w:b/>
                <w:sz w:val="22"/>
                <w:szCs w:val="22"/>
              </w:rPr>
            </w:pPr>
            <w:r w:rsidRPr="009A0366">
              <w:rPr>
                <w:b/>
                <w:bCs/>
                <w:sz w:val="22"/>
                <w:szCs w:val="22"/>
              </w:rPr>
              <w:t>Příspěvek z EU: indikativní částka (EUR)</w:t>
            </w:r>
          </w:p>
        </w:tc>
      </w:tr>
      <w:tr w:rsidR="003D2733" w:rsidRPr="009A0366">
        <w:tc>
          <w:tcPr>
            <w:tcW w:w="4640" w:type="dxa"/>
            <w:shd w:val="clear" w:color="auto" w:fill="auto"/>
          </w:tcPr>
          <w:p w:rsidR="003D2733" w:rsidRPr="009A0366" w:rsidRDefault="003D2733" w:rsidP="009E62A8">
            <w:pPr>
              <w:spacing w:after="120" w:line="288" w:lineRule="auto"/>
            </w:pPr>
          </w:p>
        </w:tc>
        <w:tc>
          <w:tcPr>
            <w:tcW w:w="4640" w:type="dxa"/>
            <w:shd w:val="clear" w:color="auto" w:fill="auto"/>
          </w:tcPr>
          <w:p w:rsidR="003D2733" w:rsidRPr="009A0366" w:rsidRDefault="003D2733" w:rsidP="009E62A8">
            <w:pPr>
              <w:spacing w:after="120" w:line="288" w:lineRule="auto"/>
            </w:pPr>
          </w:p>
        </w:tc>
      </w:tr>
    </w:tbl>
    <w:p w:rsidR="003D2733" w:rsidRPr="009A0366" w:rsidRDefault="003D2733" w:rsidP="003D2733">
      <w:pPr>
        <w:pStyle w:val="TextNOK"/>
        <w:spacing w:before="60" w:after="60"/>
        <w:rPr>
          <w:rFonts w:ascii="Times New Roman" w:hAnsi="Times New Roman"/>
          <w:szCs w:val="20"/>
        </w:rPr>
      </w:pPr>
      <w:r w:rsidRPr="009A0366">
        <w:rPr>
          <w:rFonts w:ascii="Times New Roman" w:hAnsi="Times New Roman"/>
          <w:szCs w:val="20"/>
        </w:rPr>
        <w:t>Zdroj: Evropská komise</w:t>
      </w:r>
    </w:p>
    <w:p w:rsidR="003D2733" w:rsidRPr="009A0366" w:rsidRDefault="003D2733" w:rsidP="00E40039">
      <w:pPr>
        <w:pStyle w:val="Seznamsodrkami"/>
      </w:pPr>
    </w:p>
    <w:p w:rsidR="000978F9" w:rsidRPr="009A0366" w:rsidRDefault="003D2733" w:rsidP="00DB73B5">
      <w:pPr>
        <w:pStyle w:val="Nadpis3"/>
      </w:pPr>
      <w:bookmarkStart w:id="41" w:name="_Toc352328365"/>
      <w:bookmarkStart w:id="42" w:name="_Toc351464369"/>
      <w:r w:rsidRPr="009A0366">
        <w:t>Souhrn plánovaného využití technické pomoci, včetně aktivit na posílení administrativní kapacity odpovědných subjektů a p</w:t>
      </w:r>
      <w:r w:rsidR="00DB73B5">
        <w:t>říjemců v dané prioritní ose</w:t>
      </w:r>
      <w:bookmarkEnd w:id="41"/>
      <w:r w:rsidRPr="009A0366">
        <w:t xml:space="preserve"> </w:t>
      </w:r>
      <w:bookmarkEnd w:id="42"/>
    </w:p>
    <w:p w:rsidR="000978F9" w:rsidRPr="009A0366" w:rsidRDefault="000978F9" w:rsidP="000978F9">
      <w:pPr>
        <w:overflowPunct/>
        <w:ind w:left="1410" w:hanging="1410"/>
        <w:jc w:val="both"/>
        <w:textAlignment w:val="auto"/>
        <w:rPr>
          <w:b/>
          <w:bCs/>
          <w:sz w:val="24"/>
          <w:szCs w:val="24"/>
        </w:rPr>
      </w:pPr>
    </w:p>
    <w:p w:rsidR="007359FB" w:rsidRPr="00B1484D" w:rsidRDefault="00CB2B83" w:rsidP="00851D6E">
      <w:pPr>
        <w:pStyle w:val="Nadpis2"/>
        <w:numPr>
          <w:ilvl w:val="1"/>
          <w:numId w:val="11"/>
        </w:numPr>
      </w:pPr>
      <w:bookmarkStart w:id="43" w:name="_Toc351464370"/>
      <w:bookmarkStart w:id="44" w:name="_Toc352328366"/>
      <w:r w:rsidRPr="00B1484D">
        <w:t xml:space="preserve">Prioritní osa 2 </w:t>
      </w:r>
      <w:r w:rsidR="003568A9">
        <w:t xml:space="preserve">- </w:t>
      </w:r>
      <w:r w:rsidR="008D4BCB" w:rsidRPr="00B1484D">
        <w:t>Rozvoj infrastruktury a služeb podporujících podnikání ve znalostní</w:t>
      </w:r>
      <w:r w:rsidR="00CF5E63" w:rsidRPr="00B1484D">
        <w:t xml:space="preserve"> </w:t>
      </w:r>
      <w:r w:rsidR="008D4BCB" w:rsidRPr="00B1484D">
        <w:t>ekonomice</w:t>
      </w:r>
      <w:r w:rsidRPr="00B1484D">
        <w:t xml:space="preserve"> a internacionalizace podnikání</w:t>
      </w:r>
      <w:bookmarkEnd w:id="43"/>
      <w:bookmarkEnd w:id="44"/>
    </w:p>
    <w:p w:rsidR="00CF5E63" w:rsidRPr="009A0366" w:rsidRDefault="00CF5E63" w:rsidP="00CF5E63">
      <w:pPr>
        <w:overflowPunct/>
        <w:jc w:val="both"/>
        <w:textAlignment w:val="auto"/>
        <w:rPr>
          <w:b/>
          <w:bCs/>
          <w:sz w:val="24"/>
          <w:szCs w:val="24"/>
        </w:rPr>
      </w:pPr>
    </w:p>
    <w:p w:rsidR="00527A16" w:rsidRDefault="00527A16" w:rsidP="00527A16">
      <w:pPr>
        <w:overflowPunct/>
        <w:jc w:val="both"/>
        <w:textAlignment w:val="auto"/>
        <w:rPr>
          <w:rFonts w:asciiTheme="minorHAnsi" w:hAnsiTheme="minorHAnsi" w:cstheme="minorHAnsi"/>
          <w:sz w:val="24"/>
          <w:szCs w:val="24"/>
        </w:rPr>
      </w:pPr>
      <w:r w:rsidRPr="00E40039">
        <w:rPr>
          <w:rFonts w:asciiTheme="minorHAnsi" w:hAnsiTheme="minorHAnsi" w:cstheme="minorHAnsi"/>
          <w:bCs/>
          <w:sz w:val="24"/>
          <w:szCs w:val="24"/>
        </w:rPr>
        <w:t xml:space="preserve">Tato prioritní osa bude implementována v návaznosti na tematický cíl č. </w:t>
      </w:r>
      <w:r>
        <w:rPr>
          <w:rFonts w:asciiTheme="minorHAnsi" w:hAnsiTheme="minorHAnsi" w:cstheme="minorHAnsi"/>
          <w:bCs/>
          <w:sz w:val="24"/>
          <w:szCs w:val="24"/>
        </w:rPr>
        <w:t>3</w:t>
      </w:r>
      <w:r w:rsidRPr="00E40039">
        <w:rPr>
          <w:rFonts w:asciiTheme="minorHAnsi" w:hAnsiTheme="minorHAnsi" w:cstheme="minorHAnsi"/>
          <w:bCs/>
          <w:sz w:val="24"/>
          <w:szCs w:val="24"/>
        </w:rPr>
        <w:t xml:space="preserve"> </w:t>
      </w:r>
      <w:r w:rsidR="00530623" w:rsidRPr="00530623">
        <w:rPr>
          <w:rFonts w:asciiTheme="minorHAnsi" w:hAnsiTheme="minorHAnsi" w:cstheme="minorHAnsi"/>
          <w:sz w:val="24"/>
          <w:szCs w:val="24"/>
        </w:rPr>
        <w:t>Zvýšení konkurenceschopnosti malých a středních podniků, odvětví zemědělství (v případě EZFRV) a rybářství a akvakultury (v případě ENRF)</w:t>
      </w:r>
      <w:r w:rsidRPr="00E40039">
        <w:rPr>
          <w:rFonts w:asciiTheme="minorHAnsi" w:hAnsiTheme="minorHAnsi" w:cstheme="minorHAnsi"/>
          <w:sz w:val="24"/>
          <w:szCs w:val="24"/>
        </w:rPr>
        <w:t xml:space="preserve"> definované</w:t>
      </w:r>
      <w:r w:rsidRPr="00EC794F">
        <w:rPr>
          <w:rFonts w:asciiTheme="minorHAnsi" w:hAnsiTheme="minorHAnsi" w:cstheme="minorHAnsi"/>
          <w:sz w:val="24"/>
          <w:szCs w:val="24"/>
        </w:rPr>
        <w:t>m v nařízení č. xxxx/2013 s cílem přispět k naplnění odpovídající investiční priority definované v nařízení č. xxxx/2013.</w:t>
      </w:r>
      <w:r w:rsidRPr="00E40039">
        <w:rPr>
          <w:rFonts w:asciiTheme="minorHAnsi" w:hAnsiTheme="minorHAnsi" w:cstheme="minorHAnsi"/>
          <w:sz w:val="24"/>
          <w:szCs w:val="24"/>
        </w:rPr>
        <w:t xml:space="preserve"> </w:t>
      </w:r>
    </w:p>
    <w:p w:rsidR="00527A16" w:rsidRDefault="00527A16" w:rsidP="00527A16">
      <w:pPr>
        <w:overflowPunct/>
        <w:jc w:val="both"/>
        <w:textAlignment w:val="auto"/>
        <w:rPr>
          <w:rFonts w:asciiTheme="minorHAnsi" w:hAnsiTheme="minorHAnsi" w:cstheme="minorHAnsi"/>
          <w:sz w:val="24"/>
          <w:szCs w:val="24"/>
        </w:rPr>
      </w:pPr>
    </w:p>
    <w:p w:rsidR="00527A16" w:rsidRPr="009A0366" w:rsidRDefault="00527A16" w:rsidP="00527A16">
      <w:pPr>
        <w:pStyle w:val="TextNOK"/>
        <w:spacing w:before="60" w:line="240" w:lineRule="auto"/>
        <w:rPr>
          <w:rFonts w:ascii="Times New Roman" w:hAnsi="Times New Roman"/>
          <w:b/>
          <w:sz w:val="24"/>
          <w:szCs w:val="24"/>
        </w:rPr>
      </w:pPr>
      <w:r w:rsidRPr="00EC794F">
        <w:rPr>
          <w:rFonts w:ascii="Times New Roman" w:hAnsi="Times New Roman"/>
          <w:b/>
          <w:sz w:val="24"/>
          <w:szCs w:val="24"/>
        </w:rPr>
        <w:t>Tabulka</w:t>
      </w:r>
      <w:r w:rsidR="00530623" w:rsidRPr="00EC794F">
        <w:rPr>
          <w:rFonts w:ascii="Times New Roman" w:hAnsi="Times New Roman"/>
          <w:b/>
          <w:sz w:val="24"/>
          <w:szCs w:val="24"/>
        </w:rPr>
        <w:t xml:space="preserve"> xx</w:t>
      </w:r>
      <w:r w:rsidRPr="00EC794F">
        <w:rPr>
          <w:rFonts w:ascii="Times New Roman" w:hAnsi="Times New Roman"/>
          <w:b/>
          <w:sz w:val="24"/>
          <w:szCs w:val="24"/>
        </w:rPr>
        <w:t>: Se</w:t>
      </w:r>
      <w:r w:rsidRPr="008A50E3">
        <w:rPr>
          <w:rFonts w:ascii="Times New Roman" w:hAnsi="Times New Roman"/>
          <w:b/>
          <w:sz w:val="24"/>
          <w:szCs w:val="24"/>
        </w:rPr>
        <w:t>znam všech indikátorů programu</w:t>
      </w:r>
      <w:r w:rsidRPr="009A0366">
        <w:rPr>
          <w:rFonts w:ascii="Times New Roman" w:hAnsi="Times New Roman"/>
          <w:b/>
          <w:sz w:val="24"/>
          <w:szCs w:val="24"/>
        </w:rPr>
        <w:t xml:space="preserve"> </w:t>
      </w:r>
    </w:p>
    <w:p w:rsidR="00527A16" w:rsidRDefault="00527A16" w:rsidP="00527A16">
      <w:pPr>
        <w:overflowPunct/>
        <w:ind w:left="1410" w:hanging="1410"/>
        <w:jc w:val="both"/>
        <w:textAlignment w:val="auto"/>
        <w:rPr>
          <w:b/>
          <w:bCs/>
          <w:color w:val="FF0000"/>
          <w:sz w:val="24"/>
          <w:szCs w:val="24"/>
          <w:lang w:val="en-GB"/>
        </w:rPr>
      </w:pPr>
    </w:p>
    <w:tbl>
      <w:tblPr>
        <w:tblW w:w="10987"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1417"/>
        <w:gridCol w:w="992"/>
        <w:gridCol w:w="992"/>
        <w:gridCol w:w="992"/>
        <w:gridCol w:w="1134"/>
        <w:gridCol w:w="851"/>
        <w:gridCol w:w="815"/>
      </w:tblGrid>
      <w:tr w:rsidR="00722E2A" w:rsidRPr="009A0366" w:rsidTr="00641EA3">
        <w:tc>
          <w:tcPr>
            <w:tcW w:w="1101" w:type="dxa"/>
            <w:vMerge w:val="restart"/>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Specifický cíl</w:t>
            </w:r>
          </w:p>
        </w:tc>
        <w:tc>
          <w:tcPr>
            <w:tcW w:w="1134" w:type="dxa"/>
            <w:vMerge w:val="restart"/>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4110" w:type="dxa"/>
            <w:gridSpan w:val="4"/>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992" w:type="dxa"/>
            <w:vMerge w:val="restart"/>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815" w:type="dxa"/>
            <w:vMerge w:val="restart"/>
            <w:shd w:val="clear" w:color="auto" w:fill="auto"/>
          </w:tcPr>
          <w:p w:rsidR="00722E2A" w:rsidRPr="009A0366" w:rsidRDefault="00722E2A" w:rsidP="00722E2A">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722E2A" w:rsidRPr="009A0366" w:rsidTr="00641EA3">
        <w:tc>
          <w:tcPr>
            <w:tcW w:w="1101" w:type="dxa"/>
            <w:vMerge/>
            <w:shd w:val="clear" w:color="auto" w:fill="auto"/>
          </w:tcPr>
          <w:p w:rsidR="00722E2A" w:rsidRPr="009A0366" w:rsidRDefault="00722E2A" w:rsidP="00722E2A">
            <w:pPr>
              <w:pStyle w:val="TextMetodika"/>
              <w:jc w:val="center"/>
              <w:rPr>
                <w:rFonts w:ascii="Times New Roman" w:hAnsi="Times New Roman"/>
                <w:b/>
                <w:bCs/>
                <w:sz w:val="22"/>
                <w:szCs w:val="22"/>
              </w:rPr>
            </w:pPr>
          </w:p>
        </w:tc>
        <w:tc>
          <w:tcPr>
            <w:tcW w:w="850" w:type="dxa"/>
            <w:vMerge/>
            <w:shd w:val="clear" w:color="auto" w:fill="auto"/>
          </w:tcPr>
          <w:p w:rsidR="00722E2A" w:rsidRPr="009A0366" w:rsidRDefault="00722E2A" w:rsidP="00722E2A">
            <w:pPr>
              <w:pStyle w:val="TextMetodika"/>
              <w:jc w:val="center"/>
              <w:rPr>
                <w:rFonts w:ascii="Times New Roman" w:hAnsi="Times New Roman"/>
                <w:b/>
                <w:bCs/>
                <w:sz w:val="22"/>
                <w:szCs w:val="22"/>
              </w:rPr>
            </w:pPr>
          </w:p>
        </w:tc>
        <w:tc>
          <w:tcPr>
            <w:tcW w:w="1134" w:type="dxa"/>
            <w:vMerge/>
            <w:shd w:val="clear" w:color="auto" w:fill="auto"/>
          </w:tcPr>
          <w:p w:rsidR="00722E2A" w:rsidRPr="009A0366" w:rsidRDefault="00722E2A" w:rsidP="00722E2A">
            <w:pPr>
              <w:pStyle w:val="TextMetodika"/>
              <w:jc w:val="center"/>
              <w:rPr>
                <w:rFonts w:ascii="Times New Roman" w:hAnsi="Times New Roman"/>
                <w:b/>
                <w:bCs/>
                <w:sz w:val="22"/>
                <w:szCs w:val="22"/>
              </w:rPr>
            </w:pPr>
          </w:p>
        </w:tc>
        <w:tc>
          <w:tcPr>
            <w:tcW w:w="709" w:type="dxa"/>
            <w:shd w:val="clear" w:color="auto" w:fill="auto"/>
          </w:tcPr>
          <w:p w:rsidR="00722E2A" w:rsidRPr="009A0366" w:rsidRDefault="00722E2A" w:rsidP="00722E2A">
            <w:pPr>
              <w:pStyle w:val="TextMetodika"/>
              <w:jc w:val="center"/>
              <w:rPr>
                <w:rFonts w:ascii="Times New Roman" w:hAnsi="Times New Roman"/>
                <w:b/>
                <w:bCs/>
                <w:sz w:val="22"/>
                <w:szCs w:val="22"/>
              </w:rPr>
            </w:pPr>
            <w:r w:rsidRPr="009A0366">
              <w:rPr>
                <w:rFonts w:ascii="Times New Roman" w:hAnsi="Times New Roman"/>
                <w:b/>
                <w:bCs/>
                <w:sz w:val="22"/>
                <w:szCs w:val="22"/>
              </w:rPr>
              <w:t>Kód NČI 2014+</w:t>
            </w:r>
          </w:p>
        </w:tc>
        <w:tc>
          <w:tcPr>
            <w:tcW w:w="1417" w:type="dxa"/>
            <w:shd w:val="clear" w:color="auto" w:fill="auto"/>
          </w:tcPr>
          <w:p w:rsidR="00722E2A" w:rsidRPr="009A0366" w:rsidRDefault="00722E2A" w:rsidP="00722E2A">
            <w:pPr>
              <w:pStyle w:val="TextMetodika"/>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722E2A" w:rsidRPr="009A0366" w:rsidRDefault="00722E2A" w:rsidP="00722E2A">
            <w:pPr>
              <w:pStyle w:val="TextMetodika"/>
              <w:jc w:val="center"/>
              <w:rPr>
                <w:rFonts w:ascii="Times New Roman" w:hAnsi="Times New Roman"/>
                <w:b/>
                <w:bCs/>
                <w:sz w:val="22"/>
                <w:szCs w:val="22"/>
              </w:rPr>
            </w:pPr>
            <w:r w:rsidRPr="009A0366">
              <w:rPr>
                <w:rFonts w:ascii="Times New Roman" w:hAnsi="Times New Roman"/>
                <w:b/>
                <w:bCs/>
                <w:sz w:val="22"/>
                <w:szCs w:val="22"/>
              </w:rPr>
              <w:t>Měrná jednotka</w:t>
            </w:r>
          </w:p>
        </w:tc>
        <w:tc>
          <w:tcPr>
            <w:tcW w:w="992" w:type="dxa"/>
            <w:shd w:val="clear" w:color="auto" w:fill="auto"/>
          </w:tcPr>
          <w:p w:rsidR="00722E2A" w:rsidRPr="009A0366" w:rsidRDefault="00722E2A" w:rsidP="00722E2A">
            <w:pPr>
              <w:pStyle w:val="TextMetodika"/>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992" w:type="dxa"/>
            <w:vMerge/>
            <w:shd w:val="clear" w:color="auto" w:fill="auto"/>
          </w:tcPr>
          <w:p w:rsidR="00722E2A" w:rsidRPr="009A0366" w:rsidRDefault="00722E2A" w:rsidP="00722E2A">
            <w:pPr>
              <w:pStyle w:val="TextMetodika"/>
              <w:jc w:val="center"/>
              <w:rPr>
                <w:rFonts w:ascii="Times New Roman" w:hAnsi="Times New Roman"/>
                <w:b/>
                <w:bCs/>
                <w:sz w:val="22"/>
                <w:szCs w:val="22"/>
              </w:rPr>
            </w:pPr>
          </w:p>
        </w:tc>
        <w:tc>
          <w:tcPr>
            <w:tcW w:w="1134" w:type="dxa"/>
            <w:vMerge/>
            <w:shd w:val="clear" w:color="auto" w:fill="auto"/>
          </w:tcPr>
          <w:p w:rsidR="00722E2A" w:rsidRPr="009A0366" w:rsidRDefault="00722E2A" w:rsidP="00722E2A">
            <w:pPr>
              <w:pStyle w:val="TextMetodika"/>
              <w:jc w:val="center"/>
              <w:rPr>
                <w:rFonts w:ascii="Times New Roman" w:hAnsi="Times New Roman"/>
                <w:b/>
                <w:bCs/>
                <w:sz w:val="22"/>
                <w:szCs w:val="22"/>
              </w:rPr>
            </w:pPr>
          </w:p>
        </w:tc>
        <w:tc>
          <w:tcPr>
            <w:tcW w:w="851" w:type="dxa"/>
            <w:vMerge/>
            <w:shd w:val="clear" w:color="auto" w:fill="auto"/>
          </w:tcPr>
          <w:p w:rsidR="00722E2A" w:rsidRPr="009A0366" w:rsidRDefault="00722E2A" w:rsidP="00722E2A">
            <w:pPr>
              <w:pStyle w:val="TextMetodika"/>
              <w:jc w:val="center"/>
              <w:rPr>
                <w:rFonts w:ascii="Times New Roman" w:hAnsi="Times New Roman"/>
                <w:b/>
                <w:bCs/>
                <w:sz w:val="22"/>
                <w:szCs w:val="22"/>
              </w:rPr>
            </w:pPr>
          </w:p>
        </w:tc>
        <w:tc>
          <w:tcPr>
            <w:tcW w:w="815" w:type="dxa"/>
            <w:vMerge/>
            <w:shd w:val="clear" w:color="auto" w:fill="auto"/>
          </w:tcPr>
          <w:p w:rsidR="00722E2A" w:rsidRPr="009A0366" w:rsidRDefault="00722E2A" w:rsidP="00722E2A">
            <w:pPr>
              <w:pStyle w:val="TextMetodika"/>
              <w:jc w:val="center"/>
              <w:rPr>
                <w:rFonts w:ascii="Times New Roman" w:hAnsi="Times New Roman"/>
                <w:b/>
                <w:bCs/>
                <w:sz w:val="22"/>
                <w:szCs w:val="22"/>
              </w:rPr>
            </w:pPr>
          </w:p>
        </w:tc>
      </w:tr>
      <w:tr w:rsidR="00722E2A" w:rsidRPr="009A0366" w:rsidTr="00641EA3">
        <w:tc>
          <w:tcPr>
            <w:tcW w:w="1101" w:type="dxa"/>
            <w:shd w:val="clear" w:color="auto" w:fill="auto"/>
          </w:tcPr>
          <w:p w:rsidR="00722E2A"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3a,3b,3c</w:t>
            </w:r>
          </w:p>
        </w:tc>
        <w:tc>
          <w:tcPr>
            <w:tcW w:w="850" w:type="dxa"/>
            <w:shd w:val="clear" w:color="auto" w:fill="auto"/>
          </w:tcPr>
          <w:p w:rsidR="00722E2A" w:rsidRPr="00B47FEC" w:rsidRDefault="00722E2A" w:rsidP="00722E2A">
            <w:pPr>
              <w:pStyle w:val="TextMetodika"/>
              <w:jc w:val="center"/>
              <w:rPr>
                <w:rFonts w:ascii="Times New Roman" w:hAnsi="Times New Roman"/>
                <w:bCs/>
                <w:sz w:val="22"/>
                <w:szCs w:val="22"/>
              </w:rPr>
            </w:pPr>
          </w:p>
        </w:tc>
        <w:tc>
          <w:tcPr>
            <w:tcW w:w="1134" w:type="dxa"/>
            <w:shd w:val="clear" w:color="auto" w:fill="auto"/>
          </w:tcPr>
          <w:p w:rsidR="00722E2A" w:rsidRPr="00B47FEC" w:rsidRDefault="00722E2A" w:rsidP="00722E2A">
            <w:pPr>
              <w:pStyle w:val="TextMetodika"/>
              <w:jc w:val="center"/>
              <w:rPr>
                <w:rFonts w:ascii="Times New Roman" w:hAnsi="Times New Roman"/>
                <w:bCs/>
                <w:sz w:val="22"/>
                <w:szCs w:val="22"/>
              </w:rPr>
            </w:pPr>
          </w:p>
        </w:tc>
        <w:tc>
          <w:tcPr>
            <w:tcW w:w="709" w:type="dxa"/>
            <w:shd w:val="clear" w:color="auto" w:fill="auto"/>
          </w:tcPr>
          <w:p w:rsidR="00722E2A" w:rsidRPr="00B47FEC" w:rsidRDefault="00722E2A" w:rsidP="00722E2A">
            <w:pPr>
              <w:pStyle w:val="TextMetodika"/>
              <w:jc w:val="center"/>
              <w:rPr>
                <w:rFonts w:ascii="Times New Roman" w:hAnsi="Times New Roman"/>
                <w:bCs/>
                <w:sz w:val="22"/>
                <w:szCs w:val="22"/>
              </w:rPr>
            </w:pPr>
          </w:p>
        </w:tc>
        <w:tc>
          <w:tcPr>
            <w:tcW w:w="1417" w:type="dxa"/>
            <w:shd w:val="clear" w:color="auto" w:fill="auto"/>
          </w:tcPr>
          <w:p w:rsidR="00722E2A" w:rsidRPr="00B47FEC" w:rsidRDefault="00722E2A" w:rsidP="00722E2A">
            <w:pPr>
              <w:pStyle w:val="TextMetodika"/>
              <w:jc w:val="center"/>
              <w:rPr>
                <w:rFonts w:ascii="Times New Roman" w:hAnsi="Times New Roman"/>
                <w:bCs/>
                <w:sz w:val="22"/>
                <w:szCs w:val="22"/>
              </w:rPr>
            </w:pPr>
            <w:r w:rsidRPr="00B47FEC">
              <w:t>Number of enterprises receiving support</w:t>
            </w:r>
          </w:p>
        </w:tc>
        <w:tc>
          <w:tcPr>
            <w:tcW w:w="992" w:type="dxa"/>
            <w:shd w:val="clear" w:color="auto" w:fill="auto"/>
          </w:tcPr>
          <w:p w:rsidR="00722E2A" w:rsidRPr="00B47FEC" w:rsidRDefault="00722E2A" w:rsidP="00722E2A">
            <w:pPr>
              <w:pStyle w:val="TextMetodika"/>
              <w:jc w:val="center"/>
              <w:rPr>
                <w:rFonts w:ascii="Times New Roman" w:hAnsi="Times New Roman"/>
                <w:bCs/>
                <w:sz w:val="22"/>
                <w:szCs w:val="22"/>
              </w:rPr>
            </w:pPr>
            <w:r w:rsidRPr="00B47FEC">
              <w:t>enterprises</w:t>
            </w:r>
          </w:p>
        </w:tc>
        <w:tc>
          <w:tcPr>
            <w:tcW w:w="992" w:type="dxa"/>
            <w:shd w:val="clear" w:color="auto" w:fill="auto"/>
          </w:tcPr>
          <w:p w:rsidR="00722E2A" w:rsidRPr="00B47FEC" w:rsidRDefault="00722E2A" w:rsidP="00722E2A">
            <w:pPr>
              <w:pStyle w:val="TextMetodika"/>
              <w:jc w:val="center"/>
              <w:rPr>
                <w:rFonts w:ascii="Times New Roman" w:hAnsi="Times New Roman"/>
                <w:bCs/>
                <w:sz w:val="22"/>
                <w:szCs w:val="22"/>
              </w:rPr>
            </w:pPr>
            <w:r w:rsidRPr="00B47FEC">
              <w:rPr>
                <w:rFonts w:ascii="Times New Roman" w:hAnsi="Times New Roman"/>
                <w:bCs/>
                <w:sz w:val="22"/>
                <w:szCs w:val="22"/>
              </w:rPr>
              <w:t>výstup</w:t>
            </w:r>
          </w:p>
        </w:tc>
        <w:tc>
          <w:tcPr>
            <w:tcW w:w="992" w:type="dxa"/>
            <w:shd w:val="clear" w:color="auto" w:fill="auto"/>
          </w:tcPr>
          <w:p w:rsidR="00722E2A" w:rsidRPr="00B47FEC" w:rsidRDefault="00722E2A" w:rsidP="00722E2A">
            <w:pPr>
              <w:pStyle w:val="TextMetodika"/>
              <w:jc w:val="center"/>
              <w:rPr>
                <w:rFonts w:ascii="Times New Roman" w:hAnsi="Times New Roman"/>
                <w:bCs/>
                <w:sz w:val="22"/>
                <w:szCs w:val="22"/>
              </w:rPr>
            </w:pPr>
            <w:r w:rsidRPr="00B47FEC">
              <w:rPr>
                <w:rFonts w:ascii="Times New Roman" w:hAnsi="Times New Roman"/>
                <w:bCs/>
                <w:sz w:val="22"/>
                <w:szCs w:val="22"/>
              </w:rPr>
              <w:t>0</w:t>
            </w:r>
          </w:p>
        </w:tc>
        <w:tc>
          <w:tcPr>
            <w:tcW w:w="1134" w:type="dxa"/>
            <w:shd w:val="clear" w:color="auto" w:fill="auto"/>
          </w:tcPr>
          <w:p w:rsidR="00722E2A" w:rsidRPr="00B47FEC" w:rsidRDefault="00722E2A" w:rsidP="00722E2A">
            <w:pPr>
              <w:pStyle w:val="TextMetodika"/>
              <w:jc w:val="center"/>
              <w:rPr>
                <w:rFonts w:ascii="Times New Roman" w:hAnsi="Times New Roman"/>
                <w:bCs/>
                <w:sz w:val="22"/>
                <w:szCs w:val="22"/>
              </w:rPr>
            </w:pPr>
          </w:p>
        </w:tc>
        <w:tc>
          <w:tcPr>
            <w:tcW w:w="851" w:type="dxa"/>
            <w:shd w:val="clear" w:color="auto" w:fill="auto"/>
          </w:tcPr>
          <w:p w:rsidR="00722E2A" w:rsidRPr="00B47FEC" w:rsidRDefault="00722E2A" w:rsidP="00722E2A">
            <w:pPr>
              <w:pStyle w:val="TextMetodika"/>
              <w:jc w:val="center"/>
              <w:rPr>
                <w:rFonts w:ascii="Times New Roman" w:hAnsi="Times New Roman"/>
                <w:bCs/>
                <w:sz w:val="22"/>
                <w:szCs w:val="22"/>
              </w:rPr>
            </w:pPr>
            <w:r w:rsidRPr="00B47FEC">
              <w:rPr>
                <w:rFonts w:ascii="Times New Roman" w:hAnsi="Times New Roman"/>
                <w:bCs/>
                <w:sz w:val="22"/>
                <w:szCs w:val="22"/>
              </w:rPr>
              <w:t>IS</w:t>
            </w:r>
          </w:p>
        </w:tc>
        <w:tc>
          <w:tcPr>
            <w:tcW w:w="815" w:type="dxa"/>
            <w:shd w:val="clear" w:color="auto" w:fill="auto"/>
          </w:tcPr>
          <w:p w:rsidR="00722E2A" w:rsidRPr="00B47FEC" w:rsidRDefault="00722E2A" w:rsidP="00722E2A">
            <w:pPr>
              <w:pStyle w:val="TextMetodika"/>
              <w:jc w:val="center"/>
              <w:rPr>
                <w:rFonts w:ascii="Times New Roman" w:hAnsi="Times New Roman"/>
                <w:bCs/>
                <w:sz w:val="22"/>
                <w:szCs w:val="22"/>
              </w:rPr>
            </w:pPr>
          </w:p>
        </w:tc>
      </w:tr>
      <w:tr w:rsidR="00F14EDC" w:rsidRPr="009A0366" w:rsidTr="00641EA3">
        <w:tc>
          <w:tcPr>
            <w:tcW w:w="1101" w:type="dxa"/>
            <w:shd w:val="clear" w:color="auto" w:fill="auto"/>
          </w:tcPr>
          <w:p w:rsidR="00F14EDC" w:rsidRDefault="00F14EDC">
            <w:r w:rsidRPr="00F070B1">
              <w:rPr>
                <w:bCs/>
                <w:sz w:val="22"/>
                <w:szCs w:val="22"/>
              </w:rPr>
              <w:t>3a,3b,3c</w:t>
            </w:r>
          </w:p>
        </w:tc>
        <w:tc>
          <w:tcPr>
            <w:tcW w:w="850"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709"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417" w:type="dxa"/>
            <w:shd w:val="clear" w:color="auto" w:fill="auto"/>
          </w:tcPr>
          <w:p w:rsidR="00F14EDC" w:rsidRPr="00B47FEC" w:rsidRDefault="00F14EDC" w:rsidP="00722E2A">
            <w:pPr>
              <w:pStyle w:val="TextMetodika"/>
              <w:jc w:val="center"/>
            </w:pPr>
            <w:r w:rsidRPr="00B47FEC">
              <w:t>Number of enterprises receiving grants</w:t>
            </w:r>
          </w:p>
        </w:tc>
        <w:tc>
          <w:tcPr>
            <w:tcW w:w="992" w:type="dxa"/>
            <w:shd w:val="clear" w:color="auto" w:fill="auto"/>
          </w:tcPr>
          <w:p w:rsidR="00F14EDC" w:rsidRPr="00B47FEC" w:rsidRDefault="00F14EDC" w:rsidP="00722E2A">
            <w:pPr>
              <w:pStyle w:val="TextMetodika"/>
              <w:jc w:val="center"/>
            </w:pPr>
            <w:r w:rsidRPr="00B47FEC">
              <w:t>enterprises</w:t>
            </w:r>
          </w:p>
        </w:tc>
        <w:tc>
          <w:tcPr>
            <w:tcW w:w="992"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851"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14EDC" w:rsidRPr="00B47FEC" w:rsidRDefault="00F14EDC" w:rsidP="00722E2A">
            <w:pPr>
              <w:pStyle w:val="TextMetodika"/>
              <w:jc w:val="center"/>
              <w:rPr>
                <w:rFonts w:ascii="Times New Roman" w:hAnsi="Times New Roman"/>
                <w:bCs/>
                <w:sz w:val="22"/>
                <w:szCs w:val="22"/>
              </w:rPr>
            </w:pPr>
          </w:p>
        </w:tc>
      </w:tr>
      <w:tr w:rsidR="00F14EDC" w:rsidRPr="009A0366" w:rsidTr="00641EA3">
        <w:tc>
          <w:tcPr>
            <w:tcW w:w="1101" w:type="dxa"/>
            <w:shd w:val="clear" w:color="auto" w:fill="auto"/>
          </w:tcPr>
          <w:p w:rsidR="00F14EDC" w:rsidRDefault="00F14EDC" w:rsidP="00AE0AB9">
            <w:pPr>
              <w:keepNext/>
              <w:keepLines/>
            </w:pPr>
            <w:r w:rsidRPr="00F070B1">
              <w:rPr>
                <w:bCs/>
                <w:sz w:val="22"/>
                <w:szCs w:val="22"/>
              </w:rPr>
              <w:lastRenderedPageBreak/>
              <w:t>3a,3b,3c</w:t>
            </w:r>
          </w:p>
        </w:tc>
        <w:tc>
          <w:tcPr>
            <w:tcW w:w="850"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p>
        </w:tc>
        <w:tc>
          <w:tcPr>
            <w:tcW w:w="1134"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p>
        </w:tc>
        <w:tc>
          <w:tcPr>
            <w:tcW w:w="709"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p>
        </w:tc>
        <w:tc>
          <w:tcPr>
            <w:tcW w:w="1417" w:type="dxa"/>
            <w:shd w:val="clear" w:color="auto" w:fill="auto"/>
          </w:tcPr>
          <w:p w:rsidR="00F14EDC" w:rsidRPr="00B47FEC" w:rsidRDefault="00F14EDC" w:rsidP="00AE0AB9">
            <w:pPr>
              <w:pStyle w:val="TextMetodika"/>
              <w:keepNext/>
              <w:keepLines/>
              <w:jc w:val="center"/>
            </w:pPr>
            <w:r w:rsidRPr="001F5E1A">
              <w:t>Number of enterprises receiving financial support other than grants</w:t>
            </w:r>
          </w:p>
        </w:tc>
        <w:tc>
          <w:tcPr>
            <w:tcW w:w="992" w:type="dxa"/>
            <w:shd w:val="clear" w:color="auto" w:fill="auto"/>
          </w:tcPr>
          <w:p w:rsidR="00F14EDC" w:rsidRPr="00B47FEC" w:rsidRDefault="00F14EDC" w:rsidP="00AE0AB9">
            <w:pPr>
              <w:pStyle w:val="TextMetodika"/>
              <w:keepNext/>
              <w:keepLines/>
              <w:jc w:val="center"/>
            </w:pPr>
            <w:r w:rsidRPr="00B47FEC">
              <w:t>enterprises</w:t>
            </w:r>
          </w:p>
        </w:tc>
        <w:tc>
          <w:tcPr>
            <w:tcW w:w="992"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p>
        </w:tc>
        <w:tc>
          <w:tcPr>
            <w:tcW w:w="851"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14EDC" w:rsidRPr="00B47FEC" w:rsidRDefault="00F14EDC" w:rsidP="00AE0AB9">
            <w:pPr>
              <w:pStyle w:val="TextMetodika"/>
              <w:keepNext/>
              <w:keepLines/>
              <w:jc w:val="center"/>
              <w:rPr>
                <w:rFonts w:ascii="Times New Roman" w:hAnsi="Times New Roman"/>
                <w:bCs/>
                <w:sz w:val="22"/>
                <w:szCs w:val="22"/>
              </w:rPr>
            </w:pPr>
          </w:p>
        </w:tc>
      </w:tr>
      <w:tr w:rsidR="00F14EDC" w:rsidRPr="009A0366" w:rsidTr="00641EA3">
        <w:tc>
          <w:tcPr>
            <w:tcW w:w="1101" w:type="dxa"/>
            <w:shd w:val="clear" w:color="auto" w:fill="auto"/>
          </w:tcPr>
          <w:p w:rsidR="00F14EDC" w:rsidRDefault="00F14EDC">
            <w:r w:rsidRPr="00F070B1">
              <w:rPr>
                <w:bCs/>
                <w:sz w:val="22"/>
                <w:szCs w:val="22"/>
              </w:rPr>
              <w:t>3a,3b,3c</w:t>
            </w:r>
          </w:p>
        </w:tc>
        <w:tc>
          <w:tcPr>
            <w:tcW w:w="850"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709"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417" w:type="dxa"/>
            <w:shd w:val="clear" w:color="auto" w:fill="auto"/>
          </w:tcPr>
          <w:p w:rsidR="00F14EDC" w:rsidRPr="001F5E1A" w:rsidRDefault="00F14EDC" w:rsidP="00722E2A">
            <w:pPr>
              <w:pStyle w:val="TextMetodika"/>
              <w:jc w:val="center"/>
            </w:pPr>
            <w:r w:rsidRPr="007003FB">
              <w:t>Number of enterprises receiving non-financial support</w:t>
            </w:r>
            <w:r w:rsidR="00B01561">
              <w:t>*</w:t>
            </w:r>
          </w:p>
        </w:tc>
        <w:tc>
          <w:tcPr>
            <w:tcW w:w="992" w:type="dxa"/>
            <w:shd w:val="clear" w:color="auto" w:fill="auto"/>
          </w:tcPr>
          <w:p w:rsidR="00F14EDC" w:rsidRPr="00B47FEC" w:rsidRDefault="00F14EDC" w:rsidP="00722E2A">
            <w:pPr>
              <w:pStyle w:val="TextMetodika"/>
              <w:jc w:val="center"/>
            </w:pPr>
            <w:r w:rsidRPr="00B47FEC">
              <w:t>enterprises</w:t>
            </w:r>
          </w:p>
        </w:tc>
        <w:tc>
          <w:tcPr>
            <w:tcW w:w="992"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851"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14EDC" w:rsidRPr="00B47FEC" w:rsidRDefault="00F14EDC" w:rsidP="00722E2A">
            <w:pPr>
              <w:pStyle w:val="TextMetodika"/>
              <w:jc w:val="center"/>
              <w:rPr>
                <w:rFonts w:ascii="Times New Roman" w:hAnsi="Times New Roman"/>
                <w:bCs/>
                <w:sz w:val="22"/>
                <w:szCs w:val="22"/>
              </w:rPr>
            </w:pPr>
          </w:p>
        </w:tc>
      </w:tr>
      <w:tr w:rsidR="00F14EDC" w:rsidRPr="009A0366" w:rsidTr="00641EA3">
        <w:tc>
          <w:tcPr>
            <w:tcW w:w="1101" w:type="dxa"/>
            <w:shd w:val="clear" w:color="auto" w:fill="auto"/>
          </w:tcPr>
          <w:p w:rsidR="00F14EDC" w:rsidRDefault="00F14EDC">
            <w:r w:rsidRPr="00F070B1">
              <w:rPr>
                <w:bCs/>
                <w:sz w:val="22"/>
                <w:szCs w:val="22"/>
              </w:rPr>
              <w:t>3a,3b,3c</w:t>
            </w:r>
          </w:p>
        </w:tc>
        <w:tc>
          <w:tcPr>
            <w:tcW w:w="850"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709"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417" w:type="dxa"/>
            <w:shd w:val="clear" w:color="auto" w:fill="auto"/>
          </w:tcPr>
          <w:p w:rsidR="00F14EDC" w:rsidRPr="007003FB" w:rsidRDefault="00F14EDC" w:rsidP="00722E2A">
            <w:pPr>
              <w:pStyle w:val="TextMetodika"/>
              <w:jc w:val="center"/>
            </w:pPr>
            <w:r w:rsidRPr="001F5E1A">
              <w:t>Number of new enterprises supported</w:t>
            </w:r>
          </w:p>
        </w:tc>
        <w:tc>
          <w:tcPr>
            <w:tcW w:w="992" w:type="dxa"/>
            <w:shd w:val="clear" w:color="auto" w:fill="auto"/>
          </w:tcPr>
          <w:p w:rsidR="00F14EDC" w:rsidRPr="00B47FEC" w:rsidRDefault="00F14EDC" w:rsidP="00722E2A">
            <w:pPr>
              <w:pStyle w:val="TextMetodika"/>
              <w:jc w:val="center"/>
            </w:pPr>
            <w:r w:rsidRPr="00B47FEC">
              <w:t>enterprises</w:t>
            </w:r>
          </w:p>
        </w:tc>
        <w:tc>
          <w:tcPr>
            <w:tcW w:w="992"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851" w:type="dxa"/>
            <w:shd w:val="clear" w:color="auto" w:fill="auto"/>
          </w:tcPr>
          <w:p w:rsidR="00F14EDC" w:rsidRPr="00B47FEC" w:rsidRDefault="00F14EDC" w:rsidP="00722E2A">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14EDC" w:rsidRPr="00B47FEC" w:rsidRDefault="00F14EDC" w:rsidP="00722E2A">
            <w:pPr>
              <w:pStyle w:val="TextMetodika"/>
              <w:jc w:val="center"/>
              <w:rPr>
                <w:rFonts w:ascii="Times New Roman" w:hAnsi="Times New Roman"/>
                <w:bCs/>
                <w:sz w:val="22"/>
                <w:szCs w:val="22"/>
              </w:rPr>
            </w:pPr>
          </w:p>
        </w:tc>
      </w:tr>
      <w:tr w:rsidR="00F14EDC" w:rsidRPr="009A0366" w:rsidTr="00641EA3">
        <w:tc>
          <w:tcPr>
            <w:tcW w:w="1101" w:type="dxa"/>
            <w:shd w:val="clear" w:color="auto" w:fill="auto"/>
          </w:tcPr>
          <w:p w:rsidR="00F14EDC" w:rsidRDefault="00F14EDC">
            <w:r w:rsidRPr="00F070B1">
              <w:rPr>
                <w:bCs/>
                <w:sz w:val="22"/>
                <w:szCs w:val="22"/>
              </w:rPr>
              <w:t>3a,3b,3c</w:t>
            </w:r>
          </w:p>
        </w:tc>
        <w:tc>
          <w:tcPr>
            <w:tcW w:w="850"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709"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417" w:type="dxa"/>
            <w:shd w:val="clear" w:color="auto" w:fill="auto"/>
          </w:tcPr>
          <w:p w:rsidR="00F14EDC" w:rsidRPr="001F5E1A" w:rsidRDefault="00F14EDC" w:rsidP="00722E2A">
            <w:pPr>
              <w:pStyle w:val="TextMetodika"/>
              <w:jc w:val="center"/>
            </w:pPr>
            <w:r w:rsidRPr="007003FB">
              <w:t>Private investment matching public support to enterprises (grants)</w:t>
            </w:r>
          </w:p>
        </w:tc>
        <w:tc>
          <w:tcPr>
            <w:tcW w:w="992" w:type="dxa"/>
            <w:shd w:val="clear" w:color="auto" w:fill="auto"/>
          </w:tcPr>
          <w:p w:rsidR="00F14EDC" w:rsidRPr="00B47FEC" w:rsidRDefault="00F14EDC" w:rsidP="00722E2A">
            <w:pPr>
              <w:pStyle w:val="TextMetodika"/>
              <w:jc w:val="center"/>
            </w:pPr>
            <w:r>
              <w:t>EUR</w:t>
            </w:r>
          </w:p>
        </w:tc>
        <w:tc>
          <w:tcPr>
            <w:tcW w:w="992"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vstup</w:t>
            </w:r>
          </w:p>
        </w:tc>
        <w:tc>
          <w:tcPr>
            <w:tcW w:w="992"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851"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14EDC" w:rsidRPr="00B47FEC" w:rsidRDefault="00F14EDC" w:rsidP="00722E2A">
            <w:pPr>
              <w:pStyle w:val="TextMetodika"/>
              <w:jc w:val="center"/>
              <w:rPr>
                <w:rFonts w:ascii="Times New Roman" w:hAnsi="Times New Roman"/>
                <w:bCs/>
                <w:sz w:val="22"/>
                <w:szCs w:val="22"/>
              </w:rPr>
            </w:pPr>
          </w:p>
        </w:tc>
      </w:tr>
      <w:tr w:rsidR="00F14EDC" w:rsidRPr="009A0366" w:rsidTr="00641EA3">
        <w:tc>
          <w:tcPr>
            <w:tcW w:w="1101" w:type="dxa"/>
            <w:shd w:val="clear" w:color="auto" w:fill="auto"/>
          </w:tcPr>
          <w:p w:rsidR="00F14EDC" w:rsidRDefault="00F14EDC">
            <w:r w:rsidRPr="00F070B1">
              <w:rPr>
                <w:bCs/>
                <w:sz w:val="22"/>
                <w:szCs w:val="22"/>
              </w:rPr>
              <w:t>3a,3b,3c</w:t>
            </w:r>
          </w:p>
        </w:tc>
        <w:tc>
          <w:tcPr>
            <w:tcW w:w="850"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709"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417" w:type="dxa"/>
            <w:shd w:val="clear" w:color="auto" w:fill="auto"/>
          </w:tcPr>
          <w:p w:rsidR="00F14EDC" w:rsidRPr="001F5E1A" w:rsidRDefault="00F14EDC" w:rsidP="00722E2A">
            <w:pPr>
              <w:pStyle w:val="TextMetodika"/>
              <w:jc w:val="center"/>
            </w:pPr>
            <w:r w:rsidRPr="007003FB">
              <w:t>Private investment matching public support to enterprises (non-grants)</w:t>
            </w:r>
          </w:p>
        </w:tc>
        <w:tc>
          <w:tcPr>
            <w:tcW w:w="992" w:type="dxa"/>
            <w:shd w:val="clear" w:color="auto" w:fill="auto"/>
          </w:tcPr>
          <w:p w:rsidR="00F14EDC" w:rsidRPr="00B47FEC" w:rsidRDefault="00F14EDC" w:rsidP="00722E2A">
            <w:pPr>
              <w:pStyle w:val="TextMetodika"/>
              <w:jc w:val="center"/>
            </w:pPr>
            <w:r>
              <w:t>EUR</w:t>
            </w:r>
          </w:p>
        </w:tc>
        <w:tc>
          <w:tcPr>
            <w:tcW w:w="992" w:type="dxa"/>
            <w:shd w:val="clear" w:color="auto" w:fill="auto"/>
          </w:tcPr>
          <w:p w:rsidR="00F14EDC" w:rsidRDefault="00B01561" w:rsidP="00722E2A">
            <w:pPr>
              <w:pStyle w:val="TextMetodika"/>
              <w:jc w:val="center"/>
              <w:rPr>
                <w:rFonts w:ascii="Times New Roman" w:hAnsi="Times New Roman"/>
                <w:bCs/>
                <w:sz w:val="22"/>
                <w:szCs w:val="22"/>
              </w:rPr>
            </w:pPr>
            <w:r>
              <w:rPr>
                <w:rFonts w:ascii="Times New Roman" w:hAnsi="Times New Roman"/>
                <w:bCs/>
                <w:sz w:val="22"/>
                <w:szCs w:val="22"/>
              </w:rPr>
              <w:t>V</w:t>
            </w:r>
            <w:r w:rsidR="00F14EDC">
              <w:rPr>
                <w:rFonts w:ascii="Times New Roman" w:hAnsi="Times New Roman"/>
                <w:bCs/>
                <w:sz w:val="22"/>
                <w:szCs w:val="22"/>
              </w:rPr>
              <w:t>stup</w:t>
            </w:r>
            <w:r>
              <w:rPr>
                <w:rFonts w:ascii="Times New Roman" w:hAnsi="Times New Roman"/>
                <w:bCs/>
                <w:sz w:val="22"/>
                <w:szCs w:val="22"/>
              </w:rPr>
              <w:t>**</w:t>
            </w:r>
          </w:p>
        </w:tc>
        <w:tc>
          <w:tcPr>
            <w:tcW w:w="992"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851"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14EDC" w:rsidRPr="00B47FEC" w:rsidRDefault="00F14EDC" w:rsidP="00722E2A">
            <w:pPr>
              <w:pStyle w:val="TextMetodika"/>
              <w:jc w:val="center"/>
              <w:rPr>
                <w:rFonts w:ascii="Times New Roman" w:hAnsi="Times New Roman"/>
                <w:bCs/>
                <w:sz w:val="22"/>
                <w:szCs w:val="22"/>
              </w:rPr>
            </w:pPr>
          </w:p>
        </w:tc>
      </w:tr>
      <w:tr w:rsidR="00F14EDC" w:rsidRPr="009A0366" w:rsidTr="00641EA3">
        <w:tc>
          <w:tcPr>
            <w:tcW w:w="1101" w:type="dxa"/>
            <w:shd w:val="clear" w:color="auto" w:fill="auto"/>
          </w:tcPr>
          <w:p w:rsidR="00F14EDC" w:rsidRDefault="00F14EDC">
            <w:r w:rsidRPr="00F070B1">
              <w:rPr>
                <w:bCs/>
                <w:sz w:val="22"/>
                <w:szCs w:val="22"/>
              </w:rPr>
              <w:t>3a,3b,3c</w:t>
            </w:r>
          </w:p>
        </w:tc>
        <w:tc>
          <w:tcPr>
            <w:tcW w:w="850"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709"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1417" w:type="dxa"/>
            <w:shd w:val="clear" w:color="auto" w:fill="auto"/>
          </w:tcPr>
          <w:p w:rsidR="00F14EDC" w:rsidRPr="007003FB" w:rsidRDefault="00F14EDC" w:rsidP="00722E2A">
            <w:pPr>
              <w:pStyle w:val="TextMetodika"/>
              <w:jc w:val="center"/>
            </w:pPr>
            <w:r w:rsidRPr="007003FB">
              <w:t>Employment increase in supported enterprises</w:t>
            </w:r>
          </w:p>
        </w:tc>
        <w:tc>
          <w:tcPr>
            <w:tcW w:w="992" w:type="dxa"/>
            <w:shd w:val="clear" w:color="auto" w:fill="auto"/>
          </w:tcPr>
          <w:p w:rsidR="00F14EDC" w:rsidRDefault="00F14EDC" w:rsidP="00722E2A">
            <w:pPr>
              <w:pStyle w:val="TextMetodika"/>
              <w:jc w:val="center"/>
            </w:pPr>
            <w:r w:rsidRPr="007003FB">
              <w:t>FTE</w:t>
            </w:r>
          </w:p>
        </w:tc>
        <w:tc>
          <w:tcPr>
            <w:tcW w:w="992"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14EDC" w:rsidRPr="00B47FEC" w:rsidRDefault="00F14EDC" w:rsidP="00722E2A">
            <w:pPr>
              <w:pStyle w:val="TextMetodika"/>
              <w:jc w:val="center"/>
              <w:rPr>
                <w:rFonts w:ascii="Times New Roman" w:hAnsi="Times New Roman"/>
                <w:bCs/>
                <w:sz w:val="22"/>
                <w:szCs w:val="22"/>
              </w:rPr>
            </w:pPr>
          </w:p>
        </w:tc>
        <w:tc>
          <w:tcPr>
            <w:tcW w:w="851" w:type="dxa"/>
            <w:shd w:val="clear" w:color="auto" w:fill="auto"/>
          </w:tcPr>
          <w:p w:rsidR="00F14EDC" w:rsidRDefault="00F14EDC" w:rsidP="00722E2A">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14EDC" w:rsidRPr="00B47FEC" w:rsidRDefault="00F14EDC" w:rsidP="00722E2A">
            <w:pPr>
              <w:pStyle w:val="TextMetodika"/>
              <w:jc w:val="center"/>
              <w:rPr>
                <w:rFonts w:ascii="Times New Roman" w:hAnsi="Times New Roman"/>
                <w:bCs/>
                <w:sz w:val="22"/>
                <w:szCs w:val="22"/>
              </w:rPr>
            </w:pPr>
          </w:p>
        </w:tc>
      </w:tr>
    </w:tbl>
    <w:p w:rsidR="00722E2A" w:rsidRPr="009A0366" w:rsidRDefault="00722E2A" w:rsidP="00527A16">
      <w:pPr>
        <w:overflowPunct/>
        <w:ind w:left="1410" w:hanging="1410"/>
        <w:jc w:val="both"/>
        <w:textAlignment w:val="auto"/>
        <w:rPr>
          <w:b/>
          <w:bCs/>
          <w:color w:val="FF0000"/>
          <w:sz w:val="24"/>
          <w:szCs w:val="24"/>
          <w:lang w:val="en-GB"/>
        </w:rPr>
      </w:pPr>
    </w:p>
    <w:p w:rsidR="00527A16" w:rsidRPr="00EC794F" w:rsidRDefault="00B01561" w:rsidP="00B01561">
      <w:pPr>
        <w:spacing w:line="288" w:lineRule="auto"/>
        <w:jc w:val="both"/>
        <w:rPr>
          <w:rFonts w:asciiTheme="minorHAnsi" w:hAnsiTheme="minorHAnsi" w:cstheme="minorHAnsi"/>
          <w:iCs/>
          <w:color w:val="FF0000"/>
        </w:rPr>
      </w:pPr>
      <w:r w:rsidRPr="00EC794F">
        <w:rPr>
          <w:rFonts w:asciiTheme="minorHAnsi" w:hAnsiTheme="minorHAnsi" w:cstheme="minorHAnsi"/>
          <w:iCs/>
          <w:color w:val="FF0000"/>
        </w:rPr>
        <w:t>* Projednat s MMR, zda je relevantní.</w:t>
      </w:r>
    </w:p>
    <w:p w:rsidR="00B01561" w:rsidRPr="00EC794F" w:rsidRDefault="00B01561" w:rsidP="00B01561">
      <w:pPr>
        <w:spacing w:line="288" w:lineRule="auto"/>
        <w:jc w:val="both"/>
        <w:rPr>
          <w:rFonts w:asciiTheme="minorHAnsi" w:hAnsiTheme="minorHAnsi" w:cstheme="minorHAnsi"/>
          <w:iCs/>
          <w:color w:val="FF0000"/>
        </w:rPr>
      </w:pPr>
      <w:r w:rsidRPr="00EC794F">
        <w:rPr>
          <w:rFonts w:asciiTheme="minorHAnsi" w:hAnsiTheme="minorHAnsi" w:cstheme="minorHAnsi"/>
          <w:iCs/>
          <w:color w:val="FF0000"/>
        </w:rPr>
        <w:t>** U všech common indikátorů stanovit typ. Připomínka odeslána na MMR-NOK.</w:t>
      </w:r>
    </w:p>
    <w:p w:rsidR="00B01561" w:rsidRPr="0026132C" w:rsidRDefault="00B01561" w:rsidP="00527A16">
      <w:pPr>
        <w:spacing w:line="288" w:lineRule="auto"/>
        <w:jc w:val="both"/>
        <w:rPr>
          <w:rFonts w:asciiTheme="minorHAnsi" w:hAnsiTheme="minorHAnsi" w:cstheme="minorHAnsi"/>
          <w:iCs/>
          <w:color w:val="FF0000"/>
          <w:sz w:val="24"/>
          <w:szCs w:val="24"/>
        </w:rPr>
      </w:pPr>
    </w:p>
    <w:p w:rsidR="00527A16" w:rsidRDefault="00527A16" w:rsidP="00527A16">
      <w:pPr>
        <w:pStyle w:val="Nadpis3"/>
      </w:pPr>
      <w:bookmarkStart w:id="45" w:name="_Toc351464371"/>
      <w:bookmarkStart w:id="46" w:name="_Toc352328367"/>
      <w:r>
        <w:lastRenderedPageBreak/>
        <w:t>Identifikace investičních priorit a popis specifických cílů</w:t>
      </w:r>
      <w:bookmarkEnd w:id="45"/>
      <w:bookmarkEnd w:id="46"/>
      <w:r>
        <w:t xml:space="preserve"> </w:t>
      </w:r>
    </w:p>
    <w:p w:rsidR="00527A16" w:rsidRPr="007A7549" w:rsidRDefault="00527A16" w:rsidP="00527A16">
      <w:pPr>
        <w:overflowPunct/>
        <w:spacing w:after="120"/>
        <w:jc w:val="both"/>
        <w:textAlignment w:val="auto"/>
        <w:rPr>
          <w:rFonts w:asciiTheme="minorHAnsi" w:hAnsiTheme="minorHAnsi" w:cstheme="minorHAnsi"/>
          <w:sz w:val="24"/>
          <w:szCs w:val="24"/>
        </w:rPr>
      </w:pPr>
      <w:r w:rsidRPr="00E40039">
        <w:rPr>
          <w:rFonts w:asciiTheme="minorHAnsi" w:hAnsiTheme="minorHAnsi" w:cstheme="minorHAnsi"/>
          <w:sz w:val="24"/>
          <w:szCs w:val="24"/>
        </w:rPr>
        <w:t>Na základě analýzy problémů a potřeb ČR identifikovaných a popsaných pro</w:t>
      </w:r>
      <w:r>
        <w:rPr>
          <w:rFonts w:asciiTheme="minorHAnsi" w:hAnsiTheme="minorHAnsi" w:cstheme="minorHAnsi"/>
          <w:sz w:val="24"/>
          <w:szCs w:val="24"/>
        </w:rPr>
        <w:t xml:space="preserve"> prioritní osu </w:t>
      </w:r>
      <w:r w:rsidR="00530623">
        <w:rPr>
          <w:rFonts w:asciiTheme="minorHAnsi" w:hAnsiTheme="minorHAnsi" w:cstheme="minorHAnsi"/>
          <w:sz w:val="24"/>
          <w:szCs w:val="24"/>
        </w:rPr>
        <w:t>2</w:t>
      </w:r>
      <w:r>
        <w:rPr>
          <w:rFonts w:asciiTheme="minorHAnsi" w:hAnsiTheme="minorHAnsi" w:cstheme="minorHAnsi"/>
          <w:sz w:val="24"/>
          <w:szCs w:val="24"/>
        </w:rPr>
        <w:t xml:space="preserve"> byly identifikovány následující investiční priority a </w:t>
      </w:r>
      <w:r w:rsidRPr="007A7549">
        <w:rPr>
          <w:rFonts w:asciiTheme="minorHAnsi" w:hAnsiTheme="minorHAnsi" w:cstheme="minorHAnsi"/>
          <w:sz w:val="24"/>
          <w:szCs w:val="24"/>
        </w:rPr>
        <w:t>specifické cíle:</w:t>
      </w:r>
    </w:p>
    <w:p w:rsidR="00527A16" w:rsidRPr="00B85EE3" w:rsidRDefault="00527A16" w:rsidP="00527A16"/>
    <w:tbl>
      <w:tblPr>
        <w:tblStyle w:val="Mkatabulky"/>
        <w:tblW w:w="0" w:type="auto"/>
        <w:tblLook w:val="04A0"/>
      </w:tblPr>
      <w:tblGrid>
        <w:gridCol w:w="4676"/>
        <w:gridCol w:w="4676"/>
      </w:tblGrid>
      <w:tr w:rsidR="00527A16" w:rsidRPr="00B85EE3" w:rsidTr="00530623">
        <w:tc>
          <w:tcPr>
            <w:tcW w:w="4676" w:type="dxa"/>
            <w:shd w:val="clear" w:color="auto" w:fill="92CDDC" w:themeFill="accent5" w:themeFillTint="99"/>
          </w:tcPr>
          <w:p w:rsidR="00527A16" w:rsidRPr="00B85EE3" w:rsidRDefault="00527A16" w:rsidP="00530623">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Investiční priorita</w:t>
            </w:r>
          </w:p>
        </w:tc>
        <w:tc>
          <w:tcPr>
            <w:tcW w:w="4676" w:type="dxa"/>
            <w:shd w:val="clear" w:color="auto" w:fill="92CDDC" w:themeFill="accent5" w:themeFillTint="99"/>
          </w:tcPr>
          <w:p w:rsidR="00527A16" w:rsidRPr="00B85EE3" w:rsidRDefault="00527A16" w:rsidP="00530623">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Specifický cíl</w:t>
            </w:r>
          </w:p>
        </w:tc>
      </w:tr>
      <w:tr w:rsidR="00527A16" w:rsidRPr="00B85EE3" w:rsidTr="00530623">
        <w:trPr>
          <w:trHeight w:val="1066"/>
        </w:trPr>
        <w:tc>
          <w:tcPr>
            <w:tcW w:w="4676" w:type="dxa"/>
            <w:vMerge w:val="restart"/>
            <w:vAlign w:val="center"/>
          </w:tcPr>
          <w:p w:rsidR="00527A16" w:rsidRPr="00530623" w:rsidRDefault="00530623" w:rsidP="00530623">
            <w:pPr>
              <w:overflowPunct/>
              <w:textAlignment w:val="auto"/>
              <w:rPr>
                <w:rFonts w:asciiTheme="minorHAnsi" w:hAnsiTheme="minorHAnsi" w:cstheme="minorHAnsi"/>
                <w:bCs/>
                <w:sz w:val="24"/>
                <w:szCs w:val="24"/>
              </w:rPr>
            </w:pPr>
            <w:r w:rsidRPr="00530623">
              <w:rPr>
                <w:rFonts w:asciiTheme="minorHAnsi" w:hAnsiTheme="minorHAnsi" w:cstheme="minorHAnsi"/>
                <w:bCs/>
                <w:sz w:val="24"/>
                <w:szCs w:val="24"/>
              </w:rPr>
              <w:t>Podpora podnikání, zejména usnadněním hospodářského využívání nových myšlenek a podporou zakládání nových podniků, mimo jiné prostřednictvím podnikatelských inkubátorů (nařízení o ERDF, článek 5, odst. (3) bod a)</w:t>
            </w:r>
          </w:p>
        </w:tc>
        <w:tc>
          <w:tcPr>
            <w:tcW w:w="4676" w:type="dxa"/>
            <w:vAlign w:val="center"/>
          </w:tcPr>
          <w:p w:rsidR="00527A16" w:rsidRPr="00B85EE3" w:rsidRDefault="00530623" w:rsidP="00530623">
            <w:pPr>
              <w:rPr>
                <w:rFonts w:asciiTheme="minorHAnsi" w:hAnsiTheme="minorHAnsi" w:cstheme="minorHAnsi"/>
                <w:sz w:val="24"/>
              </w:rPr>
            </w:pPr>
            <w:r w:rsidRPr="00530623">
              <w:rPr>
                <w:rFonts w:asciiTheme="minorHAnsi" w:hAnsiTheme="minorHAnsi" w:cstheme="minorHAnsi"/>
                <w:sz w:val="24"/>
              </w:rPr>
              <w:t>2.1 - Zvýšení počtu nových podnikatelských subjektů a nových podnikatelských záměrů</w:t>
            </w:r>
          </w:p>
        </w:tc>
      </w:tr>
      <w:tr w:rsidR="00527A16" w:rsidRPr="00B85EE3" w:rsidTr="00530623">
        <w:trPr>
          <w:trHeight w:val="1066"/>
        </w:trPr>
        <w:tc>
          <w:tcPr>
            <w:tcW w:w="4676" w:type="dxa"/>
            <w:vMerge/>
            <w:vAlign w:val="center"/>
          </w:tcPr>
          <w:p w:rsidR="00527A16" w:rsidRPr="00530623" w:rsidRDefault="00527A16" w:rsidP="00530623">
            <w:pPr>
              <w:overflowPunct/>
              <w:textAlignment w:val="auto"/>
              <w:rPr>
                <w:rFonts w:asciiTheme="minorHAnsi" w:hAnsiTheme="minorHAnsi" w:cstheme="minorHAnsi"/>
                <w:bCs/>
                <w:sz w:val="24"/>
                <w:szCs w:val="24"/>
              </w:rPr>
            </w:pPr>
          </w:p>
        </w:tc>
        <w:tc>
          <w:tcPr>
            <w:tcW w:w="4676" w:type="dxa"/>
            <w:vAlign w:val="center"/>
          </w:tcPr>
          <w:p w:rsidR="00527A16" w:rsidRPr="00B85EE3" w:rsidRDefault="00530623" w:rsidP="00530623">
            <w:pPr>
              <w:rPr>
                <w:rFonts w:asciiTheme="minorHAnsi" w:hAnsiTheme="minorHAnsi" w:cstheme="minorHAnsi"/>
                <w:sz w:val="24"/>
              </w:rPr>
            </w:pPr>
            <w:r w:rsidRPr="00530623">
              <w:rPr>
                <w:rFonts w:asciiTheme="minorHAnsi" w:hAnsiTheme="minorHAnsi" w:cstheme="minorHAnsi"/>
                <w:sz w:val="24"/>
              </w:rPr>
              <w:t>2.2 - Zajištění kvalitní podnikatelské infrastruktury</w:t>
            </w:r>
          </w:p>
        </w:tc>
      </w:tr>
      <w:tr w:rsidR="00530623" w:rsidRPr="00B85EE3" w:rsidTr="00530623">
        <w:trPr>
          <w:trHeight w:val="1066"/>
        </w:trPr>
        <w:tc>
          <w:tcPr>
            <w:tcW w:w="4676" w:type="dxa"/>
            <w:vMerge w:val="restart"/>
            <w:vAlign w:val="center"/>
          </w:tcPr>
          <w:p w:rsidR="00530623" w:rsidRPr="00530623" w:rsidRDefault="00530623" w:rsidP="00530623">
            <w:pPr>
              <w:overflowPunct/>
              <w:textAlignment w:val="auto"/>
              <w:rPr>
                <w:rFonts w:asciiTheme="minorHAnsi" w:hAnsiTheme="minorHAnsi" w:cstheme="minorHAnsi"/>
                <w:bCs/>
                <w:sz w:val="24"/>
                <w:szCs w:val="24"/>
              </w:rPr>
            </w:pPr>
            <w:r w:rsidRPr="00530623">
              <w:rPr>
                <w:rFonts w:asciiTheme="minorHAnsi" w:hAnsiTheme="minorHAnsi" w:cstheme="minorHAnsi"/>
                <w:bCs/>
                <w:sz w:val="24"/>
                <w:szCs w:val="24"/>
              </w:rPr>
              <w:t>Vyvíjení a zavádění nových obchodních modelů pro MSP, zejména pro oblast mezinárodního obchodu</w:t>
            </w:r>
            <w:r>
              <w:rPr>
                <w:rFonts w:asciiTheme="minorHAnsi" w:hAnsiTheme="minorHAnsi" w:cstheme="minorHAnsi"/>
                <w:bCs/>
                <w:sz w:val="24"/>
                <w:szCs w:val="24"/>
              </w:rPr>
              <w:t xml:space="preserve"> </w:t>
            </w:r>
            <w:r w:rsidRPr="00530623">
              <w:rPr>
                <w:rFonts w:asciiTheme="minorHAnsi" w:hAnsiTheme="minorHAnsi" w:cstheme="minorHAnsi"/>
                <w:bCs/>
                <w:sz w:val="24"/>
                <w:szCs w:val="24"/>
              </w:rPr>
              <w:t>(nařízení o ERDF, článek 5, odst. (3) bod b)</w:t>
            </w:r>
          </w:p>
        </w:tc>
        <w:tc>
          <w:tcPr>
            <w:tcW w:w="4676" w:type="dxa"/>
            <w:vAlign w:val="center"/>
          </w:tcPr>
          <w:p w:rsidR="00530623" w:rsidRPr="00B85EE3" w:rsidRDefault="00530623" w:rsidP="00530623">
            <w:pPr>
              <w:rPr>
                <w:rFonts w:asciiTheme="minorHAnsi" w:hAnsiTheme="minorHAnsi" w:cstheme="minorHAnsi"/>
                <w:sz w:val="24"/>
              </w:rPr>
            </w:pPr>
            <w:r w:rsidRPr="00530623">
              <w:rPr>
                <w:rFonts w:asciiTheme="minorHAnsi" w:hAnsiTheme="minorHAnsi" w:cstheme="minorHAnsi"/>
                <w:sz w:val="24"/>
              </w:rPr>
              <w:t>2.3 - Rozšíření kvalitních služeb pro malé a střední podniky podporujících jejich mezinárodní konkurenceschopnost, zejména jejich marketingovou připravenost a zapojení do globálních produkčních a partnerských sítí</w:t>
            </w:r>
          </w:p>
        </w:tc>
      </w:tr>
      <w:tr w:rsidR="00530623" w:rsidRPr="00B85EE3" w:rsidTr="00530623">
        <w:trPr>
          <w:trHeight w:val="1066"/>
        </w:trPr>
        <w:tc>
          <w:tcPr>
            <w:tcW w:w="4676" w:type="dxa"/>
            <w:vMerge/>
            <w:vAlign w:val="center"/>
          </w:tcPr>
          <w:p w:rsidR="00530623" w:rsidRPr="00530623" w:rsidRDefault="00530623" w:rsidP="00530623">
            <w:pPr>
              <w:overflowPunct/>
              <w:textAlignment w:val="auto"/>
              <w:rPr>
                <w:rFonts w:asciiTheme="minorHAnsi" w:hAnsiTheme="minorHAnsi" w:cstheme="minorHAnsi"/>
                <w:bCs/>
                <w:sz w:val="24"/>
                <w:szCs w:val="24"/>
              </w:rPr>
            </w:pPr>
          </w:p>
        </w:tc>
        <w:tc>
          <w:tcPr>
            <w:tcW w:w="4676" w:type="dxa"/>
            <w:vAlign w:val="center"/>
          </w:tcPr>
          <w:p w:rsidR="00530623" w:rsidRPr="00530623" w:rsidRDefault="00530623" w:rsidP="00530623">
            <w:pPr>
              <w:rPr>
                <w:rFonts w:asciiTheme="minorHAnsi" w:hAnsiTheme="minorHAnsi" w:cstheme="minorHAnsi"/>
                <w:sz w:val="24"/>
              </w:rPr>
            </w:pPr>
            <w:r w:rsidRPr="00530623">
              <w:rPr>
                <w:rFonts w:asciiTheme="minorHAnsi" w:hAnsiTheme="minorHAnsi" w:cstheme="minorHAnsi"/>
                <w:sz w:val="24"/>
              </w:rPr>
              <w:t>2.4 - Větší uplatnění specializovaných poradenských služeb pro podnikatelské subjekty</w:t>
            </w:r>
          </w:p>
        </w:tc>
      </w:tr>
      <w:tr w:rsidR="00530623" w:rsidRPr="00B85EE3" w:rsidTr="00530623">
        <w:trPr>
          <w:trHeight w:val="1066"/>
        </w:trPr>
        <w:tc>
          <w:tcPr>
            <w:tcW w:w="4676" w:type="dxa"/>
            <w:vAlign w:val="center"/>
          </w:tcPr>
          <w:p w:rsidR="00530623" w:rsidRPr="00530623" w:rsidRDefault="00530623" w:rsidP="00530623">
            <w:pPr>
              <w:overflowPunct/>
              <w:textAlignment w:val="auto"/>
              <w:rPr>
                <w:rFonts w:asciiTheme="minorHAnsi" w:hAnsiTheme="minorHAnsi" w:cstheme="minorHAnsi"/>
                <w:bCs/>
                <w:sz w:val="24"/>
                <w:szCs w:val="24"/>
              </w:rPr>
            </w:pPr>
            <w:r w:rsidRPr="00530623">
              <w:rPr>
                <w:rFonts w:asciiTheme="minorHAnsi" w:hAnsiTheme="minorHAnsi" w:cstheme="minorHAnsi"/>
                <w:bCs/>
                <w:sz w:val="24"/>
                <w:szCs w:val="24"/>
              </w:rPr>
              <w:t>Podpora budování a rozšiřování vyspělých kapacit pro rozvoj produktů a služeb</w:t>
            </w:r>
            <w:r>
              <w:rPr>
                <w:rFonts w:asciiTheme="minorHAnsi" w:hAnsiTheme="minorHAnsi" w:cstheme="minorHAnsi"/>
                <w:bCs/>
                <w:sz w:val="24"/>
                <w:szCs w:val="24"/>
              </w:rPr>
              <w:t xml:space="preserve"> </w:t>
            </w:r>
            <w:r w:rsidRPr="00530623">
              <w:rPr>
                <w:rFonts w:asciiTheme="minorHAnsi" w:hAnsiTheme="minorHAnsi" w:cstheme="minorHAnsi"/>
                <w:bCs/>
                <w:sz w:val="24"/>
                <w:szCs w:val="24"/>
              </w:rPr>
              <w:t>(nařízení o ERDF, článek 5, odst. (3) bod c)</w:t>
            </w:r>
          </w:p>
        </w:tc>
        <w:tc>
          <w:tcPr>
            <w:tcW w:w="4676" w:type="dxa"/>
            <w:vAlign w:val="center"/>
          </w:tcPr>
          <w:p w:rsidR="00530623" w:rsidRPr="00B85EE3" w:rsidRDefault="00530623" w:rsidP="00530623">
            <w:pPr>
              <w:rPr>
                <w:rFonts w:asciiTheme="minorHAnsi" w:hAnsiTheme="minorHAnsi" w:cstheme="minorHAnsi"/>
                <w:sz w:val="24"/>
              </w:rPr>
            </w:pPr>
            <w:r w:rsidRPr="00530623">
              <w:rPr>
                <w:rFonts w:asciiTheme="minorHAnsi" w:hAnsiTheme="minorHAnsi" w:cstheme="minorHAnsi"/>
                <w:sz w:val="24"/>
              </w:rPr>
              <w:t>2.5 - Rozvoj a využití stávající infrastruktury pro vzdělávání a rozvoj lidských zdrojů v podnikatelském sektoru včetně technického vzdělávání</w:t>
            </w:r>
          </w:p>
        </w:tc>
      </w:tr>
    </w:tbl>
    <w:p w:rsidR="008628BE" w:rsidRDefault="008628BE" w:rsidP="00527A16">
      <w:pPr>
        <w:overflowPunct/>
        <w:jc w:val="both"/>
        <w:textAlignment w:val="auto"/>
        <w:rPr>
          <w:b/>
          <w:bCs/>
          <w:sz w:val="24"/>
          <w:szCs w:val="24"/>
        </w:rPr>
      </w:pPr>
    </w:p>
    <w:p w:rsidR="00527A16" w:rsidRPr="00047389" w:rsidRDefault="00527A16" w:rsidP="00047389">
      <w:pPr>
        <w:pStyle w:val="Nadpis4"/>
      </w:pPr>
      <w:bookmarkStart w:id="47" w:name="_Toc351464372"/>
      <w:r w:rsidRPr="00047389">
        <w:t>Spe</w:t>
      </w:r>
      <w:r w:rsidR="00530623" w:rsidRPr="00047389">
        <w:t>cifický cíl 2</w:t>
      </w:r>
      <w:r w:rsidRPr="00047389">
        <w:t xml:space="preserve">.1 - </w:t>
      </w:r>
      <w:r w:rsidR="00530623" w:rsidRPr="00047389">
        <w:t>Zvýšení počtu nových podnikatelských subjektů a nových podnikatelských záměrů</w:t>
      </w:r>
      <w:bookmarkEnd w:id="47"/>
    </w:p>
    <w:p w:rsidR="00527A16" w:rsidRDefault="00E512C6" w:rsidP="0038738E">
      <w:pPr>
        <w:spacing w:after="60"/>
        <w:jc w:val="both"/>
        <w:rPr>
          <w:rFonts w:asciiTheme="minorHAnsi" w:hAnsiTheme="minorHAnsi" w:cstheme="minorHAnsi"/>
          <w:sz w:val="24"/>
          <w:szCs w:val="24"/>
        </w:rPr>
      </w:pPr>
      <w:r>
        <w:rPr>
          <w:rFonts w:asciiTheme="minorHAnsi" w:hAnsiTheme="minorHAnsi" w:cstheme="minorHAnsi"/>
          <w:sz w:val="24"/>
          <w:szCs w:val="24"/>
        </w:rPr>
        <w:t>Tento cíl bude zaměřen na z</w:t>
      </w:r>
      <w:r w:rsidRPr="00121850">
        <w:rPr>
          <w:rFonts w:asciiTheme="minorHAnsi" w:hAnsiTheme="minorHAnsi" w:cstheme="minorHAnsi"/>
          <w:sz w:val="24"/>
          <w:szCs w:val="24"/>
        </w:rPr>
        <w:t>výšení počtu nových podnikatelských subjektů a nových podnikatelských záměrů zejména inovačního charakteru, ale i na nižších hodnotových řetězcích s přínosem pro zaměstnanost ve vybraných regionech ČR a pro konkurenceschopnost sektoru MSP.</w:t>
      </w:r>
      <w:r w:rsidR="005362CD">
        <w:rPr>
          <w:rFonts w:asciiTheme="minorHAnsi" w:hAnsiTheme="minorHAnsi" w:cstheme="minorHAnsi"/>
          <w:sz w:val="24"/>
          <w:szCs w:val="24"/>
        </w:rPr>
        <w:t xml:space="preserve"> Řešena zde bude i problematika tzv. sociálního podnikání a podnikatelských záměrů v oblasti tzv. kreativních průmyslů.</w:t>
      </w:r>
    </w:p>
    <w:p w:rsidR="00330E3C" w:rsidRDefault="00330E3C" w:rsidP="0038738E">
      <w:pPr>
        <w:spacing w:after="60"/>
        <w:jc w:val="both"/>
        <w:rPr>
          <w:rFonts w:asciiTheme="minorHAnsi" w:hAnsiTheme="minorHAnsi" w:cstheme="minorHAnsi"/>
          <w:bCs/>
          <w:sz w:val="24"/>
          <w:szCs w:val="24"/>
        </w:rPr>
      </w:pPr>
    </w:p>
    <w:p w:rsidR="00527A16" w:rsidRDefault="00530623" w:rsidP="00527A16">
      <w:pPr>
        <w:pStyle w:val="Nadpis4"/>
      </w:pPr>
      <w:bookmarkStart w:id="48" w:name="_Toc351464373"/>
      <w:r>
        <w:rPr>
          <w:szCs w:val="24"/>
        </w:rPr>
        <w:t>Specifický cíl 2</w:t>
      </w:r>
      <w:r w:rsidR="00527A16">
        <w:rPr>
          <w:szCs w:val="24"/>
        </w:rPr>
        <w:t xml:space="preserve">.2 - </w:t>
      </w:r>
      <w:r w:rsidRPr="00530623">
        <w:rPr>
          <w:rFonts w:cstheme="minorHAnsi"/>
        </w:rPr>
        <w:t>Zajištění kvalitní podnikatelské infrastruktury</w:t>
      </w:r>
      <w:bookmarkEnd w:id="48"/>
    </w:p>
    <w:p w:rsidR="00527A16" w:rsidRPr="008A50E3" w:rsidRDefault="00E512C6" w:rsidP="0038738E">
      <w:pPr>
        <w:spacing w:after="60"/>
        <w:jc w:val="both"/>
        <w:rPr>
          <w:rFonts w:asciiTheme="minorHAnsi" w:hAnsiTheme="minorHAnsi" w:cstheme="minorHAnsi"/>
          <w:bCs/>
          <w:sz w:val="24"/>
          <w:szCs w:val="24"/>
        </w:rPr>
      </w:pPr>
      <w:r>
        <w:rPr>
          <w:rFonts w:asciiTheme="minorHAnsi" w:hAnsiTheme="minorHAnsi" w:cstheme="minorHAnsi"/>
          <w:sz w:val="24"/>
          <w:szCs w:val="24"/>
        </w:rPr>
        <w:t>Cílem bude z</w:t>
      </w:r>
      <w:r w:rsidRPr="00304E83">
        <w:rPr>
          <w:rFonts w:asciiTheme="minorHAnsi" w:hAnsiTheme="minorHAnsi" w:cstheme="minorHAnsi"/>
          <w:sz w:val="24"/>
          <w:szCs w:val="24"/>
        </w:rPr>
        <w:t>ajištění kvalitní pod</w:t>
      </w:r>
      <w:r>
        <w:rPr>
          <w:rFonts w:asciiTheme="minorHAnsi" w:hAnsiTheme="minorHAnsi" w:cstheme="minorHAnsi"/>
          <w:sz w:val="24"/>
          <w:szCs w:val="24"/>
        </w:rPr>
        <w:t>nikatelské infrastruktury umožňující</w:t>
      </w:r>
      <w:r w:rsidRPr="00304E83">
        <w:rPr>
          <w:rFonts w:asciiTheme="minorHAnsi" w:hAnsiTheme="minorHAnsi" w:cstheme="minorHAnsi"/>
          <w:sz w:val="24"/>
          <w:szCs w:val="24"/>
        </w:rPr>
        <w:t xml:space="preserve"> přechod od běžn</w:t>
      </w:r>
      <w:r>
        <w:rPr>
          <w:rFonts w:asciiTheme="minorHAnsi" w:hAnsiTheme="minorHAnsi" w:cstheme="minorHAnsi"/>
          <w:sz w:val="24"/>
          <w:szCs w:val="24"/>
        </w:rPr>
        <w:t xml:space="preserve">é výroby v nízkých hodnotových </w:t>
      </w:r>
      <w:r w:rsidRPr="00304E83">
        <w:rPr>
          <w:rFonts w:asciiTheme="minorHAnsi" w:hAnsiTheme="minorHAnsi" w:cstheme="minorHAnsi"/>
          <w:sz w:val="24"/>
          <w:szCs w:val="24"/>
        </w:rPr>
        <w:t xml:space="preserve">stupních k inovativní výrobě </w:t>
      </w:r>
      <w:r>
        <w:rPr>
          <w:rFonts w:asciiTheme="minorHAnsi" w:hAnsiTheme="minorHAnsi" w:cstheme="minorHAnsi"/>
          <w:sz w:val="24"/>
          <w:szCs w:val="24"/>
        </w:rPr>
        <w:t xml:space="preserve">zaměřené na </w:t>
      </w:r>
      <w:r w:rsidRPr="00304E83">
        <w:rPr>
          <w:rFonts w:asciiTheme="minorHAnsi" w:hAnsiTheme="minorHAnsi" w:cstheme="minorHAnsi"/>
          <w:sz w:val="24"/>
          <w:szCs w:val="24"/>
        </w:rPr>
        <w:t>konkurenceschopnost a v</w:t>
      </w:r>
      <w:r>
        <w:rPr>
          <w:rFonts w:asciiTheme="minorHAnsi" w:hAnsiTheme="minorHAnsi" w:cstheme="minorHAnsi"/>
          <w:sz w:val="24"/>
          <w:szCs w:val="24"/>
        </w:rPr>
        <w:t>ysokou přidanou hodnotu a umožňující pros</w:t>
      </w:r>
      <w:r w:rsidRPr="00304E83">
        <w:rPr>
          <w:rFonts w:asciiTheme="minorHAnsi" w:hAnsiTheme="minorHAnsi" w:cstheme="minorHAnsi"/>
          <w:sz w:val="24"/>
          <w:szCs w:val="24"/>
        </w:rPr>
        <w:t>az</w:t>
      </w:r>
      <w:r>
        <w:rPr>
          <w:rFonts w:asciiTheme="minorHAnsi" w:hAnsiTheme="minorHAnsi" w:cstheme="minorHAnsi"/>
          <w:sz w:val="24"/>
          <w:szCs w:val="24"/>
        </w:rPr>
        <w:t>ení výrobků</w:t>
      </w:r>
      <w:r w:rsidRPr="00304E83">
        <w:rPr>
          <w:rFonts w:asciiTheme="minorHAnsi" w:hAnsiTheme="minorHAnsi" w:cstheme="minorHAnsi"/>
          <w:sz w:val="24"/>
          <w:szCs w:val="24"/>
        </w:rPr>
        <w:t xml:space="preserve"> na silné zahraniční trhy</w:t>
      </w:r>
      <w:r>
        <w:rPr>
          <w:rFonts w:asciiTheme="minorHAnsi" w:hAnsiTheme="minorHAnsi" w:cstheme="minorHAnsi"/>
          <w:sz w:val="24"/>
          <w:szCs w:val="24"/>
        </w:rPr>
        <w:t>.</w:t>
      </w:r>
    </w:p>
    <w:p w:rsidR="00527A16" w:rsidRPr="00C561C7" w:rsidRDefault="00527A16" w:rsidP="00527A16">
      <w:pPr>
        <w:overflowPunct/>
        <w:ind w:left="1410" w:hanging="1410"/>
        <w:jc w:val="both"/>
        <w:textAlignment w:val="auto"/>
        <w:rPr>
          <w:rFonts w:ascii="Calibri" w:hAnsi="Calibri" w:cs="Calibri"/>
          <w:b/>
          <w:bCs/>
          <w:color w:val="FF0000"/>
          <w:sz w:val="24"/>
          <w:szCs w:val="24"/>
        </w:rPr>
      </w:pPr>
    </w:p>
    <w:p w:rsidR="00527A16" w:rsidRPr="00047389" w:rsidRDefault="00527A16" w:rsidP="00047389">
      <w:pPr>
        <w:pStyle w:val="Nadpis4"/>
      </w:pPr>
      <w:bookmarkStart w:id="49" w:name="_Toc351464374"/>
      <w:r w:rsidRPr="00047389">
        <w:lastRenderedPageBreak/>
        <w:t xml:space="preserve">Specifický cíl </w:t>
      </w:r>
      <w:r w:rsidR="00530623" w:rsidRPr="00047389">
        <w:t>2</w:t>
      </w:r>
      <w:r w:rsidRPr="00047389">
        <w:t xml:space="preserve">.3 - </w:t>
      </w:r>
      <w:r w:rsidR="00530623" w:rsidRPr="00047389">
        <w:t>Rozšíření kvalitních služeb pro malé a střední podniky podporujících jejich mezinárodní konkurenceschopnost, zejména jejich marketingovou připravenost a zapojení do globálních produkčních a partnerských sítí</w:t>
      </w:r>
      <w:bookmarkEnd w:id="49"/>
    </w:p>
    <w:p w:rsidR="00527A16" w:rsidRDefault="00E512C6" w:rsidP="00E512C6">
      <w:pPr>
        <w:overflowPunct/>
        <w:jc w:val="both"/>
        <w:textAlignment w:val="auto"/>
        <w:rPr>
          <w:rFonts w:asciiTheme="minorHAnsi" w:hAnsiTheme="minorHAnsi" w:cstheme="minorHAnsi"/>
          <w:sz w:val="24"/>
          <w:szCs w:val="24"/>
        </w:rPr>
      </w:pPr>
      <w:r>
        <w:rPr>
          <w:rFonts w:asciiTheme="minorHAnsi" w:hAnsiTheme="minorHAnsi" w:cstheme="minorHAnsi"/>
          <w:sz w:val="24"/>
          <w:szCs w:val="24"/>
        </w:rPr>
        <w:t>Cílem bude r</w:t>
      </w:r>
      <w:r w:rsidRPr="00304E83">
        <w:rPr>
          <w:rFonts w:asciiTheme="minorHAnsi" w:hAnsiTheme="minorHAnsi" w:cstheme="minorHAnsi"/>
          <w:sz w:val="24"/>
          <w:szCs w:val="24"/>
        </w:rPr>
        <w:t>ozšíření kvalitních služeb pro malé a střední podniky podporující jejich mezinárodní konkurenceschopnost, zejména jejich marketingovou připravenost a zapojení do globálních produkčních a partnerských sítí.</w:t>
      </w:r>
    </w:p>
    <w:p w:rsidR="00330E3C" w:rsidRDefault="00330E3C" w:rsidP="00E512C6">
      <w:pPr>
        <w:overflowPunct/>
        <w:jc w:val="both"/>
        <w:textAlignment w:val="auto"/>
        <w:rPr>
          <w:rFonts w:ascii="Calibri" w:hAnsi="Calibri" w:cs="Calibri"/>
          <w:b/>
          <w:bCs/>
          <w:color w:val="FF0000"/>
          <w:sz w:val="24"/>
          <w:szCs w:val="24"/>
        </w:rPr>
      </w:pPr>
    </w:p>
    <w:p w:rsidR="00527A16" w:rsidRPr="00047389" w:rsidRDefault="00530623" w:rsidP="00047389">
      <w:pPr>
        <w:pStyle w:val="Nadpis4"/>
      </w:pPr>
      <w:bookmarkStart w:id="50" w:name="_Toc351464375"/>
      <w:r w:rsidRPr="00047389">
        <w:t>Specifický cíl 2</w:t>
      </w:r>
      <w:r w:rsidR="00527A16" w:rsidRPr="00047389">
        <w:t xml:space="preserve">.4 </w:t>
      </w:r>
      <w:r w:rsidRPr="00047389">
        <w:t>–</w:t>
      </w:r>
      <w:r w:rsidR="00527A16" w:rsidRPr="00047389">
        <w:t xml:space="preserve"> </w:t>
      </w:r>
      <w:r w:rsidRPr="00047389">
        <w:t>Větší uplatnění specializovaných poradenských služeb pro podnikatelské subjekty</w:t>
      </w:r>
      <w:bookmarkEnd w:id="50"/>
    </w:p>
    <w:p w:rsidR="00530623" w:rsidRDefault="00E512C6" w:rsidP="00530623">
      <w:pPr>
        <w:rPr>
          <w:rFonts w:asciiTheme="minorHAnsi" w:hAnsiTheme="minorHAnsi" w:cstheme="minorHAnsi"/>
          <w:sz w:val="24"/>
          <w:szCs w:val="24"/>
        </w:rPr>
      </w:pPr>
      <w:r>
        <w:rPr>
          <w:rFonts w:asciiTheme="minorHAnsi" w:hAnsiTheme="minorHAnsi" w:cstheme="minorHAnsi"/>
          <w:sz w:val="24"/>
          <w:szCs w:val="24"/>
        </w:rPr>
        <w:t>Cílem bude v</w:t>
      </w:r>
      <w:r w:rsidRPr="00304E83">
        <w:rPr>
          <w:rFonts w:asciiTheme="minorHAnsi" w:hAnsiTheme="minorHAnsi" w:cstheme="minorHAnsi"/>
          <w:sz w:val="24"/>
          <w:szCs w:val="24"/>
        </w:rPr>
        <w:t>ětší uplatnění specializovaných poradenských služeb pro podnikatelské subjekt</w:t>
      </w:r>
      <w:r>
        <w:rPr>
          <w:rFonts w:asciiTheme="minorHAnsi" w:hAnsiTheme="minorHAnsi" w:cstheme="minorHAnsi"/>
          <w:sz w:val="24"/>
          <w:szCs w:val="24"/>
        </w:rPr>
        <w:t>y ve všech regionech ČR</w:t>
      </w:r>
      <w:r w:rsidR="00942840">
        <w:rPr>
          <w:rFonts w:asciiTheme="minorHAnsi" w:hAnsiTheme="minorHAnsi" w:cstheme="minorHAnsi"/>
          <w:sz w:val="24"/>
          <w:szCs w:val="24"/>
        </w:rPr>
        <w:t xml:space="preserve">, </w:t>
      </w:r>
      <w:r w:rsidR="00942840" w:rsidRPr="00942840">
        <w:rPr>
          <w:rFonts w:asciiTheme="minorHAnsi" w:hAnsiTheme="minorHAnsi" w:cstheme="minorHAnsi"/>
          <w:sz w:val="24"/>
          <w:szCs w:val="24"/>
        </w:rPr>
        <w:t>mimo území hl. m. Prahy</w:t>
      </w:r>
      <w:r>
        <w:rPr>
          <w:rFonts w:asciiTheme="minorHAnsi" w:hAnsiTheme="minorHAnsi" w:cstheme="minorHAnsi"/>
          <w:sz w:val="24"/>
          <w:szCs w:val="24"/>
        </w:rPr>
        <w:t>, změny pozic v rámci glob</w:t>
      </w:r>
      <w:r w:rsidRPr="00304E83">
        <w:rPr>
          <w:rFonts w:asciiTheme="minorHAnsi" w:hAnsiTheme="minorHAnsi" w:cstheme="minorHAnsi"/>
          <w:sz w:val="24"/>
          <w:szCs w:val="24"/>
        </w:rPr>
        <w:t>álních hodnotových řetězců.</w:t>
      </w:r>
    </w:p>
    <w:p w:rsidR="00330E3C" w:rsidRDefault="00330E3C" w:rsidP="00530623"/>
    <w:p w:rsidR="00530623" w:rsidRPr="00047389" w:rsidRDefault="00530623" w:rsidP="00047389">
      <w:pPr>
        <w:pStyle w:val="Nadpis4"/>
      </w:pPr>
      <w:bookmarkStart w:id="51" w:name="_Toc351464376"/>
      <w:r w:rsidRPr="00047389">
        <w:t>Specifický cíl 2.5 – Rozvoj a využití stávající infrastruktury pro vzdělávání a rozvoj lidských zdrojů v podnikatelském sektoru včetně technického vzdělávání</w:t>
      </w:r>
      <w:bookmarkEnd w:id="51"/>
    </w:p>
    <w:p w:rsidR="00527A16" w:rsidRDefault="00E512C6" w:rsidP="00E512C6">
      <w:pPr>
        <w:overflowPunct/>
        <w:jc w:val="both"/>
        <w:textAlignment w:val="auto"/>
        <w:rPr>
          <w:rFonts w:asciiTheme="minorHAnsi" w:hAnsiTheme="minorHAnsi" w:cstheme="minorHAnsi"/>
          <w:sz w:val="24"/>
          <w:szCs w:val="24"/>
        </w:rPr>
      </w:pPr>
      <w:r w:rsidRPr="00BA0D27">
        <w:rPr>
          <w:rFonts w:asciiTheme="minorHAnsi" w:hAnsiTheme="minorHAnsi" w:cstheme="minorHAnsi"/>
          <w:sz w:val="24"/>
          <w:szCs w:val="24"/>
        </w:rPr>
        <w:t>Cílem bude rozvoj a využití stávající infrastruktury pro vzdělávání a rozvoj lidských zdrojů v podnikatelském sektoru ve všech regionech ČR</w:t>
      </w:r>
      <w:r w:rsidR="00942840">
        <w:rPr>
          <w:rFonts w:asciiTheme="minorHAnsi" w:hAnsiTheme="minorHAnsi" w:cstheme="minorHAnsi"/>
          <w:sz w:val="24"/>
          <w:szCs w:val="24"/>
        </w:rPr>
        <w:t xml:space="preserve">, </w:t>
      </w:r>
      <w:r w:rsidR="00942840" w:rsidRPr="00942840">
        <w:rPr>
          <w:rFonts w:asciiTheme="minorHAnsi" w:hAnsiTheme="minorHAnsi" w:cstheme="minorHAnsi"/>
          <w:sz w:val="24"/>
          <w:szCs w:val="24"/>
        </w:rPr>
        <w:t>mimo území hl. m. Prahy</w:t>
      </w:r>
      <w:r w:rsidR="00942840">
        <w:rPr>
          <w:rFonts w:asciiTheme="minorHAnsi" w:hAnsiTheme="minorHAnsi" w:cstheme="minorHAnsi"/>
          <w:sz w:val="24"/>
          <w:szCs w:val="24"/>
        </w:rPr>
        <w:t>,</w:t>
      </w:r>
      <w:r w:rsidRPr="00BA0D27">
        <w:rPr>
          <w:rFonts w:asciiTheme="minorHAnsi" w:hAnsiTheme="minorHAnsi" w:cstheme="minorHAnsi"/>
          <w:sz w:val="24"/>
          <w:szCs w:val="24"/>
        </w:rPr>
        <w:t xml:space="preserve"> s důrazem na technické odborné vzdělávání.</w:t>
      </w:r>
    </w:p>
    <w:p w:rsidR="00330E3C" w:rsidRDefault="00330E3C" w:rsidP="00E512C6">
      <w:pPr>
        <w:overflowPunct/>
        <w:jc w:val="both"/>
        <w:textAlignment w:val="auto"/>
        <w:rPr>
          <w:rFonts w:ascii="Calibri" w:hAnsi="Calibri" w:cs="Calibri"/>
          <w:b/>
          <w:bCs/>
          <w:color w:val="FF0000"/>
          <w:sz w:val="24"/>
          <w:szCs w:val="24"/>
        </w:rPr>
      </w:pPr>
    </w:p>
    <w:p w:rsidR="00527A16" w:rsidRDefault="00527A16" w:rsidP="00527A16">
      <w:pPr>
        <w:pStyle w:val="Nadpis3"/>
      </w:pPr>
      <w:bookmarkStart w:id="52" w:name="_Toc351464377"/>
      <w:bookmarkStart w:id="53" w:name="_Toc352328368"/>
      <w:r w:rsidRPr="00FF25A4">
        <w:t>Popis typu a příkladů aktivit, které budou</w:t>
      </w:r>
      <w:r>
        <w:t xml:space="preserve"> podporovány v rámci </w:t>
      </w:r>
      <w:r w:rsidRPr="00FF25A4">
        <w:t>dané investiční priority (dle investičních priorit)</w:t>
      </w:r>
      <w:bookmarkEnd w:id="52"/>
      <w:bookmarkEnd w:id="53"/>
    </w:p>
    <w:p w:rsidR="00527A16" w:rsidRDefault="00527A16" w:rsidP="00527A16">
      <w:pPr>
        <w:jc w:val="both"/>
        <w:rPr>
          <w:rFonts w:asciiTheme="minorHAnsi" w:hAnsiTheme="minorHAnsi" w:cstheme="minorHAnsi"/>
          <w:b/>
          <w:sz w:val="24"/>
          <w:szCs w:val="24"/>
        </w:rPr>
      </w:pPr>
    </w:p>
    <w:p w:rsidR="00527A16" w:rsidRDefault="00527A16" w:rsidP="00527A16">
      <w:pPr>
        <w:jc w:val="both"/>
        <w:rPr>
          <w:rFonts w:asciiTheme="minorHAnsi" w:hAnsiTheme="minorHAnsi" w:cstheme="minorHAnsi"/>
          <w:b/>
          <w:bCs/>
          <w:sz w:val="24"/>
          <w:szCs w:val="24"/>
        </w:rPr>
      </w:pPr>
      <w:r w:rsidRPr="00D71D90">
        <w:rPr>
          <w:rFonts w:asciiTheme="minorHAnsi" w:hAnsiTheme="minorHAnsi" w:cstheme="minorHAnsi"/>
          <w:b/>
          <w:sz w:val="24"/>
          <w:szCs w:val="24"/>
        </w:rPr>
        <w:t xml:space="preserve">Investiční priorita: </w:t>
      </w:r>
      <w:r w:rsidR="00E512C6" w:rsidRPr="00E512C6">
        <w:rPr>
          <w:rFonts w:asciiTheme="minorHAnsi" w:hAnsiTheme="minorHAnsi" w:cstheme="minorHAnsi"/>
          <w:b/>
          <w:bCs/>
          <w:sz w:val="24"/>
          <w:szCs w:val="24"/>
        </w:rPr>
        <w:t>Podpora podnikání, zejména usnadněním hospodářského využívání nových myšlenek a podporou zakládání nových podniků, mimo jiné prostřednictvím podnikatelských inkub</w:t>
      </w:r>
      <w:r w:rsidR="00E512C6" w:rsidRPr="00DD04E7">
        <w:rPr>
          <w:rFonts w:asciiTheme="minorHAnsi" w:hAnsiTheme="minorHAnsi" w:cstheme="minorHAnsi"/>
          <w:b/>
          <w:bCs/>
          <w:sz w:val="24"/>
          <w:szCs w:val="24"/>
        </w:rPr>
        <w:t>átorů (nařízení o ERDF, článek 5, odst. (3) bod a)</w:t>
      </w:r>
    </w:p>
    <w:p w:rsidR="00330E3C" w:rsidRDefault="00330E3C" w:rsidP="00527A16">
      <w:pPr>
        <w:jc w:val="both"/>
        <w:rPr>
          <w:rFonts w:asciiTheme="minorHAnsi" w:hAnsiTheme="minorHAnsi" w:cstheme="minorHAnsi"/>
          <w:b/>
          <w:bCs/>
          <w:sz w:val="24"/>
          <w:szCs w:val="24"/>
        </w:rPr>
      </w:pPr>
    </w:p>
    <w:p w:rsidR="00527A16" w:rsidRPr="00047389" w:rsidRDefault="00527A16" w:rsidP="00047389">
      <w:pPr>
        <w:pStyle w:val="Nadpis4"/>
      </w:pPr>
      <w:bookmarkStart w:id="54" w:name="_Toc351464378"/>
      <w:r w:rsidRPr="00047389">
        <w:t xml:space="preserve">Specifický cíl </w:t>
      </w:r>
      <w:r w:rsidR="00E512C6" w:rsidRPr="00047389">
        <w:t>2.1 - Zvýšení počtu nových podnikatelských subjektů a nových podnikatelských záměrů</w:t>
      </w:r>
      <w:bookmarkEnd w:id="54"/>
    </w:p>
    <w:p w:rsidR="00527A16" w:rsidRDefault="00527A16" w:rsidP="00527A16">
      <w:pPr>
        <w:pStyle w:val="Nadpis5"/>
      </w:pPr>
      <w:r w:rsidRPr="00FF25A4">
        <w:t>Popis typů a příkladů financovaných aktivit a jejich očekávaný příspěvek ke specifickým cílům, včetně, pokud je to možné</w:t>
      </w:r>
    </w:p>
    <w:p w:rsidR="00527A16" w:rsidRPr="0036610F" w:rsidRDefault="00527A16" w:rsidP="00527A16">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E512C6" w:rsidRPr="00E512C6">
        <w:rPr>
          <w:rFonts w:asciiTheme="minorHAnsi" w:hAnsiTheme="minorHAnsi" w:cstheme="minorHAnsi"/>
          <w:sz w:val="24"/>
          <w:szCs w:val="24"/>
        </w:rPr>
        <w:t>Podporovány budou nové podnikatelské záměry začínajících a rozvojových MSP formou finančních nástrojů (dotace, záruky za bankovní úvěry a úvěry).</w:t>
      </w:r>
    </w:p>
    <w:p w:rsidR="00527A16" w:rsidRPr="0036610F" w:rsidRDefault="00527A16" w:rsidP="00527A16">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E512C6" w:rsidRPr="00724A93">
        <w:rPr>
          <w:rFonts w:asciiTheme="minorHAnsi" w:hAnsiTheme="minorHAnsi" w:cstheme="minorHAnsi"/>
          <w:bCs/>
          <w:sz w:val="24"/>
          <w:szCs w:val="24"/>
        </w:rPr>
        <w:t>Podnikatelské subjekty (malé a střední podniky).</w:t>
      </w:r>
    </w:p>
    <w:p w:rsidR="00527A16" w:rsidRPr="0036610F" w:rsidRDefault="00527A16" w:rsidP="00527A16">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Pr="0036610F">
        <w:rPr>
          <w:rFonts w:asciiTheme="minorHAnsi" w:hAnsiTheme="minorHAnsi" w:cstheme="minorHAnsi"/>
          <w:bCs/>
          <w:sz w:val="24"/>
          <w:szCs w:val="24"/>
        </w:rPr>
        <w:t>Území České republiky, mimo území hl. města Prahy.</w:t>
      </w:r>
    </w:p>
    <w:p w:rsidR="00527A16" w:rsidRPr="0036610F" w:rsidRDefault="00527A16" w:rsidP="00AE0AB9">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E512C6" w:rsidRPr="00E512C6">
        <w:rPr>
          <w:rFonts w:asciiTheme="minorHAnsi" w:hAnsiTheme="minorHAnsi" w:cstheme="minorHAnsi"/>
          <w:bCs/>
          <w:sz w:val="24"/>
          <w:szCs w:val="24"/>
        </w:rPr>
        <w:t>Podnikatelské subjekty (malé a střední podniky).</w:t>
      </w:r>
    </w:p>
    <w:p w:rsidR="00527A16" w:rsidRDefault="00527A16" w:rsidP="00527A16">
      <w:pPr>
        <w:pStyle w:val="Nadpis5"/>
      </w:pPr>
      <w:r w:rsidRPr="00D71D90">
        <w:lastRenderedPageBreak/>
        <w:t>Popis principů pro výběr operací</w:t>
      </w:r>
    </w:p>
    <w:p w:rsidR="00527A16" w:rsidRPr="0036610F" w:rsidRDefault="00527A16" w:rsidP="00527A16">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527A16" w:rsidRDefault="00527A16" w:rsidP="00527A16">
      <w:pPr>
        <w:pStyle w:val="Nadpis5"/>
      </w:pPr>
      <w:r w:rsidRPr="00D71D90">
        <w:t>Plánované využití finančních nástrojů</w:t>
      </w:r>
    </w:p>
    <w:p w:rsidR="00527A16" w:rsidRPr="00DD04E7" w:rsidRDefault="00527A16" w:rsidP="00527A16">
      <w:pPr>
        <w:spacing w:after="60" w:line="312" w:lineRule="auto"/>
        <w:jc w:val="both"/>
        <w:rPr>
          <w:rFonts w:asciiTheme="minorHAnsi" w:hAnsiTheme="minorHAnsi" w:cstheme="minorHAnsi"/>
          <w:bCs/>
          <w:color w:val="FF0000"/>
          <w:sz w:val="24"/>
          <w:szCs w:val="24"/>
        </w:rPr>
      </w:pPr>
      <w:r w:rsidRPr="009C7BE0">
        <w:rPr>
          <w:rFonts w:asciiTheme="minorHAnsi" w:hAnsiTheme="minorHAnsi" w:cstheme="minorHAnsi"/>
          <w:bCs/>
          <w:color w:val="FF0000"/>
          <w:sz w:val="24"/>
          <w:szCs w:val="24"/>
        </w:rPr>
        <w:t>Využití a případný výběr nejvhodnějších forem finančních nástrojů a jejich specifické zaměření bude ponechán na ex-ante analý</w:t>
      </w:r>
      <w:r w:rsidRPr="00DD04E7">
        <w:rPr>
          <w:rFonts w:asciiTheme="minorHAnsi" w:hAnsiTheme="minorHAnsi" w:cstheme="minorHAnsi"/>
          <w:bCs/>
          <w:color w:val="FF0000"/>
          <w:sz w:val="24"/>
          <w:szCs w:val="24"/>
        </w:rPr>
        <w:t>ze finančních nástrojů OP PIK dle čl. 32 návrhu obecného nařízení.</w:t>
      </w:r>
    </w:p>
    <w:p w:rsidR="00527A16" w:rsidRPr="00DD04E7" w:rsidRDefault="00527A16" w:rsidP="00527A16">
      <w:pPr>
        <w:pStyle w:val="Nadpis5"/>
      </w:pPr>
      <w:r w:rsidRPr="00DD04E7">
        <w:t>Specifikace velkých projektů</w:t>
      </w:r>
    </w:p>
    <w:p w:rsidR="00527A16" w:rsidRPr="00DD04E7" w:rsidRDefault="00E21928" w:rsidP="00527A16">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527A16" w:rsidRPr="00DD04E7">
        <w:rPr>
          <w:rFonts w:asciiTheme="minorHAnsi" w:hAnsiTheme="minorHAnsi" w:cstheme="minorHAnsi"/>
          <w:color w:val="FF0000"/>
          <w:sz w:val="24"/>
          <w:szCs w:val="24"/>
        </w:rPr>
        <w:t xml:space="preserve">  </w:t>
      </w:r>
    </w:p>
    <w:p w:rsidR="00527A16" w:rsidRPr="00DD04E7" w:rsidRDefault="00527A16" w:rsidP="00527A16">
      <w:pPr>
        <w:pStyle w:val="Nadpis5"/>
      </w:pPr>
      <w:r w:rsidRPr="00DD04E7">
        <w:t>Společné a specifické indikátory</w:t>
      </w:r>
    </w:p>
    <w:p w:rsidR="00527A16" w:rsidRPr="00DD04E7" w:rsidRDefault="00527A16" w:rsidP="00527A16"/>
    <w:p w:rsidR="00527A16" w:rsidRPr="009A0366" w:rsidRDefault="00527A16" w:rsidP="00527A16">
      <w:pPr>
        <w:pStyle w:val="TextNOK"/>
        <w:spacing w:before="60" w:line="240" w:lineRule="auto"/>
        <w:rPr>
          <w:rFonts w:ascii="Times New Roman" w:hAnsi="Times New Roman"/>
          <w:b/>
          <w:sz w:val="24"/>
          <w:szCs w:val="24"/>
        </w:rPr>
      </w:pPr>
      <w:r w:rsidRPr="00DD04E7">
        <w:rPr>
          <w:rFonts w:ascii="Times New Roman" w:hAnsi="Times New Roman"/>
          <w:b/>
          <w:sz w:val="24"/>
          <w:szCs w:val="24"/>
        </w:rPr>
        <w:t xml:space="preserve">Tabulka </w:t>
      </w:r>
      <w:r w:rsidR="00530623" w:rsidRPr="00DD04E7">
        <w:rPr>
          <w:rFonts w:ascii="Times New Roman" w:hAnsi="Times New Roman"/>
          <w:b/>
          <w:sz w:val="24"/>
          <w:szCs w:val="24"/>
        </w:rPr>
        <w:t>xx</w:t>
      </w:r>
      <w:r w:rsidRPr="00DD04E7">
        <w:rPr>
          <w:rFonts w:ascii="Times New Roman" w:hAnsi="Times New Roman"/>
          <w:b/>
          <w:sz w:val="24"/>
          <w:szCs w:val="24"/>
        </w:rPr>
        <w:t>: Seznam všech indikátorů programu</w:t>
      </w:r>
      <w:r w:rsidRPr="009A0366">
        <w:rPr>
          <w:rFonts w:ascii="Times New Roman" w:hAnsi="Times New Roman"/>
          <w:b/>
          <w:sz w:val="24"/>
          <w:szCs w:val="24"/>
        </w:rPr>
        <w:t xml:space="preserve"> </w:t>
      </w:r>
    </w:p>
    <w:tbl>
      <w:tblPr>
        <w:tblW w:w="10598"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851"/>
        <w:gridCol w:w="992"/>
        <w:gridCol w:w="1134"/>
        <w:gridCol w:w="850"/>
        <w:gridCol w:w="1134"/>
        <w:gridCol w:w="851"/>
        <w:gridCol w:w="992"/>
      </w:tblGrid>
      <w:tr w:rsidR="00527A16" w:rsidRPr="009A0366" w:rsidTr="00641EA3">
        <w:tc>
          <w:tcPr>
            <w:tcW w:w="1101" w:type="dxa"/>
            <w:vMerge w:val="restart"/>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Specifický cíl </w:t>
            </w:r>
          </w:p>
        </w:tc>
        <w:tc>
          <w:tcPr>
            <w:tcW w:w="1134" w:type="dxa"/>
            <w:vMerge w:val="restart"/>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3686" w:type="dxa"/>
            <w:gridSpan w:val="4"/>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850" w:type="dxa"/>
            <w:vMerge w:val="restart"/>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992" w:type="dxa"/>
            <w:vMerge w:val="restart"/>
            <w:shd w:val="clear" w:color="auto" w:fill="auto"/>
          </w:tcPr>
          <w:p w:rsidR="00527A16" w:rsidRPr="009A0366" w:rsidRDefault="00527A16" w:rsidP="00530623">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527A16" w:rsidRPr="009A0366" w:rsidTr="00641EA3">
        <w:tc>
          <w:tcPr>
            <w:tcW w:w="1101" w:type="dxa"/>
            <w:vMerge/>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850" w:type="dxa"/>
            <w:vMerge/>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1134" w:type="dxa"/>
            <w:vMerge/>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709" w:type="dxa"/>
            <w:shd w:val="clear" w:color="auto" w:fill="auto"/>
          </w:tcPr>
          <w:p w:rsidR="00527A16" w:rsidRPr="009A0366" w:rsidRDefault="00527A16" w:rsidP="00530623">
            <w:pPr>
              <w:pStyle w:val="TextMetodika"/>
              <w:jc w:val="center"/>
              <w:rPr>
                <w:rFonts w:ascii="Times New Roman" w:hAnsi="Times New Roman"/>
                <w:b/>
                <w:bCs/>
                <w:sz w:val="22"/>
                <w:szCs w:val="22"/>
              </w:rPr>
            </w:pPr>
            <w:r w:rsidRPr="009A0366">
              <w:rPr>
                <w:rFonts w:ascii="Times New Roman" w:hAnsi="Times New Roman"/>
                <w:b/>
                <w:bCs/>
                <w:sz w:val="22"/>
                <w:szCs w:val="22"/>
              </w:rPr>
              <w:t>Kód NČI 2014+</w:t>
            </w:r>
          </w:p>
        </w:tc>
        <w:tc>
          <w:tcPr>
            <w:tcW w:w="851" w:type="dxa"/>
            <w:shd w:val="clear" w:color="auto" w:fill="auto"/>
          </w:tcPr>
          <w:p w:rsidR="00527A16" w:rsidRPr="009A0366" w:rsidRDefault="00527A16" w:rsidP="00530623">
            <w:pPr>
              <w:pStyle w:val="TextMetodika"/>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527A16" w:rsidRPr="009A0366" w:rsidRDefault="00527A16" w:rsidP="00530623">
            <w:pPr>
              <w:pStyle w:val="TextMetodika"/>
              <w:jc w:val="center"/>
              <w:rPr>
                <w:rFonts w:ascii="Times New Roman" w:hAnsi="Times New Roman"/>
                <w:b/>
                <w:bCs/>
                <w:sz w:val="22"/>
                <w:szCs w:val="22"/>
              </w:rPr>
            </w:pPr>
            <w:r w:rsidRPr="009A0366">
              <w:rPr>
                <w:rFonts w:ascii="Times New Roman" w:hAnsi="Times New Roman"/>
                <w:b/>
                <w:bCs/>
                <w:sz w:val="22"/>
                <w:szCs w:val="22"/>
              </w:rPr>
              <w:t>Měrná jednotka</w:t>
            </w:r>
          </w:p>
        </w:tc>
        <w:tc>
          <w:tcPr>
            <w:tcW w:w="1134" w:type="dxa"/>
            <w:shd w:val="clear" w:color="auto" w:fill="auto"/>
          </w:tcPr>
          <w:p w:rsidR="00527A16" w:rsidRPr="009A0366" w:rsidRDefault="00527A16" w:rsidP="00530623">
            <w:pPr>
              <w:pStyle w:val="TextMetodika"/>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850" w:type="dxa"/>
            <w:vMerge/>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1134" w:type="dxa"/>
            <w:vMerge/>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851" w:type="dxa"/>
            <w:vMerge/>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992" w:type="dxa"/>
            <w:vMerge/>
            <w:shd w:val="clear" w:color="auto" w:fill="auto"/>
          </w:tcPr>
          <w:p w:rsidR="00527A16" w:rsidRPr="009A0366" w:rsidRDefault="00527A16" w:rsidP="00530623">
            <w:pPr>
              <w:pStyle w:val="TextMetodika"/>
              <w:jc w:val="center"/>
              <w:rPr>
                <w:rFonts w:ascii="Times New Roman" w:hAnsi="Times New Roman"/>
                <w:b/>
                <w:bCs/>
                <w:sz w:val="22"/>
                <w:szCs w:val="22"/>
              </w:rPr>
            </w:pPr>
          </w:p>
        </w:tc>
      </w:tr>
      <w:tr w:rsidR="00527A16" w:rsidRPr="009A0366" w:rsidTr="00641EA3">
        <w:tc>
          <w:tcPr>
            <w:tcW w:w="1101"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850"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1134"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709"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851"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992"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1134"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850"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1134"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851" w:type="dxa"/>
            <w:shd w:val="clear" w:color="auto" w:fill="auto"/>
          </w:tcPr>
          <w:p w:rsidR="00527A16" w:rsidRPr="009A0366" w:rsidRDefault="00527A16" w:rsidP="00530623">
            <w:pPr>
              <w:pStyle w:val="TextMetodika"/>
              <w:jc w:val="center"/>
              <w:rPr>
                <w:rFonts w:ascii="Times New Roman" w:hAnsi="Times New Roman"/>
                <w:b/>
                <w:bCs/>
                <w:sz w:val="22"/>
                <w:szCs w:val="22"/>
              </w:rPr>
            </w:pPr>
          </w:p>
        </w:tc>
        <w:tc>
          <w:tcPr>
            <w:tcW w:w="992" w:type="dxa"/>
            <w:shd w:val="clear" w:color="auto" w:fill="auto"/>
          </w:tcPr>
          <w:p w:rsidR="00527A16" w:rsidRPr="009A0366" w:rsidRDefault="00527A16" w:rsidP="00530623">
            <w:pPr>
              <w:pStyle w:val="TextMetodika"/>
              <w:jc w:val="center"/>
              <w:rPr>
                <w:rFonts w:ascii="Times New Roman" w:hAnsi="Times New Roman"/>
                <w:b/>
                <w:bCs/>
                <w:sz w:val="22"/>
                <w:szCs w:val="22"/>
              </w:rPr>
            </w:pPr>
          </w:p>
        </w:tc>
      </w:tr>
    </w:tbl>
    <w:p w:rsidR="00527A16" w:rsidRDefault="00527A16" w:rsidP="00527A16">
      <w:pPr>
        <w:overflowPunct/>
        <w:textAlignment w:val="auto"/>
        <w:rPr>
          <w:sz w:val="24"/>
          <w:szCs w:val="24"/>
        </w:rPr>
      </w:pPr>
    </w:p>
    <w:p w:rsidR="00527A16" w:rsidRPr="00047389" w:rsidRDefault="00527A16" w:rsidP="00047389">
      <w:pPr>
        <w:pStyle w:val="Nadpis4"/>
      </w:pPr>
      <w:bookmarkStart w:id="55" w:name="_Toc351464379"/>
      <w:r w:rsidRPr="00047389">
        <w:t xml:space="preserve">Specifický cíl </w:t>
      </w:r>
      <w:r w:rsidR="00E512C6" w:rsidRPr="00047389">
        <w:t>2.2 - Zajištění kvalitní podnikatelské infrastruktury</w:t>
      </w:r>
      <w:bookmarkEnd w:id="55"/>
    </w:p>
    <w:p w:rsidR="00527A16" w:rsidRDefault="00527A16" w:rsidP="00527A16">
      <w:pPr>
        <w:pStyle w:val="Nadpis5"/>
      </w:pPr>
      <w:r w:rsidRPr="00FF25A4">
        <w:t>Popis typů a příkladů financovaných aktivit a jejich očekávaný příspěvek ke specifickým cílům, včetně, pokud je to možné</w:t>
      </w:r>
    </w:p>
    <w:p w:rsidR="00527A16" w:rsidRPr="0036610F" w:rsidRDefault="00527A16" w:rsidP="00527A16">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E512C6" w:rsidRPr="00E512C6">
        <w:rPr>
          <w:rFonts w:asciiTheme="minorHAnsi" w:hAnsiTheme="minorHAnsi" w:cstheme="minorHAnsi"/>
          <w:sz w:val="24"/>
          <w:szCs w:val="24"/>
        </w:rPr>
        <w:t>Podporovány budou nové podnikatelské záměry začínajících a rozvojových MSP formou finančních nástrojů (dotace, záruky za bankovní úvěry a úvěry, případně dotace).</w:t>
      </w:r>
    </w:p>
    <w:p w:rsidR="00527A16" w:rsidRPr="00724A93" w:rsidRDefault="00527A16" w:rsidP="00527A16">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E512C6" w:rsidRPr="00E512C6">
        <w:rPr>
          <w:rFonts w:asciiTheme="minorHAnsi" w:hAnsiTheme="minorHAnsi" w:cstheme="minorHAnsi"/>
          <w:bCs/>
          <w:sz w:val="24"/>
          <w:szCs w:val="24"/>
        </w:rPr>
        <w:t>Podnikatelské subjekty (malé a střední podniky).</w:t>
      </w:r>
    </w:p>
    <w:p w:rsidR="00527A16" w:rsidRPr="0036610F" w:rsidRDefault="00527A16" w:rsidP="00527A16">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Pr="00724A93">
        <w:rPr>
          <w:rFonts w:asciiTheme="minorHAnsi" w:hAnsiTheme="minorHAnsi" w:cstheme="minorHAnsi"/>
          <w:bCs/>
          <w:sz w:val="24"/>
          <w:szCs w:val="24"/>
        </w:rPr>
        <w:t>Území České republiky, mimo území hl. m. Prahy.</w:t>
      </w:r>
    </w:p>
    <w:p w:rsidR="00527A16" w:rsidRPr="0036610F" w:rsidRDefault="00527A16" w:rsidP="00527A16">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lastRenderedPageBreak/>
        <w:t xml:space="preserve">Typy příjemců: </w:t>
      </w:r>
      <w:r w:rsidR="00E512C6" w:rsidRPr="00E512C6">
        <w:rPr>
          <w:rFonts w:asciiTheme="minorHAnsi" w:hAnsiTheme="minorHAnsi" w:cstheme="minorHAnsi"/>
          <w:bCs/>
          <w:sz w:val="24"/>
          <w:szCs w:val="24"/>
        </w:rPr>
        <w:t>Podnikatelské subjekty (malé a střední podniky).</w:t>
      </w:r>
    </w:p>
    <w:p w:rsidR="00527A16" w:rsidRDefault="00527A16" w:rsidP="00527A16">
      <w:pPr>
        <w:pStyle w:val="Nadpis5"/>
      </w:pPr>
      <w:r w:rsidRPr="00D71D90">
        <w:t>Popis principů pro výběr operací</w:t>
      </w:r>
    </w:p>
    <w:p w:rsidR="00527A16" w:rsidRPr="0036610F" w:rsidRDefault="00527A16" w:rsidP="00527A16">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527A16" w:rsidRDefault="00527A16" w:rsidP="00527A16">
      <w:pPr>
        <w:pStyle w:val="Nadpis5"/>
      </w:pPr>
      <w:r w:rsidRPr="00D71D90">
        <w:t>Plánované využití finančních nástrojů</w:t>
      </w:r>
    </w:p>
    <w:p w:rsidR="00527A16" w:rsidRPr="00DD04E7" w:rsidRDefault="00527A16" w:rsidP="00527A16">
      <w:pPr>
        <w:spacing w:after="60" w:line="312" w:lineRule="auto"/>
        <w:jc w:val="both"/>
        <w:rPr>
          <w:rFonts w:asciiTheme="minorHAnsi" w:hAnsiTheme="minorHAnsi" w:cstheme="minorHAnsi"/>
          <w:bCs/>
          <w:color w:val="FF0000"/>
          <w:sz w:val="24"/>
          <w:szCs w:val="24"/>
        </w:rPr>
      </w:pPr>
      <w:r w:rsidRPr="009C7BE0">
        <w:rPr>
          <w:rFonts w:asciiTheme="minorHAnsi" w:hAnsiTheme="minorHAnsi" w:cstheme="minorHAnsi"/>
          <w:bCs/>
          <w:color w:val="FF0000"/>
          <w:sz w:val="24"/>
          <w:szCs w:val="24"/>
        </w:rPr>
        <w:t>Využití a případný výběr nejvhodnějších forem finančních nástrojů a jejich specifické zaměření bude ponechán na ex</w:t>
      </w:r>
      <w:r w:rsidRPr="00DD04E7">
        <w:rPr>
          <w:rFonts w:asciiTheme="minorHAnsi" w:hAnsiTheme="minorHAnsi" w:cstheme="minorHAnsi"/>
          <w:bCs/>
          <w:color w:val="FF0000"/>
          <w:sz w:val="24"/>
          <w:szCs w:val="24"/>
        </w:rPr>
        <w:t>-ante analýze finančních nástrojů OP PIK dle čl. 32 návrhu obecného nařízení.</w:t>
      </w:r>
    </w:p>
    <w:p w:rsidR="00527A16" w:rsidRPr="00DD04E7" w:rsidRDefault="00527A16" w:rsidP="00527A16">
      <w:pPr>
        <w:pStyle w:val="Nadpis5"/>
      </w:pPr>
      <w:r w:rsidRPr="00DD04E7">
        <w:t>Specifikace velkých projektů</w:t>
      </w:r>
    </w:p>
    <w:p w:rsidR="00527A16" w:rsidRPr="00DD04E7" w:rsidRDefault="00E21928" w:rsidP="00527A16">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527A16" w:rsidRPr="00DD04E7">
        <w:rPr>
          <w:rFonts w:asciiTheme="minorHAnsi" w:hAnsiTheme="minorHAnsi" w:cstheme="minorHAnsi"/>
          <w:color w:val="FF0000"/>
          <w:sz w:val="24"/>
          <w:szCs w:val="24"/>
        </w:rPr>
        <w:t xml:space="preserve">  </w:t>
      </w:r>
    </w:p>
    <w:p w:rsidR="00527A16" w:rsidRPr="00DD04E7" w:rsidRDefault="00527A16" w:rsidP="00527A16">
      <w:pPr>
        <w:pStyle w:val="Nadpis5"/>
      </w:pPr>
      <w:r w:rsidRPr="00DD04E7">
        <w:t>Společné a specifické indikátory</w:t>
      </w:r>
    </w:p>
    <w:p w:rsidR="00527A16" w:rsidRDefault="00527A16" w:rsidP="00527A16">
      <w:pPr>
        <w:overflowPunct/>
        <w:textAlignment w:val="auto"/>
        <w:rPr>
          <w:sz w:val="24"/>
          <w:szCs w:val="24"/>
        </w:rPr>
      </w:pPr>
    </w:p>
    <w:p w:rsidR="00E512C6" w:rsidRDefault="00E512C6" w:rsidP="00E512C6">
      <w:pPr>
        <w:jc w:val="both"/>
        <w:rPr>
          <w:rFonts w:asciiTheme="minorHAnsi" w:hAnsiTheme="minorHAnsi" w:cstheme="minorHAnsi"/>
          <w:b/>
          <w:bCs/>
          <w:sz w:val="24"/>
          <w:szCs w:val="24"/>
        </w:rPr>
      </w:pPr>
      <w:r w:rsidRPr="00D71D90">
        <w:rPr>
          <w:rFonts w:asciiTheme="minorHAnsi" w:hAnsiTheme="minorHAnsi" w:cstheme="minorHAnsi"/>
          <w:b/>
          <w:sz w:val="24"/>
          <w:szCs w:val="24"/>
        </w:rPr>
        <w:t xml:space="preserve">Investiční priorita: </w:t>
      </w:r>
      <w:r w:rsidRPr="00E512C6">
        <w:rPr>
          <w:rFonts w:asciiTheme="minorHAnsi" w:hAnsiTheme="minorHAnsi" w:cstheme="minorHAnsi"/>
          <w:b/>
          <w:bCs/>
          <w:sz w:val="24"/>
          <w:szCs w:val="24"/>
        </w:rPr>
        <w:t>Vyvíjení a zavádění nových obchodních modelů pro MSP, zejména pro oblast mezinárodního obchodu (nařízení o ERDF, článek 5, odst. (3) bod b)</w:t>
      </w:r>
    </w:p>
    <w:p w:rsidR="00E512C6" w:rsidRDefault="00E512C6" w:rsidP="00527A16">
      <w:pPr>
        <w:overflowPunct/>
        <w:textAlignment w:val="auto"/>
        <w:rPr>
          <w:sz w:val="24"/>
          <w:szCs w:val="24"/>
        </w:rPr>
      </w:pPr>
    </w:p>
    <w:p w:rsidR="00527A16" w:rsidRPr="00047389" w:rsidRDefault="00527A16" w:rsidP="00047389">
      <w:pPr>
        <w:pStyle w:val="Nadpis4"/>
      </w:pPr>
      <w:bookmarkStart w:id="56" w:name="_Toc351464380"/>
      <w:r w:rsidRPr="00047389">
        <w:t xml:space="preserve">Specifický cíl </w:t>
      </w:r>
      <w:r w:rsidR="00B97C39" w:rsidRPr="00047389">
        <w:t>2.3 - Rozšíření kvalitních služeb pro malé a střední podniky podporujících jejich mezinárodní konkurenceschopnost, zejména jejich marketingovou připravenost a zapojení do globálních produkčních a partnerských sítí</w:t>
      </w:r>
      <w:bookmarkEnd w:id="56"/>
    </w:p>
    <w:p w:rsidR="00527A16" w:rsidRDefault="00527A16" w:rsidP="00527A16">
      <w:pPr>
        <w:pStyle w:val="Nadpis5"/>
      </w:pPr>
      <w:r w:rsidRPr="00FF25A4">
        <w:t>Popis typů a příkladů financovaných aktivit a jejich očekávaný příspěvek ke specifickým cílům, včetně, pokud je to možné</w:t>
      </w:r>
    </w:p>
    <w:p w:rsidR="00527A16" w:rsidRPr="0036610F" w:rsidRDefault="00527A16" w:rsidP="00527A16">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Podporované aktivity:</w:t>
      </w:r>
      <w:r w:rsidR="00B97C39">
        <w:rPr>
          <w:rFonts w:asciiTheme="minorHAnsi" w:hAnsiTheme="minorHAnsi" w:cstheme="minorHAnsi"/>
          <w:b/>
          <w:sz w:val="24"/>
          <w:szCs w:val="24"/>
        </w:rPr>
        <w:t xml:space="preserve"> </w:t>
      </w:r>
      <w:r w:rsidR="00B97C39">
        <w:rPr>
          <w:rFonts w:asciiTheme="minorHAnsi" w:hAnsiTheme="minorHAnsi" w:cstheme="minorHAnsi"/>
          <w:sz w:val="24"/>
          <w:szCs w:val="24"/>
        </w:rPr>
        <w:t>Budou podporovány s</w:t>
      </w:r>
      <w:r w:rsidR="00B97C39" w:rsidRPr="00DA1FE5">
        <w:rPr>
          <w:rFonts w:asciiTheme="minorHAnsi" w:hAnsiTheme="minorHAnsi" w:cstheme="minorHAnsi"/>
          <w:sz w:val="24"/>
          <w:szCs w:val="24"/>
        </w:rPr>
        <w:t>lužby pro MSP zaměřené na mezinárodní konkurenceschopnost usnadňující vstup na zahraniční trhy, poradenské služby expertů se znalostí mezinárodního prostředí (teritoriální znalost), organizace seminářů/akcí v rámci veletrhů a výstav se zaměřením na konkrétní problematiku týkající se mezinárodní konkurenceschopnosti (např. právní aspekty daného teritoria aj.).</w:t>
      </w:r>
    </w:p>
    <w:p w:rsidR="00527A16" w:rsidRPr="0036610F" w:rsidRDefault="00527A16" w:rsidP="00527A16">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B97C39" w:rsidRPr="00E512C6">
        <w:rPr>
          <w:rFonts w:asciiTheme="minorHAnsi" w:hAnsiTheme="minorHAnsi" w:cstheme="minorHAnsi"/>
          <w:bCs/>
          <w:sz w:val="24"/>
          <w:szCs w:val="24"/>
        </w:rPr>
        <w:t>Podnikatelské subjekty (malé a střední podniky).</w:t>
      </w:r>
    </w:p>
    <w:p w:rsidR="00527A16" w:rsidRPr="0036610F" w:rsidRDefault="00527A16" w:rsidP="00527A16">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Pr="00724A93">
        <w:rPr>
          <w:rFonts w:asciiTheme="minorHAnsi" w:hAnsiTheme="minorHAnsi" w:cstheme="minorHAnsi"/>
          <w:bCs/>
          <w:sz w:val="24"/>
          <w:szCs w:val="24"/>
        </w:rPr>
        <w:t>Území České republiky, mimo území hl. m. Prahy</w:t>
      </w:r>
      <w:r>
        <w:rPr>
          <w:rFonts w:asciiTheme="minorHAnsi" w:hAnsiTheme="minorHAnsi" w:cstheme="minorHAnsi"/>
          <w:bCs/>
          <w:sz w:val="24"/>
          <w:szCs w:val="24"/>
        </w:rPr>
        <w:t>.</w:t>
      </w:r>
    </w:p>
    <w:p w:rsidR="00527A16" w:rsidRPr="0036610F" w:rsidRDefault="00527A16" w:rsidP="00AE0AB9">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B97C39" w:rsidRPr="00E512C6">
        <w:rPr>
          <w:rFonts w:asciiTheme="minorHAnsi" w:hAnsiTheme="minorHAnsi" w:cstheme="minorHAnsi"/>
          <w:bCs/>
          <w:sz w:val="24"/>
          <w:szCs w:val="24"/>
        </w:rPr>
        <w:t>Podnikatelské subjekty (malé a střední podniky).</w:t>
      </w:r>
    </w:p>
    <w:p w:rsidR="00527A16" w:rsidRDefault="00527A16" w:rsidP="00527A16">
      <w:pPr>
        <w:pStyle w:val="Nadpis5"/>
      </w:pPr>
      <w:r w:rsidRPr="00D71D90">
        <w:lastRenderedPageBreak/>
        <w:t>Popis principů pro výběr operací</w:t>
      </w:r>
    </w:p>
    <w:p w:rsidR="00527A16" w:rsidRPr="0036610F" w:rsidRDefault="00527A16" w:rsidP="00527A16">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527A16" w:rsidRDefault="00527A16" w:rsidP="00527A16">
      <w:pPr>
        <w:pStyle w:val="Nadpis5"/>
      </w:pPr>
      <w:r w:rsidRPr="00D71D90">
        <w:lastRenderedPageBreak/>
        <w:t>Plánované využití finančních nástrojů</w:t>
      </w:r>
    </w:p>
    <w:p w:rsidR="00527A16" w:rsidRPr="00DD04E7" w:rsidRDefault="00527A16" w:rsidP="00527A16">
      <w:pPr>
        <w:spacing w:after="60" w:line="312" w:lineRule="auto"/>
        <w:jc w:val="both"/>
        <w:rPr>
          <w:rFonts w:asciiTheme="minorHAnsi" w:hAnsiTheme="minorHAnsi" w:cstheme="minorHAnsi"/>
          <w:bCs/>
          <w:color w:val="FF0000"/>
          <w:sz w:val="24"/>
          <w:szCs w:val="24"/>
        </w:rPr>
      </w:pPr>
      <w:r w:rsidRPr="00E21928">
        <w:rPr>
          <w:rFonts w:asciiTheme="minorHAnsi" w:hAnsiTheme="minorHAnsi" w:cstheme="minorHAnsi"/>
          <w:bCs/>
          <w:color w:val="FF0000"/>
          <w:sz w:val="24"/>
          <w:szCs w:val="24"/>
        </w:rPr>
        <w:t>Využití a případný výběr nejvhodnějších forem finančních nástrojů a jejich specifické zaměření bude ponechán na ex</w:t>
      </w:r>
      <w:r w:rsidRPr="00DD04E7">
        <w:rPr>
          <w:rFonts w:asciiTheme="minorHAnsi" w:hAnsiTheme="minorHAnsi" w:cstheme="minorHAnsi"/>
          <w:bCs/>
          <w:color w:val="FF0000"/>
          <w:sz w:val="24"/>
          <w:szCs w:val="24"/>
        </w:rPr>
        <w:t>-ante analýze finančních nástrojů OP PIK dle čl. 32 návrhu obecného nařízení.</w:t>
      </w:r>
    </w:p>
    <w:p w:rsidR="00527A16" w:rsidRPr="00DD04E7" w:rsidRDefault="00527A16" w:rsidP="00527A16">
      <w:pPr>
        <w:pStyle w:val="Nadpis5"/>
      </w:pPr>
      <w:r w:rsidRPr="00DD04E7">
        <w:t>Specifikace velkých projektů</w:t>
      </w:r>
    </w:p>
    <w:p w:rsidR="00527A16" w:rsidRPr="00DD04E7" w:rsidRDefault="00E21928" w:rsidP="00527A16">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527A16" w:rsidRPr="00DD04E7">
        <w:rPr>
          <w:rFonts w:asciiTheme="minorHAnsi" w:hAnsiTheme="minorHAnsi" w:cstheme="minorHAnsi"/>
          <w:color w:val="FF0000"/>
          <w:sz w:val="24"/>
          <w:szCs w:val="24"/>
        </w:rPr>
        <w:t xml:space="preserve">  </w:t>
      </w:r>
    </w:p>
    <w:p w:rsidR="00527A16" w:rsidRPr="00DD04E7" w:rsidRDefault="00527A16" w:rsidP="00527A16">
      <w:pPr>
        <w:pStyle w:val="Nadpis5"/>
      </w:pPr>
      <w:r w:rsidRPr="00DD04E7">
        <w:t>Společné a specifické indikátory</w:t>
      </w:r>
    </w:p>
    <w:p w:rsidR="00527A16" w:rsidRDefault="00527A16" w:rsidP="00527A16">
      <w:pPr>
        <w:overflowPunct/>
        <w:textAlignment w:val="auto"/>
        <w:rPr>
          <w:sz w:val="24"/>
          <w:szCs w:val="24"/>
        </w:rPr>
      </w:pPr>
    </w:p>
    <w:p w:rsidR="00527A16" w:rsidRPr="00047389" w:rsidRDefault="00527A16" w:rsidP="00047389">
      <w:pPr>
        <w:pStyle w:val="Nadpis4"/>
      </w:pPr>
      <w:bookmarkStart w:id="57" w:name="_Toc351464381"/>
      <w:r w:rsidRPr="00047389">
        <w:t xml:space="preserve">Specifický cíl </w:t>
      </w:r>
      <w:r w:rsidR="00B97C39" w:rsidRPr="00047389">
        <w:t>2.4 – Větší uplatnění specializovaných poradenských služeb pro podnikatelské subjekty</w:t>
      </w:r>
      <w:bookmarkEnd w:id="57"/>
    </w:p>
    <w:p w:rsidR="00527A16" w:rsidRDefault="00527A16" w:rsidP="00527A16">
      <w:pPr>
        <w:pStyle w:val="Nadpis5"/>
      </w:pPr>
      <w:r w:rsidRPr="00FF25A4">
        <w:t>Popis typů a příkladů financovaných aktivit a jejich očekávaný příspěvek ke specifickým cílům, včetně, pokud je to možné</w:t>
      </w:r>
    </w:p>
    <w:p w:rsidR="00527A16" w:rsidRPr="0036610F" w:rsidRDefault="00527A16" w:rsidP="00527A16">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B97C39" w:rsidRPr="00304E83">
        <w:rPr>
          <w:rFonts w:asciiTheme="minorHAnsi" w:hAnsiTheme="minorHAnsi" w:cstheme="minorHAnsi"/>
          <w:sz w:val="24"/>
          <w:szCs w:val="24"/>
        </w:rPr>
        <w:t>P</w:t>
      </w:r>
      <w:r w:rsidR="00B97C39">
        <w:rPr>
          <w:rFonts w:asciiTheme="minorHAnsi" w:hAnsiTheme="minorHAnsi" w:cstheme="minorHAnsi"/>
          <w:sz w:val="24"/>
          <w:szCs w:val="24"/>
        </w:rPr>
        <w:t>odporovány budou p</w:t>
      </w:r>
      <w:r w:rsidR="00B97C39" w:rsidRPr="00304E83">
        <w:rPr>
          <w:rFonts w:asciiTheme="minorHAnsi" w:hAnsiTheme="minorHAnsi" w:cstheme="minorHAnsi"/>
          <w:sz w:val="24"/>
          <w:szCs w:val="24"/>
        </w:rPr>
        <w:t>oradenské služby pro získá</w:t>
      </w:r>
      <w:r w:rsidR="00B97C39">
        <w:rPr>
          <w:rFonts w:asciiTheme="minorHAnsi" w:hAnsiTheme="minorHAnsi" w:cstheme="minorHAnsi"/>
          <w:sz w:val="24"/>
          <w:szCs w:val="24"/>
        </w:rPr>
        <w:t>vání</w:t>
      </w:r>
      <w:r w:rsidR="00B97C39" w:rsidRPr="00304E83">
        <w:rPr>
          <w:rFonts w:asciiTheme="minorHAnsi" w:hAnsiTheme="minorHAnsi" w:cstheme="minorHAnsi"/>
          <w:sz w:val="24"/>
          <w:szCs w:val="24"/>
        </w:rPr>
        <w:t xml:space="preserve"> strategických informací o situaci a příležitostech na trhu (technologický foresight)</w:t>
      </w:r>
      <w:r w:rsidR="00B97C39">
        <w:rPr>
          <w:rFonts w:asciiTheme="minorHAnsi" w:hAnsiTheme="minorHAnsi" w:cstheme="minorHAnsi"/>
          <w:sz w:val="24"/>
          <w:szCs w:val="24"/>
        </w:rPr>
        <w:t xml:space="preserve"> a dále budou podporovány s</w:t>
      </w:r>
      <w:r w:rsidR="00B97C39" w:rsidRPr="00304E83">
        <w:rPr>
          <w:rFonts w:asciiTheme="minorHAnsi" w:hAnsiTheme="minorHAnsi" w:cstheme="minorHAnsi"/>
          <w:sz w:val="24"/>
          <w:szCs w:val="24"/>
        </w:rPr>
        <w:t xml:space="preserve">pecializované poradenské služby založené na znalostech (mentoring, koučing, </w:t>
      </w:r>
      <w:r w:rsidR="00B97C39">
        <w:rPr>
          <w:rFonts w:asciiTheme="minorHAnsi" w:hAnsiTheme="minorHAnsi" w:cstheme="minorHAnsi"/>
          <w:sz w:val="24"/>
          <w:szCs w:val="24"/>
        </w:rPr>
        <w:t>technologický scouting</w:t>
      </w:r>
      <w:r w:rsidR="00B97C39" w:rsidRPr="00304E83">
        <w:rPr>
          <w:rFonts w:asciiTheme="minorHAnsi" w:hAnsiTheme="minorHAnsi" w:cstheme="minorHAnsi"/>
          <w:sz w:val="24"/>
          <w:szCs w:val="24"/>
        </w:rPr>
        <w:t>, market intelligence apod.) včetně aktivit zaměřených na propojování podnikatelů jako potenciálníc</w:t>
      </w:r>
      <w:r w:rsidR="00B97C39">
        <w:rPr>
          <w:rFonts w:asciiTheme="minorHAnsi" w:hAnsiTheme="minorHAnsi" w:cstheme="minorHAnsi"/>
          <w:sz w:val="24"/>
          <w:szCs w:val="24"/>
        </w:rPr>
        <w:t xml:space="preserve">h příjemců rizikového kapitálu </w:t>
      </w:r>
      <w:r w:rsidR="00B97C39" w:rsidRPr="00304E83">
        <w:rPr>
          <w:rFonts w:asciiTheme="minorHAnsi" w:hAnsiTheme="minorHAnsi" w:cstheme="minorHAnsi"/>
          <w:sz w:val="24"/>
          <w:szCs w:val="24"/>
        </w:rPr>
        <w:t>s investory.</w:t>
      </w:r>
    </w:p>
    <w:p w:rsidR="00B97C39" w:rsidRPr="0036610F" w:rsidRDefault="00B97C39" w:rsidP="00B97C39">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Pr="00E512C6">
        <w:rPr>
          <w:rFonts w:asciiTheme="minorHAnsi" w:hAnsiTheme="minorHAnsi" w:cstheme="minorHAnsi"/>
          <w:bCs/>
          <w:sz w:val="24"/>
          <w:szCs w:val="24"/>
        </w:rPr>
        <w:t>Podnikatelské subjekty (malé a střední podniky).</w:t>
      </w:r>
    </w:p>
    <w:p w:rsidR="00B97C39" w:rsidRPr="0036610F" w:rsidRDefault="00B97C39" w:rsidP="00B97C39">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Pr="00724A93">
        <w:rPr>
          <w:rFonts w:asciiTheme="minorHAnsi" w:hAnsiTheme="minorHAnsi" w:cstheme="minorHAnsi"/>
          <w:bCs/>
          <w:sz w:val="24"/>
          <w:szCs w:val="24"/>
        </w:rPr>
        <w:t>Území České republiky, mimo území hl. m. Prahy</w:t>
      </w:r>
      <w:r>
        <w:rPr>
          <w:rFonts w:asciiTheme="minorHAnsi" w:hAnsiTheme="minorHAnsi" w:cstheme="minorHAnsi"/>
          <w:bCs/>
          <w:sz w:val="24"/>
          <w:szCs w:val="24"/>
        </w:rPr>
        <w:t>.</w:t>
      </w:r>
    </w:p>
    <w:p w:rsidR="00B97C39" w:rsidRPr="0036610F" w:rsidRDefault="00B97C39" w:rsidP="00B97C39">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Pr="00E512C6">
        <w:rPr>
          <w:rFonts w:asciiTheme="minorHAnsi" w:hAnsiTheme="minorHAnsi" w:cstheme="minorHAnsi"/>
          <w:bCs/>
          <w:sz w:val="24"/>
          <w:szCs w:val="24"/>
        </w:rPr>
        <w:t>Podnikatelské subjekty (malé a střední podniky).</w:t>
      </w:r>
    </w:p>
    <w:p w:rsidR="00527A16" w:rsidRDefault="00527A16" w:rsidP="00527A16">
      <w:pPr>
        <w:pStyle w:val="Nadpis5"/>
      </w:pPr>
      <w:r w:rsidRPr="00D71D90">
        <w:t>Popis principů pro výběr operací</w:t>
      </w:r>
    </w:p>
    <w:p w:rsidR="00527A16" w:rsidRPr="0036610F" w:rsidRDefault="00527A16" w:rsidP="00527A16">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527A16" w:rsidRPr="0036610F" w:rsidRDefault="00527A16"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527A16" w:rsidRDefault="00527A16" w:rsidP="00527A16">
      <w:pPr>
        <w:pStyle w:val="Nadpis5"/>
      </w:pPr>
      <w:r w:rsidRPr="00D71D90">
        <w:t>Plánované využití finančních nástrojů</w:t>
      </w:r>
    </w:p>
    <w:p w:rsidR="00527A16" w:rsidRPr="00DD04E7" w:rsidRDefault="00527A16" w:rsidP="00527A16">
      <w:pPr>
        <w:spacing w:after="60" w:line="312" w:lineRule="auto"/>
        <w:jc w:val="both"/>
        <w:rPr>
          <w:rFonts w:asciiTheme="minorHAnsi" w:hAnsiTheme="minorHAnsi" w:cstheme="minorHAnsi"/>
          <w:bCs/>
          <w:color w:val="FF0000"/>
          <w:sz w:val="24"/>
          <w:szCs w:val="24"/>
        </w:rPr>
      </w:pPr>
      <w:r w:rsidRPr="00E21928">
        <w:rPr>
          <w:rFonts w:asciiTheme="minorHAnsi" w:hAnsiTheme="minorHAnsi" w:cstheme="minorHAnsi"/>
          <w:bCs/>
          <w:color w:val="FF0000"/>
          <w:sz w:val="24"/>
          <w:szCs w:val="24"/>
        </w:rPr>
        <w:t>Využití a případný výběr nejvhodnějších forem finančních nástrojů a jejich specifické zaměření bude ponechán na ex-ante ana</w:t>
      </w:r>
      <w:r w:rsidRPr="00DD04E7">
        <w:rPr>
          <w:rFonts w:asciiTheme="minorHAnsi" w:hAnsiTheme="minorHAnsi" w:cstheme="minorHAnsi"/>
          <w:bCs/>
          <w:color w:val="FF0000"/>
          <w:sz w:val="24"/>
          <w:szCs w:val="24"/>
        </w:rPr>
        <w:t>lýze finančních nástrojů OP PIK dle čl. 32 návrhu obecného nařízení.</w:t>
      </w:r>
    </w:p>
    <w:p w:rsidR="00527A16" w:rsidRPr="00DD04E7" w:rsidRDefault="00527A16" w:rsidP="00527A16">
      <w:pPr>
        <w:pStyle w:val="Nadpis5"/>
      </w:pPr>
      <w:r w:rsidRPr="00DD04E7">
        <w:lastRenderedPageBreak/>
        <w:t>Specifikace velkých projektů</w:t>
      </w:r>
    </w:p>
    <w:p w:rsidR="00527A16" w:rsidRPr="00DD04E7" w:rsidRDefault="00E21928" w:rsidP="00527A16">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527A16" w:rsidRPr="00DD04E7">
        <w:rPr>
          <w:rFonts w:asciiTheme="minorHAnsi" w:hAnsiTheme="minorHAnsi" w:cstheme="minorHAnsi"/>
          <w:color w:val="FF0000"/>
          <w:sz w:val="24"/>
          <w:szCs w:val="24"/>
        </w:rPr>
        <w:t xml:space="preserve">  </w:t>
      </w:r>
    </w:p>
    <w:p w:rsidR="00527A16" w:rsidRPr="00DD04E7" w:rsidRDefault="00527A16" w:rsidP="00527A16">
      <w:pPr>
        <w:pStyle w:val="Nadpis5"/>
      </w:pPr>
      <w:r w:rsidRPr="00DD04E7">
        <w:t>Společné a specifické indikátory</w:t>
      </w:r>
    </w:p>
    <w:p w:rsidR="00C45CD5" w:rsidRPr="00DD04E7" w:rsidRDefault="00C45CD5" w:rsidP="00C45CD5"/>
    <w:p w:rsidR="00527A16" w:rsidRDefault="00C45CD5" w:rsidP="00527A16">
      <w:pPr>
        <w:overflowPunct/>
        <w:textAlignment w:val="auto"/>
        <w:rPr>
          <w:rFonts w:ascii="Calibri" w:hAnsi="Calibri" w:cs="Calibri"/>
          <w:b/>
          <w:sz w:val="24"/>
        </w:rPr>
      </w:pPr>
      <w:r w:rsidRPr="00DD04E7">
        <w:rPr>
          <w:rFonts w:ascii="Calibri" w:hAnsi="Calibri" w:cs="Calibri"/>
          <w:b/>
          <w:sz w:val="24"/>
        </w:rPr>
        <w:t>Investiční priorita: Podpora budování a rozšiřování vyspělých kapacit pro rozvoj produktů a služeb</w:t>
      </w:r>
      <w:r w:rsidR="0012001C" w:rsidRPr="00DD04E7">
        <w:rPr>
          <w:rFonts w:ascii="Calibri" w:hAnsi="Calibri" w:cs="Calibri"/>
          <w:b/>
          <w:sz w:val="24"/>
        </w:rPr>
        <w:t xml:space="preserve"> (nařízení o ERDF, článek 5, odst. (3) bod c)</w:t>
      </w:r>
    </w:p>
    <w:p w:rsidR="00C45CD5" w:rsidRPr="00C45CD5" w:rsidRDefault="00C45CD5" w:rsidP="00527A16">
      <w:pPr>
        <w:overflowPunct/>
        <w:textAlignment w:val="auto"/>
        <w:rPr>
          <w:b/>
          <w:sz w:val="32"/>
          <w:szCs w:val="24"/>
        </w:rPr>
      </w:pPr>
    </w:p>
    <w:p w:rsidR="00B97C39" w:rsidRPr="00047389" w:rsidRDefault="00B97C39" w:rsidP="00047389">
      <w:pPr>
        <w:pStyle w:val="Nadpis4"/>
      </w:pPr>
      <w:bookmarkStart w:id="58" w:name="_Toc351464382"/>
      <w:r w:rsidRPr="00047389">
        <w:t>Specifický cíl 2.5 – Rozvoj a využití stávající infrastruktury pro vzdělávání a rozvoj lidských zdrojů v podnikatelském sektoru včetně technického vzdělávání</w:t>
      </w:r>
      <w:bookmarkEnd w:id="58"/>
    </w:p>
    <w:p w:rsidR="00B97C39" w:rsidRDefault="00B97C39" w:rsidP="00B97C39">
      <w:pPr>
        <w:pStyle w:val="Nadpis5"/>
      </w:pPr>
      <w:r w:rsidRPr="00FF25A4">
        <w:t>Popis typů a příkladů financovaných aktivit a jejich očekávaný příspěvek ke specifickým cílům, včetně, pokud je to možné</w:t>
      </w:r>
    </w:p>
    <w:p w:rsidR="00B97C39" w:rsidRPr="0036610F" w:rsidRDefault="00B97C39" w:rsidP="00B97C39">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Pr>
          <w:rFonts w:asciiTheme="minorHAnsi" w:hAnsiTheme="minorHAnsi" w:cstheme="minorHAnsi"/>
          <w:sz w:val="24"/>
          <w:szCs w:val="24"/>
        </w:rPr>
        <w:t>Bude podpořeno zajištění a rozvoj kvalitního hmotného i nehmotného zázemí pro realizaci, organizaci a řízení odborného vzdělávání a aktivity související s rozvojem lidských zdrojů.</w:t>
      </w:r>
    </w:p>
    <w:p w:rsidR="00B97C39" w:rsidRPr="0036610F" w:rsidRDefault="00B97C39" w:rsidP="00B97C39">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Pr="00E512C6">
        <w:rPr>
          <w:rFonts w:asciiTheme="minorHAnsi" w:hAnsiTheme="minorHAnsi" w:cstheme="minorHAnsi"/>
          <w:bCs/>
          <w:sz w:val="24"/>
          <w:szCs w:val="24"/>
        </w:rPr>
        <w:t>Podnikatelské subjekty (malé a střední podniky).</w:t>
      </w:r>
    </w:p>
    <w:p w:rsidR="00B97C39" w:rsidRPr="0036610F" w:rsidRDefault="00B97C39" w:rsidP="00B97C39">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Pr="00724A93">
        <w:rPr>
          <w:rFonts w:asciiTheme="minorHAnsi" w:hAnsiTheme="minorHAnsi" w:cstheme="minorHAnsi"/>
          <w:bCs/>
          <w:sz w:val="24"/>
          <w:szCs w:val="24"/>
        </w:rPr>
        <w:t>Území České republiky, mimo území hl. m. Prahy</w:t>
      </w:r>
      <w:r>
        <w:rPr>
          <w:rFonts w:asciiTheme="minorHAnsi" w:hAnsiTheme="minorHAnsi" w:cstheme="minorHAnsi"/>
          <w:bCs/>
          <w:sz w:val="24"/>
          <w:szCs w:val="24"/>
        </w:rPr>
        <w:t>.</w:t>
      </w:r>
    </w:p>
    <w:p w:rsidR="00B97C39" w:rsidRPr="0036610F" w:rsidRDefault="00B97C39" w:rsidP="00B97C39">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Pr="00E512C6">
        <w:rPr>
          <w:rFonts w:asciiTheme="minorHAnsi" w:hAnsiTheme="minorHAnsi" w:cstheme="minorHAnsi"/>
          <w:bCs/>
          <w:sz w:val="24"/>
          <w:szCs w:val="24"/>
        </w:rPr>
        <w:t>Podnikatelské subjekty (malé a střední podniky).</w:t>
      </w:r>
    </w:p>
    <w:p w:rsidR="00B97C39" w:rsidRDefault="00B97C39" w:rsidP="00B97C39">
      <w:pPr>
        <w:pStyle w:val="Nadpis5"/>
      </w:pPr>
      <w:r w:rsidRPr="00D71D90">
        <w:t>Popis principů pro výběr operací</w:t>
      </w:r>
    </w:p>
    <w:p w:rsidR="00B97C39" w:rsidRPr="0036610F" w:rsidRDefault="00B97C39" w:rsidP="00B97C39">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B97C39" w:rsidRPr="0036610F" w:rsidRDefault="00B97C39"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B97C39" w:rsidRPr="0036610F" w:rsidRDefault="00B97C39"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B97C39" w:rsidRDefault="00B97C39" w:rsidP="00B97C39">
      <w:pPr>
        <w:pStyle w:val="Nadpis5"/>
      </w:pPr>
      <w:r w:rsidRPr="00D71D90">
        <w:t>Plánované využití finančních nástrojů</w:t>
      </w:r>
    </w:p>
    <w:p w:rsidR="00B97C39" w:rsidRPr="00DD04E7" w:rsidRDefault="00B97C39" w:rsidP="00B97C39">
      <w:pPr>
        <w:spacing w:after="60" w:line="312" w:lineRule="auto"/>
        <w:jc w:val="both"/>
        <w:rPr>
          <w:rFonts w:asciiTheme="minorHAnsi" w:hAnsiTheme="minorHAnsi" w:cstheme="minorHAnsi"/>
          <w:bCs/>
          <w:color w:val="FF0000"/>
          <w:sz w:val="24"/>
          <w:szCs w:val="24"/>
        </w:rPr>
      </w:pPr>
      <w:r w:rsidRPr="00FF59EF">
        <w:rPr>
          <w:rFonts w:asciiTheme="minorHAnsi" w:hAnsiTheme="minorHAnsi" w:cstheme="minorHAnsi"/>
          <w:bCs/>
          <w:color w:val="FF0000"/>
          <w:sz w:val="24"/>
          <w:szCs w:val="24"/>
        </w:rPr>
        <w:t>Využití a případný výběr nejvhodnějších forem finančních nástrojů a jejich specifické zaměření bude ponechán na ex-a</w:t>
      </w:r>
      <w:r w:rsidRPr="00DD04E7">
        <w:rPr>
          <w:rFonts w:asciiTheme="minorHAnsi" w:hAnsiTheme="minorHAnsi" w:cstheme="minorHAnsi"/>
          <w:bCs/>
          <w:color w:val="FF0000"/>
          <w:sz w:val="24"/>
          <w:szCs w:val="24"/>
        </w:rPr>
        <w:t>nte analýze finančních nástrojů OP PIK dle čl. 32 návrhu obecného nařízení.</w:t>
      </w:r>
    </w:p>
    <w:p w:rsidR="00B97C39" w:rsidRPr="00DD04E7" w:rsidRDefault="00B97C39" w:rsidP="00B97C39">
      <w:pPr>
        <w:pStyle w:val="Nadpis5"/>
      </w:pPr>
      <w:r w:rsidRPr="00DD04E7">
        <w:t>Specifikace velkých projektů</w:t>
      </w:r>
    </w:p>
    <w:p w:rsidR="00B97C39" w:rsidRPr="00DD04E7" w:rsidRDefault="00FF59EF" w:rsidP="00B97C39">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B97C39" w:rsidRPr="00DD04E7">
        <w:rPr>
          <w:rFonts w:asciiTheme="minorHAnsi" w:hAnsiTheme="minorHAnsi" w:cstheme="minorHAnsi"/>
          <w:color w:val="FF0000"/>
          <w:sz w:val="24"/>
          <w:szCs w:val="24"/>
        </w:rPr>
        <w:t xml:space="preserve">  </w:t>
      </w:r>
    </w:p>
    <w:p w:rsidR="00B97C39" w:rsidRPr="00DD04E7" w:rsidRDefault="00B97C39" w:rsidP="00BA734D">
      <w:pPr>
        <w:pStyle w:val="Nadpis5"/>
        <w:ind w:left="1009" w:hanging="1009"/>
      </w:pPr>
      <w:r w:rsidRPr="00DD04E7">
        <w:lastRenderedPageBreak/>
        <w:t>Společné a specifické indikátory</w:t>
      </w:r>
    </w:p>
    <w:p w:rsidR="00527A16" w:rsidRDefault="00527A16" w:rsidP="00527A16">
      <w:pPr>
        <w:overflowPunct/>
        <w:ind w:left="1410" w:hanging="1410"/>
        <w:jc w:val="both"/>
        <w:textAlignment w:val="auto"/>
        <w:rPr>
          <w:color w:val="FF0000"/>
          <w:sz w:val="28"/>
          <w:szCs w:val="28"/>
        </w:rPr>
      </w:pPr>
    </w:p>
    <w:p w:rsidR="00527A16" w:rsidRPr="00B97C39" w:rsidRDefault="00527A16" w:rsidP="00B97C39">
      <w:pPr>
        <w:pStyle w:val="Nadpis3"/>
      </w:pPr>
      <w:bookmarkStart w:id="59" w:name="_Toc352328369"/>
      <w:bookmarkStart w:id="60" w:name="_Toc351464383"/>
      <w:r w:rsidRPr="00B97C39">
        <w:t>Zvláštní ustanovení pro ESF (7.3A.3)</w:t>
      </w:r>
      <w:bookmarkEnd w:id="59"/>
      <w:r w:rsidRPr="00B97C39">
        <w:t xml:space="preserve"> </w:t>
      </w:r>
      <w:bookmarkEnd w:id="60"/>
    </w:p>
    <w:p w:rsidR="00BA734D" w:rsidRPr="00BA734D" w:rsidRDefault="00BA734D" w:rsidP="00BA734D">
      <w:pPr>
        <w:spacing w:after="120" w:line="288" w:lineRule="auto"/>
        <w:rPr>
          <w:rFonts w:asciiTheme="minorHAnsi" w:hAnsiTheme="minorHAnsi" w:cstheme="minorHAnsi"/>
          <w:color w:val="FF0000"/>
          <w:sz w:val="24"/>
        </w:rPr>
      </w:pPr>
      <w:r w:rsidRPr="00BA734D">
        <w:rPr>
          <w:rFonts w:asciiTheme="minorHAnsi" w:hAnsiTheme="minorHAnsi" w:cstheme="minorHAnsi"/>
          <w:color w:val="FF0000"/>
          <w:sz w:val="24"/>
        </w:rPr>
        <w:t>OP bude obsahovat popis příspěvku plánovaných aktivit prioritní osy k:</w:t>
      </w:r>
    </w:p>
    <w:p w:rsidR="00BA734D" w:rsidRPr="00BA734D" w:rsidRDefault="00BA734D"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rPr>
      </w:pPr>
      <w:r w:rsidRPr="00BA734D">
        <w:rPr>
          <w:rFonts w:asciiTheme="minorHAnsi" w:hAnsiTheme="minorHAnsi" w:cstheme="minorHAnsi"/>
          <w:color w:val="FF0000"/>
          <w:sz w:val="24"/>
        </w:rPr>
        <w:t>tematickým cílům dle článku 9 odst. 1 – 7 návrhu obecného nařízení,</w:t>
      </w:r>
    </w:p>
    <w:p w:rsidR="00BA734D" w:rsidRPr="00BA734D" w:rsidRDefault="00BA734D"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rPr>
      </w:pPr>
      <w:r w:rsidRPr="00BA734D">
        <w:rPr>
          <w:rFonts w:asciiTheme="minorHAnsi" w:hAnsiTheme="minorHAnsi" w:cstheme="minorHAnsi"/>
          <w:color w:val="FF0000"/>
          <w:sz w:val="24"/>
        </w:rPr>
        <w:t>sociálním inovacím (pokud toto téma není v operačním programu již obsahem samostatné prioritní osy),</w:t>
      </w:r>
    </w:p>
    <w:p w:rsidR="00BA734D" w:rsidRPr="00BA734D" w:rsidRDefault="00BA734D"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rPr>
      </w:pPr>
      <w:r w:rsidRPr="00BA734D">
        <w:rPr>
          <w:rFonts w:asciiTheme="minorHAnsi" w:hAnsiTheme="minorHAnsi" w:cstheme="minorHAnsi"/>
          <w:color w:val="FF0000"/>
          <w:sz w:val="24"/>
        </w:rPr>
        <w:t>mezinárodní spolupráci (pokud toto téma není v operačním programu již obsahem samostatné prioritní osy).</w:t>
      </w:r>
    </w:p>
    <w:p w:rsidR="00BA734D" w:rsidRPr="00BA734D" w:rsidRDefault="00BA734D" w:rsidP="00BA734D">
      <w:pPr>
        <w:pStyle w:val="Odstavecseseznamem"/>
        <w:spacing w:after="120" w:line="288" w:lineRule="auto"/>
        <w:ind w:left="0"/>
        <w:rPr>
          <w:rFonts w:asciiTheme="minorHAnsi" w:hAnsiTheme="minorHAnsi" w:cstheme="minorHAnsi"/>
          <w:color w:val="FF0000"/>
          <w:sz w:val="24"/>
        </w:rPr>
      </w:pPr>
    </w:p>
    <w:p w:rsidR="00BA734D" w:rsidRPr="00BA734D" w:rsidRDefault="00BA734D" w:rsidP="00BA734D">
      <w:pPr>
        <w:pStyle w:val="Odstavecseseznamem"/>
        <w:spacing w:after="120" w:line="288" w:lineRule="auto"/>
        <w:ind w:left="0"/>
        <w:rPr>
          <w:rFonts w:asciiTheme="minorHAnsi" w:hAnsiTheme="minorHAnsi" w:cstheme="minorHAnsi"/>
          <w:color w:val="FF0000"/>
          <w:sz w:val="24"/>
        </w:rPr>
      </w:pPr>
      <w:r w:rsidRPr="00BA734D">
        <w:rPr>
          <w:rFonts w:asciiTheme="minorHAnsi" w:hAnsiTheme="minorHAnsi" w:cstheme="minorHAnsi"/>
          <w:color w:val="FF0000"/>
          <w:sz w:val="24"/>
        </w:rPr>
        <w:t>Určení:</w:t>
      </w:r>
    </w:p>
    <w:p w:rsidR="00BA734D" w:rsidRPr="00BA734D" w:rsidRDefault="00BA734D" w:rsidP="00851D6E">
      <w:pPr>
        <w:pStyle w:val="Odstavecseseznamem"/>
        <w:numPr>
          <w:ilvl w:val="0"/>
          <w:numId w:val="21"/>
        </w:numPr>
        <w:overflowPunct/>
        <w:autoSpaceDE/>
        <w:autoSpaceDN/>
        <w:adjustRightInd/>
        <w:spacing w:after="120" w:line="288" w:lineRule="auto"/>
        <w:contextualSpacing w:val="0"/>
        <w:jc w:val="both"/>
        <w:textAlignment w:val="auto"/>
        <w:rPr>
          <w:rFonts w:asciiTheme="minorHAnsi" w:hAnsiTheme="minorHAnsi" w:cstheme="minorHAnsi"/>
          <w:color w:val="FF0000"/>
          <w:sz w:val="24"/>
        </w:rPr>
      </w:pPr>
      <w:r w:rsidRPr="00BA734D">
        <w:rPr>
          <w:rFonts w:asciiTheme="minorHAnsi" w:hAnsiTheme="minorHAnsi" w:cstheme="minorHAnsi"/>
          <w:color w:val="FF0000"/>
          <w:sz w:val="24"/>
        </w:rPr>
        <w:t>tematických cílů dle článku 9 odst. 1 - 7 návrhu obecného nařízení, ke kterým předpokládané aktivity v rámci prioritní osy přispějí, a vysvětlení, jakým způsobem toho bude dosaženo. Zde není potřeba uvádět kvantitativní údaje, jelikož ty budou součástí  tabulky č. 9 níže;</w:t>
      </w:r>
    </w:p>
    <w:p w:rsidR="00BA734D" w:rsidRPr="00BA734D" w:rsidRDefault="00BA734D" w:rsidP="00851D6E">
      <w:pPr>
        <w:pStyle w:val="Odstavecseseznamem"/>
        <w:numPr>
          <w:ilvl w:val="0"/>
          <w:numId w:val="21"/>
        </w:numPr>
        <w:overflowPunct/>
        <w:autoSpaceDE/>
        <w:autoSpaceDN/>
        <w:adjustRightInd/>
        <w:spacing w:after="120" w:line="288" w:lineRule="auto"/>
        <w:contextualSpacing w:val="0"/>
        <w:jc w:val="both"/>
        <w:textAlignment w:val="auto"/>
        <w:rPr>
          <w:rFonts w:asciiTheme="minorHAnsi" w:hAnsiTheme="minorHAnsi" w:cstheme="minorHAnsi"/>
          <w:color w:val="FF0000"/>
          <w:sz w:val="24"/>
        </w:rPr>
      </w:pPr>
      <w:r w:rsidRPr="00BA734D">
        <w:rPr>
          <w:rFonts w:asciiTheme="minorHAnsi" w:hAnsiTheme="minorHAnsi" w:cstheme="minorHAnsi"/>
          <w:color w:val="FF0000"/>
          <w:sz w:val="24"/>
        </w:rPr>
        <w:t>zaměření sociálních inovací, konkrétně těch, jejichž smyslem je vyzkoušet a posílit inovativní přístupy při řešení sociálních potřeb;</w:t>
      </w:r>
    </w:p>
    <w:p w:rsidR="00527A16" w:rsidRPr="00BA734D" w:rsidRDefault="00BA734D" w:rsidP="00BA734D">
      <w:pPr>
        <w:overflowPunct/>
        <w:jc w:val="both"/>
        <w:textAlignment w:val="auto"/>
        <w:rPr>
          <w:rFonts w:asciiTheme="minorHAnsi" w:hAnsiTheme="minorHAnsi" w:cstheme="minorHAnsi"/>
          <w:b/>
          <w:bCs/>
          <w:color w:val="FF0000"/>
          <w:sz w:val="36"/>
          <w:szCs w:val="28"/>
        </w:rPr>
      </w:pPr>
      <w:r w:rsidRPr="00BA734D">
        <w:rPr>
          <w:rFonts w:asciiTheme="minorHAnsi" w:hAnsiTheme="minorHAnsi" w:cstheme="minorHAnsi"/>
          <w:color w:val="FF0000"/>
          <w:sz w:val="24"/>
        </w:rPr>
        <w:t>seznam témat pro mezinárodní spolupráci (nemusí být vyčerpávající) včetně plánovaných aktivit a zapojených partnerů.</w:t>
      </w:r>
    </w:p>
    <w:p w:rsidR="00527A16" w:rsidRDefault="00527A16" w:rsidP="00527A16">
      <w:pPr>
        <w:pStyle w:val="Nadpis3"/>
      </w:pPr>
      <w:bookmarkStart w:id="61" w:name="_Toc351464384"/>
      <w:bookmarkStart w:id="62" w:name="_Toc352328370"/>
      <w:r>
        <w:t>Výkonnostní rámec</w:t>
      </w:r>
      <w:bookmarkEnd w:id="61"/>
      <w:bookmarkEnd w:id="62"/>
    </w:p>
    <w:p w:rsidR="00527A16" w:rsidRPr="009A0366" w:rsidRDefault="009C7BE0" w:rsidP="00527A16">
      <w:pPr>
        <w:spacing w:before="240" w:after="120"/>
        <w:rPr>
          <w:b/>
          <w:i/>
          <w:iCs/>
          <w:sz w:val="24"/>
          <w:szCs w:val="24"/>
        </w:rPr>
      </w:pPr>
      <w:r w:rsidRPr="00DD04E7">
        <w:rPr>
          <w:b/>
          <w:iCs/>
          <w:sz w:val="24"/>
          <w:szCs w:val="24"/>
        </w:rPr>
        <w:t>Tabulka xx</w:t>
      </w:r>
      <w:r w:rsidR="00527A16" w:rsidRPr="00DD04E7">
        <w:rPr>
          <w:b/>
          <w:iCs/>
          <w:sz w:val="24"/>
          <w:szCs w:val="24"/>
        </w:rPr>
        <w:t>: Výkonnostní</w:t>
      </w:r>
      <w:r w:rsidR="00527A16" w:rsidRPr="009A0366">
        <w:rPr>
          <w:b/>
          <w:iCs/>
          <w:sz w:val="24"/>
          <w:szCs w:val="24"/>
        </w:rPr>
        <w:t xml:space="preserve"> rámec na úrovni dané prioritní osy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101"/>
        <w:gridCol w:w="1134"/>
        <w:gridCol w:w="2126"/>
        <w:gridCol w:w="1276"/>
        <w:gridCol w:w="1701"/>
        <w:gridCol w:w="2090"/>
      </w:tblGrid>
      <w:tr w:rsidR="00527A16" w:rsidRPr="009A0366" w:rsidTr="00530623">
        <w:tc>
          <w:tcPr>
            <w:tcW w:w="1101" w:type="dxa"/>
            <w:shd w:val="clear" w:color="auto" w:fill="auto"/>
            <w:tcMar>
              <w:top w:w="0" w:type="dxa"/>
              <w:left w:w="108" w:type="dxa"/>
              <w:bottom w:w="0" w:type="dxa"/>
              <w:right w:w="108" w:type="dxa"/>
            </w:tcMar>
            <w:vAlign w:val="center"/>
          </w:tcPr>
          <w:p w:rsidR="00527A16" w:rsidRPr="009A0366" w:rsidRDefault="00527A16" w:rsidP="0053062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Prioritní osa </w:t>
            </w:r>
          </w:p>
        </w:tc>
        <w:tc>
          <w:tcPr>
            <w:tcW w:w="1134" w:type="dxa"/>
            <w:shd w:val="clear" w:color="auto" w:fill="auto"/>
            <w:tcMar>
              <w:top w:w="0" w:type="dxa"/>
              <w:left w:w="108" w:type="dxa"/>
              <w:bottom w:w="0" w:type="dxa"/>
              <w:right w:w="108" w:type="dxa"/>
            </w:tcMar>
            <w:vAlign w:val="center"/>
          </w:tcPr>
          <w:p w:rsidR="00527A16" w:rsidRPr="009A0366" w:rsidRDefault="00527A16" w:rsidP="0053062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Název milníku</w:t>
            </w:r>
          </w:p>
          <w:p w:rsidR="00527A16" w:rsidRPr="009A0366" w:rsidRDefault="00527A16" w:rsidP="00530623">
            <w:pPr>
              <w:pStyle w:val="TextMetodika"/>
              <w:spacing w:before="0" w:after="0" w:line="240" w:lineRule="auto"/>
              <w:jc w:val="center"/>
              <w:rPr>
                <w:rFonts w:ascii="Times New Roman" w:hAnsi="Times New Roman"/>
                <w:b/>
                <w:sz w:val="22"/>
                <w:szCs w:val="22"/>
              </w:rPr>
            </w:pPr>
          </w:p>
        </w:tc>
        <w:tc>
          <w:tcPr>
            <w:tcW w:w="2126" w:type="dxa"/>
            <w:shd w:val="clear" w:color="auto" w:fill="auto"/>
            <w:tcMar>
              <w:top w:w="0" w:type="dxa"/>
              <w:left w:w="108" w:type="dxa"/>
              <w:bottom w:w="0" w:type="dxa"/>
              <w:right w:w="108" w:type="dxa"/>
            </w:tcMar>
            <w:vAlign w:val="center"/>
          </w:tcPr>
          <w:p w:rsidR="00527A16" w:rsidRPr="009A0366" w:rsidRDefault="00527A16" w:rsidP="00530623">
            <w:pPr>
              <w:pStyle w:val="TextMetodika"/>
              <w:spacing w:before="0" w:after="0" w:line="240" w:lineRule="auto"/>
              <w:jc w:val="center"/>
              <w:rPr>
                <w:rFonts w:ascii="Times New Roman" w:hAnsi="Times New Roman"/>
                <w:b/>
                <w:sz w:val="22"/>
                <w:szCs w:val="22"/>
              </w:rPr>
            </w:pPr>
            <w:r w:rsidRPr="009A0366">
              <w:rPr>
                <w:rFonts w:ascii="Times New Roman" w:hAnsi="Times New Roman"/>
                <w:b/>
                <w:bCs/>
                <w:sz w:val="22"/>
                <w:szCs w:val="22"/>
              </w:rPr>
              <w:t xml:space="preserve">Definice milníku a měrná </w:t>
            </w:r>
            <w:r w:rsidRPr="009A0366">
              <w:rPr>
                <w:rFonts w:ascii="Times New Roman" w:hAnsi="Times New Roman"/>
                <w:b/>
                <w:sz w:val="22"/>
                <w:szCs w:val="22"/>
              </w:rPr>
              <w:t>jednotka</w:t>
            </w:r>
          </w:p>
        </w:tc>
        <w:tc>
          <w:tcPr>
            <w:tcW w:w="1276" w:type="dxa"/>
            <w:shd w:val="clear" w:color="auto" w:fill="auto"/>
            <w:tcMar>
              <w:top w:w="0" w:type="dxa"/>
              <w:left w:w="108" w:type="dxa"/>
              <w:bottom w:w="0" w:type="dxa"/>
              <w:right w:w="108" w:type="dxa"/>
            </w:tcMar>
            <w:vAlign w:val="center"/>
          </w:tcPr>
          <w:p w:rsidR="00527A16" w:rsidRPr="009A0366" w:rsidRDefault="00527A16" w:rsidP="0053062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Hodnota milníku v r.</w:t>
            </w:r>
            <w:r w:rsidRPr="009A0366">
              <w:rPr>
                <w:rFonts w:ascii="Times New Roman" w:hAnsi="Times New Roman"/>
                <w:b/>
                <w:bCs/>
                <w:sz w:val="22"/>
                <w:szCs w:val="22"/>
              </w:rPr>
              <w:t xml:space="preserve">  </w:t>
            </w:r>
            <w:r w:rsidRPr="009A0366">
              <w:rPr>
                <w:rFonts w:ascii="Times New Roman" w:hAnsi="Times New Roman"/>
                <w:b/>
                <w:sz w:val="22"/>
                <w:szCs w:val="22"/>
              </w:rPr>
              <w:t xml:space="preserve"> 2018</w:t>
            </w:r>
          </w:p>
        </w:tc>
        <w:tc>
          <w:tcPr>
            <w:tcW w:w="1701" w:type="dxa"/>
            <w:shd w:val="clear" w:color="auto" w:fill="auto"/>
            <w:tcMar>
              <w:top w:w="0" w:type="dxa"/>
              <w:left w:w="108" w:type="dxa"/>
              <w:bottom w:w="0" w:type="dxa"/>
              <w:right w:w="108" w:type="dxa"/>
            </w:tcMar>
            <w:vAlign w:val="center"/>
          </w:tcPr>
          <w:p w:rsidR="00527A16" w:rsidRPr="009A0366" w:rsidRDefault="00527A16" w:rsidP="0053062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Cílová hodnota milníku k roku 2022 </w:t>
            </w:r>
          </w:p>
        </w:tc>
        <w:tc>
          <w:tcPr>
            <w:tcW w:w="2090" w:type="dxa"/>
            <w:shd w:val="clear" w:color="auto" w:fill="auto"/>
            <w:tcMar>
              <w:top w:w="0" w:type="dxa"/>
              <w:left w:w="108" w:type="dxa"/>
              <w:bottom w:w="0" w:type="dxa"/>
              <w:right w:w="108" w:type="dxa"/>
            </w:tcMar>
            <w:vAlign w:val="center"/>
          </w:tcPr>
          <w:p w:rsidR="00527A16" w:rsidRPr="009A0366" w:rsidRDefault="00527A16" w:rsidP="0053062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Odůvodnění, jakým způsobem byly hodnoty stanoveny</w:t>
            </w:r>
          </w:p>
        </w:tc>
      </w:tr>
      <w:tr w:rsidR="00527A16" w:rsidRPr="009A0366" w:rsidTr="00530623">
        <w:tc>
          <w:tcPr>
            <w:tcW w:w="1101" w:type="dxa"/>
            <w:shd w:val="clear" w:color="auto" w:fill="auto"/>
            <w:tcMar>
              <w:top w:w="0" w:type="dxa"/>
              <w:left w:w="108" w:type="dxa"/>
              <w:bottom w:w="0" w:type="dxa"/>
              <w:right w:w="108" w:type="dxa"/>
            </w:tcMar>
            <w:vAlign w:val="center"/>
          </w:tcPr>
          <w:p w:rsidR="00527A16" w:rsidRPr="009A0366" w:rsidRDefault="00527A16" w:rsidP="00530623">
            <w:pPr>
              <w:pStyle w:val="TextMetodika"/>
              <w:jc w:val="center"/>
              <w:rPr>
                <w:rFonts w:ascii="Times New Roman" w:hAnsi="Times New Roman"/>
              </w:rPr>
            </w:pPr>
          </w:p>
        </w:tc>
        <w:tc>
          <w:tcPr>
            <w:tcW w:w="1134" w:type="dxa"/>
            <w:shd w:val="clear" w:color="auto" w:fill="auto"/>
            <w:tcMar>
              <w:top w:w="0" w:type="dxa"/>
              <w:left w:w="108" w:type="dxa"/>
              <w:bottom w:w="0" w:type="dxa"/>
              <w:right w:w="108" w:type="dxa"/>
            </w:tcMar>
            <w:vAlign w:val="center"/>
          </w:tcPr>
          <w:p w:rsidR="00527A16" w:rsidRPr="009A0366" w:rsidRDefault="00527A16" w:rsidP="00530623">
            <w:pPr>
              <w:pStyle w:val="TextMetodika"/>
              <w:jc w:val="center"/>
              <w:rPr>
                <w:rFonts w:ascii="Times New Roman" w:hAnsi="Times New Roman"/>
              </w:rPr>
            </w:pPr>
          </w:p>
        </w:tc>
        <w:tc>
          <w:tcPr>
            <w:tcW w:w="2126" w:type="dxa"/>
            <w:shd w:val="clear" w:color="auto" w:fill="auto"/>
            <w:tcMar>
              <w:top w:w="0" w:type="dxa"/>
              <w:left w:w="108" w:type="dxa"/>
              <w:bottom w:w="0" w:type="dxa"/>
              <w:right w:w="108" w:type="dxa"/>
            </w:tcMar>
            <w:vAlign w:val="center"/>
          </w:tcPr>
          <w:p w:rsidR="00527A16" w:rsidRPr="009A0366" w:rsidRDefault="00527A16" w:rsidP="00530623">
            <w:pPr>
              <w:pStyle w:val="TextMetodika"/>
              <w:jc w:val="center"/>
              <w:rPr>
                <w:rFonts w:ascii="Times New Roman" w:hAnsi="Times New Roman"/>
              </w:rPr>
            </w:pPr>
          </w:p>
        </w:tc>
        <w:tc>
          <w:tcPr>
            <w:tcW w:w="1276" w:type="dxa"/>
            <w:shd w:val="clear" w:color="auto" w:fill="auto"/>
            <w:tcMar>
              <w:top w:w="0" w:type="dxa"/>
              <w:left w:w="108" w:type="dxa"/>
              <w:bottom w:w="0" w:type="dxa"/>
              <w:right w:w="108" w:type="dxa"/>
            </w:tcMar>
            <w:vAlign w:val="center"/>
          </w:tcPr>
          <w:p w:rsidR="00527A16" w:rsidRPr="009A0366" w:rsidRDefault="00527A16" w:rsidP="00530623">
            <w:pPr>
              <w:pStyle w:val="TextMetodika"/>
              <w:jc w:val="center"/>
              <w:rPr>
                <w:rFonts w:ascii="Times New Roman" w:hAnsi="Times New Roman"/>
              </w:rPr>
            </w:pPr>
          </w:p>
        </w:tc>
        <w:tc>
          <w:tcPr>
            <w:tcW w:w="1701" w:type="dxa"/>
            <w:shd w:val="clear" w:color="auto" w:fill="auto"/>
            <w:tcMar>
              <w:top w:w="0" w:type="dxa"/>
              <w:left w:w="108" w:type="dxa"/>
              <w:bottom w:w="0" w:type="dxa"/>
              <w:right w:w="108" w:type="dxa"/>
            </w:tcMar>
            <w:vAlign w:val="center"/>
          </w:tcPr>
          <w:p w:rsidR="00527A16" w:rsidRPr="009A0366" w:rsidRDefault="00527A16" w:rsidP="00530623">
            <w:pPr>
              <w:pStyle w:val="TextMetodika"/>
              <w:jc w:val="center"/>
              <w:rPr>
                <w:rFonts w:ascii="Times New Roman" w:hAnsi="Times New Roman"/>
              </w:rPr>
            </w:pPr>
          </w:p>
        </w:tc>
        <w:tc>
          <w:tcPr>
            <w:tcW w:w="2090" w:type="dxa"/>
            <w:shd w:val="clear" w:color="auto" w:fill="auto"/>
            <w:tcMar>
              <w:top w:w="0" w:type="dxa"/>
              <w:left w:w="108" w:type="dxa"/>
              <w:bottom w:w="0" w:type="dxa"/>
              <w:right w:w="108" w:type="dxa"/>
            </w:tcMar>
            <w:vAlign w:val="center"/>
          </w:tcPr>
          <w:p w:rsidR="00527A16" w:rsidRPr="009A0366" w:rsidRDefault="00527A16" w:rsidP="00530623">
            <w:pPr>
              <w:pStyle w:val="TextMetodika"/>
              <w:jc w:val="center"/>
              <w:rPr>
                <w:rFonts w:ascii="Times New Roman" w:hAnsi="Times New Roman"/>
              </w:rPr>
            </w:pPr>
          </w:p>
        </w:tc>
      </w:tr>
    </w:tbl>
    <w:p w:rsidR="00527A16" w:rsidRPr="006B41A8" w:rsidRDefault="00527A16" w:rsidP="00527A16">
      <w:pPr>
        <w:overflowPunct/>
        <w:jc w:val="both"/>
        <w:textAlignment w:val="auto"/>
        <w:rPr>
          <w:b/>
          <w:bCs/>
          <w:color w:val="FF0000"/>
          <w:sz w:val="24"/>
          <w:szCs w:val="24"/>
        </w:rPr>
      </w:pPr>
    </w:p>
    <w:p w:rsidR="00527A16" w:rsidRDefault="00527A16" w:rsidP="00527A16">
      <w:pPr>
        <w:pStyle w:val="Nadpis3"/>
      </w:pPr>
      <w:bookmarkStart w:id="63" w:name="_Toc351464385"/>
      <w:bookmarkStart w:id="64" w:name="_Toc352328371"/>
      <w:r>
        <w:t>Kategorie intervencí</w:t>
      </w:r>
      <w:bookmarkEnd w:id="63"/>
      <w:bookmarkEnd w:id="64"/>
    </w:p>
    <w:p w:rsidR="00527A16" w:rsidRPr="009A0366" w:rsidRDefault="00527A16" w:rsidP="00527A16">
      <w:pPr>
        <w:overflowPunct/>
        <w:jc w:val="both"/>
        <w:textAlignment w:val="auto"/>
        <w:rPr>
          <w:b/>
          <w:bCs/>
          <w:color w:val="FF0000"/>
          <w:sz w:val="24"/>
          <w:szCs w:val="24"/>
          <w:lang w:val="it-IT"/>
        </w:rPr>
      </w:pPr>
    </w:p>
    <w:p w:rsidR="00527A16" w:rsidRPr="00DD04E7" w:rsidRDefault="00527A16" w:rsidP="00527A16">
      <w:pPr>
        <w:spacing w:after="120"/>
        <w:rPr>
          <w:b/>
          <w:sz w:val="24"/>
          <w:szCs w:val="24"/>
        </w:rPr>
      </w:pPr>
      <w:r w:rsidRPr="00DD04E7">
        <w:rPr>
          <w:b/>
          <w:sz w:val="24"/>
          <w:szCs w:val="24"/>
        </w:rPr>
        <w:t xml:space="preserve">Tabuka </w:t>
      </w:r>
      <w:r w:rsidR="009C7BE0" w:rsidRPr="00DD04E7">
        <w:rPr>
          <w:b/>
          <w:sz w:val="24"/>
          <w:szCs w:val="24"/>
        </w:rPr>
        <w:t>xx</w:t>
      </w:r>
      <w:r w:rsidRPr="00DD04E7">
        <w:rPr>
          <w:b/>
          <w:sz w:val="24"/>
          <w:szCs w:val="24"/>
        </w:rPr>
        <w:t>: Dimenze 1: Intervenční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27A16" w:rsidRPr="00DD04E7" w:rsidTr="00530623">
        <w:tc>
          <w:tcPr>
            <w:tcW w:w="4640" w:type="dxa"/>
            <w:shd w:val="clear" w:color="auto" w:fill="auto"/>
          </w:tcPr>
          <w:p w:rsidR="00527A16" w:rsidRPr="00DD04E7" w:rsidRDefault="00527A16" w:rsidP="00530623">
            <w:pPr>
              <w:spacing w:after="120" w:line="288" w:lineRule="auto"/>
              <w:rPr>
                <w:b/>
                <w:sz w:val="22"/>
                <w:szCs w:val="22"/>
              </w:rPr>
            </w:pPr>
            <w:r w:rsidRPr="00DD04E7">
              <w:rPr>
                <w:b/>
                <w:sz w:val="22"/>
                <w:szCs w:val="22"/>
              </w:rPr>
              <w:t>Kód</w:t>
            </w:r>
          </w:p>
        </w:tc>
        <w:tc>
          <w:tcPr>
            <w:tcW w:w="4640" w:type="dxa"/>
            <w:shd w:val="clear" w:color="auto" w:fill="auto"/>
          </w:tcPr>
          <w:p w:rsidR="00527A16" w:rsidRPr="00DD04E7" w:rsidRDefault="00527A16" w:rsidP="00530623">
            <w:pPr>
              <w:spacing w:after="120" w:line="288" w:lineRule="auto"/>
              <w:rPr>
                <w:b/>
                <w:sz w:val="22"/>
                <w:szCs w:val="22"/>
              </w:rPr>
            </w:pPr>
            <w:r w:rsidRPr="00DD04E7">
              <w:rPr>
                <w:b/>
                <w:bCs/>
                <w:sz w:val="22"/>
                <w:szCs w:val="22"/>
              </w:rPr>
              <w:t>Příspěvek z EU: indikativní částka (EUR)</w:t>
            </w:r>
          </w:p>
        </w:tc>
      </w:tr>
      <w:tr w:rsidR="00527A16" w:rsidRPr="00DD04E7" w:rsidTr="00530623">
        <w:tc>
          <w:tcPr>
            <w:tcW w:w="4640" w:type="dxa"/>
            <w:shd w:val="clear" w:color="auto" w:fill="auto"/>
          </w:tcPr>
          <w:p w:rsidR="00527A16" w:rsidRPr="00DD04E7" w:rsidRDefault="00527A16" w:rsidP="00530623">
            <w:pPr>
              <w:spacing w:after="120" w:line="288" w:lineRule="auto"/>
            </w:pPr>
          </w:p>
        </w:tc>
        <w:tc>
          <w:tcPr>
            <w:tcW w:w="4640" w:type="dxa"/>
            <w:shd w:val="clear" w:color="auto" w:fill="auto"/>
          </w:tcPr>
          <w:p w:rsidR="00527A16" w:rsidRPr="00DD04E7" w:rsidRDefault="00527A16" w:rsidP="00530623">
            <w:pPr>
              <w:spacing w:after="120" w:line="288" w:lineRule="auto"/>
            </w:pPr>
          </w:p>
        </w:tc>
      </w:tr>
    </w:tbl>
    <w:p w:rsidR="00527A16" w:rsidRPr="00DD04E7" w:rsidRDefault="00527A16" w:rsidP="00527A16">
      <w:pPr>
        <w:pStyle w:val="TextNOK"/>
        <w:spacing w:before="60" w:after="60"/>
        <w:rPr>
          <w:rFonts w:ascii="Times New Roman" w:hAnsi="Times New Roman"/>
          <w:szCs w:val="20"/>
        </w:rPr>
      </w:pPr>
      <w:r w:rsidRPr="00DD04E7">
        <w:rPr>
          <w:rFonts w:ascii="Times New Roman" w:hAnsi="Times New Roman"/>
          <w:szCs w:val="20"/>
        </w:rPr>
        <w:t>Zdroj: Evropská komise</w:t>
      </w:r>
    </w:p>
    <w:p w:rsidR="00527A16" w:rsidRPr="00DD04E7" w:rsidRDefault="00527A16" w:rsidP="00527A16">
      <w:pPr>
        <w:spacing w:after="120" w:line="288" w:lineRule="auto"/>
      </w:pPr>
    </w:p>
    <w:p w:rsidR="00527A16" w:rsidRPr="00DD04E7" w:rsidRDefault="00527A16" w:rsidP="00527A16">
      <w:pPr>
        <w:spacing w:after="120"/>
        <w:rPr>
          <w:b/>
          <w:sz w:val="24"/>
          <w:szCs w:val="24"/>
        </w:rPr>
      </w:pPr>
      <w:r w:rsidRPr="00DD04E7">
        <w:rPr>
          <w:b/>
          <w:sz w:val="24"/>
          <w:szCs w:val="24"/>
        </w:rPr>
        <w:t xml:space="preserve">Tabulka </w:t>
      </w:r>
      <w:r w:rsidR="009C7BE0" w:rsidRPr="00DD04E7">
        <w:rPr>
          <w:b/>
          <w:sz w:val="24"/>
          <w:szCs w:val="24"/>
        </w:rPr>
        <w:t>xx</w:t>
      </w:r>
      <w:r w:rsidRPr="00DD04E7">
        <w:rPr>
          <w:b/>
          <w:sz w:val="24"/>
          <w:szCs w:val="24"/>
        </w:rPr>
        <w:t>: Dimenze 2: Forma financování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27A16" w:rsidRPr="00DD04E7" w:rsidTr="00530623">
        <w:tc>
          <w:tcPr>
            <w:tcW w:w="4640" w:type="dxa"/>
            <w:shd w:val="clear" w:color="auto" w:fill="auto"/>
          </w:tcPr>
          <w:p w:rsidR="00527A16" w:rsidRPr="00DD04E7" w:rsidRDefault="00527A16" w:rsidP="00530623">
            <w:pPr>
              <w:spacing w:after="120" w:line="288" w:lineRule="auto"/>
              <w:rPr>
                <w:b/>
                <w:sz w:val="22"/>
                <w:szCs w:val="22"/>
              </w:rPr>
            </w:pPr>
            <w:r w:rsidRPr="00DD04E7">
              <w:rPr>
                <w:b/>
                <w:sz w:val="22"/>
                <w:szCs w:val="22"/>
              </w:rPr>
              <w:t>Kód</w:t>
            </w:r>
          </w:p>
        </w:tc>
        <w:tc>
          <w:tcPr>
            <w:tcW w:w="4640" w:type="dxa"/>
            <w:shd w:val="clear" w:color="auto" w:fill="auto"/>
          </w:tcPr>
          <w:p w:rsidR="00527A16" w:rsidRPr="00DD04E7" w:rsidRDefault="00527A16" w:rsidP="00530623">
            <w:pPr>
              <w:spacing w:after="120" w:line="288" w:lineRule="auto"/>
              <w:rPr>
                <w:b/>
                <w:sz w:val="22"/>
                <w:szCs w:val="22"/>
              </w:rPr>
            </w:pPr>
            <w:r w:rsidRPr="00DD04E7">
              <w:rPr>
                <w:b/>
                <w:bCs/>
                <w:sz w:val="22"/>
                <w:szCs w:val="22"/>
              </w:rPr>
              <w:t>Příspěvek z EU: indikativní částka (EUR)</w:t>
            </w:r>
          </w:p>
        </w:tc>
      </w:tr>
      <w:tr w:rsidR="00527A16" w:rsidRPr="00DD04E7" w:rsidTr="00530623">
        <w:tc>
          <w:tcPr>
            <w:tcW w:w="4640" w:type="dxa"/>
            <w:shd w:val="clear" w:color="auto" w:fill="auto"/>
          </w:tcPr>
          <w:p w:rsidR="00527A16" w:rsidRPr="00DD04E7" w:rsidRDefault="00527A16" w:rsidP="00530623">
            <w:pPr>
              <w:spacing w:after="120" w:line="288" w:lineRule="auto"/>
            </w:pPr>
          </w:p>
        </w:tc>
        <w:tc>
          <w:tcPr>
            <w:tcW w:w="4640" w:type="dxa"/>
            <w:shd w:val="clear" w:color="auto" w:fill="auto"/>
          </w:tcPr>
          <w:p w:rsidR="00527A16" w:rsidRPr="00DD04E7" w:rsidRDefault="00527A16" w:rsidP="00530623">
            <w:pPr>
              <w:spacing w:after="120" w:line="288" w:lineRule="auto"/>
            </w:pPr>
          </w:p>
        </w:tc>
      </w:tr>
    </w:tbl>
    <w:p w:rsidR="00527A16" w:rsidRPr="00DD04E7" w:rsidRDefault="00527A16" w:rsidP="00527A16">
      <w:pPr>
        <w:pStyle w:val="TextNOK"/>
        <w:spacing w:before="60" w:after="60"/>
        <w:rPr>
          <w:rFonts w:ascii="Times New Roman" w:hAnsi="Times New Roman"/>
          <w:szCs w:val="20"/>
        </w:rPr>
      </w:pPr>
      <w:r w:rsidRPr="00DD04E7">
        <w:rPr>
          <w:rFonts w:ascii="Times New Roman" w:hAnsi="Times New Roman"/>
          <w:szCs w:val="20"/>
        </w:rPr>
        <w:t>Zdroj: Evropská komise</w:t>
      </w:r>
    </w:p>
    <w:p w:rsidR="00527A16" w:rsidRPr="00DD04E7" w:rsidRDefault="00527A16" w:rsidP="00527A16"/>
    <w:p w:rsidR="00527A16" w:rsidRPr="00DD04E7" w:rsidRDefault="00527A16" w:rsidP="00527A16">
      <w:pPr>
        <w:spacing w:after="120"/>
        <w:rPr>
          <w:b/>
          <w:sz w:val="24"/>
          <w:szCs w:val="24"/>
        </w:rPr>
      </w:pPr>
      <w:r w:rsidRPr="00DD04E7">
        <w:rPr>
          <w:b/>
          <w:sz w:val="24"/>
          <w:szCs w:val="24"/>
        </w:rPr>
        <w:t xml:space="preserve">Tabulka </w:t>
      </w:r>
      <w:r w:rsidR="009C7BE0" w:rsidRPr="00DD04E7">
        <w:rPr>
          <w:b/>
          <w:sz w:val="24"/>
          <w:szCs w:val="24"/>
        </w:rPr>
        <w:t>xx</w:t>
      </w:r>
      <w:r w:rsidRPr="00DD04E7">
        <w:rPr>
          <w:b/>
          <w:sz w:val="24"/>
          <w:szCs w:val="24"/>
        </w:rPr>
        <w:t>: Dimenze 3: Území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27A16" w:rsidRPr="00DD04E7" w:rsidTr="00530623">
        <w:tc>
          <w:tcPr>
            <w:tcW w:w="4640" w:type="dxa"/>
            <w:shd w:val="clear" w:color="auto" w:fill="auto"/>
          </w:tcPr>
          <w:p w:rsidR="00527A16" w:rsidRPr="00DD04E7" w:rsidRDefault="00527A16" w:rsidP="00530623">
            <w:pPr>
              <w:spacing w:after="120" w:line="288" w:lineRule="auto"/>
              <w:rPr>
                <w:b/>
                <w:sz w:val="22"/>
                <w:szCs w:val="22"/>
              </w:rPr>
            </w:pPr>
            <w:r w:rsidRPr="00DD04E7">
              <w:rPr>
                <w:b/>
                <w:sz w:val="22"/>
                <w:szCs w:val="22"/>
              </w:rPr>
              <w:t>Kód</w:t>
            </w:r>
          </w:p>
        </w:tc>
        <w:tc>
          <w:tcPr>
            <w:tcW w:w="4640" w:type="dxa"/>
            <w:shd w:val="clear" w:color="auto" w:fill="auto"/>
          </w:tcPr>
          <w:p w:rsidR="00527A16" w:rsidRPr="00DD04E7" w:rsidRDefault="00527A16" w:rsidP="00530623">
            <w:pPr>
              <w:spacing w:after="120" w:line="288" w:lineRule="auto"/>
              <w:rPr>
                <w:b/>
                <w:sz w:val="22"/>
                <w:szCs w:val="22"/>
              </w:rPr>
            </w:pPr>
            <w:r w:rsidRPr="00DD04E7">
              <w:rPr>
                <w:b/>
                <w:bCs/>
                <w:sz w:val="22"/>
                <w:szCs w:val="22"/>
              </w:rPr>
              <w:t>Příspěvek z EU: indikativní částka (EUR)</w:t>
            </w:r>
          </w:p>
        </w:tc>
      </w:tr>
      <w:tr w:rsidR="00527A16" w:rsidRPr="00DD04E7" w:rsidTr="00530623">
        <w:tc>
          <w:tcPr>
            <w:tcW w:w="4640" w:type="dxa"/>
            <w:shd w:val="clear" w:color="auto" w:fill="auto"/>
          </w:tcPr>
          <w:p w:rsidR="00527A16" w:rsidRPr="00DD04E7" w:rsidRDefault="00527A16" w:rsidP="00530623">
            <w:pPr>
              <w:spacing w:after="120" w:line="288" w:lineRule="auto"/>
            </w:pPr>
          </w:p>
        </w:tc>
        <w:tc>
          <w:tcPr>
            <w:tcW w:w="4640" w:type="dxa"/>
            <w:shd w:val="clear" w:color="auto" w:fill="auto"/>
          </w:tcPr>
          <w:p w:rsidR="00527A16" w:rsidRPr="00DD04E7" w:rsidRDefault="00527A16" w:rsidP="00530623">
            <w:pPr>
              <w:spacing w:after="120" w:line="288" w:lineRule="auto"/>
            </w:pPr>
          </w:p>
        </w:tc>
      </w:tr>
    </w:tbl>
    <w:p w:rsidR="00527A16" w:rsidRPr="00DD04E7" w:rsidRDefault="00527A16" w:rsidP="00527A16">
      <w:pPr>
        <w:pStyle w:val="TextNOK"/>
        <w:spacing w:before="60" w:after="60"/>
        <w:rPr>
          <w:rFonts w:ascii="Times New Roman" w:hAnsi="Times New Roman"/>
          <w:szCs w:val="20"/>
        </w:rPr>
      </w:pPr>
      <w:r w:rsidRPr="00DD04E7">
        <w:rPr>
          <w:rFonts w:ascii="Times New Roman" w:hAnsi="Times New Roman"/>
          <w:szCs w:val="20"/>
        </w:rPr>
        <w:t>Zdroj: Evropská komise</w:t>
      </w:r>
    </w:p>
    <w:p w:rsidR="00527A16" w:rsidRPr="00DD04E7" w:rsidRDefault="00527A16" w:rsidP="00527A16"/>
    <w:p w:rsidR="00527A16" w:rsidRPr="00DD04E7" w:rsidRDefault="00527A16" w:rsidP="00527A16">
      <w:pPr>
        <w:spacing w:after="120"/>
        <w:rPr>
          <w:b/>
          <w:sz w:val="24"/>
          <w:szCs w:val="24"/>
        </w:rPr>
      </w:pPr>
      <w:r w:rsidRPr="00DD04E7">
        <w:rPr>
          <w:b/>
          <w:sz w:val="24"/>
          <w:szCs w:val="24"/>
        </w:rPr>
        <w:t xml:space="preserve">Tabulka </w:t>
      </w:r>
      <w:r w:rsidR="009C7BE0" w:rsidRPr="00DD04E7">
        <w:rPr>
          <w:b/>
          <w:sz w:val="24"/>
          <w:szCs w:val="24"/>
        </w:rPr>
        <w:t>xx</w:t>
      </w:r>
      <w:r w:rsidRPr="00DD04E7">
        <w:rPr>
          <w:b/>
          <w:sz w:val="24"/>
          <w:szCs w:val="24"/>
        </w:rPr>
        <w:t>: Dimenze 4: Sekundární téma pro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27A16" w:rsidRPr="00DD04E7" w:rsidTr="00530623">
        <w:tc>
          <w:tcPr>
            <w:tcW w:w="4640" w:type="dxa"/>
            <w:shd w:val="clear" w:color="auto" w:fill="auto"/>
          </w:tcPr>
          <w:p w:rsidR="00527A16" w:rsidRPr="00DD04E7" w:rsidRDefault="00527A16" w:rsidP="00530623">
            <w:pPr>
              <w:spacing w:after="120" w:line="288" w:lineRule="auto"/>
              <w:rPr>
                <w:b/>
                <w:sz w:val="22"/>
                <w:szCs w:val="22"/>
              </w:rPr>
            </w:pPr>
            <w:r w:rsidRPr="00DD04E7">
              <w:rPr>
                <w:b/>
                <w:sz w:val="22"/>
                <w:szCs w:val="22"/>
              </w:rPr>
              <w:t>Kód</w:t>
            </w:r>
          </w:p>
        </w:tc>
        <w:tc>
          <w:tcPr>
            <w:tcW w:w="4640" w:type="dxa"/>
            <w:shd w:val="clear" w:color="auto" w:fill="auto"/>
          </w:tcPr>
          <w:p w:rsidR="00527A16" w:rsidRPr="00DD04E7" w:rsidRDefault="00527A16" w:rsidP="00530623">
            <w:pPr>
              <w:spacing w:after="120" w:line="288" w:lineRule="auto"/>
              <w:rPr>
                <w:b/>
                <w:sz w:val="22"/>
                <w:szCs w:val="22"/>
              </w:rPr>
            </w:pPr>
            <w:r w:rsidRPr="00DD04E7">
              <w:rPr>
                <w:b/>
                <w:bCs/>
                <w:sz w:val="22"/>
                <w:szCs w:val="22"/>
              </w:rPr>
              <w:t>Příspěvek z EU: indikativní částka (EUR)</w:t>
            </w:r>
          </w:p>
        </w:tc>
      </w:tr>
      <w:tr w:rsidR="00527A16" w:rsidRPr="00DD04E7" w:rsidTr="00530623">
        <w:tc>
          <w:tcPr>
            <w:tcW w:w="4640" w:type="dxa"/>
            <w:shd w:val="clear" w:color="auto" w:fill="auto"/>
          </w:tcPr>
          <w:p w:rsidR="00527A16" w:rsidRPr="00DD04E7" w:rsidRDefault="00527A16" w:rsidP="00530623">
            <w:pPr>
              <w:spacing w:after="120" w:line="288" w:lineRule="auto"/>
            </w:pPr>
          </w:p>
        </w:tc>
        <w:tc>
          <w:tcPr>
            <w:tcW w:w="4640" w:type="dxa"/>
            <w:shd w:val="clear" w:color="auto" w:fill="auto"/>
          </w:tcPr>
          <w:p w:rsidR="00527A16" w:rsidRPr="00DD04E7" w:rsidRDefault="00527A16" w:rsidP="00530623">
            <w:pPr>
              <w:spacing w:after="120" w:line="288" w:lineRule="auto"/>
            </w:pPr>
          </w:p>
        </w:tc>
      </w:tr>
    </w:tbl>
    <w:p w:rsidR="00527A16" w:rsidRPr="009A0366" w:rsidRDefault="00527A16" w:rsidP="00527A16">
      <w:pPr>
        <w:pStyle w:val="TextNOK"/>
        <w:spacing w:before="60" w:after="60"/>
        <w:rPr>
          <w:rFonts w:ascii="Times New Roman" w:hAnsi="Times New Roman"/>
          <w:szCs w:val="20"/>
        </w:rPr>
      </w:pPr>
      <w:r w:rsidRPr="00DD04E7">
        <w:rPr>
          <w:rFonts w:ascii="Times New Roman" w:hAnsi="Times New Roman"/>
          <w:szCs w:val="20"/>
        </w:rPr>
        <w:t>Zdroj: Evropská ko</w:t>
      </w:r>
      <w:r w:rsidRPr="009A0366">
        <w:rPr>
          <w:rFonts w:ascii="Times New Roman" w:hAnsi="Times New Roman"/>
          <w:szCs w:val="20"/>
        </w:rPr>
        <w:t>mise</w:t>
      </w:r>
    </w:p>
    <w:p w:rsidR="00527A16" w:rsidRPr="009A0366" w:rsidRDefault="00527A16" w:rsidP="00527A16">
      <w:pPr>
        <w:pStyle w:val="Seznamsodrkami"/>
      </w:pPr>
    </w:p>
    <w:p w:rsidR="00527A16" w:rsidRPr="009A0366" w:rsidRDefault="00527A16" w:rsidP="00527A16">
      <w:pPr>
        <w:pStyle w:val="Nadpis3"/>
      </w:pPr>
      <w:bookmarkStart w:id="65" w:name="_Toc352328372"/>
      <w:bookmarkStart w:id="66" w:name="_Toc351464386"/>
      <w:r w:rsidRPr="009A0366">
        <w:t>Souhrn plánovaného využití technické pomoci, včetně aktivit na posílení administrativní kapacity odpovědných subjektů a p</w:t>
      </w:r>
      <w:r>
        <w:t>říjemců v dané prioritní ose</w:t>
      </w:r>
      <w:bookmarkEnd w:id="65"/>
      <w:r w:rsidRPr="009A0366">
        <w:t xml:space="preserve"> </w:t>
      </w:r>
      <w:bookmarkEnd w:id="66"/>
    </w:p>
    <w:p w:rsidR="00527A16" w:rsidRDefault="00527A16" w:rsidP="00527A16">
      <w:pPr>
        <w:overflowPunct/>
        <w:ind w:left="1410" w:hanging="1410"/>
        <w:jc w:val="both"/>
        <w:textAlignment w:val="auto"/>
        <w:rPr>
          <w:b/>
          <w:bCs/>
          <w:sz w:val="24"/>
          <w:szCs w:val="24"/>
        </w:rPr>
      </w:pPr>
    </w:p>
    <w:p w:rsidR="00CF5E63" w:rsidRPr="00047389" w:rsidRDefault="003D2733" w:rsidP="00B1484D">
      <w:pPr>
        <w:pStyle w:val="Nadpis2"/>
      </w:pPr>
      <w:bookmarkStart w:id="67" w:name="_Toc351464387"/>
      <w:bookmarkStart w:id="68" w:name="_Toc352328373"/>
      <w:r w:rsidRPr="00047389">
        <w:t>Prioritní os</w:t>
      </w:r>
      <w:r w:rsidR="00CB2B83" w:rsidRPr="00047389">
        <w:t>a</w:t>
      </w:r>
      <w:r w:rsidRPr="00047389">
        <w:t xml:space="preserve"> </w:t>
      </w:r>
      <w:r w:rsidR="00CB2B83" w:rsidRPr="00047389">
        <w:t xml:space="preserve">3 </w:t>
      </w:r>
      <w:r w:rsidR="003568A9" w:rsidRPr="00047389">
        <w:t xml:space="preserve">- </w:t>
      </w:r>
      <w:r w:rsidR="008D4BCB" w:rsidRPr="00047389">
        <w:t>Udržitelné hospodaření s energií</w:t>
      </w:r>
      <w:r w:rsidR="00CB2B83" w:rsidRPr="00047389">
        <w:t xml:space="preserve"> a rozvoj inovací v energetice</w:t>
      </w:r>
      <w:bookmarkEnd w:id="67"/>
      <w:bookmarkEnd w:id="68"/>
    </w:p>
    <w:p w:rsidR="00C45CD5" w:rsidRDefault="00C45CD5" w:rsidP="00047389">
      <w:pPr>
        <w:overflowPunct/>
        <w:spacing w:after="120"/>
        <w:jc w:val="both"/>
        <w:textAlignment w:val="auto"/>
        <w:rPr>
          <w:rFonts w:asciiTheme="minorHAnsi" w:hAnsiTheme="minorHAnsi" w:cstheme="minorHAnsi"/>
          <w:sz w:val="24"/>
          <w:szCs w:val="24"/>
        </w:rPr>
      </w:pPr>
      <w:r w:rsidRPr="00E40039">
        <w:rPr>
          <w:rFonts w:asciiTheme="minorHAnsi" w:hAnsiTheme="minorHAnsi" w:cstheme="minorHAnsi"/>
          <w:bCs/>
          <w:sz w:val="24"/>
          <w:szCs w:val="24"/>
        </w:rPr>
        <w:t xml:space="preserve">Tato prioritní osa bude implementována v návaznosti na tematický cíl č. </w:t>
      </w:r>
      <w:r>
        <w:rPr>
          <w:rFonts w:asciiTheme="minorHAnsi" w:hAnsiTheme="minorHAnsi" w:cstheme="minorHAnsi"/>
          <w:bCs/>
          <w:sz w:val="24"/>
          <w:szCs w:val="24"/>
        </w:rPr>
        <w:t>4</w:t>
      </w:r>
      <w:r w:rsidR="00047389">
        <w:rPr>
          <w:rFonts w:asciiTheme="minorHAnsi" w:hAnsiTheme="minorHAnsi" w:cstheme="minorHAnsi"/>
          <w:bCs/>
          <w:sz w:val="24"/>
          <w:szCs w:val="24"/>
        </w:rPr>
        <w:t xml:space="preserve"> </w:t>
      </w:r>
      <w:r w:rsidRPr="00C45CD5">
        <w:rPr>
          <w:rFonts w:asciiTheme="minorHAnsi" w:hAnsiTheme="minorHAnsi" w:cstheme="minorHAnsi"/>
          <w:sz w:val="24"/>
          <w:szCs w:val="24"/>
        </w:rPr>
        <w:t>Podpora přechodu na nízkouhlíkové hospodářství ve všech odvětvích</w:t>
      </w:r>
      <w:r w:rsidRPr="00E40039">
        <w:rPr>
          <w:rFonts w:asciiTheme="minorHAnsi" w:hAnsiTheme="minorHAnsi" w:cstheme="minorHAnsi"/>
          <w:sz w:val="24"/>
          <w:szCs w:val="24"/>
        </w:rPr>
        <w:t xml:space="preserve"> definované</w:t>
      </w:r>
      <w:r w:rsidRPr="00DD04E7">
        <w:rPr>
          <w:rFonts w:asciiTheme="minorHAnsi" w:hAnsiTheme="minorHAnsi" w:cstheme="minorHAnsi"/>
          <w:sz w:val="24"/>
          <w:szCs w:val="24"/>
        </w:rPr>
        <w:t>m v nařízení č. xxxx/2013 s cílem přispět k naplnění odpovídající investiční priority definované v nařízení č. xxxx/2013.</w:t>
      </w:r>
      <w:r w:rsidRPr="00E40039">
        <w:rPr>
          <w:rFonts w:asciiTheme="minorHAnsi" w:hAnsiTheme="minorHAnsi" w:cstheme="minorHAnsi"/>
          <w:sz w:val="24"/>
          <w:szCs w:val="24"/>
        </w:rPr>
        <w:t xml:space="preserve"> </w:t>
      </w:r>
    </w:p>
    <w:p w:rsidR="00C45CD5" w:rsidRDefault="00C45CD5" w:rsidP="00C45CD5">
      <w:pPr>
        <w:overflowPunct/>
        <w:jc w:val="both"/>
        <w:textAlignment w:val="auto"/>
        <w:rPr>
          <w:rFonts w:asciiTheme="minorHAnsi" w:hAnsiTheme="minorHAnsi" w:cstheme="minorHAnsi"/>
          <w:sz w:val="24"/>
          <w:szCs w:val="24"/>
        </w:rPr>
      </w:pPr>
    </w:p>
    <w:p w:rsidR="00C45CD5" w:rsidRPr="00F0484B" w:rsidRDefault="00C45CD5" w:rsidP="00AE0AB9">
      <w:pPr>
        <w:pStyle w:val="TextNOK"/>
        <w:keepNext/>
        <w:spacing w:before="60" w:line="240" w:lineRule="auto"/>
        <w:rPr>
          <w:rFonts w:ascii="Times New Roman" w:hAnsi="Times New Roman"/>
          <w:b/>
          <w:sz w:val="24"/>
          <w:szCs w:val="24"/>
        </w:rPr>
      </w:pPr>
      <w:r w:rsidRPr="00DD04E7">
        <w:rPr>
          <w:rFonts w:ascii="Times New Roman" w:hAnsi="Times New Roman"/>
          <w:b/>
          <w:sz w:val="24"/>
          <w:szCs w:val="24"/>
        </w:rPr>
        <w:t>Tabulka xx: S</w:t>
      </w:r>
      <w:r w:rsidRPr="008A50E3">
        <w:rPr>
          <w:rFonts w:ascii="Times New Roman" w:hAnsi="Times New Roman"/>
          <w:b/>
          <w:sz w:val="24"/>
          <w:szCs w:val="24"/>
        </w:rPr>
        <w:t>eznam všech indikátorů programu</w:t>
      </w:r>
      <w:r w:rsidR="00F0484B">
        <w:rPr>
          <w:rFonts w:ascii="Times New Roman" w:hAnsi="Times New Roman"/>
          <w:b/>
          <w:sz w:val="24"/>
          <w:szCs w:val="24"/>
        </w:rPr>
        <w:t xml:space="preserve"> </w:t>
      </w:r>
    </w:p>
    <w:tbl>
      <w:tblPr>
        <w:tblW w:w="10987"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1417"/>
        <w:gridCol w:w="992"/>
        <w:gridCol w:w="992"/>
        <w:gridCol w:w="992"/>
        <w:gridCol w:w="1134"/>
        <w:gridCol w:w="851"/>
        <w:gridCol w:w="815"/>
      </w:tblGrid>
      <w:tr w:rsidR="00F0484B" w:rsidRPr="009A0366" w:rsidTr="00641EA3">
        <w:tc>
          <w:tcPr>
            <w:tcW w:w="1101" w:type="dxa"/>
            <w:vMerge w:val="restart"/>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Specifický cíl</w:t>
            </w:r>
          </w:p>
        </w:tc>
        <w:tc>
          <w:tcPr>
            <w:tcW w:w="1134" w:type="dxa"/>
            <w:vMerge w:val="restart"/>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4110" w:type="dxa"/>
            <w:gridSpan w:val="4"/>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992" w:type="dxa"/>
            <w:vMerge w:val="restart"/>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815" w:type="dxa"/>
            <w:vMerge w:val="restart"/>
            <w:shd w:val="clear" w:color="auto" w:fill="auto"/>
          </w:tcPr>
          <w:p w:rsidR="00F0484B" w:rsidRPr="009A0366" w:rsidRDefault="00F0484B" w:rsidP="00F0484B">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F0484B" w:rsidRPr="009A0366" w:rsidTr="00641EA3">
        <w:tc>
          <w:tcPr>
            <w:tcW w:w="1101" w:type="dxa"/>
            <w:vMerge/>
            <w:shd w:val="clear" w:color="auto" w:fill="auto"/>
          </w:tcPr>
          <w:p w:rsidR="00F0484B" w:rsidRPr="009A0366" w:rsidRDefault="00F0484B" w:rsidP="00F0484B">
            <w:pPr>
              <w:pStyle w:val="TextMetodika"/>
              <w:jc w:val="center"/>
              <w:rPr>
                <w:rFonts w:ascii="Times New Roman" w:hAnsi="Times New Roman"/>
                <w:b/>
                <w:bCs/>
                <w:sz w:val="22"/>
                <w:szCs w:val="22"/>
              </w:rPr>
            </w:pPr>
          </w:p>
        </w:tc>
        <w:tc>
          <w:tcPr>
            <w:tcW w:w="850" w:type="dxa"/>
            <w:vMerge/>
            <w:shd w:val="clear" w:color="auto" w:fill="auto"/>
          </w:tcPr>
          <w:p w:rsidR="00F0484B" w:rsidRPr="009A0366" w:rsidRDefault="00F0484B" w:rsidP="00F0484B">
            <w:pPr>
              <w:pStyle w:val="TextMetodika"/>
              <w:jc w:val="center"/>
              <w:rPr>
                <w:rFonts w:ascii="Times New Roman" w:hAnsi="Times New Roman"/>
                <w:b/>
                <w:bCs/>
                <w:sz w:val="22"/>
                <w:szCs w:val="22"/>
              </w:rPr>
            </w:pPr>
          </w:p>
        </w:tc>
        <w:tc>
          <w:tcPr>
            <w:tcW w:w="1134" w:type="dxa"/>
            <w:vMerge/>
            <w:shd w:val="clear" w:color="auto" w:fill="auto"/>
          </w:tcPr>
          <w:p w:rsidR="00F0484B" w:rsidRPr="009A0366" w:rsidRDefault="00F0484B" w:rsidP="00F0484B">
            <w:pPr>
              <w:pStyle w:val="TextMetodika"/>
              <w:jc w:val="center"/>
              <w:rPr>
                <w:rFonts w:ascii="Times New Roman" w:hAnsi="Times New Roman"/>
                <w:b/>
                <w:bCs/>
                <w:sz w:val="22"/>
                <w:szCs w:val="22"/>
              </w:rPr>
            </w:pPr>
          </w:p>
        </w:tc>
        <w:tc>
          <w:tcPr>
            <w:tcW w:w="709" w:type="dxa"/>
            <w:shd w:val="clear" w:color="auto" w:fill="auto"/>
          </w:tcPr>
          <w:p w:rsidR="00F0484B" w:rsidRPr="009A0366" w:rsidRDefault="00F0484B" w:rsidP="00F0484B">
            <w:pPr>
              <w:pStyle w:val="TextMetodika"/>
              <w:jc w:val="center"/>
              <w:rPr>
                <w:rFonts w:ascii="Times New Roman" w:hAnsi="Times New Roman"/>
                <w:b/>
                <w:bCs/>
                <w:sz w:val="22"/>
                <w:szCs w:val="22"/>
              </w:rPr>
            </w:pPr>
            <w:r w:rsidRPr="009A0366">
              <w:rPr>
                <w:rFonts w:ascii="Times New Roman" w:hAnsi="Times New Roman"/>
                <w:b/>
                <w:bCs/>
                <w:sz w:val="22"/>
                <w:szCs w:val="22"/>
              </w:rPr>
              <w:t>Kód NČI 2014+</w:t>
            </w:r>
          </w:p>
        </w:tc>
        <w:tc>
          <w:tcPr>
            <w:tcW w:w="1417" w:type="dxa"/>
            <w:shd w:val="clear" w:color="auto" w:fill="auto"/>
          </w:tcPr>
          <w:p w:rsidR="00F0484B" w:rsidRPr="009A0366" w:rsidRDefault="00F0484B" w:rsidP="00F0484B">
            <w:pPr>
              <w:pStyle w:val="TextMetodika"/>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F0484B" w:rsidRPr="009A0366" w:rsidRDefault="00F0484B" w:rsidP="00F0484B">
            <w:pPr>
              <w:pStyle w:val="TextMetodika"/>
              <w:jc w:val="center"/>
              <w:rPr>
                <w:rFonts w:ascii="Times New Roman" w:hAnsi="Times New Roman"/>
                <w:b/>
                <w:bCs/>
                <w:sz w:val="22"/>
                <w:szCs w:val="22"/>
              </w:rPr>
            </w:pPr>
            <w:r w:rsidRPr="009A0366">
              <w:rPr>
                <w:rFonts w:ascii="Times New Roman" w:hAnsi="Times New Roman"/>
                <w:b/>
                <w:bCs/>
                <w:sz w:val="22"/>
                <w:szCs w:val="22"/>
              </w:rPr>
              <w:t>Měrná jednotka</w:t>
            </w:r>
          </w:p>
        </w:tc>
        <w:tc>
          <w:tcPr>
            <w:tcW w:w="992" w:type="dxa"/>
            <w:shd w:val="clear" w:color="auto" w:fill="auto"/>
          </w:tcPr>
          <w:p w:rsidR="00F0484B" w:rsidRPr="009A0366" w:rsidRDefault="00F0484B" w:rsidP="00F0484B">
            <w:pPr>
              <w:pStyle w:val="TextMetodika"/>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992" w:type="dxa"/>
            <w:vMerge/>
            <w:shd w:val="clear" w:color="auto" w:fill="auto"/>
          </w:tcPr>
          <w:p w:rsidR="00F0484B" w:rsidRPr="009A0366" w:rsidRDefault="00F0484B" w:rsidP="00F0484B">
            <w:pPr>
              <w:pStyle w:val="TextMetodika"/>
              <w:jc w:val="center"/>
              <w:rPr>
                <w:rFonts w:ascii="Times New Roman" w:hAnsi="Times New Roman"/>
                <w:b/>
                <w:bCs/>
                <w:sz w:val="22"/>
                <w:szCs w:val="22"/>
              </w:rPr>
            </w:pPr>
          </w:p>
        </w:tc>
        <w:tc>
          <w:tcPr>
            <w:tcW w:w="1134" w:type="dxa"/>
            <w:vMerge/>
            <w:shd w:val="clear" w:color="auto" w:fill="auto"/>
          </w:tcPr>
          <w:p w:rsidR="00F0484B" w:rsidRPr="009A0366" w:rsidRDefault="00F0484B" w:rsidP="00F0484B">
            <w:pPr>
              <w:pStyle w:val="TextMetodika"/>
              <w:jc w:val="center"/>
              <w:rPr>
                <w:rFonts w:ascii="Times New Roman" w:hAnsi="Times New Roman"/>
                <w:b/>
                <w:bCs/>
                <w:sz w:val="22"/>
                <w:szCs w:val="22"/>
              </w:rPr>
            </w:pPr>
          </w:p>
        </w:tc>
        <w:tc>
          <w:tcPr>
            <w:tcW w:w="851" w:type="dxa"/>
            <w:vMerge/>
            <w:shd w:val="clear" w:color="auto" w:fill="auto"/>
          </w:tcPr>
          <w:p w:rsidR="00F0484B" w:rsidRPr="009A0366" w:rsidRDefault="00F0484B" w:rsidP="00F0484B">
            <w:pPr>
              <w:pStyle w:val="TextMetodika"/>
              <w:jc w:val="center"/>
              <w:rPr>
                <w:rFonts w:ascii="Times New Roman" w:hAnsi="Times New Roman"/>
                <w:b/>
                <w:bCs/>
                <w:sz w:val="22"/>
                <w:szCs w:val="22"/>
              </w:rPr>
            </w:pPr>
          </w:p>
        </w:tc>
        <w:tc>
          <w:tcPr>
            <w:tcW w:w="815" w:type="dxa"/>
            <w:vMerge/>
            <w:shd w:val="clear" w:color="auto" w:fill="auto"/>
          </w:tcPr>
          <w:p w:rsidR="00F0484B" w:rsidRPr="009A0366" w:rsidRDefault="00F0484B" w:rsidP="00F0484B">
            <w:pPr>
              <w:pStyle w:val="TextMetodika"/>
              <w:jc w:val="center"/>
              <w:rPr>
                <w:rFonts w:ascii="Times New Roman" w:hAnsi="Times New Roman"/>
                <w:b/>
                <w:bCs/>
                <w:sz w:val="22"/>
                <w:szCs w:val="22"/>
              </w:rPr>
            </w:pPr>
          </w:p>
        </w:tc>
      </w:tr>
      <w:tr w:rsidR="00F0484B" w:rsidRPr="009A0366" w:rsidTr="00641EA3">
        <w:tc>
          <w:tcPr>
            <w:tcW w:w="1101" w:type="dxa"/>
            <w:shd w:val="clear" w:color="auto" w:fill="auto"/>
          </w:tcPr>
          <w:p w:rsidR="00F0484B" w:rsidRPr="00B47FEC" w:rsidRDefault="00F0484B" w:rsidP="00F0484B">
            <w:pPr>
              <w:pStyle w:val="TextMetodika"/>
              <w:jc w:val="center"/>
              <w:rPr>
                <w:rFonts w:ascii="Times New Roman" w:hAnsi="Times New Roman"/>
                <w:bCs/>
                <w:sz w:val="22"/>
                <w:szCs w:val="22"/>
              </w:rPr>
            </w:pPr>
            <w:r>
              <w:rPr>
                <w:rFonts w:ascii="Times New Roman" w:hAnsi="Times New Roman"/>
                <w:bCs/>
                <w:sz w:val="22"/>
                <w:szCs w:val="22"/>
              </w:rPr>
              <w:lastRenderedPageBreak/>
              <w:t>4a,4b,4d,4f,4g</w:t>
            </w:r>
          </w:p>
        </w:tc>
        <w:tc>
          <w:tcPr>
            <w:tcW w:w="850"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709"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417" w:type="dxa"/>
            <w:shd w:val="clear" w:color="auto" w:fill="auto"/>
          </w:tcPr>
          <w:p w:rsidR="00F0484B" w:rsidRPr="00B47FEC" w:rsidRDefault="00F0484B" w:rsidP="00F0484B">
            <w:pPr>
              <w:pStyle w:val="TextMetodika"/>
              <w:jc w:val="center"/>
              <w:rPr>
                <w:rFonts w:ascii="Times New Roman" w:hAnsi="Times New Roman"/>
                <w:bCs/>
                <w:sz w:val="22"/>
                <w:szCs w:val="22"/>
              </w:rPr>
            </w:pPr>
            <w:r w:rsidRPr="00B47FEC">
              <w:t>Number of enterprises receiving support</w:t>
            </w:r>
          </w:p>
        </w:tc>
        <w:tc>
          <w:tcPr>
            <w:tcW w:w="992" w:type="dxa"/>
            <w:shd w:val="clear" w:color="auto" w:fill="auto"/>
          </w:tcPr>
          <w:p w:rsidR="00F0484B" w:rsidRPr="00B47FEC" w:rsidRDefault="00F0484B" w:rsidP="00F0484B">
            <w:pPr>
              <w:pStyle w:val="TextMetodika"/>
              <w:jc w:val="center"/>
              <w:rPr>
                <w:rFonts w:ascii="Times New Roman" w:hAnsi="Times New Roman"/>
                <w:bCs/>
                <w:sz w:val="22"/>
                <w:szCs w:val="22"/>
              </w:rPr>
            </w:pPr>
            <w:r w:rsidRPr="00B47FEC">
              <w:t>enterprises</w:t>
            </w:r>
          </w:p>
        </w:tc>
        <w:tc>
          <w:tcPr>
            <w:tcW w:w="992" w:type="dxa"/>
            <w:shd w:val="clear" w:color="auto" w:fill="auto"/>
          </w:tcPr>
          <w:p w:rsidR="00F0484B" w:rsidRPr="00B47FEC" w:rsidRDefault="00F0484B" w:rsidP="00F0484B">
            <w:pPr>
              <w:pStyle w:val="TextMetodika"/>
              <w:jc w:val="center"/>
              <w:rPr>
                <w:rFonts w:ascii="Times New Roman" w:hAnsi="Times New Roman"/>
                <w:bCs/>
                <w:sz w:val="22"/>
                <w:szCs w:val="22"/>
              </w:rPr>
            </w:pPr>
            <w:r w:rsidRPr="00B47FEC">
              <w:rPr>
                <w:rFonts w:ascii="Times New Roman" w:hAnsi="Times New Roman"/>
                <w:bCs/>
                <w:sz w:val="22"/>
                <w:szCs w:val="22"/>
              </w:rPr>
              <w:t>výstup</w:t>
            </w:r>
          </w:p>
        </w:tc>
        <w:tc>
          <w:tcPr>
            <w:tcW w:w="992" w:type="dxa"/>
            <w:shd w:val="clear" w:color="auto" w:fill="auto"/>
          </w:tcPr>
          <w:p w:rsidR="00F0484B" w:rsidRPr="00B47FEC" w:rsidRDefault="00F0484B" w:rsidP="00F0484B">
            <w:pPr>
              <w:pStyle w:val="TextMetodika"/>
              <w:jc w:val="center"/>
              <w:rPr>
                <w:rFonts w:ascii="Times New Roman" w:hAnsi="Times New Roman"/>
                <w:bCs/>
                <w:sz w:val="22"/>
                <w:szCs w:val="22"/>
              </w:rPr>
            </w:pPr>
            <w:r w:rsidRPr="00B47FEC">
              <w:rPr>
                <w:rFonts w:ascii="Times New Roman" w:hAnsi="Times New Roman"/>
                <w:bCs/>
                <w:sz w:val="22"/>
                <w:szCs w:val="22"/>
              </w:rPr>
              <w:t>0</w:t>
            </w: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851" w:type="dxa"/>
            <w:shd w:val="clear" w:color="auto" w:fill="auto"/>
          </w:tcPr>
          <w:p w:rsidR="00F0484B" w:rsidRPr="00B47FEC" w:rsidRDefault="00F0484B" w:rsidP="00F0484B">
            <w:pPr>
              <w:pStyle w:val="TextMetodika"/>
              <w:jc w:val="center"/>
              <w:rPr>
                <w:rFonts w:ascii="Times New Roman" w:hAnsi="Times New Roman"/>
                <w:bCs/>
                <w:sz w:val="22"/>
                <w:szCs w:val="22"/>
              </w:rPr>
            </w:pPr>
            <w:r w:rsidRPr="00B47FEC">
              <w:rPr>
                <w:rFonts w:ascii="Times New Roman" w:hAnsi="Times New Roman"/>
                <w:bCs/>
                <w:sz w:val="22"/>
                <w:szCs w:val="22"/>
              </w:rPr>
              <w:t>IS</w:t>
            </w:r>
          </w:p>
        </w:tc>
        <w:tc>
          <w:tcPr>
            <w:tcW w:w="815" w:type="dxa"/>
            <w:shd w:val="clear" w:color="auto" w:fill="auto"/>
          </w:tcPr>
          <w:p w:rsidR="00F0484B" w:rsidRPr="00B47FEC" w:rsidRDefault="00F0484B" w:rsidP="00F0484B">
            <w:pPr>
              <w:pStyle w:val="TextMetodika"/>
              <w:jc w:val="center"/>
              <w:rPr>
                <w:rFonts w:ascii="Times New Roman" w:hAnsi="Times New Roman"/>
                <w:bCs/>
                <w:sz w:val="22"/>
                <w:szCs w:val="22"/>
              </w:rPr>
            </w:pPr>
          </w:p>
        </w:tc>
      </w:tr>
      <w:tr w:rsidR="00F0484B" w:rsidRPr="009A0366" w:rsidTr="00641EA3">
        <w:tc>
          <w:tcPr>
            <w:tcW w:w="1101" w:type="dxa"/>
            <w:shd w:val="clear" w:color="auto" w:fill="auto"/>
          </w:tcPr>
          <w:p w:rsidR="00F0484B" w:rsidRDefault="00F0484B">
            <w:r w:rsidRPr="00452F29">
              <w:rPr>
                <w:bCs/>
                <w:sz w:val="22"/>
                <w:szCs w:val="22"/>
              </w:rPr>
              <w:t>4a,4b,4d,4f,4g</w:t>
            </w:r>
          </w:p>
        </w:tc>
        <w:tc>
          <w:tcPr>
            <w:tcW w:w="850"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709"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417" w:type="dxa"/>
            <w:shd w:val="clear" w:color="auto" w:fill="auto"/>
          </w:tcPr>
          <w:p w:rsidR="00F0484B" w:rsidRPr="00B47FEC" w:rsidRDefault="00F0484B" w:rsidP="00F0484B">
            <w:pPr>
              <w:pStyle w:val="TextMetodika"/>
              <w:jc w:val="center"/>
            </w:pPr>
            <w:r w:rsidRPr="00B47FEC">
              <w:t>Number of enterprises receiving grants</w:t>
            </w:r>
          </w:p>
        </w:tc>
        <w:tc>
          <w:tcPr>
            <w:tcW w:w="992" w:type="dxa"/>
            <w:shd w:val="clear" w:color="auto" w:fill="auto"/>
          </w:tcPr>
          <w:p w:rsidR="00F0484B" w:rsidRPr="00B47FEC" w:rsidRDefault="00F0484B" w:rsidP="00F0484B">
            <w:pPr>
              <w:pStyle w:val="TextMetodika"/>
              <w:jc w:val="center"/>
            </w:pPr>
            <w:r w:rsidRPr="00B47FEC">
              <w:t>enterprises</w:t>
            </w:r>
          </w:p>
        </w:tc>
        <w:tc>
          <w:tcPr>
            <w:tcW w:w="992" w:type="dxa"/>
            <w:shd w:val="clear" w:color="auto" w:fill="auto"/>
          </w:tcPr>
          <w:p w:rsidR="00F0484B" w:rsidRPr="00B47FEC" w:rsidRDefault="00F0484B" w:rsidP="00F0484B">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0484B" w:rsidRPr="00B47FEC" w:rsidRDefault="00F0484B"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851" w:type="dxa"/>
            <w:shd w:val="clear" w:color="auto" w:fill="auto"/>
          </w:tcPr>
          <w:p w:rsidR="00F0484B" w:rsidRPr="00B47FEC" w:rsidRDefault="00F0484B"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0484B" w:rsidRPr="00B47FEC" w:rsidRDefault="00F0484B" w:rsidP="00F0484B">
            <w:pPr>
              <w:pStyle w:val="TextMetodika"/>
              <w:jc w:val="center"/>
              <w:rPr>
                <w:rFonts w:ascii="Times New Roman" w:hAnsi="Times New Roman"/>
                <w:bCs/>
                <w:sz w:val="22"/>
                <w:szCs w:val="22"/>
              </w:rPr>
            </w:pPr>
          </w:p>
        </w:tc>
      </w:tr>
      <w:tr w:rsidR="00F0484B" w:rsidRPr="009A0366" w:rsidTr="00641EA3">
        <w:tc>
          <w:tcPr>
            <w:tcW w:w="1101" w:type="dxa"/>
            <w:shd w:val="clear" w:color="auto" w:fill="auto"/>
          </w:tcPr>
          <w:p w:rsidR="00F0484B" w:rsidRDefault="00F0484B">
            <w:r w:rsidRPr="00452F29">
              <w:rPr>
                <w:bCs/>
                <w:sz w:val="22"/>
                <w:szCs w:val="22"/>
              </w:rPr>
              <w:t>4a,4b,4d,4f,4g</w:t>
            </w:r>
          </w:p>
        </w:tc>
        <w:tc>
          <w:tcPr>
            <w:tcW w:w="850"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709"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417" w:type="dxa"/>
            <w:shd w:val="clear" w:color="auto" w:fill="auto"/>
          </w:tcPr>
          <w:p w:rsidR="00F0484B" w:rsidRPr="00B47FEC" w:rsidRDefault="00F0484B" w:rsidP="00F0484B">
            <w:pPr>
              <w:pStyle w:val="TextMetodika"/>
              <w:jc w:val="center"/>
            </w:pPr>
            <w:r w:rsidRPr="001F5E1A">
              <w:t>Number of enterprises receiving financial support other than grants</w:t>
            </w:r>
          </w:p>
        </w:tc>
        <w:tc>
          <w:tcPr>
            <w:tcW w:w="992" w:type="dxa"/>
            <w:shd w:val="clear" w:color="auto" w:fill="auto"/>
          </w:tcPr>
          <w:p w:rsidR="00F0484B" w:rsidRPr="00B47FEC" w:rsidRDefault="00F0484B" w:rsidP="00F0484B">
            <w:pPr>
              <w:pStyle w:val="TextMetodika"/>
              <w:jc w:val="center"/>
            </w:pPr>
            <w:r w:rsidRPr="00B47FEC">
              <w:t>enterprises</w:t>
            </w:r>
          </w:p>
        </w:tc>
        <w:tc>
          <w:tcPr>
            <w:tcW w:w="992" w:type="dxa"/>
            <w:shd w:val="clear" w:color="auto" w:fill="auto"/>
          </w:tcPr>
          <w:p w:rsidR="00F0484B" w:rsidRPr="00B47FEC" w:rsidRDefault="00F0484B" w:rsidP="00F0484B">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F0484B" w:rsidRPr="00B47FEC" w:rsidRDefault="00F0484B"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851" w:type="dxa"/>
            <w:shd w:val="clear" w:color="auto" w:fill="auto"/>
          </w:tcPr>
          <w:p w:rsidR="00F0484B" w:rsidRPr="00B47FEC" w:rsidRDefault="00F0484B"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0484B" w:rsidRPr="00B47FEC" w:rsidRDefault="00F0484B" w:rsidP="00F0484B">
            <w:pPr>
              <w:pStyle w:val="TextMetodika"/>
              <w:jc w:val="center"/>
              <w:rPr>
                <w:rFonts w:ascii="Times New Roman" w:hAnsi="Times New Roman"/>
                <w:bCs/>
                <w:sz w:val="22"/>
                <w:szCs w:val="22"/>
              </w:rPr>
            </w:pPr>
          </w:p>
        </w:tc>
      </w:tr>
      <w:tr w:rsidR="00F0484B" w:rsidRPr="009A0366" w:rsidTr="00641EA3">
        <w:tc>
          <w:tcPr>
            <w:tcW w:w="1101" w:type="dxa"/>
            <w:shd w:val="clear" w:color="auto" w:fill="auto"/>
          </w:tcPr>
          <w:p w:rsidR="00F0484B" w:rsidRDefault="00F0484B">
            <w:r w:rsidRPr="00452F29">
              <w:rPr>
                <w:bCs/>
                <w:sz w:val="22"/>
                <w:szCs w:val="22"/>
              </w:rPr>
              <w:t>4a,4b,4d,4f,4g</w:t>
            </w:r>
          </w:p>
        </w:tc>
        <w:tc>
          <w:tcPr>
            <w:tcW w:w="850"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709"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417" w:type="dxa"/>
            <w:shd w:val="clear" w:color="auto" w:fill="auto"/>
          </w:tcPr>
          <w:p w:rsidR="00F0484B" w:rsidRPr="001F5E1A" w:rsidRDefault="00F0484B" w:rsidP="00F0484B">
            <w:pPr>
              <w:pStyle w:val="TextMetodika"/>
              <w:jc w:val="center"/>
            </w:pPr>
            <w:r w:rsidRPr="007003FB">
              <w:t>Private investment matching public support to enterprises (grants)</w:t>
            </w:r>
          </w:p>
        </w:tc>
        <w:tc>
          <w:tcPr>
            <w:tcW w:w="992" w:type="dxa"/>
            <w:shd w:val="clear" w:color="auto" w:fill="auto"/>
          </w:tcPr>
          <w:p w:rsidR="00F0484B" w:rsidRPr="00B47FEC" w:rsidRDefault="00F0484B" w:rsidP="00F0484B">
            <w:pPr>
              <w:pStyle w:val="TextMetodika"/>
              <w:jc w:val="center"/>
            </w:pPr>
            <w:r>
              <w:t>EUR</w:t>
            </w:r>
          </w:p>
        </w:tc>
        <w:tc>
          <w:tcPr>
            <w:tcW w:w="992"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vstup</w:t>
            </w:r>
          </w:p>
        </w:tc>
        <w:tc>
          <w:tcPr>
            <w:tcW w:w="992"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851"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0484B" w:rsidRPr="00B47FEC" w:rsidRDefault="00F0484B" w:rsidP="00F0484B">
            <w:pPr>
              <w:pStyle w:val="TextMetodika"/>
              <w:jc w:val="center"/>
              <w:rPr>
                <w:rFonts w:ascii="Times New Roman" w:hAnsi="Times New Roman"/>
                <w:bCs/>
                <w:sz w:val="22"/>
                <w:szCs w:val="22"/>
              </w:rPr>
            </w:pPr>
          </w:p>
        </w:tc>
      </w:tr>
      <w:tr w:rsidR="00F0484B" w:rsidRPr="009A0366" w:rsidTr="00641EA3">
        <w:tc>
          <w:tcPr>
            <w:tcW w:w="1101" w:type="dxa"/>
            <w:shd w:val="clear" w:color="auto" w:fill="auto"/>
          </w:tcPr>
          <w:p w:rsidR="00F0484B" w:rsidRDefault="00F0484B">
            <w:r w:rsidRPr="00452F29">
              <w:rPr>
                <w:bCs/>
                <w:sz w:val="22"/>
                <w:szCs w:val="22"/>
              </w:rPr>
              <w:t>4a,4b,4d,4f,4g</w:t>
            </w:r>
          </w:p>
        </w:tc>
        <w:tc>
          <w:tcPr>
            <w:tcW w:w="850"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709"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417" w:type="dxa"/>
            <w:shd w:val="clear" w:color="auto" w:fill="auto"/>
          </w:tcPr>
          <w:p w:rsidR="00F0484B" w:rsidRPr="001F5E1A" w:rsidRDefault="00F0484B" w:rsidP="00F0484B">
            <w:pPr>
              <w:pStyle w:val="TextMetodika"/>
              <w:jc w:val="center"/>
            </w:pPr>
            <w:r w:rsidRPr="007003FB">
              <w:t>Private investment matching public support to enterprises (non-grants)</w:t>
            </w:r>
          </w:p>
        </w:tc>
        <w:tc>
          <w:tcPr>
            <w:tcW w:w="992" w:type="dxa"/>
            <w:shd w:val="clear" w:color="auto" w:fill="auto"/>
          </w:tcPr>
          <w:p w:rsidR="00F0484B" w:rsidRPr="00B47FEC" w:rsidRDefault="00F0484B" w:rsidP="00F0484B">
            <w:pPr>
              <w:pStyle w:val="TextMetodika"/>
              <w:jc w:val="center"/>
            </w:pPr>
            <w:r>
              <w:t>EUR</w:t>
            </w:r>
          </w:p>
        </w:tc>
        <w:tc>
          <w:tcPr>
            <w:tcW w:w="992" w:type="dxa"/>
            <w:shd w:val="clear" w:color="auto" w:fill="auto"/>
          </w:tcPr>
          <w:p w:rsidR="00F0484B" w:rsidRDefault="00947D42" w:rsidP="00F0484B">
            <w:pPr>
              <w:pStyle w:val="TextMetodika"/>
              <w:jc w:val="center"/>
              <w:rPr>
                <w:rFonts w:ascii="Times New Roman" w:hAnsi="Times New Roman"/>
                <w:bCs/>
                <w:sz w:val="22"/>
                <w:szCs w:val="22"/>
              </w:rPr>
            </w:pPr>
            <w:r>
              <w:rPr>
                <w:rFonts w:ascii="Times New Roman" w:hAnsi="Times New Roman"/>
                <w:bCs/>
                <w:sz w:val="22"/>
                <w:szCs w:val="22"/>
              </w:rPr>
              <w:t>V</w:t>
            </w:r>
            <w:r w:rsidR="00F0484B">
              <w:rPr>
                <w:rFonts w:ascii="Times New Roman" w:hAnsi="Times New Roman"/>
                <w:bCs/>
                <w:sz w:val="22"/>
                <w:szCs w:val="22"/>
              </w:rPr>
              <w:t>stup</w:t>
            </w:r>
            <w:r>
              <w:rPr>
                <w:rFonts w:ascii="Times New Roman" w:hAnsi="Times New Roman"/>
                <w:bCs/>
                <w:sz w:val="22"/>
                <w:szCs w:val="22"/>
              </w:rPr>
              <w:t>*</w:t>
            </w:r>
          </w:p>
        </w:tc>
        <w:tc>
          <w:tcPr>
            <w:tcW w:w="992"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851"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0484B" w:rsidRPr="00B47FEC" w:rsidRDefault="00F0484B" w:rsidP="00F0484B">
            <w:pPr>
              <w:pStyle w:val="TextMetodika"/>
              <w:jc w:val="center"/>
              <w:rPr>
                <w:rFonts w:ascii="Times New Roman" w:hAnsi="Times New Roman"/>
                <w:bCs/>
                <w:sz w:val="22"/>
                <w:szCs w:val="22"/>
              </w:rPr>
            </w:pPr>
          </w:p>
        </w:tc>
      </w:tr>
      <w:tr w:rsidR="00F0484B" w:rsidRPr="009A0366" w:rsidTr="00641EA3">
        <w:tc>
          <w:tcPr>
            <w:tcW w:w="1101" w:type="dxa"/>
            <w:shd w:val="clear" w:color="auto" w:fill="auto"/>
          </w:tcPr>
          <w:p w:rsidR="00F0484B" w:rsidRDefault="00F0484B">
            <w:r w:rsidRPr="00452F29">
              <w:rPr>
                <w:bCs/>
                <w:sz w:val="22"/>
                <w:szCs w:val="22"/>
              </w:rPr>
              <w:t>4a,4b,4d,4f,4g</w:t>
            </w:r>
          </w:p>
        </w:tc>
        <w:tc>
          <w:tcPr>
            <w:tcW w:w="850"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709"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1417" w:type="dxa"/>
            <w:shd w:val="clear" w:color="auto" w:fill="auto"/>
          </w:tcPr>
          <w:p w:rsidR="00F0484B" w:rsidRPr="007003FB" w:rsidRDefault="00F0484B" w:rsidP="00F0484B">
            <w:pPr>
              <w:pStyle w:val="TextMetodika"/>
              <w:jc w:val="center"/>
            </w:pPr>
            <w:r w:rsidRPr="007003FB">
              <w:t>Employment increase in supported enterprises</w:t>
            </w:r>
            <w:r w:rsidR="00774A13">
              <w:t>**</w:t>
            </w:r>
          </w:p>
        </w:tc>
        <w:tc>
          <w:tcPr>
            <w:tcW w:w="992" w:type="dxa"/>
            <w:shd w:val="clear" w:color="auto" w:fill="auto"/>
          </w:tcPr>
          <w:p w:rsidR="00F0484B" w:rsidRDefault="00F0484B" w:rsidP="00F0484B">
            <w:pPr>
              <w:pStyle w:val="TextMetodika"/>
              <w:jc w:val="center"/>
            </w:pPr>
            <w:r w:rsidRPr="007003FB">
              <w:t>FTE</w:t>
            </w:r>
          </w:p>
        </w:tc>
        <w:tc>
          <w:tcPr>
            <w:tcW w:w="992"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F0484B" w:rsidRPr="00B47FEC" w:rsidRDefault="00F0484B" w:rsidP="00F0484B">
            <w:pPr>
              <w:pStyle w:val="TextMetodika"/>
              <w:jc w:val="center"/>
              <w:rPr>
                <w:rFonts w:ascii="Times New Roman" w:hAnsi="Times New Roman"/>
                <w:bCs/>
                <w:sz w:val="22"/>
                <w:szCs w:val="22"/>
              </w:rPr>
            </w:pPr>
          </w:p>
        </w:tc>
        <w:tc>
          <w:tcPr>
            <w:tcW w:w="851" w:type="dxa"/>
            <w:shd w:val="clear" w:color="auto" w:fill="auto"/>
          </w:tcPr>
          <w:p w:rsidR="00F0484B" w:rsidRDefault="00F0484B"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F0484B" w:rsidRPr="00B47FEC" w:rsidRDefault="00F0484B" w:rsidP="00F0484B">
            <w:pPr>
              <w:pStyle w:val="TextMetodika"/>
              <w:jc w:val="center"/>
              <w:rPr>
                <w:rFonts w:ascii="Times New Roman" w:hAnsi="Times New Roman"/>
                <w:bCs/>
                <w:sz w:val="22"/>
                <w:szCs w:val="22"/>
              </w:rPr>
            </w:pPr>
          </w:p>
        </w:tc>
      </w:tr>
      <w:tr w:rsidR="00003615" w:rsidRPr="009A0366" w:rsidTr="00641EA3">
        <w:tc>
          <w:tcPr>
            <w:tcW w:w="1101" w:type="dxa"/>
            <w:shd w:val="clear" w:color="auto" w:fill="auto"/>
          </w:tcPr>
          <w:p w:rsidR="00003615" w:rsidRPr="00452F29" w:rsidRDefault="00003615">
            <w:pPr>
              <w:rPr>
                <w:bCs/>
                <w:sz w:val="22"/>
                <w:szCs w:val="22"/>
              </w:rPr>
            </w:pPr>
            <w:r>
              <w:rPr>
                <w:bCs/>
                <w:sz w:val="22"/>
                <w:szCs w:val="22"/>
              </w:rPr>
              <w:t>4a</w:t>
            </w:r>
          </w:p>
        </w:tc>
        <w:tc>
          <w:tcPr>
            <w:tcW w:w="850"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1134"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709"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1417" w:type="dxa"/>
            <w:shd w:val="clear" w:color="auto" w:fill="auto"/>
          </w:tcPr>
          <w:p w:rsidR="00003615" w:rsidRPr="007003FB" w:rsidRDefault="00003615" w:rsidP="00F0484B">
            <w:pPr>
              <w:pStyle w:val="TextMetodika"/>
              <w:jc w:val="center"/>
            </w:pPr>
            <w:r w:rsidRPr="001F5E1A">
              <w:t>Additional capacity of renewable energy production</w:t>
            </w:r>
          </w:p>
        </w:tc>
        <w:tc>
          <w:tcPr>
            <w:tcW w:w="992" w:type="dxa"/>
            <w:shd w:val="clear" w:color="auto" w:fill="auto"/>
          </w:tcPr>
          <w:p w:rsidR="00003615" w:rsidRPr="007003FB" w:rsidRDefault="00003615" w:rsidP="00F0484B">
            <w:pPr>
              <w:pStyle w:val="TextMetodika"/>
              <w:jc w:val="center"/>
            </w:pPr>
            <w:r w:rsidRPr="001F5E1A">
              <w:t>MW</w:t>
            </w:r>
          </w:p>
        </w:tc>
        <w:tc>
          <w:tcPr>
            <w:tcW w:w="992" w:type="dxa"/>
            <w:shd w:val="clear" w:color="auto" w:fill="auto"/>
          </w:tcPr>
          <w:p w:rsidR="00003615" w:rsidRDefault="00ED7249" w:rsidP="00F0484B">
            <w:pPr>
              <w:pStyle w:val="TextMetodika"/>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003615" w:rsidRDefault="00003615"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851" w:type="dxa"/>
            <w:shd w:val="clear" w:color="auto" w:fill="auto"/>
          </w:tcPr>
          <w:p w:rsidR="00003615" w:rsidRDefault="00003615"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003615" w:rsidRPr="00B47FEC" w:rsidRDefault="00003615" w:rsidP="00F0484B">
            <w:pPr>
              <w:pStyle w:val="TextMetodika"/>
              <w:jc w:val="center"/>
              <w:rPr>
                <w:rFonts w:ascii="Times New Roman" w:hAnsi="Times New Roman"/>
                <w:bCs/>
                <w:sz w:val="22"/>
                <w:szCs w:val="22"/>
              </w:rPr>
            </w:pPr>
          </w:p>
        </w:tc>
      </w:tr>
      <w:tr w:rsidR="00003615" w:rsidRPr="009A0366" w:rsidTr="00641EA3">
        <w:tc>
          <w:tcPr>
            <w:tcW w:w="1101" w:type="dxa"/>
            <w:shd w:val="clear" w:color="auto" w:fill="auto"/>
          </w:tcPr>
          <w:p w:rsidR="00003615" w:rsidRPr="00452F29" w:rsidRDefault="00596062">
            <w:pPr>
              <w:rPr>
                <w:bCs/>
                <w:sz w:val="22"/>
                <w:szCs w:val="22"/>
              </w:rPr>
            </w:pPr>
            <w:r>
              <w:rPr>
                <w:bCs/>
                <w:sz w:val="22"/>
                <w:szCs w:val="22"/>
              </w:rPr>
              <w:lastRenderedPageBreak/>
              <w:t>4d</w:t>
            </w:r>
          </w:p>
        </w:tc>
        <w:tc>
          <w:tcPr>
            <w:tcW w:w="850"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1134"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709"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1417" w:type="dxa"/>
            <w:shd w:val="clear" w:color="auto" w:fill="auto"/>
          </w:tcPr>
          <w:p w:rsidR="00003615" w:rsidRPr="007003FB" w:rsidRDefault="000C6EF2" w:rsidP="00F0484B">
            <w:pPr>
              <w:pStyle w:val="TextMetodika"/>
              <w:jc w:val="center"/>
            </w:pPr>
            <w:r w:rsidRPr="007003FB">
              <w:t>Number of additional energy users connected to smart grids</w:t>
            </w:r>
            <w:r w:rsidR="00774A13">
              <w:t>***</w:t>
            </w:r>
          </w:p>
        </w:tc>
        <w:tc>
          <w:tcPr>
            <w:tcW w:w="992" w:type="dxa"/>
            <w:shd w:val="clear" w:color="auto" w:fill="auto"/>
          </w:tcPr>
          <w:p w:rsidR="00003615" w:rsidRPr="007003FB" w:rsidRDefault="000C6EF2" w:rsidP="00F0484B">
            <w:pPr>
              <w:pStyle w:val="TextMetodika"/>
              <w:jc w:val="center"/>
            </w:pPr>
            <w:r w:rsidRPr="007003FB">
              <w:t>Users</w:t>
            </w:r>
          </w:p>
        </w:tc>
        <w:tc>
          <w:tcPr>
            <w:tcW w:w="992" w:type="dxa"/>
            <w:shd w:val="clear" w:color="auto" w:fill="auto"/>
          </w:tcPr>
          <w:p w:rsidR="00003615" w:rsidRDefault="00596062" w:rsidP="00F0484B">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003615" w:rsidRDefault="00596062"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851" w:type="dxa"/>
            <w:shd w:val="clear" w:color="auto" w:fill="auto"/>
          </w:tcPr>
          <w:p w:rsidR="00003615" w:rsidRDefault="00596062"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003615" w:rsidRPr="00B47FEC" w:rsidRDefault="00003615" w:rsidP="00F0484B">
            <w:pPr>
              <w:pStyle w:val="TextMetodika"/>
              <w:jc w:val="center"/>
              <w:rPr>
                <w:rFonts w:ascii="Times New Roman" w:hAnsi="Times New Roman"/>
                <w:bCs/>
                <w:sz w:val="22"/>
                <w:szCs w:val="22"/>
              </w:rPr>
            </w:pPr>
          </w:p>
        </w:tc>
      </w:tr>
      <w:tr w:rsidR="00003615" w:rsidRPr="009A0366" w:rsidTr="00641EA3">
        <w:tc>
          <w:tcPr>
            <w:tcW w:w="1101" w:type="dxa"/>
            <w:shd w:val="clear" w:color="auto" w:fill="auto"/>
          </w:tcPr>
          <w:p w:rsidR="00003615" w:rsidRPr="00452F29" w:rsidRDefault="003A22CC">
            <w:pPr>
              <w:rPr>
                <w:bCs/>
                <w:sz w:val="22"/>
                <w:szCs w:val="22"/>
              </w:rPr>
            </w:pPr>
            <w:r>
              <w:rPr>
                <w:bCs/>
                <w:sz w:val="22"/>
                <w:szCs w:val="22"/>
              </w:rPr>
              <w:t>4a,4b</w:t>
            </w:r>
            <w:r w:rsidR="009216AE">
              <w:rPr>
                <w:bCs/>
                <w:sz w:val="22"/>
                <w:szCs w:val="22"/>
              </w:rPr>
              <w:t>,4g</w:t>
            </w:r>
          </w:p>
        </w:tc>
        <w:tc>
          <w:tcPr>
            <w:tcW w:w="850"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1134"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709"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1417" w:type="dxa"/>
            <w:shd w:val="clear" w:color="auto" w:fill="auto"/>
          </w:tcPr>
          <w:p w:rsidR="00003615" w:rsidRPr="007003FB" w:rsidRDefault="00596062" w:rsidP="00F0484B">
            <w:pPr>
              <w:pStyle w:val="TextMetodika"/>
              <w:jc w:val="center"/>
            </w:pPr>
            <w:r w:rsidRPr="007003FB">
              <w:t>Estimated decrease of GHG</w:t>
            </w:r>
            <w:r w:rsidR="00774A13">
              <w:t>****</w:t>
            </w:r>
          </w:p>
        </w:tc>
        <w:tc>
          <w:tcPr>
            <w:tcW w:w="992" w:type="dxa"/>
            <w:shd w:val="clear" w:color="auto" w:fill="auto"/>
          </w:tcPr>
          <w:p w:rsidR="00003615" w:rsidRPr="007003FB" w:rsidRDefault="00596062" w:rsidP="00F0484B">
            <w:pPr>
              <w:pStyle w:val="TextMetodika"/>
              <w:jc w:val="center"/>
            </w:pPr>
            <w:r w:rsidRPr="007003FB">
              <w:t>tons of CO</w:t>
            </w:r>
            <w:r w:rsidRPr="007003FB">
              <w:rPr>
                <w:position w:val="-6"/>
              </w:rPr>
              <w:t>2</w:t>
            </w:r>
            <w:r w:rsidRPr="007003FB">
              <w:t>eq</w:t>
            </w:r>
          </w:p>
        </w:tc>
        <w:tc>
          <w:tcPr>
            <w:tcW w:w="992" w:type="dxa"/>
            <w:shd w:val="clear" w:color="auto" w:fill="auto"/>
          </w:tcPr>
          <w:p w:rsidR="00003615" w:rsidRDefault="00596062" w:rsidP="00F0484B">
            <w:pPr>
              <w:pStyle w:val="TextMetodika"/>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003615" w:rsidRDefault="00596062" w:rsidP="00F0484B">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003615" w:rsidRPr="00B47FEC" w:rsidRDefault="00003615" w:rsidP="00F0484B">
            <w:pPr>
              <w:pStyle w:val="TextMetodika"/>
              <w:jc w:val="center"/>
              <w:rPr>
                <w:rFonts w:ascii="Times New Roman" w:hAnsi="Times New Roman"/>
                <w:bCs/>
                <w:sz w:val="22"/>
                <w:szCs w:val="22"/>
              </w:rPr>
            </w:pPr>
          </w:p>
        </w:tc>
        <w:tc>
          <w:tcPr>
            <w:tcW w:w="851" w:type="dxa"/>
            <w:shd w:val="clear" w:color="auto" w:fill="auto"/>
          </w:tcPr>
          <w:p w:rsidR="00003615" w:rsidRDefault="00596062" w:rsidP="00F0484B">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003615" w:rsidRPr="00B47FEC" w:rsidRDefault="00003615" w:rsidP="00F0484B">
            <w:pPr>
              <w:pStyle w:val="TextMetodika"/>
              <w:jc w:val="center"/>
              <w:rPr>
                <w:rFonts w:ascii="Times New Roman" w:hAnsi="Times New Roman"/>
                <w:bCs/>
                <w:sz w:val="22"/>
                <w:szCs w:val="22"/>
              </w:rPr>
            </w:pPr>
          </w:p>
        </w:tc>
      </w:tr>
    </w:tbl>
    <w:p w:rsidR="00947D42" w:rsidRPr="00DD04E7" w:rsidRDefault="00947D42" w:rsidP="00DD04E7">
      <w:pPr>
        <w:overflowPunct/>
        <w:ind w:left="1410" w:hanging="1410"/>
        <w:jc w:val="both"/>
        <w:textAlignment w:val="auto"/>
        <w:rPr>
          <w:rFonts w:asciiTheme="minorHAnsi" w:hAnsiTheme="minorHAnsi" w:cstheme="minorHAnsi"/>
          <w:bCs/>
          <w:color w:val="FF0000"/>
        </w:rPr>
      </w:pPr>
      <w:r w:rsidRPr="00DD04E7">
        <w:rPr>
          <w:b/>
          <w:bCs/>
          <w:color w:val="FF0000"/>
        </w:rPr>
        <w:t xml:space="preserve">* </w:t>
      </w:r>
      <w:r w:rsidRPr="00DD04E7">
        <w:rPr>
          <w:rFonts w:asciiTheme="minorHAnsi" w:hAnsiTheme="minorHAnsi" w:cstheme="minorHAnsi"/>
          <w:bCs/>
          <w:color w:val="FF0000"/>
        </w:rPr>
        <w:t>U všech common indikátorů stanovit typ. Připomínka odeslána na MMR-NOK.</w:t>
      </w:r>
    </w:p>
    <w:p w:rsidR="00947D42" w:rsidRPr="00DD04E7" w:rsidRDefault="0025142D" w:rsidP="00774A13">
      <w:pPr>
        <w:pStyle w:val="Textkomente"/>
        <w:spacing w:before="0" w:after="0"/>
        <w:rPr>
          <w:rFonts w:asciiTheme="minorHAnsi" w:hAnsiTheme="minorHAnsi" w:cstheme="minorHAnsi"/>
          <w:bCs/>
          <w:color w:val="FF0000"/>
        </w:rPr>
      </w:pPr>
      <w:r w:rsidRPr="00DD04E7">
        <w:rPr>
          <w:rFonts w:asciiTheme="minorHAnsi" w:hAnsiTheme="minorHAnsi" w:cstheme="minorHAnsi"/>
          <w:iCs/>
          <w:color w:val="FF0000"/>
        </w:rPr>
        <w:t>*</w:t>
      </w:r>
      <w:r w:rsidR="00774A13" w:rsidRPr="00DD04E7">
        <w:rPr>
          <w:rFonts w:asciiTheme="minorHAnsi" w:hAnsiTheme="minorHAnsi" w:cstheme="minorHAnsi"/>
          <w:iCs/>
          <w:color w:val="FF0000"/>
        </w:rPr>
        <w:t>*</w:t>
      </w:r>
      <w:r w:rsidR="00947D42" w:rsidRPr="00DD04E7">
        <w:t xml:space="preserve"> </w:t>
      </w:r>
      <w:r w:rsidR="00947D42" w:rsidRPr="00DD04E7">
        <w:rPr>
          <w:rFonts w:asciiTheme="minorHAnsi" w:hAnsiTheme="minorHAnsi" w:cstheme="minorHAnsi"/>
          <w:bCs/>
          <w:color w:val="FF0000"/>
        </w:rPr>
        <w:t>Domníváme se, že není relevantní pro PO3, stejně jako počet nově založených podniků apod.</w:t>
      </w:r>
      <w:r w:rsidR="00774A13" w:rsidRPr="00DD04E7">
        <w:rPr>
          <w:rFonts w:asciiTheme="minorHAnsi" w:hAnsiTheme="minorHAnsi" w:cstheme="minorHAnsi"/>
          <w:bCs/>
          <w:color w:val="FF0000"/>
        </w:rPr>
        <w:t xml:space="preserve"> </w:t>
      </w:r>
      <w:r w:rsidR="00947D42" w:rsidRPr="00DD04E7">
        <w:rPr>
          <w:rFonts w:asciiTheme="minorHAnsi" w:hAnsiTheme="minorHAnsi" w:cstheme="minorHAnsi"/>
          <w:bCs/>
          <w:color w:val="FF0000"/>
        </w:rPr>
        <w:t xml:space="preserve">- uveden jen k diskuzi. Je relevantní k PO1, de facto i PO2? </w:t>
      </w:r>
      <w:r w:rsidR="00774A13" w:rsidRPr="00DD04E7">
        <w:rPr>
          <w:rFonts w:asciiTheme="minorHAnsi" w:hAnsiTheme="minorHAnsi" w:cstheme="minorHAnsi"/>
          <w:bCs/>
          <w:color w:val="FF0000"/>
        </w:rPr>
        <w:t xml:space="preserve">Nutné projednat s MMR-NOK. </w:t>
      </w:r>
    </w:p>
    <w:p w:rsidR="00C45CD5" w:rsidRPr="00DD04E7" w:rsidRDefault="00774A13" w:rsidP="00774A13">
      <w:pPr>
        <w:spacing w:line="288" w:lineRule="auto"/>
        <w:jc w:val="both"/>
        <w:rPr>
          <w:rFonts w:asciiTheme="minorHAnsi" w:hAnsiTheme="minorHAnsi" w:cstheme="minorHAnsi"/>
          <w:iCs/>
          <w:color w:val="FF0000"/>
        </w:rPr>
      </w:pPr>
      <w:r w:rsidRPr="00DD04E7">
        <w:rPr>
          <w:rFonts w:asciiTheme="minorHAnsi" w:hAnsiTheme="minorHAnsi" w:cstheme="minorHAnsi"/>
          <w:iCs/>
          <w:color w:val="FF0000"/>
        </w:rPr>
        <w:t>***Není jistá relevance k OP PIK. Nutné projednat s MMR-NOK. Uvedeno pro úplnost.</w:t>
      </w:r>
    </w:p>
    <w:p w:rsidR="00774A13" w:rsidRPr="00DD04E7" w:rsidRDefault="00774A13" w:rsidP="00774A13">
      <w:pPr>
        <w:spacing w:line="288" w:lineRule="auto"/>
        <w:jc w:val="both"/>
        <w:rPr>
          <w:rFonts w:asciiTheme="minorHAnsi" w:hAnsiTheme="minorHAnsi" w:cstheme="minorHAnsi"/>
          <w:iCs/>
          <w:color w:val="FF0000"/>
        </w:rPr>
      </w:pPr>
      <w:r w:rsidRPr="00DD04E7">
        <w:rPr>
          <w:rFonts w:asciiTheme="minorHAnsi" w:hAnsiTheme="minorHAnsi" w:cstheme="minorHAnsi"/>
          <w:iCs/>
          <w:color w:val="FF0000"/>
        </w:rPr>
        <w:t>**** Dle metodik EK je tento indikátor relevantní, když jsou relevantní indikátory Additional capacity of renewable energy production, Number of households with improved energy consumption classification a Decrease of primary energy consumption of public buildings. V případě, že naplňujeme pouze Dodatečnou kapacitu produkce z OZE a úspory energie realizujeme pouze v podnicích, což není součástí common indikátorů, je možné použít úspory z podniků v rámci výpočtů tohoto indikátoru? Připomínka byla odeslána na MMR_NOK.</w:t>
      </w:r>
    </w:p>
    <w:p w:rsidR="00C45CD5" w:rsidRDefault="00C45CD5" w:rsidP="00C45CD5">
      <w:pPr>
        <w:spacing w:line="288" w:lineRule="auto"/>
        <w:jc w:val="both"/>
        <w:rPr>
          <w:rFonts w:asciiTheme="minorHAnsi" w:hAnsiTheme="minorHAnsi" w:cstheme="minorHAnsi"/>
          <w:iCs/>
          <w:sz w:val="24"/>
          <w:szCs w:val="24"/>
        </w:rPr>
      </w:pPr>
    </w:p>
    <w:p w:rsidR="00C45CD5" w:rsidRDefault="00C45CD5" w:rsidP="00C45CD5">
      <w:pPr>
        <w:pStyle w:val="Nadpis3"/>
      </w:pPr>
      <w:bookmarkStart w:id="69" w:name="_Toc351464388"/>
      <w:bookmarkStart w:id="70" w:name="_Toc352328374"/>
      <w:r>
        <w:t>Identifikace investičních priorit a popis specifických cílů</w:t>
      </w:r>
      <w:bookmarkEnd w:id="69"/>
      <w:bookmarkEnd w:id="70"/>
      <w:r>
        <w:t xml:space="preserve"> </w:t>
      </w:r>
    </w:p>
    <w:p w:rsidR="00C45CD5" w:rsidRPr="007A7549" w:rsidRDefault="00C45CD5" w:rsidP="00C45CD5">
      <w:pPr>
        <w:overflowPunct/>
        <w:spacing w:after="120"/>
        <w:jc w:val="both"/>
        <w:textAlignment w:val="auto"/>
        <w:rPr>
          <w:rFonts w:asciiTheme="minorHAnsi" w:hAnsiTheme="minorHAnsi" w:cstheme="minorHAnsi"/>
          <w:sz w:val="24"/>
          <w:szCs w:val="24"/>
        </w:rPr>
      </w:pPr>
      <w:r w:rsidRPr="00E40039">
        <w:rPr>
          <w:rFonts w:asciiTheme="minorHAnsi" w:hAnsiTheme="minorHAnsi" w:cstheme="minorHAnsi"/>
          <w:sz w:val="24"/>
          <w:szCs w:val="24"/>
        </w:rPr>
        <w:t>Na základě analýzy problémů a potřeb ČR identifikovaných a popsaných pro</w:t>
      </w:r>
      <w:r>
        <w:rPr>
          <w:rFonts w:asciiTheme="minorHAnsi" w:hAnsiTheme="minorHAnsi" w:cstheme="minorHAnsi"/>
          <w:sz w:val="24"/>
          <w:szCs w:val="24"/>
        </w:rPr>
        <w:t xml:space="preserve"> prioritní osu 2 byly identifikovány následující investiční priority a </w:t>
      </w:r>
      <w:r w:rsidRPr="007A7549">
        <w:rPr>
          <w:rFonts w:asciiTheme="minorHAnsi" w:hAnsiTheme="minorHAnsi" w:cstheme="minorHAnsi"/>
          <w:sz w:val="24"/>
          <w:szCs w:val="24"/>
        </w:rPr>
        <w:t>specifické cíle:</w:t>
      </w:r>
    </w:p>
    <w:p w:rsidR="00C45CD5" w:rsidRPr="00B85EE3" w:rsidRDefault="00C45CD5" w:rsidP="00C45CD5"/>
    <w:tbl>
      <w:tblPr>
        <w:tblStyle w:val="Mkatabulky"/>
        <w:tblW w:w="0" w:type="auto"/>
        <w:tblLook w:val="04A0"/>
      </w:tblPr>
      <w:tblGrid>
        <w:gridCol w:w="4676"/>
        <w:gridCol w:w="4676"/>
      </w:tblGrid>
      <w:tr w:rsidR="00C45CD5" w:rsidRPr="00B85EE3" w:rsidTr="00DC1E83">
        <w:tc>
          <w:tcPr>
            <w:tcW w:w="4676" w:type="dxa"/>
            <w:shd w:val="clear" w:color="auto" w:fill="92CDDC" w:themeFill="accent5" w:themeFillTint="99"/>
          </w:tcPr>
          <w:p w:rsidR="00C45CD5" w:rsidRPr="00B85EE3" w:rsidRDefault="00C45CD5" w:rsidP="00DC1E83">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Investiční priorita</w:t>
            </w:r>
          </w:p>
        </w:tc>
        <w:tc>
          <w:tcPr>
            <w:tcW w:w="4676" w:type="dxa"/>
            <w:shd w:val="clear" w:color="auto" w:fill="92CDDC" w:themeFill="accent5" w:themeFillTint="99"/>
          </w:tcPr>
          <w:p w:rsidR="00C45CD5" w:rsidRPr="00B85EE3" w:rsidRDefault="00C45CD5" w:rsidP="00DC1E83">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Specifický cíl</w:t>
            </w:r>
          </w:p>
        </w:tc>
      </w:tr>
      <w:tr w:rsidR="00C45CD5" w:rsidRPr="00B85EE3" w:rsidTr="00047389">
        <w:trPr>
          <w:trHeight w:val="1062"/>
        </w:trPr>
        <w:tc>
          <w:tcPr>
            <w:tcW w:w="4676" w:type="dxa"/>
            <w:vAlign w:val="center"/>
          </w:tcPr>
          <w:p w:rsidR="00C45CD5" w:rsidRPr="00530623" w:rsidRDefault="00DC1E83" w:rsidP="00DC1E83">
            <w:pPr>
              <w:overflowPunct/>
              <w:textAlignment w:val="auto"/>
              <w:rPr>
                <w:rFonts w:asciiTheme="minorHAnsi" w:hAnsiTheme="minorHAnsi" w:cstheme="minorHAnsi"/>
                <w:bCs/>
                <w:sz w:val="24"/>
                <w:szCs w:val="24"/>
              </w:rPr>
            </w:pPr>
            <w:r w:rsidRPr="00DC1E83">
              <w:rPr>
                <w:rFonts w:asciiTheme="minorHAnsi" w:hAnsiTheme="minorHAnsi" w:cstheme="minorHAnsi"/>
                <w:bCs/>
                <w:sz w:val="24"/>
                <w:szCs w:val="24"/>
              </w:rPr>
              <w:t>Podpora produkce a šíření obnovitelných zdrojů energie</w:t>
            </w:r>
            <w:r>
              <w:rPr>
                <w:rFonts w:asciiTheme="minorHAnsi" w:hAnsiTheme="minorHAnsi" w:cstheme="minorHAnsi"/>
                <w:bCs/>
                <w:sz w:val="24"/>
                <w:szCs w:val="24"/>
              </w:rPr>
              <w:t xml:space="preserve"> </w:t>
            </w:r>
            <w:r w:rsidRPr="00DC1E83">
              <w:rPr>
                <w:rFonts w:asciiTheme="minorHAnsi" w:hAnsiTheme="minorHAnsi" w:cstheme="minorHAnsi"/>
                <w:bCs/>
                <w:sz w:val="24"/>
                <w:szCs w:val="24"/>
              </w:rPr>
              <w:t>(nařízení o ERDF, článek 5, odst. (4) bod a)</w:t>
            </w:r>
          </w:p>
        </w:tc>
        <w:tc>
          <w:tcPr>
            <w:tcW w:w="4676" w:type="dxa"/>
            <w:vAlign w:val="center"/>
          </w:tcPr>
          <w:p w:rsidR="00C45CD5" w:rsidRPr="00B85EE3" w:rsidRDefault="00FD259D" w:rsidP="00DC1E83">
            <w:pPr>
              <w:rPr>
                <w:rFonts w:asciiTheme="minorHAnsi" w:hAnsiTheme="minorHAnsi" w:cstheme="minorHAnsi"/>
                <w:sz w:val="24"/>
              </w:rPr>
            </w:pPr>
            <w:r w:rsidRPr="00FD259D">
              <w:rPr>
                <w:rFonts w:asciiTheme="minorHAnsi" w:hAnsiTheme="minorHAnsi" w:cstheme="minorHAnsi"/>
                <w:sz w:val="24"/>
              </w:rPr>
              <w:t>3.1 - Zvýšení podílu využívání OZE v rámci energetického mixu ČR</w:t>
            </w:r>
          </w:p>
        </w:tc>
      </w:tr>
      <w:tr w:rsidR="00C45CD5" w:rsidRPr="00B85EE3" w:rsidTr="00047389">
        <w:trPr>
          <w:trHeight w:val="1123"/>
        </w:trPr>
        <w:tc>
          <w:tcPr>
            <w:tcW w:w="4676" w:type="dxa"/>
            <w:vAlign w:val="center"/>
          </w:tcPr>
          <w:p w:rsidR="00C45CD5" w:rsidRPr="00FD259D" w:rsidRDefault="00DC1E83" w:rsidP="00FD259D">
            <w:pPr>
              <w:rPr>
                <w:rFonts w:asciiTheme="minorHAnsi" w:hAnsiTheme="minorHAnsi" w:cstheme="minorHAnsi"/>
                <w:sz w:val="24"/>
              </w:rPr>
            </w:pPr>
            <w:r w:rsidRPr="00FD259D">
              <w:rPr>
                <w:rFonts w:asciiTheme="minorHAnsi" w:hAnsiTheme="minorHAnsi" w:cstheme="minorHAnsi"/>
                <w:sz w:val="24"/>
              </w:rPr>
              <w:t>Podpora energetické účinnosti a využívání energie z obnovitelných zdrojů v podnicích (nařízení o ERDF, článek 5, odst. (4) bod b)</w:t>
            </w:r>
          </w:p>
        </w:tc>
        <w:tc>
          <w:tcPr>
            <w:tcW w:w="4676" w:type="dxa"/>
            <w:vAlign w:val="center"/>
          </w:tcPr>
          <w:p w:rsidR="00C45CD5" w:rsidRPr="00B85EE3" w:rsidRDefault="00FD259D" w:rsidP="00FD259D">
            <w:pPr>
              <w:rPr>
                <w:rFonts w:asciiTheme="minorHAnsi" w:hAnsiTheme="minorHAnsi" w:cstheme="minorHAnsi"/>
                <w:sz w:val="24"/>
              </w:rPr>
            </w:pPr>
            <w:r w:rsidRPr="00FD259D">
              <w:rPr>
                <w:rFonts w:asciiTheme="minorHAnsi" w:hAnsiTheme="minorHAnsi" w:cstheme="minorHAnsi"/>
                <w:sz w:val="24"/>
              </w:rPr>
              <w:t>3.2 - Snižování energetické náročnosti podnikatelského sektoru a rozvíjení energetických služeb</w:t>
            </w:r>
          </w:p>
        </w:tc>
      </w:tr>
      <w:tr w:rsidR="00C45CD5" w:rsidRPr="00B85EE3" w:rsidTr="00047389">
        <w:trPr>
          <w:trHeight w:val="1122"/>
        </w:trPr>
        <w:tc>
          <w:tcPr>
            <w:tcW w:w="4676" w:type="dxa"/>
            <w:vAlign w:val="center"/>
          </w:tcPr>
          <w:p w:rsidR="00C45CD5" w:rsidRPr="00530623" w:rsidRDefault="00DC1E83" w:rsidP="00DC1E83">
            <w:pPr>
              <w:overflowPunct/>
              <w:textAlignment w:val="auto"/>
              <w:rPr>
                <w:rFonts w:asciiTheme="minorHAnsi" w:hAnsiTheme="minorHAnsi" w:cstheme="minorHAnsi"/>
                <w:bCs/>
                <w:sz w:val="24"/>
                <w:szCs w:val="24"/>
              </w:rPr>
            </w:pPr>
            <w:r w:rsidRPr="00DC1E83">
              <w:rPr>
                <w:rFonts w:asciiTheme="minorHAnsi" w:hAnsiTheme="minorHAnsi" w:cstheme="minorHAnsi"/>
                <w:bCs/>
                <w:sz w:val="24"/>
                <w:szCs w:val="24"/>
              </w:rPr>
              <w:t>Vyvíjení a zavádění inteligentních rozvodných systémů nízkého a středního napětí</w:t>
            </w:r>
            <w:r>
              <w:rPr>
                <w:rFonts w:asciiTheme="minorHAnsi" w:hAnsiTheme="minorHAnsi" w:cstheme="minorHAnsi"/>
                <w:bCs/>
                <w:sz w:val="24"/>
                <w:szCs w:val="24"/>
              </w:rPr>
              <w:t xml:space="preserve"> </w:t>
            </w:r>
            <w:r w:rsidRPr="00DC1E83">
              <w:rPr>
                <w:rFonts w:asciiTheme="minorHAnsi" w:hAnsiTheme="minorHAnsi" w:cstheme="minorHAnsi"/>
                <w:bCs/>
                <w:sz w:val="24"/>
                <w:szCs w:val="24"/>
              </w:rPr>
              <w:t>(nařízení o ERDF, článek 5, odst. (4) bod d)</w:t>
            </w:r>
          </w:p>
        </w:tc>
        <w:tc>
          <w:tcPr>
            <w:tcW w:w="4676" w:type="dxa"/>
            <w:vAlign w:val="center"/>
          </w:tcPr>
          <w:p w:rsidR="00C45CD5" w:rsidRPr="00B85EE3" w:rsidRDefault="00FD259D" w:rsidP="00DC1E83">
            <w:pPr>
              <w:rPr>
                <w:rFonts w:asciiTheme="minorHAnsi" w:hAnsiTheme="minorHAnsi" w:cstheme="minorHAnsi"/>
                <w:sz w:val="24"/>
              </w:rPr>
            </w:pPr>
            <w:r w:rsidRPr="00FD259D">
              <w:rPr>
                <w:rFonts w:asciiTheme="minorHAnsi" w:hAnsiTheme="minorHAnsi" w:cstheme="minorHAnsi"/>
                <w:sz w:val="24"/>
              </w:rPr>
              <w:t>3.3 - Modernizace a rozvoj přenosových a distribučních sítí</w:t>
            </w:r>
          </w:p>
        </w:tc>
      </w:tr>
      <w:tr w:rsidR="00C45CD5" w:rsidRPr="00B85EE3" w:rsidTr="00047389">
        <w:trPr>
          <w:trHeight w:val="980"/>
        </w:trPr>
        <w:tc>
          <w:tcPr>
            <w:tcW w:w="4676" w:type="dxa"/>
            <w:vAlign w:val="center"/>
          </w:tcPr>
          <w:p w:rsidR="00C45CD5" w:rsidRPr="00530623" w:rsidRDefault="00DC1E83" w:rsidP="00DC1E83">
            <w:pPr>
              <w:overflowPunct/>
              <w:textAlignment w:val="auto"/>
              <w:rPr>
                <w:rFonts w:asciiTheme="minorHAnsi" w:hAnsiTheme="minorHAnsi" w:cstheme="minorHAnsi"/>
                <w:bCs/>
                <w:sz w:val="24"/>
                <w:szCs w:val="24"/>
              </w:rPr>
            </w:pPr>
            <w:r w:rsidRPr="00DC1E83">
              <w:rPr>
                <w:rFonts w:asciiTheme="minorHAnsi" w:hAnsiTheme="minorHAnsi" w:cstheme="minorHAnsi"/>
                <w:bCs/>
                <w:sz w:val="24"/>
                <w:szCs w:val="24"/>
              </w:rPr>
              <w:t>Podpora výzkumu, inovací a zavádění nízkouhlíkových technologií</w:t>
            </w:r>
            <w:r>
              <w:rPr>
                <w:rFonts w:asciiTheme="minorHAnsi" w:hAnsiTheme="minorHAnsi" w:cstheme="minorHAnsi"/>
                <w:bCs/>
                <w:sz w:val="24"/>
                <w:szCs w:val="24"/>
              </w:rPr>
              <w:t xml:space="preserve"> </w:t>
            </w:r>
            <w:r w:rsidRPr="00DC1E83">
              <w:rPr>
                <w:rFonts w:asciiTheme="minorHAnsi" w:hAnsiTheme="minorHAnsi" w:cstheme="minorHAnsi"/>
                <w:bCs/>
                <w:sz w:val="24"/>
                <w:szCs w:val="24"/>
              </w:rPr>
              <w:t>(nařízení o ERDF, článek 5, odst. (4) bod f)</w:t>
            </w:r>
          </w:p>
        </w:tc>
        <w:tc>
          <w:tcPr>
            <w:tcW w:w="4676" w:type="dxa"/>
            <w:vAlign w:val="center"/>
          </w:tcPr>
          <w:p w:rsidR="00C45CD5" w:rsidRPr="00530623" w:rsidRDefault="00FD259D" w:rsidP="00DC1E83">
            <w:pPr>
              <w:rPr>
                <w:rFonts w:asciiTheme="minorHAnsi" w:hAnsiTheme="minorHAnsi" w:cstheme="minorHAnsi"/>
                <w:sz w:val="24"/>
              </w:rPr>
            </w:pPr>
            <w:r w:rsidRPr="00FD259D">
              <w:rPr>
                <w:rFonts w:asciiTheme="minorHAnsi" w:hAnsiTheme="minorHAnsi" w:cstheme="minorHAnsi"/>
                <w:sz w:val="24"/>
              </w:rPr>
              <w:t>3.4 -  Větší uplatnění výzkumu a inovací v energetice a zvýšení využívání druhotných surovin</w:t>
            </w:r>
          </w:p>
        </w:tc>
      </w:tr>
      <w:tr w:rsidR="00C45CD5" w:rsidRPr="00B85EE3" w:rsidTr="00047389">
        <w:trPr>
          <w:trHeight w:val="1280"/>
        </w:trPr>
        <w:tc>
          <w:tcPr>
            <w:tcW w:w="4676" w:type="dxa"/>
            <w:vAlign w:val="center"/>
          </w:tcPr>
          <w:p w:rsidR="00C45CD5" w:rsidRPr="00530623" w:rsidRDefault="00DC1E83" w:rsidP="00DC1E83">
            <w:pPr>
              <w:overflowPunct/>
              <w:textAlignment w:val="auto"/>
              <w:rPr>
                <w:rFonts w:asciiTheme="minorHAnsi" w:hAnsiTheme="minorHAnsi" w:cstheme="minorHAnsi"/>
                <w:bCs/>
                <w:sz w:val="24"/>
                <w:szCs w:val="24"/>
              </w:rPr>
            </w:pPr>
            <w:r w:rsidRPr="00DC1E83">
              <w:rPr>
                <w:rFonts w:asciiTheme="minorHAnsi" w:hAnsiTheme="minorHAnsi" w:cstheme="minorHAnsi"/>
                <w:bCs/>
                <w:sz w:val="24"/>
                <w:szCs w:val="24"/>
              </w:rPr>
              <w:lastRenderedPageBreak/>
              <w:t>Podpora využívání vysoce účinné kombinované výroby tepla a elektřiny na základě poptávky po užitečném teple</w:t>
            </w:r>
            <w:r>
              <w:rPr>
                <w:rFonts w:asciiTheme="minorHAnsi" w:hAnsiTheme="minorHAnsi" w:cstheme="minorHAnsi"/>
                <w:bCs/>
                <w:sz w:val="24"/>
                <w:szCs w:val="24"/>
              </w:rPr>
              <w:t xml:space="preserve"> </w:t>
            </w:r>
            <w:r w:rsidR="00FD259D" w:rsidRPr="00FD259D">
              <w:rPr>
                <w:rFonts w:asciiTheme="minorHAnsi" w:hAnsiTheme="minorHAnsi" w:cstheme="minorHAnsi"/>
                <w:bCs/>
                <w:sz w:val="24"/>
                <w:szCs w:val="24"/>
              </w:rPr>
              <w:t>(nařízení o ERDF, článek 5, odst. (4) bod g)</w:t>
            </w:r>
          </w:p>
        </w:tc>
        <w:tc>
          <w:tcPr>
            <w:tcW w:w="4676" w:type="dxa"/>
            <w:vAlign w:val="center"/>
          </w:tcPr>
          <w:p w:rsidR="00C45CD5" w:rsidRPr="00530623" w:rsidRDefault="00FD259D" w:rsidP="00DC1E83">
            <w:pPr>
              <w:rPr>
                <w:rFonts w:asciiTheme="minorHAnsi" w:hAnsiTheme="minorHAnsi" w:cstheme="minorHAnsi"/>
                <w:sz w:val="24"/>
              </w:rPr>
            </w:pPr>
            <w:r w:rsidRPr="00FD259D">
              <w:rPr>
                <w:rFonts w:asciiTheme="minorHAnsi" w:hAnsiTheme="minorHAnsi" w:cstheme="minorHAnsi"/>
                <w:sz w:val="24"/>
              </w:rPr>
              <w:t>3.5 - Zvýšení využití a zavádění kombinované výroby elektřiny a tepla</w:t>
            </w:r>
          </w:p>
        </w:tc>
      </w:tr>
    </w:tbl>
    <w:p w:rsidR="00C45CD5" w:rsidRDefault="00C45CD5" w:rsidP="00C45CD5">
      <w:pPr>
        <w:overflowPunct/>
        <w:jc w:val="both"/>
        <w:textAlignment w:val="auto"/>
        <w:rPr>
          <w:b/>
          <w:bCs/>
          <w:sz w:val="24"/>
          <w:szCs w:val="24"/>
        </w:rPr>
      </w:pPr>
    </w:p>
    <w:p w:rsidR="00C45CD5" w:rsidRPr="00047389" w:rsidRDefault="00C45CD5" w:rsidP="00047389">
      <w:pPr>
        <w:pStyle w:val="Nadpis4"/>
      </w:pPr>
      <w:bookmarkStart w:id="71" w:name="_Toc351464389"/>
      <w:r w:rsidRPr="00047389">
        <w:t xml:space="preserve">Specifický cíl </w:t>
      </w:r>
      <w:r w:rsidR="00047389" w:rsidRPr="00047389">
        <w:t>3.1 - Zvýšení podílu využívání OZE v rámci energetického mixu ČR</w:t>
      </w:r>
      <w:bookmarkEnd w:id="71"/>
    </w:p>
    <w:p w:rsidR="00C45CD5" w:rsidRDefault="00047389" w:rsidP="0038738E">
      <w:pPr>
        <w:spacing w:after="120"/>
        <w:jc w:val="both"/>
        <w:rPr>
          <w:rFonts w:asciiTheme="minorHAnsi" w:hAnsiTheme="minorHAnsi" w:cstheme="minorHAnsi"/>
          <w:sz w:val="24"/>
          <w:szCs w:val="24"/>
        </w:rPr>
      </w:pPr>
      <w:r w:rsidRPr="009C2C37">
        <w:rPr>
          <w:rFonts w:asciiTheme="minorHAnsi" w:hAnsiTheme="minorHAnsi" w:cstheme="minorHAnsi"/>
          <w:sz w:val="24"/>
          <w:szCs w:val="24"/>
        </w:rPr>
        <w:t>V energetickém mixu České republiky hrají dlouhodobě ne</w:t>
      </w:r>
      <w:r>
        <w:rPr>
          <w:rFonts w:asciiTheme="minorHAnsi" w:hAnsiTheme="minorHAnsi" w:cstheme="minorHAnsi"/>
          <w:sz w:val="24"/>
          <w:szCs w:val="24"/>
        </w:rPr>
        <w:t>jvý</w:t>
      </w:r>
      <w:r w:rsidRPr="009C2C37">
        <w:rPr>
          <w:rFonts w:asciiTheme="minorHAnsi" w:hAnsiTheme="minorHAnsi" w:cstheme="minorHAnsi"/>
          <w:sz w:val="24"/>
          <w:szCs w:val="24"/>
        </w:rPr>
        <w:t>znamnější roli klasické zdroje en</w:t>
      </w:r>
      <w:r>
        <w:rPr>
          <w:rFonts w:asciiTheme="minorHAnsi" w:hAnsiTheme="minorHAnsi" w:cstheme="minorHAnsi"/>
          <w:sz w:val="24"/>
          <w:szCs w:val="24"/>
        </w:rPr>
        <w:t>e</w:t>
      </w:r>
      <w:r w:rsidRPr="009C2C37">
        <w:rPr>
          <w:rFonts w:asciiTheme="minorHAnsi" w:hAnsiTheme="minorHAnsi" w:cstheme="minorHAnsi"/>
          <w:sz w:val="24"/>
          <w:szCs w:val="24"/>
        </w:rPr>
        <w:t>rgie na úkor zdrojů moderních, obnovitelných, šetrných k život</w:t>
      </w:r>
      <w:r>
        <w:rPr>
          <w:rFonts w:asciiTheme="minorHAnsi" w:hAnsiTheme="minorHAnsi" w:cstheme="minorHAnsi"/>
          <w:sz w:val="24"/>
          <w:szCs w:val="24"/>
        </w:rPr>
        <w:t xml:space="preserve">nímu prostředí. Nízké procento výroby energie z těchto zdrojů </w:t>
      </w:r>
      <w:r w:rsidRPr="009C2C37">
        <w:rPr>
          <w:rFonts w:asciiTheme="minorHAnsi" w:hAnsiTheme="minorHAnsi" w:cstheme="minorHAnsi"/>
          <w:sz w:val="24"/>
          <w:szCs w:val="24"/>
        </w:rPr>
        <w:t>(v ČR se aktuálně podílí OZE cca 10 % na konečné spotřebě energie) souvisí s dlouhodobě nízkým potenciálem využití zdrojů OZE na úkor zdrojů klasických</w:t>
      </w:r>
      <w:r>
        <w:rPr>
          <w:rFonts w:asciiTheme="minorHAnsi" w:hAnsiTheme="minorHAnsi" w:cstheme="minorHAnsi"/>
          <w:sz w:val="24"/>
          <w:szCs w:val="24"/>
        </w:rPr>
        <w:t xml:space="preserve">, jistým „národním konzervatismem“ a především pak s nákladností zavádění a výstavby nových zdrojů z OZE. Ekonomika těchto zdrojů je velmi „napjatá“ a v případě, kdy se návratnost investice do OZE pohybuje v řádech desítek let, nelze hovořit o jejich možném významnějším rozšiřování. Množství </w:t>
      </w:r>
      <w:r w:rsidRPr="009C2C37">
        <w:rPr>
          <w:rFonts w:asciiTheme="minorHAnsi" w:hAnsiTheme="minorHAnsi" w:cstheme="minorHAnsi"/>
          <w:sz w:val="24"/>
          <w:szCs w:val="24"/>
        </w:rPr>
        <w:t>nových zdrojů energie vedle těch tradiční</w:t>
      </w:r>
      <w:r>
        <w:rPr>
          <w:rFonts w:asciiTheme="minorHAnsi" w:hAnsiTheme="minorHAnsi" w:cstheme="minorHAnsi"/>
          <w:sz w:val="24"/>
          <w:szCs w:val="24"/>
        </w:rPr>
        <w:t>c</w:t>
      </w:r>
      <w:r w:rsidRPr="009C2C37">
        <w:rPr>
          <w:rFonts w:asciiTheme="minorHAnsi" w:hAnsiTheme="minorHAnsi" w:cstheme="minorHAnsi"/>
          <w:sz w:val="24"/>
          <w:szCs w:val="24"/>
        </w:rPr>
        <w:t>h není v ČR zatím rozšířeno i přes deklarovanou nutnost energetické</w:t>
      </w:r>
      <w:r>
        <w:rPr>
          <w:rFonts w:asciiTheme="minorHAnsi" w:hAnsiTheme="minorHAnsi" w:cstheme="minorHAnsi"/>
          <w:sz w:val="24"/>
          <w:szCs w:val="24"/>
        </w:rPr>
        <w:t xml:space="preserve"> nezávislosti na okolních zemích. Česká republika přijala závazek</w:t>
      </w:r>
      <w:r w:rsidRPr="009C2C37">
        <w:rPr>
          <w:rFonts w:asciiTheme="minorHAnsi" w:hAnsiTheme="minorHAnsi" w:cstheme="minorHAnsi"/>
          <w:sz w:val="24"/>
          <w:szCs w:val="24"/>
        </w:rPr>
        <w:t xml:space="preserve"> dosáhnout v roce 2020 13 % podílu </w:t>
      </w:r>
      <w:r>
        <w:rPr>
          <w:rFonts w:asciiTheme="minorHAnsi" w:hAnsiTheme="minorHAnsi" w:cstheme="minorHAnsi"/>
          <w:sz w:val="24"/>
          <w:szCs w:val="24"/>
        </w:rPr>
        <w:t xml:space="preserve">energie z OZE </w:t>
      </w:r>
      <w:r w:rsidRPr="009C2C37">
        <w:rPr>
          <w:rFonts w:asciiTheme="minorHAnsi" w:hAnsiTheme="minorHAnsi" w:cstheme="minorHAnsi"/>
          <w:sz w:val="24"/>
          <w:szCs w:val="24"/>
        </w:rPr>
        <w:t>na hrubé konečné spotřebě</w:t>
      </w:r>
      <w:r>
        <w:rPr>
          <w:rFonts w:asciiTheme="minorHAnsi" w:hAnsiTheme="minorHAnsi" w:cstheme="minorHAnsi"/>
          <w:sz w:val="24"/>
          <w:szCs w:val="24"/>
        </w:rPr>
        <w:t xml:space="preserve"> energie</w:t>
      </w:r>
      <w:r w:rsidRPr="009C2C37">
        <w:rPr>
          <w:rFonts w:asciiTheme="minorHAnsi" w:hAnsiTheme="minorHAnsi" w:cstheme="minorHAnsi"/>
          <w:sz w:val="24"/>
          <w:szCs w:val="24"/>
        </w:rPr>
        <w:t>.</w:t>
      </w:r>
      <w:r>
        <w:rPr>
          <w:rFonts w:asciiTheme="minorHAnsi" w:hAnsiTheme="minorHAnsi" w:cstheme="minorHAnsi"/>
          <w:sz w:val="24"/>
          <w:szCs w:val="24"/>
        </w:rPr>
        <w:t xml:space="preserve"> V roce 2011 činil tento podíl 9,35%, čímž je ČR zatím stále pod hranicí tohoto limitu.</w:t>
      </w:r>
    </w:p>
    <w:p w:rsidR="00047389" w:rsidRPr="00047389" w:rsidRDefault="00047389" w:rsidP="0038738E">
      <w:pPr>
        <w:spacing w:after="60"/>
        <w:jc w:val="both"/>
        <w:rPr>
          <w:rFonts w:asciiTheme="minorHAnsi" w:hAnsiTheme="minorHAnsi" w:cstheme="minorHAnsi"/>
          <w:sz w:val="24"/>
          <w:szCs w:val="24"/>
        </w:rPr>
      </w:pPr>
      <w:r w:rsidRPr="00047389">
        <w:rPr>
          <w:rFonts w:asciiTheme="minorHAnsi" w:hAnsiTheme="minorHAnsi" w:cstheme="minorHAnsi"/>
          <w:sz w:val="24"/>
          <w:szCs w:val="24"/>
        </w:rPr>
        <w:t>Cílem této oblasti je zvýšení podílu výroby energie z OZE na hrubé konečné spotřebě energie a snahou o snížení spotřeby primárních zdrojů. Součástí jsou i další efekty, jako například snížení emisí a existence nových energetických zdrojů snižující dovozní energetickou závislost ČR.</w:t>
      </w:r>
    </w:p>
    <w:p w:rsidR="00C45CD5" w:rsidRDefault="00C45CD5" w:rsidP="00047389">
      <w:pPr>
        <w:pStyle w:val="Nadpis4"/>
      </w:pPr>
      <w:bookmarkStart w:id="72" w:name="_Toc351464390"/>
      <w:r w:rsidRPr="00047389">
        <w:t xml:space="preserve">Specifický cíl </w:t>
      </w:r>
      <w:r w:rsidR="00047389" w:rsidRPr="00047389">
        <w:t>3.2 - Snižování energetické náročnosti podnikatelského sektoru a rozvíjení energetických služeb</w:t>
      </w:r>
      <w:bookmarkEnd w:id="72"/>
    </w:p>
    <w:p w:rsidR="00047389" w:rsidRDefault="00047389" w:rsidP="0038738E">
      <w:pPr>
        <w:spacing w:after="120"/>
        <w:jc w:val="both"/>
        <w:rPr>
          <w:rFonts w:asciiTheme="minorHAnsi" w:hAnsiTheme="minorHAnsi" w:cstheme="minorHAnsi"/>
          <w:sz w:val="24"/>
          <w:szCs w:val="24"/>
        </w:rPr>
      </w:pPr>
      <w:r w:rsidRPr="00C05E0E">
        <w:rPr>
          <w:rFonts w:asciiTheme="minorHAnsi" w:hAnsiTheme="minorHAnsi" w:cstheme="minorHAnsi"/>
          <w:sz w:val="24"/>
          <w:szCs w:val="24"/>
        </w:rPr>
        <w:t>V ukazatelích energetické náročnosti se ČR v současnosti nachází nad průměrem EU-27. Energetická náročnost tak odpovídá tradiční průmyslové základně ČR mezi členskými státy EU.</w:t>
      </w:r>
      <w:r>
        <w:rPr>
          <w:rFonts w:asciiTheme="minorHAnsi" w:hAnsiTheme="minorHAnsi" w:cstheme="minorHAnsi"/>
          <w:sz w:val="24"/>
          <w:szCs w:val="24"/>
        </w:rPr>
        <w:t xml:space="preserve"> </w:t>
      </w:r>
      <w:r w:rsidRPr="00C05E0E">
        <w:rPr>
          <w:rFonts w:asciiTheme="minorHAnsi" w:hAnsiTheme="minorHAnsi" w:cstheme="minorHAnsi"/>
          <w:sz w:val="24"/>
          <w:szCs w:val="24"/>
        </w:rPr>
        <w:t>Při srovnávání je ovšem nutno vzít v potaz rovněž rozdílnou ekonomickou výkonnost srovnávaných zemí, která prostřednictvím nižšího ocenění produktů ovlivňuje parametr energetické náročnosti a dává zkreslený pohled na samotné energetické nároky v té či oné zemi. Z hlediska spotřeby energie na obyvatele i z hlediska spotřeby elektřiny na obyvatele se ČR nachází zhruba v průměru zemí EU. Nadále však existuje</w:t>
      </w:r>
      <w:r>
        <w:rPr>
          <w:rFonts w:asciiTheme="minorHAnsi" w:hAnsiTheme="minorHAnsi" w:cstheme="minorHAnsi"/>
          <w:sz w:val="24"/>
          <w:szCs w:val="24"/>
        </w:rPr>
        <w:t xml:space="preserve"> poměrně vysoký potenciál úspor energie, a to právě v podnikatelské infrastruktuře.</w:t>
      </w:r>
    </w:p>
    <w:p w:rsidR="00C45CD5" w:rsidRDefault="00047389" w:rsidP="0038738E">
      <w:pPr>
        <w:spacing w:after="120"/>
        <w:jc w:val="both"/>
        <w:rPr>
          <w:rFonts w:asciiTheme="minorHAnsi" w:hAnsiTheme="minorHAnsi" w:cstheme="minorHAnsi"/>
          <w:bCs/>
          <w:sz w:val="24"/>
          <w:szCs w:val="24"/>
        </w:rPr>
      </w:pPr>
      <w:r w:rsidRPr="000709FB">
        <w:rPr>
          <w:rFonts w:asciiTheme="minorHAnsi" w:hAnsiTheme="minorHAnsi" w:cstheme="minorHAnsi"/>
          <w:sz w:val="24"/>
          <w:szCs w:val="24"/>
        </w:rPr>
        <w:t>Neefektivní využívání zdrojů a nevyhovující technologická řešení výroby jsou hlavními problémy energetické náročnosti průmyslové základny ČR. Zvláště výrobní firmy hledají možnosti úspor právě v oblasti snížení energetické náročnosti.</w:t>
      </w:r>
    </w:p>
    <w:p w:rsidR="00C45CD5" w:rsidRDefault="00047389" w:rsidP="0038738E">
      <w:pPr>
        <w:spacing w:after="120"/>
        <w:jc w:val="both"/>
        <w:rPr>
          <w:rFonts w:asciiTheme="minorHAnsi" w:hAnsiTheme="minorHAnsi" w:cstheme="minorHAnsi"/>
          <w:sz w:val="24"/>
          <w:szCs w:val="24"/>
        </w:rPr>
      </w:pPr>
      <w:r w:rsidRPr="00047389">
        <w:rPr>
          <w:rFonts w:asciiTheme="minorHAnsi" w:hAnsiTheme="minorHAnsi" w:cstheme="minorHAnsi"/>
          <w:sz w:val="24"/>
          <w:szCs w:val="24"/>
        </w:rPr>
        <w:t>Cílem v dané oblasti je poskytování podpor, které přispějí ke snížení energetické náročnosti na jednotku produkce při zachování dlouhodobé stability a dostupnosti energie pro podnikatelskou sféru. Dále je nutné omezit závislost české ekonomiky na dovozu energetických komodit, snížit spotřebu primárních energetických zdrojů a podporovat podnikatele v oblasti využití obnovitelných zdrojů energie v rámci podniku jako jedné ze součástí opatření pro snižování nákladů na energii, a tím tak přispívat ke zvyšování jejich konkurenceschopnosti.</w:t>
      </w:r>
    </w:p>
    <w:p w:rsidR="00330E3C" w:rsidRPr="00047389" w:rsidRDefault="00330E3C" w:rsidP="0038738E">
      <w:pPr>
        <w:spacing w:after="120"/>
        <w:jc w:val="both"/>
        <w:rPr>
          <w:rFonts w:asciiTheme="minorHAnsi" w:hAnsiTheme="minorHAnsi" w:cstheme="minorHAnsi"/>
          <w:sz w:val="24"/>
          <w:szCs w:val="24"/>
        </w:rPr>
      </w:pPr>
    </w:p>
    <w:p w:rsidR="00C45CD5" w:rsidRPr="00047389" w:rsidRDefault="00C45CD5" w:rsidP="00047389">
      <w:pPr>
        <w:pStyle w:val="Nadpis4"/>
      </w:pPr>
      <w:bookmarkStart w:id="73" w:name="_Toc351464391"/>
      <w:r w:rsidRPr="00047389">
        <w:t xml:space="preserve">Specifický cíl </w:t>
      </w:r>
      <w:r w:rsidR="00047389" w:rsidRPr="00047389">
        <w:t>3.3 - Modernizace a rozvoj přenosových a distribučních sítí</w:t>
      </w:r>
      <w:bookmarkEnd w:id="73"/>
    </w:p>
    <w:p w:rsidR="00C45CD5" w:rsidRDefault="00047389" w:rsidP="0038738E">
      <w:pPr>
        <w:spacing w:after="240"/>
        <w:jc w:val="both"/>
        <w:rPr>
          <w:rFonts w:asciiTheme="minorHAnsi" w:hAnsiTheme="minorHAnsi" w:cstheme="minorHAnsi"/>
          <w:sz w:val="24"/>
          <w:szCs w:val="24"/>
        </w:rPr>
      </w:pPr>
      <w:r w:rsidRPr="00E13A8D">
        <w:rPr>
          <w:rFonts w:asciiTheme="minorHAnsi" w:hAnsiTheme="minorHAnsi" w:cstheme="minorHAnsi"/>
          <w:sz w:val="24"/>
          <w:szCs w:val="24"/>
        </w:rPr>
        <w:t>Existence obrovského množství zastaralých distribučních soustav napříč ČR znamená mimořádnou zátěž pro přenos energie a zapříč</w:t>
      </w:r>
      <w:r>
        <w:rPr>
          <w:rFonts w:asciiTheme="minorHAnsi" w:hAnsiTheme="minorHAnsi" w:cstheme="minorHAnsi"/>
          <w:sz w:val="24"/>
          <w:szCs w:val="24"/>
        </w:rPr>
        <w:t>i</w:t>
      </w:r>
      <w:r w:rsidRPr="00E13A8D">
        <w:rPr>
          <w:rFonts w:asciiTheme="minorHAnsi" w:hAnsiTheme="minorHAnsi" w:cstheme="minorHAnsi"/>
          <w:sz w:val="24"/>
          <w:szCs w:val="24"/>
        </w:rPr>
        <w:t>ňuje vysokou ztrátovost. Problémovými oblastmi jsou především oblast distribuce a přenosu elektřiny. Zejména se jedná o klíčové uzly soustav a téměř nulové využití inteligentních sítí jako regulačního prvku. V případě přenosové soustavy jsou vedení a uzly ohrožené přetížením v důsledku neplánovaných toků elektřiny z okolních států. V případě distribučních soustav jsou to navíc vedení a další prvky (např. trafostanice) hlavně v koncových sítích (vn a nn) a v okrajových oblastech.</w:t>
      </w:r>
    </w:p>
    <w:p w:rsidR="00047389" w:rsidRDefault="0012001C" w:rsidP="0038738E">
      <w:pPr>
        <w:spacing w:after="120"/>
        <w:jc w:val="both"/>
        <w:rPr>
          <w:rFonts w:asciiTheme="minorHAnsi" w:hAnsiTheme="minorHAnsi" w:cstheme="minorHAnsi"/>
          <w:sz w:val="24"/>
          <w:szCs w:val="24"/>
        </w:rPr>
      </w:pPr>
      <w:r w:rsidRPr="0012001C">
        <w:rPr>
          <w:rFonts w:asciiTheme="minorHAnsi" w:hAnsiTheme="minorHAnsi" w:cstheme="minorHAnsi"/>
          <w:sz w:val="24"/>
          <w:szCs w:val="24"/>
        </w:rPr>
        <w:t xml:space="preserve">Obsahem tohoto </w:t>
      </w:r>
      <w:r>
        <w:rPr>
          <w:rFonts w:asciiTheme="minorHAnsi" w:hAnsiTheme="minorHAnsi" w:cstheme="minorHAnsi"/>
          <w:sz w:val="24"/>
          <w:szCs w:val="24"/>
        </w:rPr>
        <w:t>specifického cíle je m</w:t>
      </w:r>
      <w:r w:rsidRPr="0012001C">
        <w:rPr>
          <w:rFonts w:asciiTheme="minorHAnsi" w:hAnsiTheme="minorHAnsi" w:cstheme="minorHAnsi"/>
          <w:sz w:val="24"/>
          <w:szCs w:val="24"/>
        </w:rPr>
        <w:t>odernizace a rozvoj přenosových a distribučních soustav. Minimalizace úzkých profilů a posílení spolehlivosti provozní bezpečnosti elektrizační soustavy a podpora inteligentních sítí a rozvodných systémů ve všech regionech České republiky kromě Prahy.</w:t>
      </w:r>
    </w:p>
    <w:p w:rsidR="00330E3C" w:rsidRPr="0012001C" w:rsidRDefault="00330E3C" w:rsidP="0038738E">
      <w:pPr>
        <w:spacing w:after="120"/>
        <w:jc w:val="both"/>
        <w:rPr>
          <w:rFonts w:asciiTheme="minorHAnsi" w:hAnsiTheme="minorHAnsi" w:cstheme="minorHAnsi"/>
          <w:sz w:val="24"/>
          <w:szCs w:val="24"/>
        </w:rPr>
      </w:pPr>
    </w:p>
    <w:p w:rsidR="00C45CD5" w:rsidRPr="00047389" w:rsidRDefault="00C45CD5" w:rsidP="00047389">
      <w:pPr>
        <w:pStyle w:val="Nadpis4"/>
      </w:pPr>
      <w:bookmarkStart w:id="74" w:name="_Toc351464392"/>
      <w:r w:rsidRPr="00047389">
        <w:t xml:space="preserve">Specifický cíl </w:t>
      </w:r>
      <w:r w:rsidR="00047389" w:rsidRPr="00047389">
        <w:t>3.4 -  Větší uplatnění výzkumu a inovací v energetice a zvýšení využívání druhotných surovin</w:t>
      </w:r>
      <w:bookmarkEnd w:id="74"/>
    </w:p>
    <w:p w:rsidR="0012001C" w:rsidRDefault="0012001C" w:rsidP="0038738E">
      <w:pPr>
        <w:spacing w:after="120"/>
        <w:jc w:val="both"/>
        <w:rPr>
          <w:rFonts w:asciiTheme="minorHAnsi" w:hAnsiTheme="minorHAnsi" w:cstheme="minorHAnsi"/>
          <w:sz w:val="24"/>
          <w:szCs w:val="24"/>
        </w:rPr>
      </w:pPr>
      <w:r w:rsidRPr="0012001C">
        <w:rPr>
          <w:rFonts w:asciiTheme="minorHAnsi" w:hAnsiTheme="minorHAnsi" w:cstheme="minorHAnsi"/>
          <w:sz w:val="24"/>
          <w:szCs w:val="24"/>
        </w:rPr>
        <w:t>Nižší podíl na inovačních aktivitách v oblasti energetiky, především v malých a středních firmách, snižuje vedle konkurenceschopnosti rovněž i celkový inovační potenciál ČR v oblasti získávání a zpracování druhotných surovin. Tento nedostatek vychází především z finanční náročnosti výzkumných aktivit, jejich existence je zastíněna nutností udržení podnikatelské produkce. Nedostatečná surovinová základna v ČR zatím nevede k apelu na vyšší využití druhotných surovin, především v oblasti jejich inovativního získávání ze zbytků průmyslové výroby a odpadu, v níž má ČR na rozdíl od vyspělejších zemí EU silné nedostatky.</w:t>
      </w:r>
      <w:r w:rsidRPr="00566B7F">
        <w:rPr>
          <w:rFonts w:asciiTheme="minorHAnsi" w:hAnsiTheme="minorHAnsi" w:cstheme="minorHAnsi"/>
          <w:sz w:val="24"/>
          <w:szCs w:val="24"/>
        </w:rPr>
        <w:t xml:space="preserve"> </w:t>
      </w:r>
    </w:p>
    <w:p w:rsidR="0012001C" w:rsidRPr="00EC03A9" w:rsidRDefault="0012001C" w:rsidP="0038738E">
      <w:pPr>
        <w:spacing w:after="120"/>
        <w:jc w:val="both"/>
        <w:rPr>
          <w:rFonts w:asciiTheme="minorHAnsi" w:hAnsiTheme="minorHAnsi" w:cstheme="minorHAnsi"/>
          <w:sz w:val="24"/>
          <w:szCs w:val="24"/>
        </w:rPr>
      </w:pPr>
      <w:r w:rsidRPr="00EC03A9">
        <w:rPr>
          <w:rFonts w:asciiTheme="minorHAnsi" w:hAnsiTheme="minorHAnsi" w:cstheme="minorHAnsi"/>
          <w:sz w:val="24"/>
          <w:szCs w:val="24"/>
        </w:rPr>
        <w:t>Na základě statistického zjišťování ČSÚ o produkci a využívání druhotných surovin za rok 2011 byl</w:t>
      </w:r>
      <w:r>
        <w:rPr>
          <w:rFonts w:asciiTheme="minorHAnsi" w:hAnsiTheme="minorHAnsi" w:cstheme="minorHAnsi"/>
          <w:sz w:val="24"/>
          <w:szCs w:val="24"/>
        </w:rPr>
        <w:t xml:space="preserve">o </w:t>
      </w:r>
      <w:r w:rsidRPr="00EC03A9">
        <w:rPr>
          <w:rFonts w:asciiTheme="minorHAnsi" w:hAnsiTheme="minorHAnsi" w:cstheme="minorHAnsi"/>
          <w:sz w:val="24"/>
          <w:szCs w:val="24"/>
        </w:rPr>
        <w:t>zjištěn</w:t>
      </w:r>
      <w:r>
        <w:rPr>
          <w:rFonts w:asciiTheme="minorHAnsi" w:hAnsiTheme="minorHAnsi" w:cstheme="minorHAnsi"/>
          <w:sz w:val="24"/>
          <w:szCs w:val="24"/>
        </w:rPr>
        <w:t>o, že p</w:t>
      </w:r>
      <w:r w:rsidRPr="00EC03A9">
        <w:rPr>
          <w:rFonts w:asciiTheme="minorHAnsi" w:hAnsiTheme="minorHAnsi" w:cstheme="minorHAnsi"/>
          <w:sz w:val="24"/>
          <w:szCs w:val="24"/>
        </w:rPr>
        <w:t>rodukce druhotných surovin</w:t>
      </w:r>
      <w:r>
        <w:rPr>
          <w:rFonts w:asciiTheme="minorHAnsi" w:hAnsiTheme="minorHAnsi" w:cstheme="minorHAnsi"/>
          <w:sz w:val="24"/>
          <w:szCs w:val="24"/>
        </w:rPr>
        <w:t xml:space="preserve"> se pohybuje v ČR kolem </w:t>
      </w:r>
      <w:r w:rsidRPr="00EC03A9">
        <w:rPr>
          <w:rFonts w:asciiTheme="minorHAnsi" w:hAnsiTheme="minorHAnsi" w:cstheme="minorHAnsi"/>
          <w:sz w:val="24"/>
          <w:szCs w:val="24"/>
        </w:rPr>
        <w:t> 21,5 mil. tun</w:t>
      </w:r>
      <w:r>
        <w:rPr>
          <w:rFonts w:asciiTheme="minorHAnsi" w:hAnsiTheme="minorHAnsi" w:cstheme="minorHAnsi"/>
          <w:sz w:val="24"/>
          <w:szCs w:val="24"/>
        </w:rPr>
        <w:t>. N</w:t>
      </w:r>
      <w:r w:rsidRPr="00EC03A9">
        <w:rPr>
          <w:rFonts w:asciiTheme="minorHAnsi" w:hAnsiTheme="minorHAnsi" w:cstheme="minorHAnsi"/>
          <w:sz w:val="24"/>
          <w:szCs w:val="24"/>
        </w:rPr>
        <w:t>ízké využ</w:t>
      </w:r>
      <w:r>
        <w:rPr>
          <w:rFonts w:asciiTheme="minorHAnsi" w:hAnsiTheme="minorHAnsi" w:cstheme="minorHAnsi"/>
          <w:sz w:val="24"/>
          <w:szCs w:val="24"/>
        </w:rPr>
        <w:t>i</w:t>
      </w:r>
      <w:r w:rsidRPr="00EC03A9">
        <w:rPr>
          <w:rFonts w:asciiTheme="minorHAnsi" w:hAnsiTheme="minorHAnsi" w:cstheme="minorHAnsi"/>
          <w:sz w:val="24"/>
          <w:szCs w:val="24"/>
        </w:rPr>
        <w:t xml:space="preserve">tí druhotných surovin jako vstupní suroviny pro další výrobu vykazují zejména </w:t>
      </w:r>
      <w:r>
        <w:rPr>
          <w:rFonts w:asciiTheme="minorHAnsi" w:hAnsiTheme="minorHAnsi" w:cstheme="minorHAnsi"/>
          <w:sz w:val="24"/>
          <w:szCs w:val="24"/>
        </w:rPr>
        <w:t>k</w:t>
      </w:r>
      <w:r w:rsidRPr="00EC03A9">
        <w:rPr>
          <w:rFonts w:asciiTheme="minorHAnsi" w:hAnsiTheme="minorHAnsi" w:cstheme="minorHAnsi"/>
          <w:sz w:val="24"/>
          <w:szCs w:val="24"/>
        </w:rPr>
        <w:t>omodity</w:t>
      </w:r>
      <w:r>
        <w:rPr>
          <w:rFonts w:asciiTheme="minorHAnsi" w:hAnsiTheme="minorHAnsi" w:cstheme="minorHAnsi"/>
          <w:sz w:val="24"/>
          <w:szCs w:val="24"/>
        </w:rPr>
        <w:t xml:space="preserve"> </w:t>
      </w:r>
      <w:r w:rsidRPr="00EC03A9">
        <w:rPr>
          <w:rFonts w:asciiTheme="minorHAnsi" w:hAnsiTheme="minorHAnsi" w:cstheme="minorHAnsi"/>
          <w:sz w:val="24"/>
          <w:szCs w:val="24"/>
        </w:rPr>
        <w:t xml:space="preserve">plasty </w:t>
      </w:r>
      <w:r>
        <w:rPr>
          <w:rFonts w:asciiTheme="minorHAnsi" w:hAnsiTheme="minorHAnsi" w:cstheme="minorHAnsi"/>
          <w:sz w:val="24"/>
          <w:szCs w:val="24"/>
        </w:rPr>
        <w:t>(</w:t>
      </w:r>
      <w:r w:rsidRPr="00EC03A9">
        <w:rPr>
          <w:rFonts w:asciiTheme="minorHAnsi" w:hAnsiTheme="minorHAnsi" w:cstheme="minorHAnsi"/>
          <w:sz w:val="24"/>
          <w:szCs w:val="24"/>
        </w:rPr>
        <w:t>15 %</w:t>
      </w:r>
      <w:r>
        <w:rPr>
          <w:rFonts w:asciiTheme="minorHAnsi" w:hAnsiTheme="minorHAnsi" w:cstheme="minorHAnsi"/>
          <w:sz w:val="24"/>
          <w:szCs w:val="24"/>
        </w:rPr>
        <w:t xml:space="preserve">), </w:t>
      </w:r>
      <w:r w:rsidRPr="00EC03A9">
        <w:rPr>
          <w:rFonts w:asciiTheme="minorHAnsi" w:hAnsiTheme="minorHAnsi" w:cstheme="minorHAnsi"/>
          <w:sz w:val="24"/>
          <w:szCs w:val="24"/>
        </w:rPr>
        <w:t xml:space="preserve">stavební hmoty </w:t>
      </w:r>
      <w:r>
        <w:rPr>
          <w:rFonts w:asciiTheme="minorHAnsi" w:hAnsiTheme="minorHAnsi" w:cstheme="minorHAnsi"/>
          <w:sz w:val="24"/>
          <w:szCs w:val="24"/>
        </w:rPr>
        <w:t>(</w:t>
      </w:r>
      <w:r w:rsidRPr="00EC03A9">
        <w:rPr>
          <w:rFonts w:asciiTheme="minorHAnsi" w:hAnsiTheme="minorHAnsi" w:cstheme="minorHAnsi"/>
          <w:sz w:val="24"/>
          <w:szCs w:val="24"/>
        </w:rPr>
        <w:t>11 %</w:t>
      </w:r>
      <w:r>
        <w:rPr>
          <w:rFonts w:asciiTheme="minorHAnsi" w:hAnsiTheme="minorHAnsi" w:cstheme="minorHAnsi"/>
          <w:sz w:val="24"/>
          <w:szCs w:val="24"/>
        </w:rPr>
        <w:t xml:space="preserve">), </w:t>
      </w:r>
      <w:r w:rsidRPr="00EC03A9">
        <w:rPr>
          <w:rFonts w:asciiTheme="minorHAnsi" w:hAnsiTheme="minorHAnsi" w:cstheme="minorHAnsi"/>
          <w:sz w:val="24"/>
          <w:szCs w:val="24"/>
        </w:rPr>
        <w:t xml:space="preserve">produkty z energetických procesů </w:t>
      </w:r>
      <w:r>
        <w:rPr>
          <w:rFonts w:asciiTheme="minorHAnsi" w:hAnsiTheme="minorHAnsi" w:cstheme="minorHAnsi"/>
          <w:sz w:val="24"/>
          <w:szCs w:val="24"/>
        </w:rPr>
        <w:t>(</w:t>
      </w:r>
      <w:r w:rsidRPr="00EC03A9">
        <w:rPr>
          <w:rFonts w:asciiTheme="minorHAnsi" w:hAnsiTheme="minorHAnsi" w:cstheme="minorHAnsi"/>
          <w:sz w:val="24"/>
          <w:szCs w:val="24"/>
        </w:rPr>
        <w:t>4 %</w:t>
      </w:r>
      <w:r>
        <w:rPr>
          <w:rFonts w:asciiTheme="minorHAnsi" w:hAnsiTheme="minorHAnsi" w:cstheme="minorHAnsi"/>
          <w:sz w:val="24"/>
          <w:szCs w:val="24"/>
        </w:rPr>
        <w:t>)</w:t>
      </w:r>
      <w:r w:rsidRPr="00EC03A9">
        <w:rPr>
          <w:rFonts w:asciiTheme="minorHAnsi" w:hAnsiTheme="minorHAnsi" w:cstheme="minorHAnsi"/>
          <w:sz w:val="24"/>
          <w:szCs w:val="24"/>
        </w:rPr>
        <w:t xml:space="preserve">. </w:t>
      </w:r>
    </w:p>
    <w:p w:rsidR="00C45CD5" w:rsidRPr="0012001C" w:rsidRDefault="0012001C" w:rsidP="0038738E">
      <w:pPr>
        <w:spacing w:after="120"/>
        <w:jc w:val="both"/>
        <w:rPr>
          <w:rFonts w:asciiTheme="minorHAnsi" w:hAnsiTheme="minorHAnsi" w:cstheme="minorHAnsi"/>
          <w:sz w:val="24"/>
          <w:szCs w:val="24"/>
        </w:rPr>
      </w:pPr>
      <w:r>
        <w:rPr>
          <w:rFonts w:asciiTheme="minorHAnsi" w:hAnsiTheme="minorHAnsi" w:cstheme="minorHAnsi"/>
          <w:sz w:val="24"/>
          <w:szCs w:val="24"/>
        </w:rPr>
        <w:t>Recyklované s</w:t>
      </w:r>
      <w:r w:rsidRPr="00EC03A9">
        <w:rPr>
          <w:rFonts w:asciiTheme="minorHAnsi" w:hAnsiTheme="minorHAnsi" w:cstheme="minorHAnsi"/>
          <w:sz w:val="24"/>
          <w:szCs w:val="24"/>
        </w:rPr>
        <w:t>tavební hmoty a produkty z energetických produktů tvoří více jak 70 % celkové produkce druhotných surovin v</w:t>
      </w:r>
      <w:r>
        <w:rPr>
          <w:rFonts w:asciiTheme="minorHAnsi" w:hAnsiTheme="minorHAnsi" w:cstheme="minorHAnsi"/>
          <w:sz w:val="24"/>
          <w:szCs w:val="24"/>
        </w:rPr>
        <w:t> </w:t>
      </w:r>
      <w:r w:rsidRPr="00EC03A9">
        <w:rPr>
          <w:rFonts w:asciiTheme="minorHAnsi" w:hAnsiTheme="minorHAnsi" w:cstheme="minorHAnsi"/>
          <w:sz w:val="24"/>
          <w:szCs w:val="24"/>
        </w:rPr>
        <w:t>ČR</w:t>
      </w:r>
      <w:r>
        <w:rPr>
          <w:rFonts w:asciiTheme="minorHAnsi" w:hAnsiTheme="minorHAnsi" w:cstheme="minorHAnsi"/>
          <w:sz w:val="24"/>
          <w:szCs w:val="24"/>
        </w:rPr>
        <w:t>.</w:t>
      </w:r>
    </w:p>
    <w:p w:rsidR="00C45CD5" w:rsidRDefault="0012001C" w:rsidP="0038738E">
      <w:pPr>
        <w:spacing w:after="120"/>
        <w:jc w:val="both"/>
        <w:rPr>
          <w:rFonts w:asciiTheme="minorHAnsi" w:hAnsiTheme="minorHAnsi" w:cstheme="minorHAnsi"/>
          <w:sz w:val="24"/>
          <w:szCs w:val="24"/>
        </w:rPr>
      </w:pPr>
      <w:r w:rsidRPr="0012001C">
        <w:rPr>
          <w:rFonts w:asciiTheme="minorHAnsi" w:hAnsiTheme="minorHAnsi" w:cstheme="minorHAnsi"/>
          <w:sz w:val="24"/>
          <w:szCs w:val="24"/>
        </w:rPr>
        <w:t>Obsahem tohoto cíle je větší uplatnění výzkumu a inovací v energetice a zvýšení využívání druhotných surovin. Součástí bude zvýšení objemu realizace konkrétních VaVaI aktivit v energetice a v oblasti získávání druhotných surovin spolu s podporou pilotních projektů v duchu konceptu inteligentní specializace.</w:t>
      </w:r>
    </w:p>
    <w:p w:rsidR="00330E3C" w:rsidRDefault="00330E3C" w:rsidP="0038738E">
      <w:pPr>
        <w:spacing w:after="120"/>
        <w:jc w:val="both"/>
        <w:rPr>
          <w:rFonts w:asciiTheme="minorHAnsi" w:hAnsiTheme="minorHAnsi" w:cstheme="minorHAnsi"/>
          <w:sz w:val="24"/>
          <w:szCs w:val="24"/>
        </w:rPr>
      </w:pPr>
    </w:p>
    <w:p w:rsidR="00C45CD5" w:rsidRPr="00047389" w:rsidRDefault="00C45CD5" w:rsidP="00047389">
      <w:pPr>
        <w:pStyle w:val="Nadpis4"/>
      </w:pPr>
      <w:bookmarkStart w:id="75" w:name="_Toc351464393"/>
      <w:r w:rsidRPr="00047389">
        <w:t xml:space="preserve">Specifický cíl </w:t>
      </w:r>
      <w:r w:rsidR="00047389" w:rsidRPr="00047389">
        <w:t>3.5 - Zvýšení využití a zavádění kombinované výroby elektřiny a tepla</w:t>
      </w:r>
      <w:bookmarkEnd w:id="75"/>
    </w:p>
    <w:p w:rsidR="0012001C" w:rsidRPr="0012001C" w:rsidRDefault="0012001C" w:rsidP="0038738E">
      <w:pPr>
        <w:spacing w:after="120"/>
        <w:jc w:val="both"/>
        <w:rPr>
          <w:rFonts w:asciiTheme="minorHAnsi" w:hAnsiTheme="minorHAnsi" w:cstheme="minorHAnsi"/>
          <w:sz w:val="24"/>
          <w:szCs w:val="24"/>
        </w:rPr>
      </w:pPr>
      <w:r w:rsidRPr="0012001C">
        <w:rPr>
          <w:rFonts w:asciiTheme="minorHAnsi" w:hAnsiTheme="minorHAnsi" w:cstheme="minorHAnsi"/>
          <w:sz w:val="24"/>
          <w:szCs w:val="24"/>
        </w:rPr>
        <w:t xml:space="preserve">Česká republika patří mezi členské státy EU s vyšší energetickou náročností ekonomiky, resp. disponuje i přes realizaci úsporných opatření v oblasti nakládání s energií a transformací ekonomiky značným potenciálem snižování energetické náročnosti. Dle dat ČSÚ </w:t>
      </w:r>
      <w:r w:rsidRPr="0012001C">
        <w:rPr>
          <w:rFonts w:asciiTheme="minorHAnsi" w:hAnsiTheme="minorHAnsi" w:cstheme="minorHAnsi"/>
          <w:sz w:val="24"/>
          <w:szCs w:val="24"/>
        </w:rPr>
        <w:lastRenderedPageBreak/>
        <w:t>(Transformační procesy v energetice) je výroba elektřiny v ČR spojena s vysokými ztrátami kolem 500 PJ energie ročně. Tyto ztráty vznikají z fyzikální podstaty odvedením nízkopotenicálního tepla do okolního prostředí. Současně je nevyužit v mnoha lokalitách potenciál kogenerace, kde je poptávka po užitečném tepla realizována výtopenským režimem. Rozvodná tepelná zařízení (RTZ), která umožňují existenci a rozvoj kombinované výroby elektřiny a tepla již nevyhovují současným technickým požadavkům na rozvod tepelné energie a docházím ke zvýšeným ztrátám energie.</w:t>
      </w:r>
    </w:p>
    <w:p w:rsidR="0012001C" w:rsidRPr="0012001C" w:rsidRDefault="0012001C" w:rsidP="0038738E">
      <w:pPr>
        <w:spacing w:after="120"/>
        <w:jc w:val="both"/>
        <w:rPr>
          <w:rFonts w:asciiTheme="minorHAnsi" w:hAnsiTheme="minorHAnsi" w:cstheme="minorHAnsi"/>
          <w:sz w:val="24"/>
          <w:szCs w:val="24"/>
        </w:rPr>
      </w:pPr>
      <w:r w:rsidRPr="0012001C">
        <w:rPr>
          <w:rFonts w:asciiTheme="minorHAnsi" w:hAnsiTheme="minorHAnsi" w:cstheme="minorHAnsi"/>
          <w:sz w:val="24"/>
          <w:szCs w:val="24"/>
        </w:rPr>
        <w:t>Soustavy zásobování teplem byly budovány od 40. let 20. století převážně do konce 80. let 20. století. Parametry těchto soustav odpovídaly vnějším potřebám, které se po roce 1989 změnily. Celá řada soustav byla budována jako parovodní z důvodu dodávek technologické páry do průmyslových provozů. Velký počet průmyslových podniků v rámci restrukturalizace průmyslu v 90. letech zanikl a s tím i potřeba dodávek páry. Podfinancovaná infrastruktura je důsledkem změn vlastnické struktury v době transformace ekonomiky. Nezajištení stabilních a cenově přijatelných dodávek vstupních surovin. Motivace podnikatelského sektoru v oblasti vyššího využívání KVET je s ohledem na finanční kapacity nízká.</w:t>
      </w:r>
    </w:p>
    <w:p w:rsidR="0012001C" w:rsidRPr="0012001C" w:rsidRDefault="0012001C" w:rsidP="0038738E">
      <w:pPr>
        <w:spacing w:after="120"/>
        <w:jc w:val="both"/>
        <w:rPr>
          <w:rFonts w:asciiTheme="minorHAnsi" w:hAnsiTheme="minorHAnsi" w:cstheme="minorHAnsi"/>
          <w:sz w:val="24"/>
          <w:szCs w:val="24"/>
        </w:rPr>
      </w:pPr>
      <w:r w:rsidRPr="0012001C">
        <w:rPr>
          <w:rFonts w:asciiTheme="minorHAnsi" w:hAnsiTheme="minorHAnsi" w:cstheme="minorHAnsi"/>
          <w:sz w:val="24"/>
          <w:szCs w:val="24"/>
        </w:rPr>
        <w:t>Investiční náročnost modernizace a rozvoje soustav zásobování tepelnou energií využívajících kombinovanou výrobu elektřiny a tepla způsobuje nedostatečné investice. Technické zaostávání je příčinou tepelných ztrát v tepelně rozvodných zařízeních. Ztráty v RTZ jsou dány nedostatečnými tepelně izolačními parametry, naddimenzováním soustav a teploty provozního média.</w:t>
      </w:r>
    </w:p>
    <w:p w:rsidR="00C45CD5" w:rsidRDefault="0012001C" w:rsidP="0038738E">
      <w:pPr>
        <w:spacing w:after="60"/>
        <w:jc w:val="both"/>
        <w:rPr>
          <w:rFonts w:asciiTheme="minorHAnsi" w:hAnsiTheme="minorHAnsi" w:cstheme="minorHAnsi"/>
          <w:sz w:val="24"/>
          <w:szCs w:val="24"/>
        </w:rPr>
      </w:pPr>
      <w:r w:rsidRPr="0012001C">
        <w:rPr>
          <w:rFonts w:asciiTheme="minorHAnsi" w:hAnsiTheme="minorHAnsi" w:cstheme="minorHAnsi"/>
          <w:sz w:val="24"/>
          <w:szCs w:val="24"/>
        </w:rPr>
        <w:t>Zvýšení využití a zavádění kombinované výroby elektřiny a tepla.                                                                                            Moderní energeticky efektivní soustavy zásobování teplem, resp. tepelně rozvodná zařízení ve všech regionech České republiky. Zavádění KVET v podnicích s účelem zvýšení využití primarního paliva a snížení zatížení elektrizační soustavy. Při rekonstrukci potrubí dojde ke snížení ztrát díky lepším izolačním parametrům, změně teploty provozního média a dojde k dimenzování soustavy s ohledem na současnou a budoucí spotřebu tepla. V některých případech by byl vhodnější cestou řízený přechod některých velkých zdrojů na decentralizované malé plynové, nejlépe kogenerační jednotky.</w:t>
      </w:r>
    </w:p>
    <w:p w:rsidR="00C45CD5" w:rsidRDefault="00C45CD5" w:rsidP="00C45CD5">
      <w:pPr>
        <w:overflowPunct/>
        <w:ind w:left="1410" w:hanging="1410"/>
        <w:jc w:val="both"/>
        <w:textAlignment w:val="auto"/>
        <w:rPr>
          <w:rFonts w:ascii="Calibri" w:hAnsi="Calibri" w:cs="Calibri"/>
          <w:b/>
          <w:bCs/>
          <w:color w:val="FF0000"/>
          <w:sz w:val="24"/>
          <w:szCs w:val="24"/>
        </w:rPr>
      </w:pPr>
    </w:p>
    <w:p w:rsidR="00DD04E7" w:rsidRDefault="00DD04E7" w:rsidP="00C45CD5">
      <w:pPr>
        <w:overflowPunct/>
        <w:ind w:left="1410" w:hanging="1410"/>
        <w:jc w:val="both"/>
        <w:textAlignment w:val="auto"/>
        <w:rPr>
          <w:rFonts w:ascii="Calibri" w:hAnsi="Calibri" w:cs="Calibri"/>
          <w:b/>
          <w:bCs/>
          <w:color w:val="FF0000"/>
          <w:sz w:val="24"/>
          <w:szCs w:val="24"/>
        </w:rPr>
      </w:pPr>
    </w:p>
    <w:p w:rsidR="00C45CD5" w:rsidRDefault="00C45CD5" w:rsidP="00C45CD5">
      <w:pPr>
        <w:pStyle w:val="Nadpis3"/>
      </w:pPr>
      <w:bookmarkStart w:id="76" w:name="_Toc351464394"/>
      <w:bookmarkStart w:id="77" w:name="_Toc352328375"/>
      <w:r w:rsidRPr="00FF25A4">
        <w:t>Popis typu a příkladů aktivit, které budou</w:t>
      </w:r>
      <w:r>
        <w:t xml:space="preserve"> podporovány v rámci </w:t>
      </w:r>
      <w:r w:rsidRPr="00FF25A4">
        <w:t>dané investiční priority (dle investičních priorit)</w:t>
      </w:r>
      <w:bookmarkEnd w:id="76"/>
      <w:bookmarkEnd w:id="77"/>
    </w:p>
    <w:p w:rsidR="00C45CD5" w:rsidRDefault="00C45CD5" w:rsidP="00C45CD5">
      <w:pPr>
        <w:jc w:val="both"/>
        <w:rPr>
          <w:rFonts w:asciiTheme="minorHAnsi" w:hAnsiTheme="minorHAnsi" w:cstheme="minorHAnsi"/>
          <w:b/>
          <w:sz w:val="24"/>
          <w:szCs w:val="24"/>
        </w:rPr>
      </w:pPr>
    </w:p>
    <w:p w:rsidR="00C45CD5" w:rsidRDefault="00C45CD5" w:rsidP="00C45CD5">
      <w:pPr>
        <w:jc w:val="both"/>
        <w:rPr>
          <w:rFonts w:asciiTheme="minorHAnsi" w:hAnsiTheme="minorHAnsi" w:cstheme="minorHAnsi"/>
          <w:b/>
          <w:bCs/>
          <w:sz w:val="24"/>
          <w:szCs w:val="24"/>
        </w:rPr>
      </w:pPr>
      <w:r w:rsidRPr="0012001C">
        <w:rPr>
          <w:rFonts w:asciiTheme="minorHAnsi" w:hAnsiTheme="minorHAnsi" w:cstheme="minorHAnsi"/>
          <w:b/>
          <w:sz w:val="24"/>
          <w:szCs w:val="24"/>
        </w:rPr>
        <w:t xml:space="preserve">Investiční priorita: </w:t>
      </w:r>
      <w:r w:rsidR="0012001C" w:rsidRPr="0012001C">
        <w:rPr>
          <w:rFonts w:asciiTheme="minorHAnsi" w:hAnsiTheme="minorHAnsi" w:cstheme="minorHAnsi"/>
          <w:b/>
          <w:bCs/>
          <w:sz w:val="24"/>
          <w:szCs w:val="24"/>
        </w:rPr>
        <w:t>Podpo</w:t>
      </w:r>
      <w:r w:rsidR="0012001C" w:rsidRPr="00DD04E7">
        <w:rPr>
          <w:rFonts w:asciiTheme="minorHAnsi" w:hAnsiTheme="minorHAnsi" w:cstheme="minorHAnsi"/>
          <w:b/>
          <w:bCs/>
          <w:sz w:val="24"/>
          <w:szCs w:val="24"/>
        </w:rPr>
        <w:t>ra produkce a šíření obnovitelných zdrojů energie (nařízení o ERDF, článek 5, odst. (4) bod a)</w:t>
      </w:r>
    </w:p>
    <w:p w:rsidR="00330E3C" w:rsidRPr="0012001C" w:rsidRDefault="00330E3C" w:rsidP="00C45CD5">
      <w:pPr>
        <w:jc w:val="both"/>
        <w:rPr>
          <w:rFonts w:asciiTheme="minorHAnsi" w:hAnsiTheme="minorHAnsi" w:cstheme="minorHAnsi"/>
          <w:b/>
          <w:bCs/>
          <w:sz w:val="24"/>
          <w:szCs w:val="24"/>
        </w:rPr>
      </w:pPr>
    </w:p>
    <w:p w:rsidR="00C45CD5" w:rsidRPr="00047389" w:rsidRDefault="00C45CD5" w:rsidP="00047389">
      <w:pPr>
        <w:pStyle w:val="Nadpis4"/>
      </w:pPr>
      <w:bookmarkStart w:id="78" w:name="_Toc351464395"/>
      <w:r w:rsidRPr="00047389">
        <w:lastRenderedPageBreak/>
        <w:t xml:space="preserve">Specifický cíl </w:t>
      </w:r>
      <w:r w:rsidR="00047389" w:rsidRPr="00047389">
        <w:t>3.1 - Zvýšení podílu využívání OZE v rámci energetického mixu ČR</w:t>
      </w:r>
      <w:bookmarkEnd w:id="78"/>
    </w:p>
    <w:p w:rsidR="00C45CD5" w:rsidRDefault="00C45CD5" w:rsidP="00C45CD5">
      <w:pPr>
        <w:pStyle w:val="Nadpis5"/>
      </w:pPr>
      <w:r w:rsidRPr="00FF25A4">
        <w:t>Popis typů a příkladů financovaných aktivit a jejich očekávaný příspěvek ke specifickým cílům, včetně, pokud je to možné</w:t>
      </w:r>
    </w:p>
    <w:p w:rsidR="00C45CD5" w:rsidRPr="0012001C" w:rsidRDefault="00C45CD5" w:rsidP="00C45CD5">
      <w:pPr>
        <w:keepNext/>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12001C" w:rsidRPr="0012001C">
        <w:rPr>
          <w:rFonts w:asciiTheme="minorHAnsi" w:hAnsiTheme="minorHAnsi" w:cstheme="minorHAnsi"/>
          <w:sz w:val="24"/>
          <w:szCs w:val="24"/>
        </w:rPr>
        <w:t>Modernizace stávajících zařízení na výrobu energie z</w:t>
      </w:r>
      <w:r w:rsidR="0012001C">
        <w:rPr>
          <w:rFonts w:asciiTheme="minorHAnsi" w:hAnsiTheme="minorHAnsi" w:cstheme="minorHAnsi"/>
          <w:sz w:val="24"/>
          <w:szCs w:val="24"/>
        </w:rPr>
        <w:t> </w:t>
      </w:r>
      <w:r w:rsidR="0012001C" w:rsidRPr="0012001C">
        <w:rPr>
          <w:rFonts w:asciiTheme="minorHAnsi" w:hAnsiTheme="minorHAnsi" w:cstheme="minorHAnsi"/>
          <w:sz w:val="24"/>
          <w:szCs w:val="24"/>
        </w:rPr>
        <w:t>OZE</w:t>
      </w:r>
      <w:r w:rsidR="0012001C">
        <w:rPr>
          <w:rFonts w:asciiTheme="minorHAnsi" w:hAnsiTheme="minorHAnsi" w:cstheme="minorHAnsi"/>
          <w:sz w:val="24"/>
          <w:szCs w:val="24"/>
        </w:rPr>
        <w:t>; z</w:t>
      </w:r>
      <w:r w:rsidR="0012001C" w:rsidRPr="00DC638D">
        <w:rPr>
          <w:rFonts w:asciiTheme="minorHAnsi" w:hAnsiTheme="minorHAnsi" w:cstheme="minorHAnsi"/>
          <w:sz w:val="24"/>
          <w:szCs w:val="24"/>
        </w:rPr>
        <w:t xml:space="preserve">avádění a </w:t>
      </w:r>
      <w:r w:rsidR="0012001C">
        <w:rPr>
          <w:rFonts w:asciiTheme="minorHAnsi" w:hAnsiTheme="minorHAnsi" w:cstheme="minorHAnsi"/>
          <w:sz w:val="24"/>
          <w:szCs w:val="24"/>
        </w:rPr>
        <w:t>výstavba nových zdrojů OZE</w:t>
      </w:r>
    </w:p>
    <w:p w:rsidR="00C45CD5" w:rsidRPr="0036610F" w:rsidRDefault="00C45CD5" w:rsidP="00C45CD5">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12001C" w:rsidRPr="0012001C">
        <w:rPr>
          <w:rFonts w:asciiTheme="minorHAnsi" w:hAnsiTheme="minorHAnsi" w:cstheme="minorHAnsi"/>
          <w:bCs/>
          <w:sz w:val="24"/>
          <w:szCs w:val="24"/>
        </w:rPr>
        <w:t>Cílovou skupinou jsou podnikatelé z oblasti především MSP, kteří se hodlají soustředit/již soustředí na oblast výroby energie z OZE. Efekt podpory bude dopadat kladně i na zaměstnanost a pracovní příležitosti.</w:t>
      </w:r>
    </w:p>
    <w:p w:rsidR="00C45CD5" w:rsidRPr="0036610F" w:rsidRDefault="00C45CD5" w:rsidP="00C45CD5">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0012001C" w:rsidRPr="0012001C">
        <w:rPr>
          <w:rFonts w:asciiTheme="minorHAnsi" w:hAnsiTheme="minorHAnsi" w:cstheme="minorHAnsi"/>
          <w:bCs/>
          <w:sz w:val="24"/>
          <w:szCs w:val="24"/>
        </w:rPr>
        <w:t>Zvýšení podílu výroby energie z OZE ve všech regionech v ČR. Investice do těchto zdrojů pomohou zvýšit efektivitu výroby, snížit náklady na spotřebu primárních zdrojů a především dosažení uvedeného závazku ČR.  Zlepšení životního prostředí se projeví na zvýšení atraktivity regionu.</w:t>
      </w:r>
    </w:p>
    <w:p w:rsidR="00C45CD5" w:rsidRPr="0036610F" w:rsidRDefault="00C45CD5" w:rsidP="00C45CD5">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12001C" w:rsidRPr="0012001C">
        <w:rPr>
          <w:rFonts w:asciiTheme="minorHAnsi" w:hAnsiTheme="minorHAnsi" w:cstheme="minorHAnsi"/>
          <w:bCs/>
          <w:sz w:val="24"/>
          <w:szCs w:val="24"/>
        </w:rPr>
        <w:t>Podnikatelské subjekty (malé, střední a případně velké podniky).</w:t>
      </w:r>
    </w:p>
    <w:p w:rsidR="00C45CD5" w:rsidRDefault="00C45CD5" w:rsidP="00C45CD5">
      <w:pPr>
        <w:pStyle w:val="Nadpis5"/>
      </w:pPr>
      <w:r w:rsidRPr="00D71D90">
        <w:t>Popis principů pro výběr operací</w:t>
      </w:r>
    </w:p>
    <w:p w:rsidR="00C45CD5" w:rsidRPr="0036610F" w:rsidRDefault="00C45CD5" w:rsidP="00C45CD5">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C45CD5" w:rsidRDefault="00C45CD5" w:rsidP="00C45CD5">
      <w:pPr>
        <w:pStyle w:val="Nadpis5"/>
      </w:pPr>
      <w:r w:rsidRPr="00D71D90">
        <w:t>Plánované využití finančních nástrojů</w:t>
      </w:r>
    </w:p>
    <w:p w:rsidR="00C45CD5" w:rsidRPr="00DD04E7" w:rsidRDefault="00C45CD5" w:rsidP="00C45CD5">
      <w:pPr>
        <w:spacing w:after="60" w:line="312" w:lineRule="auto"/>
        <w:jc w:val="both"/>
        <w:rPr>
          <w:rFonts w:asciiTheme="minorHAnsi" w:hAnsiTheme="minorHAnsi" w:cstheme="minorHAnsi"/>
          <w:bCs/>
          <w:color w:val="FF0000"/>
          <w:sz w:val="24"/>
          <w:szCs w:val="24"/>
        </w:rPr>
      </w:pPr>
      <w:r w:rsidRPr="0025142D">
        <w:rPr>
          <w:rFonts w:asciiTheme="minorHAnsi" w:hAnsiTheme="minorHAnsi" w:cstheme="minorHAnsi"/>
          <w:bCs/>
          <w:color w:val="FF0000"/>
          <w:sz w:val="24"/>
          <w:szCs w:val="24"/>
        </w:rPr>
        <w:t>Využití a případný výběr nejvhodnějších forem finančních nástrojů a jejich specifické zaměření bude ponechán na ex-ant</w:t>
      </w:r>
      <w:r w:rsidRPr="00DD04E7">
        <w:rPr>
          <w:rFonts w:asciiTheme="minorHAnsi" w:hAnsiTheme="minorHAnsi" w:cstheme="minorHAnsi"/>
          <w:bCs/>
          <w:color w:val="FF0000"/>
          <w:sz w:val="24"/>
          <w:szCs w:val="24"/>
        </w:rPr>
        <w:t>e analýze finančních nástrojů OP PIK dle čl. 32 návrhu obecného nařízení.</w:t>
      </w:r>
    </w:p>
    <w:p w:rsidR="00C45CD5" w:rsidRPr="00DD04E7" w:rsidRDefault="00C45CD5" w:rsidP="00C45CD5">
      <w:pPr>
        <w:pStyle w:val="Nadpis5"/>
      </w:pPr>
      <w:r w:rsidRPr="00DD04E7">
        <w:t>Specifikace velkých projektů</w:t>
      </w:r>
    </w:p>
    <w:p w:rsidR="00C45CD5" w:rsidRPr="0025142D" w:rsidRDefault="0025142D" w:rsidP="00C45CD5">
      <w:pPr>
        <w:overflowPunct/>
        <w:jc w:val="both"/>
        <w:textAlignment w:val="auto"/>
        <w:rPr>
          <w:rFonts w:ascii="Cambria" w:hAnsi="Cambria"/>
          <w:sz w:val="24"/>
        </w:rPr>
      </w:pPr>
      <w:r w:rsidRPr="00DD04E7">
        <w:rPr>
          <w:rFonts w:asciiTheme="minorHAnsi" w:hAnsiTheme="minorHAnsi" w:cstheme="minorHAnsi"/>
          <w:color w:val="FF0000"/>
          <w:sz w:val="24"/>
          <w:szCs w:val="24"/>
        </w:rPr>
        <w:t>Otázka realizace velkých projektů dle vymezení čl. 87 odst. 2 písm. (b)(iii) nařízení č. xxxx/2013 bude řešena dle vývoje přípravy op</w:t>
      </w:r>
      <w:r w:rsidRPr="0025142D">
        <w:rPr>
          <w:rFonts w:asciiTheme="minorHAnsi" w:hAnsiTheme="minorHAnsi" w:cstheme="minorHAnsi"/>
          <w:color w:val="FF0000"/>
          <w:sz w:val="24"/>
          <w:szCs w:val="24"/>
        </w:rPr>
        <w:t xml:space="preserve">eračního programu. </w:t>
      </w:r>
      <w:r w:rsidR="00C45CD5" w:rsidRPr="0025142D">
        <w:rPr>
          <w:rFonts w:ascii="Cambria" w:hAnsi="Cambria"/>
          <w:sz w:val="24"/>
        </w:rPr>
        <w:t xml:space="preserve">  </w:t>
      </w:r>
    </w:p>
    <w:p w:rsidR="00C45CD5" w:rsidRDefault="00C45CD5" w:rsidP="00AE0AB9">
      <w:pPr>
        <w:pStyle w:val="Nadpis5"/>
      </w:pPr>
      <w:r w:rsidRPr="00C16A07">
        <w:lastRenderedPageBreak/>
        <w:t>Společné a specifické indikátory</w:t>
      </w:r>
    </w:p>
    <w:p w:rsidR="00C45CD5" w:rsidRDefault="00C45CD5" w:rsidP="00AE0AB9">
      <w:pPr>
        <w:keepNext/>
        <w:keepLines/>
      </w:pPr>
    </w:p>
    <w:p w:rsidR="00C45CD5" w:rsidRPr="009A0366" w:rsidRDefault="00C45CD5" w:rsidP="00AE0AB9">
      <w:pPr>
        <w:pStyle w:val="TextNOK"/>
        <w:keepNext/>
        <w:keepLines/>
        <w:spacing w:before="60" w:line="240" w:lineRule="auto"/>
        <w:rPr>
          <w:rFonts w:ascii="Times New Roman" w:hAnsi="Times New Roman"/>
          <w:b/>
          <w:sz w:val="24"/>
          <w:szCs w:val="24"/>
        </w:rPr>
      </w:pPr>
      <w:r w:rsidRPr="00DD04E7">
        <w:rPr>
          <w:rFonts w:ascii="Times New Roman" w:hAnsi="Times New Roman"/>
          <w:b/>
          <w:sz w:val="24"/>
          <w:szCs w:val="24"/>
        </w:rPr>
        <w:t>Tabulka xx: Se</w:t>
      </w:r>
      <w:r w:rsidRPr="008A50E3">
        <w:rPr>
          <w:rFonts w:ascii="Times New Roman" w:hAnsi="Times New Roman"/>
          <w:b/>
          <w:sz w:val="24"/>
          <w:szCs w:val="24"/>
        </w:rPr>
        <w:t>znam všech indikátorů programu</w:t>
      </w:r>
      <w:r w:rsidRPr="009A0366">
        <w:rPr>
          <w:rFonts w:ascii="Times New Roman" w:hAnsi="Times New Roman"/>
          <w:b/>
          <w:sz w:val="24"/>
          <w:szCs w:val="24"/>
        </w:rPr>
        <w:t xml:space="preserve"> </w:t>
      </w:r>
    </w:p>
    <w:tbl>
      <w:tblPr>
        <w:tblW w:w="10421"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851"/>
        <w:gridCol w:w="992"/>
        <w:gridCol w:w="992"/>
        <w:gridCol w:w="992"/>
        <w:gridCol w:w="1134"/>
        <w:gridCol w:w="851"/>
        <w:gridCol w:w="815"/>
      </w:tblGrid>
      <w:tr w:rsidR="00C45CD5" w:rsidRPr="009A0366" w:rsidTr="00641EA3">
        <w:tc>
          <w:tcPr>
            <w:tcW w:w="1101" w:type="dxa"/>
            <w:vMerge w:val="restart"/>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Specifický cíl </w:t>
            </w:r>
          </w:p>
        </w:tc>
        <w:tc>
          <w:tcPr>
            <w:tcW w:w="1134" w:type="dxa"/>
            <w:vMerge w:val="restart"/>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3544" w:type="dxa"/>
            <w:gridSpan w:val="4"/>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992" w:type="dxa"/>
            <w:vMerge w:val="restart"/>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815" w:type="dxa"/>
            <w:vMerge w:val="restart"/>
            <w:shd w:val="clear" w:color="auto" w:fill="auto"/>
          </w:tcPr>
          <w:p w:rsidR="00C45CD5" w:rsidRPr="009A0366" w:rsidRDefault="00C45CD5" w:rsidP="00AE0AB9">
            <w:pPr>
              <w:pStyle w:val="TextMetodika"/>
              <w:keepNext/>
              <w:keepLines/>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C45CD5" w:rsidRPr="009A0366" w:rsidTr="00641EA3">
        <w:tc>
          <w:tcPr>
            <w:tcW w:w="1101" w:type="dxa"/>
            <w:vMerge/>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p>
        </w:tc>
        <w:tc>
          <w:tcPr>
            <w:tcW w:w="850" w:type="dxa"/>
            <w:vMerge/>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p>
        </w:tc>
        <w:tc>
          <w:tcPr>
            <w:tcW w:w="1134" w:type="dxa"/>
            <w:vMerge/>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p>
        </w:tc>
        <w:tc>
          <w:tcPr>
            <w:tcW w:w="709" w:type="dxa"/>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Kód NČI 2014+</w:t>
            </w:r>
          </w:p>
        </w:tc>
        <w:tc>
          <w:tcPr>
            <w:tcW w:w="851" w:type="dxa"/>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Měrná jednotka</w:t>
            </w:r>
          </w:p>
        </w:tc>
        <w:tc>
          <w:tcPr>
            <w:tcW w:w="992" w:type="dxa"/>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992" w:type="dxa"/>
            <w:vMerge/>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p>
        </w:tc>
        <w:tc>
          <w:tcPr>
            <w:tcW w:w="1134" w:type="dxa"/>
            <w:vMerge/>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p>
        </w:tc>
        <w:tc>
          <w:tcPr>
            <w:tcW w:w="851" w:type="dxa"/>
            <w:vMerge/>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p>
        </w:tc>
        <w:tc>
          <w:tcPr>
            <w:tcW w:w="815" w:type="dxa"/>
            <w:vMerge/>
            <w:shd w:val="clear" w:color="auto" w:fill="auto"/>
          </w:tcPr>
          <w:p w:rsidR="00C45CD5" w:rsidRPr="009A0366" w:rsidRDefault="00C45CD5" w:rsidP="00AE0AB9">
            <w:pPr>
              <w:pStyle w:val="TextMetodika"/>
              <w:keepNext/>
              <w:keepLines/>
              <w:jc w:val="center"/>
              <w:rPr>
                <w:rFonts w:ascii="Times New Roman" w:hAnsi="Times New Roman"/>
                <w:b/>
                <w:bCs/>
                <w:sz w:val="22"/>
                <w:szCs w:val="22"/>
              </w:rPr>
            </w:pPr>
          </w:p>
        </w:tc>
      </w:tr>
      <w:tr w:rsidR="00C45CD5" w:rsidRPr="009A0366" w:rsidTr="00641EA3">
        <w:tc>
          <w:tcPr>
            <w:tcW w:w="1101"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850"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1134"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709"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851"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992"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992"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992"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1134"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851" w:type="dxa"/>
            <w:shd w:val="clear" w:color="auto" w:fill="auto"/>
          </w:tcPr>
          <w:p w:rsidR="00C45CD5" w:rsidRPr="009A0366" w:rsidRDefault="00C45CD5" w:rsidP="00DC1E83">
            <w:pPr>
              <w:pStyle w:val="TextMetodika"/>
              <w:jc w:val="center"/>
              <w:rPr>
                <w:rFonts w:ascii="Times New Roman" w:hAnsi="Times New Roman"/>
                <w:b/>
                <w:bCs/>
                <w:sz w:val="22"/>
                <w:szCs w:val="22"/>
              </w:rPr>
            </w:pPr>
          </w:p>
        </w:tc>
        <w:tc>
          <w:tcPr>
            <w:tcW w:w="815" w:type="dxa"/>
            <w:shd w:val="clear" w:color="auto" w:fill="auto"/>
          </w:tcPr>
          <w:p w:rsidR="00C45CD5" w:rsidRPr="009A0366" w:rsidRDefault="00C45CD5" w:rsidP="00DC1E83">
            <w:pPr>
              <w:pStyle w:val="TextMetodika"/>
              <w:jc w:val="center"/>
              <w:rPr>
                <w:rFonts w:ascii="Times New Roman" w:hAnsi="Times New Roman"/>
                <w:b/>
                <w:bCs/>
                <w:sz w:val="22"/>
                <w:szCs w:val="22"/>
              </w:rPr>
            </w:pPr>
          </w:p>
        </w:tc>
      </w:tr>
    </w:tbl>
    <w:p w:rsidR="003A22CC" w:rsidRDefault="003A22CC" w:rsidP="00C45CD5">
      <w:pPr>
        <w:overflowPunct/>
        <w:textAlignment w:val="auto"/>
        <w:rPr>
          <w:sz w:val="24"/>
          <w:szCs w:val="24"/>
        </w:rPr>
      </w:pPr>
    </w:p>
    <w:p w:rsidR="00C45CD5" w:rsidRDefault="00C45CD5" w:rsidP="00C45CD5">
      <w:pPr>
        <w:overflowPunct/>
        <w:textAlignment w:val="auto"/>
        <w:rPr>
          <w:sz w:val="24"/>
          <w:szCs w:val="24"/>
        </w:rPr>
      </w:pPr>
    </w:p>
    <w:p w:rsidR="0012001C" w:rsidRDefault="0012001C" w:rsidP="00C45CD5">
      <w:pPr>
        <w:overflowPunct/>
        <w:textAlignment w:val="auto"/>
        <w:rPr>
          <w:rFonts w:asciiTheme="minorHAnsi" w:hAnsiTheme="minorHAnsi" w:cstheme="minorHAnsi"/>
          <w:b/>
          <w:sz w:val="24"/>
          <w:szCs w:val="24"/>
        </w:rPr>
      </w:pPr>
      <w:r w:rsidRPr="0012001C">
        <w:rPr>
          <w:rFonts w:asciiTheme="minorHAnsi" w:hAnsiTheme="minorHAnsi" w:cstheme="minorHAnsi"/>
          <w:b/>
          <w:sz w:val="24"/>
          <w:szCs w:val="24"/>
        </w:rPr>
        <w:t xml:space="preserve">Investiční </w:t>
      </w:r>
      <w:r w:rsidRPr="00DD04E7">
        <w:rPr>
          <w:rFonts w:asciiTheme="minorHAnsi" w:hAnsiTheme="minorHAnsi" w:cstheme="minorHAnsi"/>
          <w:b/>
          <w:sz w:val="24"/>
          <w:szCs w:val="24"/>
        </w:rPr>
        <w:t>priorita: Podpora energetické účinnosti a využívání energie z obnovitelných zdrojů v podnicích (nařízení o ERDF, článek 5, odst. (4) bod b)</w:t>
      </w:r>
    </w:p>
    <w:p w:rsidR="00330E3C" w:rsidRDefault="00330E3C" w:rsidP="00C45CD5">
      <w:pPr>
        <w:overflowPunct/>
        <w:textAlignment w:val="auto"/>
        <w:rPr>
          <w:sz w:val="24"/>
          <w:szCs w:val="24"/>
        </w:rPr>
      </w:pPr>
    </w:p>
    <w:p w:rsidR="00C45CD5" w:rsidRPr="00047389" w:rsidRDefault="00C45CD5" w:rsidP="00330E3C">
      <w:pPr>
        <w:pStyle w:val="Nadpis4"/>
        <w:keepNext w:val="0"/>
        <w:keepLines w:val="0"/>
      </w:pPr>
      <w:bookmarkStart w:id="79" w:name="_Toc351464396"/>
      <w:r w:rsidRPr="00047389">
        <w:t xml:space="preserve">Specifický cíl </w:t>
      </w:r>
      <w:r w:rsidR="00047389" w:rsidRPr="00047389">
        <w:t>3.2 - Snižování energetické náročnosti podnikatelského sektoru a rozvíjení energetických služeb</w:t>
      </w:r>
      <w:bookmarkEnd w:id="79"/>
    </w:p>
    <w:p w:rsidR="00C45CD5" w:rsidRDefault="00C45CD5" w:rsidP="00330E3C">
      <w:pPr>
        <w:pStyle w:val="Nadpis5"/>
        <w:keepNext w:val="0"/>
        <w:keepLines w:val="0"/>
      </w:pPr>
      <w:r w:rsidRPr="00FF25A4">
        <w:t>Popis typů a příkladů financovaných aktivit a jejich očekávaný příspěvek ke specifickým cílům, včetně, pokud je to možné</w:t>
      </w:r>
    </w:p>
    <w:p w:rsidR="00C45CD5" w:rsidRPr="0036610F" w:rsidRDefault="00C45CD5" w:rsidP="00330E3C">
      <w:pPr>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12001C" w:rsidRPr="0012001C">
        <w:rPr>
          <w:rFonts w:asciiTheme="minorHAnsi" w:hAnsiTheme="minorHAnsi" w:cstheme="minorHAnsi"/>
          <w:sz w:val="24"/>
          <w:szCs w:val="24"/>
        </w:rPr>
        <w:t>Modernizace stávajících zařízení na výrobu energie vedoucí ke zvýšení jejich účinnosti; zavádění a modernizace systémů měření a regulace; modernizace, rekonstrukce a snižování ztrát v rozvodech elektřiny a tepla; zlepšování tepelně technických vlastností podnikatelských nemovitostí a provozů; rozvoj energetických služeb; využití odpadní energie ve výrobních procesech; snižování energetické náročnosti/zvyšování energetické účinnosti výrobních a technologických procesů.</w:t>
      </w:r>
    </w:p>
    <w:p w:rsidR="00C45CD5" w:rsidRPr="00724A93" w:rsidRDefault="00C45CD5" w:rsidP="00330E3C">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12001C" w:rsidRPr="0012001C">
        <w:rPr>
          <w:rFonts w:asciiTheme="minorHAnsi" w:hAnsiTheme="minorHAnsi" w:cstheme="minorHAnsi"/>
          <w:bCs/>
          <w:sz w:val="24"/>
          <w:szCs w:val="24"/>
        </w:rPr>
        <w:t>Cílovou skupinou jsou podnikatelé z oblasti především MSP, ale i možných velkých podniků. Efekt podpory bude dopadat kladně na zaměstnanost, pracovní příležitosti, snižování nákladů a s tím rostoucí konkurenceschopnost podniku.</w:t>
      </w:r>
    </w:p>
    <w:p w:rsidR="00C45CD5" w:rsidRPr="0036610F" w:rsidRDefault="00C45CD5" w:rsidP="00330E3C">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0012001C" w:rsidRPr="0012001C">
        <w:rPr>
          <w:rFonts w:asciiTheme="minorHAnsi" w:hAnsiTheme="minorHAnsi" w:cstheme="minorHAnsi"/>
          <w:bCs/>
          <w:sz w:val="24"/>
          <w:szCs w:val="24"/>
        </w:rPr>
        <w:t>Snížení energetické náročnosti podnikatelského sektoru a větší uplatnění energetických služeb ve všech regionech České republiky kromě hl. m. Prahy. Investice pomohou zároveň zvýšit efektivitu výroby a tím i regionální konkurenceschopnost a zároveň se zlepšení životního prostředí projeví na zvýšení atraktivity regionu a tvorbě nových pracovních míst.</w:t>
      </w:r>
    </w:p>
    <w:p w:rsidR="00C45CD5" w:rsidRPr="0036610F" w:rsidRDefault="00C45CD5" w:rsidP="00AE0AB9">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12001C" w:rsidRPr="0012001C">
        <w:rPr>
          <w:rFonts w:asciiTheme="minorHAnsi" w:hAnsiTheme="minorHAnsi" w:cstheme="minorHAnsi"/>
          <w:bCs/>
          <w:sz w:val="24"/>
          <w:szCs w:val="24"/>
        </w:rPr>
        <w:t>Podnikatelské subjekty (malé, střední a případně velké podniky).</w:t>
      </w:r>
    </w:p>
    <w:p w:rsidR="00C45CD5" w:rsidRDefault="00C45CD5" w:rsidP="00C45CD5">
      <w:pPr>
        <w:pStyle w:val="Nadpis5"/>
      </w:pPr>
      <w:r w:rsidRPr="00D71D90">
        <w:lastRenderedPageBreak/>
        <w:t>Popis principů pro výběr operací</w:t>
      </w:r>
    </w:p>
    <w:p w:rsidR="00C45CD5" w:rsidRPr="0036610F" w:rsidRDefault="00C45CD5" w:rsidP="00C45CD5">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C45CD5" w:rsidRDefault="00C45CD5" w:rsidP="00C45CD5">
      <w:pPr>
        <w:pStyle w:val="Nadpis5"/>
      </w:pPr>
      <w:r w:rsidRPr="00D71D90">
        <w:t>Plánované využití finančních nástrojů</w:t>
      </w:r>
    </w:p>
    <w:p w:rsidR="00C45CD5" w:rsidRPr="00DD04E7" w:rsidRDefault="00C45CD5" w:rsidP="0025142D">
      <w:pPr>
        <w:spacing w:after="60" w:line="312" w:lineRule="auto"/>
        <w:jc w:val="both"/>
        <w:rPr>
          <w:rFonts w:asciiTheme="minorHAnsi" w:hAnsiTheme="minorHAnsi" w:cstheme="minorHAnsi"/>
          <w:bCs/>
          <w:color w:val="FF0000"/>
          <w:sz w:val="24"/>
          <w:szCs w:val="24"/>
        </w:rPr>
      </w:pPr>
      <w:r w:rsidRPr="0025142D">
        <w:rPr>
          <w:rFonts w:asciiTheme="minorHAnsi" w:hAnsiTheme="minorHAnsi" w:cstheme="minorHAnsi"/>
          <w:bCs/>
          <w:color w:val="FF0000"/>
          <w:sz w:val="24"/>
          <w:szCs w:val="24"/>
        </w:rPr>
        <w:t>Využití a případný výběr nejvhodnějších forem finančních nástrojů a jejich specifické zaměření bude ponechán na ex-ante analý</w:t>
      </w:r>
      <w:r w:rsidRPr="00DD04E7">
        <w:rPr>
          <w:rFonts w:asciiTheme="minorHAnsi" w:hAnsiTheme="minorHAnsi" w:cstheme="minorHAnsi"/>
          <w:bCs/>
          <w:color w:val="FF0000"/>
          <w:sz w:val="24"/>
          <w:szCs w:val="24"/>
        </w:rPr>
        <w:t>ze finančních nástrojů OP PIK dle čl. 32 návrhu obecného nařízení.</w:t>
      </w:r>
    </w:p>
    <w:p w:rsidR="00C45CD5" w:rsidRPr="00DD04E7" w:rsidRDefault="00C45CD5" w:rsidP="00C45CD5">
      <w:pPr>
        <w:pStyle w:val="Nadpis5"/>
      </w:pPr>
      <w:r w:rsidRPr="00DD04E7">
        <w:t>Specifikace velkých projektů</w:t>
      </w:r>
    </w:p>
    <w:p w:rsidR="00C45CD5" w:rsidRPr="00DD04E7" w:rsidRDefault="0025142D" w:rsidP="00C45CD5">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C45CD5" w:rsidRPr="00DD04E7">
        <w:rPr>
          <w:rFonts w:asciiTheme="minorHAnsi" w:hAnsiTheme="minorHAnsi" w:cstheme="minorHAnsi"/>
          <w:color w:val="FF0000"/>
          <w:sz w:val="24"/>
          <w:szCs w:val="24"/>
        </w:rPr>
        <w:t xml:space="preserve">  </w:t>
      </w:r>
    </w:p>
    <w:p w:rsidR="00C45CD5" w:rsidRPr="00DD04E7" w:rsidRDefault="00C45CD5" w:rsidP="00C45CD5">
      <w:pPr>
        <w:pStyle w:val="Nadpis5"/>
      </w:pPr>
      <w:r w:rsidRPr="00DD04E7">
        <w:t>Společné a specifické indikátory</w:t>
      </w:r>
    </w:p>
    <w:p w:rsidR="00C45CD5" w:rsidRPr="00DD04E7" w:rsidRDefault="00C45CD5" w:rsidP="00C45CD5">
      <w:pPr>
        <w:overflowPunct/>
        <w:textAlignment w:val="auto"/>
        <w:rPr>
          <w:sz w:val="24"/>
          <w:szCs w:val="24"/>
        </w:rPr>
      </w:pPr>
    </w:p>
    <w:p w:rsidR="00C45CD5" w:rsidRPr="00DD04E7" w:rsidRDefault="00C45CD5" w:rsidP="00C45CD5">
      <w:pPr>
        <w:jc w:val="both"/>
        <w:rPr>
          <w:rFonts w:asciiTheme="minorHAnsi" w:hAnsiTheme="minorHAnsi" w:cstheme="minorHAnsi"/>
          <w:b/>
          <w:bCs/>
          <w:sz w:val="24"/>
          <w:szCs w:val="24"/>
        </w:rPr>
      </w:pPr>
      <w:r w:rsidRPr="00DD04E7">
        <w:rPr>
          <w:rFonts w:asciiTheme="minorHAnsi" w:hAnsiTheme="minorHAnsi" w:cstheme="minorHAnsi"/>
          <w:b/>
          <w:sz w:val="24"/>
          <w:szCs w:val="24"/>
        </w:rPr>
        <w:t xml:space="preserve">Investiční priorita: </w:t>
      </w:r>
      <w:r w:rsidR="0012001C" w:rsidRPr="00DD04E7">
        <w:rPr>
          <w:rFonts w:asciiTheme="minorHAnsi" w:hAnsiTheme="minorHAnsi" w:cstheme="minorHAnsi"/>
          <w:b/>
          <w:bCs/>
          <w:sz w:val="24"/>
          <w:szCs w:val="24"/>
        </w:rPr>
        <w:t>Vyvíjení a zavádění inteligentních rozvodných systémů nízkého a středního napětí (nařízení o ERDF, článek 5, odst. (4) bod d)</w:t>
      </w:r>
    </w:p>
    <w:p w:rsidR="0025142D" w:rsidRPr="00DD04E7" w:rsidRDefault="0025142D" w:rsidP="00C45CD5">
      <w:pPr>
        <w:jc w:val="both"/>
        <w:rPr>
          <w:rFonts w:asciiTheme="minorHAnsi" w:hAnsiTheme="minorHAnsi" w:cstheme="minorHAnsi"/>
          <w:b/>
          <w:bCs/>
          <w:sz w:val="24"/>
          <w:szCs w:val="24"/>
        </w:rPr>
      </w:pPr>
    </w:p>
    <w:p w:rsidR="00C45CD5" w:rsidRPr="00047389" w:rsidRDefault="00C45CD5" w:rsidP="00330E3C">
      <w:pPr>
        <w:pStyle w:val="Nadpis4"/>
        <w:keepNext w:val="0"/>
        <w:keepLines w:val="0"/>
      </w:pPr>
      <w:bookmarkStart w:id="80" w:name="_Toc351464397"/>
      <w:r w:rsidRPr="00DD04E7">
        <w:t xml:space="preserve">Specifický cíl </w:t>
      </w:r>
      <w:r w:rsidR="00047389" w:rsidRPr="00DD04E7">
        <w:t>3.3 - Modernizace a rozvoj přenosových a di</w:t>
      </w:r>
      <w:r w:rsidR="00047389" w:rsidRPr="00047389">
        <w:t>stribučních sítí</w:t>
      </w:r>
      <w:bookmarkEnd w:id="80"/>
    </w:p>
    <w:p w:rsidR="00C45CD5" w:rsidRDefault="00C45CD5" w:rsidP="00330E3C">
      <w:pPr>
        <w:pStyle w:val="Nadpis5"/>
        <w:keepNext w:val="0"/>
        <w:keepLines w:val="0"/>
      </w:pPr>
      <w:r w:rsidRPr="00FF25A4">
        <w:t>Popis typů a příkladů financovaných aktivit a jejich očekávaný příspěvek ke specifickým cílům, včetně, pokud je to možné</w:t>
      </w:r>
    </w:p>
    <w:p w:rsidR="00C45CD5" w:rsidRPr="0036610F" w:rsidRDefault="00C45CD5" w:rsidP="00330E3C">
      <w:pPr>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Podporované aktivity:</w:t>
      </w:r>
      <w:r>
        <w:rPr>
          <w:rFonts w:asciiTheme="minorHAnsi" w:hAnsiTheme="minorHAnsi" w:cstheme="minorHAnsi"/>
          <w:b/>
          <w:sz w:val="24"/>
          <w:szCs w:val="24"/>
        </w:rPr>
        <w:t xml:space="preserve"> </w:t>
      </w:r>
      <w:r w:rsidR="0012001C" w:rsidRPr="00E13A8D">
        <w:rPr>
          <w:rFonts w:asciiTheme="minorHAnsi" w:hAnsiTheme="minorHAnsi" w:cstheme="minorHAnsi"/>
          <w:sz w:val="24"/>
          <w:szCs w:val="24"/>
        </w:rPr>
        <w:t>Posílení ohrožených prvk</w:t>
      </w:r>
      <w:r w:rsidR="0012001C">
        <w:rPr>
          <w:rFonts w:asciiTheme="minorHAnsi" w:hAnsiTheme="minorHAnsi" w:cstheme="minorHAnsi"/>
          <w:sz w:val="24"/>
          <w:szCs w:val="24"/>
        </w:rPr>
        <w:t>ů a částí elektrizační soustavy ve vazbě na rozvoj využití OZE; modernizace přenosových sítí a distribučních prvků.</w:t>
      </w:r>
    </w:p>
    <w:p w:rsidR="00C45CD5" w:rsidRPr="0036610F" w:rsidRDefault="00C45CD5" w:rsidP="00330E3C">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AE1B69" w:rsidRPr="00AE1B69">
        <w:rPr>
          <w:rFonts w:asciiTheme="minorHAnsi" w:hAnsiTheme="minorHAnsi" w:cstheme="minorHAnsi"/>
          <w:bCs/>
          <w:sz w:val="24"/>
          <w:szCs w:val="24"/>
        </w:rPr>
        <w:t>Cílovou skupinou jsou především distributoři energií, kteří se hodlají soustředit na modernizaci a rozvoj distribučních soustav. Efekt podpory bude dopadat kladně i na zaměstnanost a pracovní příležitosti v regionu.</w:t>
      </w:r>
    </w:p>
    <w:p w:rsidR="00C45CD5" w:rsidRPr="0036610F" w:rsidRDefault="00C45CD5" w:rsidP="00330E3C">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Cílové území:</w:t>
      </w:r>
      <w:r w:rsidR="00AE1B69" w:rsidRPr="00AE1B69">
        <w:rPr>
          <w:rFonts w:asciiTheme="minorHAnsi" w:hAnsiTheme="minorHAnsi" w:cstheme="minorHAnsi"/>
          <w:sz w:val="24"/>
          <w:szCs w:val="24"/>
        </w:rPr>
        <w:t xml:space="preserve"> </w:t>
      </w:r>
      <w:r w:rsidR="00AE1B69">
        <w:rPr>
          <w:rFonts w:asciiTheme="minorHAnsi" w:hAnsiTheme="minorHAnsi" w:cstheme="minorHAnsi"/>
          <w:sz w:val="24"/>
          <w:szCs w:val="24"/>
        </w:rPr>
        <w:t xml:space="preserve">Podporu projektům realizující modernizaci a rozvoj přenosových soustav lze přiřazovat </w:t>
      </w:r>
      <w:r w:rsidR="00AE1B69" w:rsidRPr="00C05E0E">
        <w:rPr>
          <w:rFonts w:asciiTheme="minorHAnsi" w:hAnsiTheme="minorHAnsi" w:cstheme="minorHAnsi"/>
          <w:sz w:val="24"/>
          <w:szCs w:val="24"/>
        </w:rPr>
        <w:t>ve všech regionech České repub</w:t>
      </w:r>
      <w:r w:rsidR="00AE1B69">
        <w:rPr>
          <w:rFonts w:asciiTheme="minorHAnsi" w:hAnsiTheme="minorHAnsi" w:cstheme="minorHAnsi"/>
          <w:sz w:val="24"/>
          <w:szCs w:val="24"/>
        </w:rPr>
        <w:t>liky kromě hl. m. Prahy.</w:t>
      </w:r>
    </w:p>
    <w:p w:rsidR="00C45CD5" w:rsidRPr="0036610F" w:rsidRDefault="00C45CD5" w:rsidP="00330E3C">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AE1B69">
        <w:rPr>
          <w:rFonts w:asciiTheme="minorHAnsi" w:hAnsiTheme="minorHAnsi" w:cstheme="minorHAnsi"/>
          <w:sz w:val="24"/>
          <w:szCs w:val="24"/>
        </w:rPr>
        <w:t>P</w:t>
      </w:r>
      <w:r w:rsidR="00AE1B69" w:rsidRPr="003B6700">
        <w:rPr>
          <w:rFonts w:asciiTheme="minorHAnsi" w:hAnsiTheme="minorHAnsi" w:cstheme="minorHAnsi"/>
          <w:sz w:val="24"/>
          <w:szCs w:val="24"/>
        </w:rPr>
        <w:t>odnikatelské subjekty (</w:t>
      </w:r>
      <w:r w:rsidR="00AE1B69">
        <w:rPr>
          <w:rFonts w:asciiTheme="minorHAnsi" w:hAnsiTheme="minorHAnsi" w:cstheme="minorHAnsi"/>
          <w:sz w:val="24"/>
          <w:szCs w:val="24"/>
        </w:rPr>
        <w:t>zde s ohledem na zaměření SC předpokládám</w:t>
      </w:r>
      <w:r w:rsidR="00AE1B69" w:rsidRPr="003B6700">
        <w:rPr>
          <w:rFonts w:asciiTheme="minorHAnsi" w:hAnsiTheme="minorHAnsi" w:cstheme="minorHAnsi"/>
          <w:sz w:val="24"/>
          <w:szCs w:val="24"/>
        </w:rPr>
        <w:t xml:space="preserve"> </w:t>
      </w:r>
      <w:r w:rsidR="00AE1B69">
        <w:rPr>
          <w:rFonts w:asciiTheme="minorHAnsi" w:hAnsiTheme="minorHAnsi" w:cstheme="minorHAnsi"/>
          <w:sz w:val="24"/>
          <w:szCs w:val="24"/>
        </w:rPr>
        <w:t xml:space="preserve">pouze </w:t>
      </w:r>
      <w:r w:rsidR="00AE1B69" w:rsidRPr="003B6700">
        <w:rPr>
          <w:rFonts w:asciiTheme="minorHAnsi" w:hAnsiTheme="minorHAnsi" w:cstheme="minorHAnsi"/>
          <w:sz w:val="24"/>
          <w:szCs w:val="24"/>
        </w:rPr>
        <w:t>velké podniky).</w:t>
      </w:r>
    </w:p>
    <w:p w:rsidR="00C45CD5" w:rsidRDefault="00C45CD5" w:rsidP="00C45CD5">
      <w:pPr>
        <w:pStyle w:val="Nadpis5"/>
      </w:pPr>
      <w:r w:rsidRPr="00D71D90">
        <w:t>Popis principů pro výběr operací</w:t>
      </w:r>
    </w:p>
    <w:p w:rsidR="00C45CD5" w:rsidRPr="0036610F" w:rsidRDefault="00C45CD5" w:rsidP="00C45CD5">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lastRenderedPageBreak/>
        <w:t>Způsob postupu a další předpokládané mechanismy, jak bude zajištěno, aby operace / projekty přispívaly k plnění specifických cílů a dosažení výsledků;</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C45CD5" w:rsidRDefault="00C45CD5" w:rsidP="00C45CD5">
      <w:pPr>
        <w:pStyle w:val="Nadpis5"/>
      </w:pPr>
      <w:r w:rsidRPr="00D71D90">
        <w:t>Plánované využití finančních nástrojů</w:t>
      </w:r>
    </w:p>
    <w:p w:rsidR="00C45CD5" w:rsidRPr="00DD04E7" w:rsidRDefault="00C45CD5" w:rsidP="00C45CD5">
      <w:pPr>
        <w:spacing w:after="60" w:line="312" w:lineRule="auto"/>
        <w:jc w:val="both"/>
        <w:rPr>
          <w:rFonts w:asciiTheme="minorHAnsi" w:hAnsiTheme="minorHAnsi" w:cstheme="minorHAnsi"/>
          <w:bCs/>
          <w:color w:val="FF0000"/>
          <w:sz w:val="24"/>
          <w:szCs w:val="24"/>
        </w:rPr>
      </w:pPr>
      <w:r w:rsidRPr="0025142D">
        <w:rPr>
          <w:rFonts w:asciiTheme="minorHAnsi" w:hAnsiTheme="minorHAnsi" w:cstheme="minorHAnsi"/>
          <w:bCs/>
          <w:color w:val="FF0000"/>
          <w:sz w:val="24"/>
          <w:szCs w:val="24"/>
        </w:rPr>
        <w:t>Využití a případný výběr nejvhodnějších forem finančních nástrojů a jejich specifické zaměření bude ponechán na ex-ante analýze finan</w:t>
      </w:r>
      <w:r w:rsidRPr="00DD04E7">
        <w:rPr>
          <w:rFonts w:asciiTheme="minorHAnsi" w:hAnsiTheme="minorHAnsi" w:cstheme="minorHAnsi"/>
          <w:bCs/>
          <w:color w:val="FF0000"/>
          <w:sz w:val="24"/>
          <w:szCs w:val="24"/>
        </w:rPr>
        <w:t>čních nástrojů OP PIK dle čl. 32 návrhu obecného nařízení.</w:t>
      </w:r>
    </w:p>
    <w:p w:rsidR="00C45CD5" w:rsidRPr="00DD04E7" w:rsidRDefault="00C45CD5" w:rsidP="00C45CD5">
      <w:pPr>
        <w:pStyle w:val="Nadpis5"/>
      </w:pPr>
      <w:r w:rsidRPr="00DD04E7">
        <w:t>Specifikace velkých projektů</w:t>
      </w:r>
    </w:p>
    <w:p w:rsidR="00C45CD5" w:rsidRPr="0025142D" w:rsidRDefault="0025142D" w:rsidP="0025142D">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Otázka realizace velkých projektů dle vymezení čl. 87 odst. 2 písm. (b)(iii) nařízení č. xxxx/2013 bude řešena dle vývoje přípravy operačního program</w:t>
      </w:r>
      <w:r w:rsidRPr="0025142D">
        <w:rPr>
          <w:rFonts w:asciiTheme="minorHAnsi" w:hAnsiTheme="minorHAnsi" w:cstheme="minorHAnsi"/>
          <w:color w:val="FF0000"/>
          <w:sz w:val="24"/>
          <w:szCs w:val="24"/>
        </w:rPr>
        <w:t xml:space="preserve">u. </w:t>
      </w:r>
      <w:r w:rsidR="00C45CD5" w:rsidRPr="0025142D">
        <w:rPr>
          <w:rFonts w:asciiTheme="minorHAnsi" w:hAnsiTheme="minorHAnsi" w:cstheme="minorHAnsi"/>
          <w:color w:val="FF0000"/>
          <w:sz w:val="24"/>
          <w:szCs w:val="24"/>
        </w:rPr>
        <w:t xml:space="preserve">  </w:t>
      </w:r>
    </w:p>
    <w:p w:rsidR="00C45CD5" w:rsidRPr="00724A93" w:rsidRDefault="00C45CD5" w:rsidP="00C45CD5">
      <w:pPr>
        <w:pStyle w:val="Nadpis5"/>
      </w:pPr>
      <w:r w:rsidRPr="00724A93">
        <w:t>Společné a specifické indikátory</w:t>
      </w:r>
    </w:p>
    <w:p w:rsidR="00C45CD5" w:rsidRDefault="00C45CD5" w:rsidP="00C45CD5">
      <w:pPr>
        <w:overflowPunct/>
        <w:textAlignment w:val="auto"/>
        <w:rPr>
          <w:sz w:val="24"/>
          <w:szCs w:val="24"/>
        </w:rPr>
      </w:pPr>
    </w:p>
    <w:p w:rsidR="00AE1B69" w:rsidRDefault="00AE1B69" w:rsidP="00AE1B69">
      <w:pPr>
        <w:jc w:val="both"/>
        <w:rPr>
          <w:rFonts w:asciiTheme="minorHAnsi" w:hAnsiTheme="minorHAnsi" w:cstheme="minorHAnsi"/>
          <w:b/>
          <w:bCs/>
          <w:sz w:val="24"/>
          <w:szCs w:val="24"/>
        </w:rPr>
      </w:pPr>
      <w:r w:rsidRPr="00AE1B69">
        <w:rPr>
          <w:rFonts w:asciiTheme="minorHAnsi" w:hAnsiTheme="minorHAnsi" w:cstheme="minorHAnsi"/>
          <w:b/>
          <w:sz w:val="24"/>
          <w:szCs w:val="24"/>
        </w:rPr>
        <w:t xml:space="preserve">Investiční priorita: </w:t>
      </w:r>
      <w:r w:rsidRPr="00AE1B69">
        <w:rPr>
          <w:rFonts w:asciiTheme="minorHAnsi" w:hAnsiTheme="minorHAnsi" w:cstheme="minorHAnsi"/>
          <w:b/>
          <w:bCs/>
          <w:sz w:val="24"/>
          <w:szCs w:val="24"/>
        </w:rPr>
        <w:t>Podpora výzkumu, inovací a zavádění nízkouhlíkových technologií (nařízení o ERDF, článek 5, odst. (4) bod f)</w:t>
      </w:r>
    </w:p>
    <w:p w:rsidR="00330E3C" w:rsidRPr="0012001C" w:rsidRDefault="00330E3C" w:rsidP="00AE1B69">
      <w:pPr>
        <w:jc w:val="both"/>
        <w:rPr>
          <w:rFonts w:asciiTheme="minorHAnsi" w:hAnsiTheme="minorHAnsi" w:cstheme="minorHAnsi"/>
          <w:b/>
          <w:bCs/>
          <w:sz w:val="24"/>
          <w:szCs w:val="24"/>
        </w:rPr>
      </w:pPr>
    </w:p>
    <w:p w:rsidR="00C45CD5" w:rsidRPr="00047389" w:rsidRDefault="00C45CD5" w:rsidP="00330E3C">
      <w:pPr>
        <w:pStyle w:val="Nadpis4"/>
        <w:keepNext w:val="0"/>
        <w:keepLines w:val="0"/>
      </w:pPr>
      <w:bookmarkStart w:id="81" w:name="_Toc351464398"/>
      <w:r w:rsidRPr="00047389">
        <w:t xml:space="preserve">Specifický cíl </w:t>
      </w:r>
      <w:r w:rsidR="00047389" w:rsidRPr="00047389">
        <w:t>3.4 -  Větší uplatnění výzkumu a inovací v energetice a zvýšení využívání druhotných surovin</w:t>
      </w:r>
      <w:bookmarkEnd w:id="81"/>
    </w:p>
    <w:p w:rsidR="00C45CD5" w:rsidRDefault="00C45CD5" w:rsidP="00330E3C">
      <w:pPr>
        <w:pStyle w:val="Nadpis5"/>
        <w:keepNext w:val="0"/>
        <w:keepLines w:val="0"/>
      </w:pPr>
      <w:r w:rsidRPr="00FF25A4">
        <w:t>Popis typů a příkladů financovaných aktivit a jejich očekávaný příspěvek ke specifickým cílům, včetně, pokud je to možné</w:t>
      </w:r>
    </w:p>
    <w:p w:rsidR="00C45CD5" w:rsidRPr="00AE1B69" w:rsidRDefault="00C45CD5" w:rsidP="00330E3C">
      <w:pPr>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AE1B69" w:rsidRPr="00AE1B69">
        <w:rPr>
          <w:rFonts w:asciiTheme="minorHAnsi" w:hAnsiTheme="minorHAnsi" w:cstheme="minorHAnsi"/>
          <w:sz w:val="24"/>
          <w:szCs w:val="24"/>
        </w:rPr>
        <w:t>Podpora projektů VaVaI za oblast energetiky v podnikovém sektoru zaměřené na efektivní nakládání s energií a získávání druhotných surovin</w:t>
      </w:r>
      <w:r w:rsidR="00AE1B69">
        <w:rPr>
          <w:rFonts w:asciiTheme="minorHAnsi" w:hAnsiTheme="minorHAnsi" w:cstheme="minorHAnsi"/>
          <w:sz w:val="24"/>
          <w:szCs w:val="24"/>
        </w:rPr>
        <w:t>; p</w:t>
      </w:r>
      <w:r w:rsidR="00AE1B69" w:rsidRPr="00AE1B69">
        <w:rPr>
          <w:rFonts w:asciiTheme="minorHAnsi" w:hAnsiTheme="minorHAnsi" w:cstheme="minorHAnsi"/>
          <w:sz w:val="24"/>
          <w:szCs w:val="24"/>
        </w:rPr>
        <w:t>odpora rozvoje spolupráce soukromého sektoru na energetických inovačních projektech s výzkumnými institucemi</w:t>
      </w:r>
      <w:r w:rsidR="00AE1B69">
        <w:rPr>
          <w:rFonts w:asciiTheme="minorHAnsi" w:hAnsiTheme="minorHAnsi" w:cstheme="minorHAnsi"/>
          <w:sz w:val="24"/>
          <w:szCs w:val="24"/>
        </w:rPr>
        <w:t xml:space="preserve">; </w:t>
      </w:r>
      <w:r w:rsidR="00AE1B69" w:rsidRPr="00AE1B69">
        <w:rPr>
          <w:rFonts w:asciiTheme="minorHAnsi" w:hAnsiTheme="minorHAnsi" w:cstheme="minorHAnsi"/>
          <w:sz w:val="24"/>
          <w:szCs w:val="24"/>
        </w:rPr>
        <w:t>projekty výzkumu a technologických inovací, kterými se budou z použitých výrobků získávat efektivním postupem cenné druhotné suroviny, kter</w:t>
      </w:r>
      <w:r w:rsidR="00AE1B69">
        <w:rPr>
          <w:rFonts w:asciiTheme="minorHAnsi" w:hAnsiTheme="minorHAnsi" w:cstheme="minorHAnsi"/>
          <w:sz w:val="24"/>
          <w:szCs w:val="24"/>
        </w:rPr>
        <w:t xml:space="preserve">é jsou v ČR i EU deficitní; </w:t>
      </w:r>
      <w:r w:rsidR="00AE1B69" w:rsidRPr="00AE1B69">
        <w:rPr>
          <w:rFonts w:asciiTheme="minorHAnsi" w:hAnsiTheme="minorHAnsi" w:cstheme="minorHAnsi"/>
          <w:sz w:val="24"/>
          <w:szCs w:val="24"/>
        </w:rPr>
        <w:t>inovativní nízkouhlíkaté technologie na získávání a zpracování druhotných surovin</w:t>
      </w:r>
      <w:r w:rsidR="00AE1B69">
        <w:rPr>
          <w:rFonts w:asciiTheme="minorHAnsi" w:hAnsiTheme="minorHAnsi" w:cstheme="minorHAnsi"/>
          <w:sz w:val="24"/>
          <w:szCs w:val="24"/>
        </w:rPr>
        <w:t xml:space="preserve">; </w:t>
      </w:r>
      <w:r w:rsidR="00AE1B69" w:rsidRPr="00AE1B69">
        <w:rPr>
          <w:rFonts w:asciiTheme="minorHAnsi" w:hAnsiTheme="minorHAnsi" w:cstheme="minorHAnsi"/>
          <w:sz w:val="24"/>
          <w:szCs w:val="24"/>
        </w:rPr>
        <w:t>technologie na výrobu inovativních výrobků z druhotných surovin</w:t>
      </w:r>
    </w:p>
    <w:p w:rsidR="00C45CD5" w:rsidRPr="0036610F" w:rsidRDefault="00C45CD5" w:rsidP="00330E3C">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AE1B69">
        <w:rPr>
          <w:rFonts w:asciiTheme="minorHAnsi" w:hAnsiTheme="minorHAnsi" w:cstheme="minorHAnsi"/>
          <w:sz w:val="24"/>
          <w:szCs w:val="24"/>
        </w:rPr>
        <w:t>Cílovou skupinou jsou podnikatelé z oblasti především MSP, ale i velkých podniků, kteří se hodlají soustředit/již soustředí na oblast výzkumu a vývoje v oblasti energetiky a zpracování druhotných surovin. Efekt podpory bude dopadat kladně na zaměstnanost, spolupráci s VŠ a pracovní příležitosti.</w:t>
      </w:r>
    </w:p>
    <w:p w:rsidR="00C45CD5" w:rsidRPr="0036610F" w:rsidRDefault="00C45CD5" w:rsidP="00330E3C">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00AE1B69">
        <w:rPr>
          <w:rFonts w:asciiTheme="minorHAnsi" w:hAnsiTheme="minorHAnsi" w:cstheme="minorHAnsi"/>
          <w:sz w:val="24"/>
          <w:szCs w:val="24"/>
        </w:rPr>
        <w:t xml:space="preserve">Podporu projektům výzkumu a vývoje lze přiřazovat </w:t>
      </w:r>
      <w:r w:rsidR="00AE1B69" w:rsidRPr="00C05E0E">
        <w:rPr>
          <w:rFonts w:asciiTheme="minorHAnsi" w:hAnsiTheme="minorHAnsi" w:cstheme="minorHAnsi"/>
          <w:sz w:val="24"/>
          <w:szCs w:val="24"/>
        </w:rPr>
        <w:t>ve všech regionech České repub</w:t>
      </w:r>
      <w:r w:rsidR="00AE1B69">
        <w:rPr>
          <w:rFonts w:asciiTheme="minorHAnsi" w:hAnsiTheme="minorHAnsi" w:cstheme="minorHAnsi"/>
          <w:sz w:val="24"/>
          <w:szCs w:val="24"/>
        </w:rPr>
        <w:t>liky kromě hl. m. Prahy.</w:t>
      </w:r>
    </w:p>
    <w:p w:rsidR="00C45CD5" w:rsidRPr="0036610F" w:rsidRDefault="00C45CD5" w:rsidP="00330E3C">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AE1B69">
        <w:rPr>
          <w:rFonts w:asciiTheme="minorHAnsi" w:hAnsiTheme="minorHAnsi" w:cstheme="minorHAnsi"/>
          <w:sz w:val="24"/>
          <w:szCs w:val="24"/>
        </w:rPr>
        <w:t>P</w:t>
      </w:r>
      <w:r w:rsidR="00AE1B69" w:rsidRPr="003B6700">
        <w:rPr>
          <w:rFonts w:asciiTheme="minorHAnsi" w:hAnsiTheme="minorHAnsi" w:cstheme="minorHAnsi"/>
          <w:sz w:val="24"/>
          <w:szCs w:val="24"/>
        </w:rPr>
        <w:t>odnikatelské subjekty (malé, střední a</w:t>
      </w:r>
      <w:r w:rsidR="00AE1B69">
        <w:rPr>
          <w:rFonts w:asciiTheme="minorHAnsi" w:hAnsiTheme="minorHAnsi" w:cstheme="minorHAnsi"/>
          <w:sz w:val="24"/>
          <w:szCs w:val="24"/>
        </w:rPr>
        <w:t xml:space="preserve"> případně</w:t>
      </w:r>
      <w:r w:rsidR="00AE1B69" w:rsidRPr="003B6700">
        <w:rPr>
          <w:rFonts w:asciiTheme="minorHAnsi" w:hAnsiTheme="minorHAnsi" w:cstheme="minorHAnsi"/>
          <w:sz w:val="24"/>
          <w:szCs w:val="24"/>
        </w:rPr>
        <w:t xml:space="preserve"> velké podniky).</w:t>
      </w:r>
    </w:p>
    <w:p w:rsidR="00C45CD5" w:rsidRDefault="00C45CD5" w:rsidP="00C45CD5">
      <w:pPr>
        <w:pStyle w:val="Nadpis5"/>
      </w:pPr>
      <w:r w:rsidRPr="00D71D90">
        <w:lastRenderedPageBreak/>
        <w:t>Popis principů pro výběr operací</w:t>
      </w:r>
    </w:p>
    <w:p w:rsidR="00C45CD5" w:rsidRPr="0036610F" w:rsidRDefault="00C45CD5" w:rsidP="00C45CD5">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C45CD5" w:rsidRDefault="00C45CD5" w:rsidP="00C45CD5">
      <w:pPr>
        <w:pStyle w:val="Nadpis5"/>
      </w:pPr>
      <w:r w:rsidRPr="00D71D90">
        <w:t>Plánované využití finančních nástrojů</w:t>
      </w:r>
    </w:p>
    <w:p w:rsidR="00C45CD5" w:rsidRPr="00DD04E7" w:rsidRDefault="00C45CD5" w:rsidP="00C45CD5">
      <w:pPr>
        <w:spacing w:after="60" w:line="312" w:lineRule="auto"/>
        <w:jc w:val="both"/>
        <w:rPr>
          <w:rFonts w:asciiTheme="minorHAnsi" w:hAnsiTheme="minorHAnsi" w:cstheme="minorHAnsi"/>
          <w:bCs/>
          <w:color w:val="FF0000"/>
          <w:sz w:val="24"/>
          <w:szCs w:val="24"/>
        </w:rPr>
      </w:pPr>
      <w:r w:rsidRPr="0025142D">
        <w:rPr>
          <w:rFonts w:asciiTheme="minorHAnsi" w:hAnsiTheme="minorHAnsi" w:cstheme="minorHAnsi"/>
          <w:bCs/>
          <w:color w:val="FF0000"/>
          <w:sz w:val="24"/>
          <w:szCs w:val="24"/>
        </w:rPr>
        <w:t>Využití a případný výběr nejvhodnějších forem finančních nástrojů a jejich specifické zaměření bude ponechán na ex-ante analýze finanční</w:t>
      </w:r>
      <w:r w:rsidRPr="00DD04E7">
        <w:rPr>
          <w:rFonts w:asciiTheme="minorHAnsi" w:hAnsiTheme="minorHAnsi" w:cstheme="minorHAnsi"/>
          <w:bCs/>
          <w:color w:val="FF0000"/>
          <w:sz w:val="24"/>
          <w:szCs w:val="24"/>
        </w:rPr>
        <w:t>ch nástrojů OP PIK dle čl. 32 návrhu obecného nařízení.</w:t>
      </w:r>
    </w:p>
    <w:p w:rsidR="00C45CD5" w:rsidRPr="00DD04E7" w:rsidRDefault="00C45CD5" w:rsidP="00C45CD5">
      <w:pPr>
        <w:pStyle w:val="Nadpis5"/>
      </w:pPr>
      <w:r w:rsidRPr="00DD04E7">
        <w:t>Specifikace velkých projektů</w:t>
      </w:r>
    </w:p>
    <w:p w:rsidR="00C45CD5" w:rsidRPr="00DD04E7" w:rsidRDefault="0025142D" w:rsidP="00C45CD5">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C45CD5" w:rsidRPr="00DD04E7">
        <w:rPr>
          <w:rFonts w:asciiTheme="minorHAnsi" w:hAnsiTheme="minorHAnsi" w:cstheme="minorHAnsi"/>
          <w:color w:val="FF0000"/>
          <w:sz w:val="24"/>
          <w:szCs w:val="24"/>
        </w:rPr>
        <w:t xml:space="preserve">  </w:t>
      </w:r>
    </w:p>
    <w:p w:rsidR="00C45CD5" w:rsidRPr="00DD04E7" w:rsidRDefault="00C45CD5" w:rsidP="00C45CD5">
      <w:pPr>
        <w:pStyle w:val="Nadpis5"/>
      </w:pPr>
      <w:r w:rsidRPr="00DD04E7">
        <w:t>Společné a specifické indikátory</w:t>
      </w:r>
    </w:p>
    <w:p w:rsidR="00C45CD5" w:rsidRPr="00DD04E7" w:rsidRDefault="00C45CD5" w:rsidP="00C45CD5"/>
    <w:p w:rsidR="00C45CD5" w:rsidRDefault="00C45CD5" w:rsidP="00C45CD5">
      <w:pPr>
        <w:overflowPunct/>
        <w:textAlignment w:val="auto"/>
        <w:rPr>
          <w:rFonts w:asciiTheme="minorHAnsi" w:hAnsiTheme="minorHAnsi" w:cstheme="minorHAnsi"/>
          <w:b/>
          <w:bCs/>
          <w:sz w:val="24"/>
          <w:szCs w:val="24"/>
        </w:rPr>
      </w:pPr>
      <w:r w:rsidRPr="00DD04E7">
        <w:rPr>
          <w:rFonts w:ascii="Calibri" w:hAnsi="Calibri" w:cs="Calibri"/>
          <w:b/>
          <w:sz w:val="24"/>
        </w:rPr>
        <w:t xml:space="preserve">Investiční priorita: </w:t>
      </w:r>
      <w:r w:rsidR="00AE1B69" w:rsidRPr="00DD04E7">
        <w:rPr>
          <w:rFonts w:asciiTheme="minorHAnsi" w:hAnsiTheme="minorHAnsi" w:cstheme="minorHAnsi"/>
          <w:b/>
          <w:bCs/>
          <w:sz w:val="24"/>
          <w:szCs w:val="24"/>
        </w:rPr>
        <w:t>Podpora využívání vysoce účinné kombinované výroby tepla a elektřiny na základě poptávky po užitečném teple (nařízení o ERDF, článek 5, odst. (4) bod g)</w:t>
      </w:r>
    </w:p>
    <w:p w:rsidR="0025142D" w:rsidRDefault="0025142D" w:rsidP="00C45CD5">
      <w:pPr>
        <w:overflowPunct/>
        <w:textAlignment w:val="auto"/>
        <w:rPr>
          <w:rFonts w:ascii="Calibri" w:hAnsi="Calibri" w:cs="Calibri"/>
          <w:b/>
          <w:sz w:val="24"/>
        </w:rPr>
      </w:pPr>
    </w:p>
    <w:p w:rsidR="00C45CD5" w:rsidRPr="00047389" w:rsidRDefault="00C45CD5" w:rsidP="00330E3C">
      <w:pPr>
        <w:pStyle w:val="Nadpis4"/>
        <w:keepNext w:val="0"/>
        <w:keepLines w:val="0"/>
      </w:pPr>
      <w:bookmarkStart w:id="82" w:name="_Toc351464399"/>
      <w:r w:rsidRPr="00047389">
        <w:t xml:space="preserve">Specifický cíl </w:t>
      </w:r>
      <w:r w:rsidR="00047389" w:rsidRPr="00047389">
        <w:t>3.5 - Zvýšení využití a zavádění kombinované výroby elektřiny a tepla</w:t>
      </w:r>
      <w:bookmarkEnd w:id="82"/>
    </w:p>
    <w:p w:rsidR="00C45CD5" w:rsidRDefault="00C45CD5" w:rsidP="00330E3C">
      <w:pPr>
        <w:pStyle w:val="Nadpis5"/>
        <w:keepNext w:val="0"/>
        <w:keepLines w:val="0"/>
      </w:pPr>
      <w:r w:rsidRPr="00FF25A4">
        <w:t>Popis typů a příkladů financovaných aktivit a jejich očekávaný příspěvek ke specifickým cílům, včetně, pokud je to možné</w:t>
      </w:r>
    </w:p>
    <w:p w:rsidR="00C45CD5" w:rsidRPr="0036610F" w:rsidRDefault="00C45CD5" w:rsidP="00330E3C">
      <w:pPr>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AE1B69" w:rsidRPr="004F5E1C">
        <w:rPr>
          <w:rFonts w:asciiTheme="minorHAnsi" w:hAnsiTheme="minorHAnsi" w:cstheme="minorHAnsi"/>
          <w:sz w:val="24"/>
          <w:szCs w:val="24"/>
        </w:rPr>
        <w:t>Rekonstrukce a rozvoj soustav zásobování teplem resp. tepelných rozvodných zařízení především pomocí instalace moderních předizolovaných potrubí, regulace a výměníkových stanic</w:t>
      </w:r>
      <w:r w:rsidR="00AE1B69">
        <w:rPr>
          <w:rFonts w:asciiTheme="minorHAnsi" w:hAnsiTheme="minorHAnsi" w:cstheme="minorHAnsi"/>
          <w:sz w:val="24"/>
          <w:szCs w:val="24"/>
        </w:rPr>
        <w:t>; z</w:t>
      </w:r>
      <w:r w:rsidR="00AE1B69" w:rsidRPr="004F5E1C">
        <w:rPr>
          <w:rFonts w:asciiTheme="minorHAnsi" w:hAnsiTheme="minorHAnsi" w:cstheme="minorHAnsi"/>
          <w:sz w:val="24"/>
          <w:szCs w:val="24"/>
        </w:rPr>
        <w:t>avádění kombi</w:t>
      </w:r>
      <w:r w:rsidR="00AE1B69">
        <w:rPr>
          <w:rFonts w:asciiTheme="minorHAnsi" w:hAnsiTheme="minorHAnsi" w:cstheme="minorHAnsi"/>
          <w:sz w:val="24"/>
          <w:szCs w:val="24"/>
        </w:rPr>
        <w:t>nované výroby elektřiny a tepla v podnicích</w:t>
      </w:r>
    </w:p>
    <w:p w:rsidR="00C45CD5" w:rsidRPr="0036610F" w:rsidRDefault="00C45CD5" w:rsidP="00330E3C">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AE1B69">
        <w:rPr>
          <w:rFonts w:asciiTheme="minorHAnsi" w:hAnsiTheme="minorHAnsi" w:cstheme="minorHAnsi"/>
          <w:sz w:val="24"/>
          <w:szCs w:val="24"/>
        </w:rPr>
        <w:t>Cílovou skupinou jsou podnikatelé z oblasti především MSP, ale i velkých podniků, kteří se hodlají soustředit/již se soustředí na KVET a systém centrálního zásobování teplem. Efekt podpory bude dopadat kladně i na zaměstnanost a pracovní příležitosti.</w:t>
      </w:r>
    </w:p>
    <w:p w:rsidR="00C45CD5" w:rsidRPr="0036610F" w:rsidRDefault="00C45CD5" w:rsidP="00C45CD5">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00AE1B69">
        <w:rPr>
          <w:rFonts w:asciiTheme="minorHAnsi" w:hAnsiTheme="minorHAnsi" w:cstheme="minorHAnsi"/>
          <w:sz w:val="24"/>
          <w:szCs w:val="24"/>
        </w:rPr>
        <w:t xml:space="preserve">Podporu vyššího využívání kombinované výroby elektřiny a tepla a zavádění KVETu (při maximálním využití užitečného tepla) lze aplikovat </w:t>
      </w:r>
      <w:r w:rsidR="00AE1B69" w:rsidRPr="00C05E0E">
        <w:rPr>
          <w:rFonts w:asciiTheme="minorHAnsi" w:hAnsiTheme="minorHAnsi" w:cstheme="minorHAnsi"/>
          <w:sz w:val="24"/>
          <w:szCs w:val="24"/>
        </w:rPr>
        <w:t>ve všech regionech České repub</w:t>
      </w:r>
      <w:r w:rsidR="00AE1B69">
        <w:rPr>
          <w:rFonts w:asciiTheme="minorHAnsi" w:hAnsiTheme="minorHAnsi" w:cstheme="minorHAnsi"/>
          <w:sz w:val="24"/>
          <w:szCs w:val="24"/>
        </w:rPr>
        <w:t>liky kromě hl. m. Prahy.</w:t>
      </w:r>
    </w:p>
    <w:p w:rsidR="00C45CD5" w:rsidRPr="0036610F" w:rsidRDefault="00C45CD5" w:rsidP="00C45CD5">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AE1B69">
        <w:rPr>
          <w:rFonts w:asciiTheme="minorHAnsi" w:hAnsiTheme="minorHAnsi" w:cstheme="minorHAnsi"/>
          <w:sz w:val="24"/>
          <w:szCs w:val="24"/>
        </w:rPr>
        <w:t>P</w:t>
      </w:r>
      <w:r w:rsidR="00AE1B69" w:rsidRPr="003B6700">
        <w:rPr>
          <w:rFonts w:asciiTheme="minorHAnsi" w:hAnsiTheme="minorHAnsi" w:cstheme="minorHAnsi"/>
          <w:sz w:val="24"/>
          <w:szCs w:val="24"/>
        </w:rPr>
        <w:t>odnikatelské subjekty (malé, střední a</w:t>
      </w:r>
      <w:r w:rsidR="00AE1B69">
        <w:rPr>
          <w:rFonts w:asciiTheme="minorHAnsi" w:hAnsiTheme="minorHAnsi" w:cstheme="minorHAnsi"/>
          <w:sz w:val="24"/>
          <w:szCs w:val="24"/>
        </w:rPr>
        <w:t xml:space="preserve"> případně</w:t>
      </w:r>
      <w:r w:rsidR="00AE1B69" w:rsidRPr="003B6700">
        <w:rPr>
          <w:rFonts w:asciiTheme="minorHAnsi" w:hAnsiTheme="minorHAnsi" w:cstheme="minorHAnsi"/>
          <w:sz w:val="24"/>
          <w:szCs w:val="24"/>
        </w:rPr>
        <w:t xml:space="preserve"> velké podniky).</w:t>
      </w:r>
    </w:p>
    <w:p w:rsidR="00C45CD5" w:rsidRDefault="00C45CD5" w:rsidP="00C45CD5">
      <w:pPr>
        <w:pStyle w:val="Nadpis5"/>
      </w:pPr>
      <w:r w:rsidRPr="00D71D90">
        <w:t>Popis principů pro výběr operací</w:t>
      </w:r>
    </w:p>
    <w:p w:rsidR="00C45CD5" w:rsidRPr="0036610F" w:rsidRDefault="00C45CD5" w:rsidP="00C45CD5">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lastRenderedPageBreak/>
        <w:t>Způsob postupu a další předpokládané mechanismy, jak bude zajištěno, aby operace / projekty přispívaly k plnění specifických cílů a dosažení výsledků;</w:t>
      </w:r>
    </w:p>
    <w:p w:rsidR="00C45CD5" w:rsidRPr="0036610F" w:rsidRDefault="00C45CD5"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C45CD5" w:rsidRDefault="00C45CD5" w:rsidP="00C45CD5">
      <w:pPr>
        <w:pStyle w:val="Nadpis5"/>
      </w:pPr>
      <w:r w:rsidRPr="00D71D90">
        <w:t>Plánované využití finančních nástrojů</w:t>
      </w:r>
    </w:p>
    <w:p w:rsidR="00C45CD5" w:rsidRPr="00DD04E7" w:rsidRDefault="00C45CD5" w:rsidP="00C45CD5">
      <w:pPr>
        <w:spacing w:after="60" w:line="312" w:lineRule="auto"/>
        <w:jc w:val="both"/>
        <w:rPr>
          <w:rFonts w:asciiTheme="minorHAnsi" w:hAnsiTheme="minorHAnsi" w:cstheme="minorHAnsi"/>
          <w:bCs/>
          <w:color w:val="FF0000"/>
          <w:sz w:val="24"/>
          <w:szCs w:val="24"/>
        </w:rPr>
      </w:pPr>
      <w:r w:rsidRPr="0025142D">
        <w:rPr>
          <w:rFonts w:asciiTheme="minorHAnsi" w:hAnsiTheme="minorHAnsi" w:cstheme="minorHAnsi"/>
          <w:bCs/>
          <w:color w:val="FF0000"/>
          <w:sz w:val="24"/>
          <w:szCs w:val="24"/>
        </w:rPr>
        <w:t>Využití a případný výběr nejvhodnějších forem finančních nástrojů a jejich specifické zaměření bude ponechán na e</w:t>
      </w:r>
      <w:r w:rsidRPr="00DD04E7">
        <w:rPr>
          <w:rFonts w:asciiTheme="minorHAnsi" w:hAnsiTheme="minorHAnsi" w:cstheme="minorHAnsi"/>
          <w:bCs/>
          <w:color w:val="FF0000"/>
          <w:sz w:val="24"/>
          <w:szCs w:val="24"/>
        </w:rPr>
        <w:t>x-ante analýze finančních nástrojů OP PIK dle čl. 32 návrhu obecného nařízení.</w:t>
      </w:r>
    </w:p>
    <w:p w:rsidR="00C45CD5" w:rsidRPr="00DD04E7" w:rsidRDefault="00C45CD5" w:rsidP="00C45CD5">
      <w:pPr>
        <w:pStyle w:val="Nadpis5"/>
      </w:pPr>
      <w:r w:rsidRPr="00DD04E7">
        <w:t>Specifikace velkých projektů</w:t>
      </w:r>
    </w:p>
    <w:p w:rsidR="00C45CD5" w:rsidRPr="0025142D" w:rsidRDefault="0025142D" w:rsidP="00C45CD5">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Otázka realizace velkých projektů dle vymezení čl. 87 odst. 2 písm. (b)(iii) nařízení č. xxxx/2013 bude řešena dle vývoje přípravy o</w:t>
      </w:r>
      <w:r w:rsidRPr="0025142D">
        <w:rPr>
          <w:rFonts w:asciiTheme="minorHAnsi" w:hAnsiTheme="minorHAnsi" w:cstheme="minorHAnsi"/>
          <w:color w:val="FF0000"/>
          <w:sz w:val="24"/>
          <w:szCs w:val="24"/>
        </w:rPr>
        <w:t xml:space="preserve">peračního programu. </w:t>
      </w:r>
      <w:r w:rsidR="00C45CD5" w:rsidRPr="0025142D">
        <w:rPr>
          <w:rFonts w:asciiTheme="minorHAnsi" w:hAnsiTheme="minorHAnsi" w:cstheme="minorHAnsi"/>
          <w:color w:val="FF0000"/>
          <w:sz w:val="24"/>
          <w:szCs w:val="24"/>
        </w:rPr>
        <w:t xml:space="preserve">  </w:t>
      </w:r>
    </w:p>
    <w:p w:rsidR="00C45CD5" w:rsidRPr="00BA734D" w:rsidRDefault="00C45CD5" w:rsidP="00C45CD5">
      <w:pPr>
        <w:pStyle w:val="Nadpis5"/>
        <w:ind w:left="1009" w:hanging="1009"/>
      </w:pPr>
      <w:r w:rsidRPr="00724A93">
        <w:t>Společné a specifické indikátory</w:t>
      </w:r>
    </w:p>
    <w:p w:rsidR="00C45CD5" w:rsidRDefault="00C45CD5" w:rsidP="00C45CD5">
      <w:pPr>
        <w:overflowPunct/>
        <w:ind w:left="1410" w:hanging="1410"/>
        <w:jc w:val="both"/>
        <w:textAlignment w:val="auto"/>
        <w:rPr>
          <w:color w:val="FF0000"/>
          <w:sz w:val="28"/>
          <w:szCs w:val="28"/>
        </w:rPr>
      </w:pPr>
    </w:p>
    <w:p w:rsidR="00C45CD5" w:rsidRDefault="00C45CD5" w:rsidP="00C45CD5">
      <w:pPr>
        <w:pStyle w:val="Nadpis3"/>
      </w:pPr>
      <w:bookmarkStart w:id="83" w:name="_Toc351464400"/>
      <w:bookmarkStart w:id="84" w:name="_Toc352328376"/>
      <w:r>
        <w:t>Výkonnostní rámec</w:t>
      </w:r>
      <w:bookmarkEnd w:id="83"/>
      <w:bookmarkEnd w:id="84"/>
    </w:p>
    <w:p w:rsidR="00C45CD5" w:rsidRPr="009A0366" w:rsidRDefault="00C45CD5" w:rsidP="00C45CD5">
      <w:pPr>
        <w:spacing w:before="240" w:after="120"/>
        <w:rPr>
          <w:b/>
          <w:i/>
          <w:iCs/>
          <w:sz w:val="24"/>
          <w:szCs w:val="24"/>
        </w:rPr>
      </w:pPr>
      <w:r w:rsidRPr="00DD04E7">
        <w:rPr>
          <w:b/>
          <w:iCs/>
          <w:sz w:val="24"/>
          <w:szCs w:val="24"/>
        </w:rPr>
        <w:t xml:space="preserve">Tabulka </w:t>
      </w:r>
      <w:r w:rsidR="009C7BE0" w:rsidRPr="00DD04E7">
        <w:rPr>
          <w:b/>
          <w:iCs/>
          <w:sz w:val="24"/>
          <w:szCs w:val="24"/>
        </w:rPr>
        <w:t>xx</w:t>
      </w:r>
      <w:r w:rsidRPr="00DD04E7">
        <w:rPr>
          <w:b/>
          <w:iCs/>
          <w:sz w:val="24"/>
          <w:szCs w:val="24"/>
        </w:rPr>
        <w:t>: Výk</w:t>
      </w:r>
      <w:r w:rsidRPr="009A0366">
        <w:rPr>
          <w:b/>
          <w:iCs/>
          <w:sz w:val="24"/>
          <w:szCs w:val="24"/>
        </w:rPr>
        <w:t xml:space="preserve">onnostní rámec na úrovni dané prioritní osy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101"/>
        <w:gridCol w:w="1134"/>
        <w:gridCol w:w="2126"/>
        <w:gridCol w:w="1276"/>
        <w:gridCol w:w="1701"/>
        <w:gridCol w:w="2090"/>
      </w:tblGrid>
      <w:tr w:rsidR="00C45CD5" w:rsidRPr="009A0366" w:rsidTr="00DC1E83">
        <w:tc>
          <w:tcPr>
            <w:tcW w:w="1101" w:type="dxa"/>
            <w:shd w:val="clear" w:color="auto" w:fill="auto"/>
            <w:tcMar>
              <w:top w:w="0" w:type="dxa"/>
              <w:left w:w="108" w:type="dxa"/>
              <w:bottom w:w="0" w:type="dxa"/>
              <w:right w:w="108" w:type="dxa"/>
            </w:tcMar>
            <w:vAlign w:val="center"/>
          </w:tcPr>
          <w:p w:rsidR="00C45CD5" w:rsidRPr="009A0366" w:rsidRDefault="00C45CD5" w:rsidP="00DC1E8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Prioritní osa </w:t>
            </w:r>
          </w:p>
        </w:tc>
        <w:tc>
          <w:tcPr>
            <w:tcW w:w="1134" w:type="dxa"/>
            <w:shd w:val="clear" w:color="auto" w:fill="auto"/>
            <w:tcMar>
              <w:top w:w="0" w:type="dxa"/>
              <w:left w:w="108" w:type="dxa"/>
              <w:bottom w:w="0" w:type="dxa"/>
              <w:right w:w="108" w:type="dxa"/>
            </w:tcMar>
            <w:vAlign w:val="center"/>
          </w:tcPr>
          <w:p w:rsidR="00C45CD5" w:rsidRPr="009A0366" w:rsidRDefault="00C45CD5" w:rsidP="00DC1E8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Název milníku</w:t>
            </w:r>
          </w:p>
          <w:p w:rsidR="00C45CD5" w:rsidRPr="009A0366" w:rsidRDefault="00C45CD5" w:rsidP="00DC1E83">
            <w:pPr>
              <w:pStyle w:val="TextMetodika"/>
              <w:spacing w:before="0" w:after="0" w:line="240" w:lineRule="auto"/>
              <w:jc w:val="center"/>
              <w:rPr>
                <w:rFonts w:ascii="Times New Roman" w:hAnsi="Times New Roman"/>
                <w:b/>
                <w:sz w:val="22"/>
                <w:szCs w:val="22"/>
              </w:rPr>
            </w:pPr>
          </w:p>
        </w:tc>
        <w:tc>
          <w:tcPr>
            <w:tcW w:w="2126" w:type="dxa"/>
            <w:shd w:val="clear" w:color="auto" w:fill="auto"/>
            <w:tcMar>
              <w:top w:w="0" w:type="dxa"/>
              <w:left w:w="108" w:type="dxa"/>
              <w:bottom w:w="0" w:type="dxa"/>
              <w:right w:w="108" w:type="dxa"/>
            </w:tcMar>
            <w:vAlign w:val="center"/>
          </w:tcPr>
          <w:p w:rsidR="00C45CD5" w:rsidRPr="009A0366" w:rsidRDefault="00C45CD5" w:rsidP="00DC1E83">
            <w:pPr>
              <w:pStyle w:val="TextMetodika"/>
              <w:spacing w:before="0" w:after="0" w:line="240" w:lineRule="auto"/>
              <w:jc w:val="center"/>
              <w:rPr>
                <w:rFonts w:ascii="Times New Roman" w:hAnsi="Times New Roman"/>
                <w:b/>
                <w:sz w:val="22"/>
                <w:szCs w:val="22"/>
              </w:rPr>
            </w:pPr>
            <w:r w:rsidRPr="009A0366">
              <w:rPr>
                <w:rFonts w:ascii="Times New Roman" w:hAnsi="Times New Roman"/>
                <w:b/>
                <w:bCs/>
                <w:sz w:val="22"/>
                <w:szCs w:val="22"/>
              </w:rPr>
              <w:t xml:space="preserve">Definice milníku a měrná </w:t>
            </w:r>
            <w:r w:rsidRPr="009A0366">
              <w:rPr>
                <w:rFonts w:ascii="Times New Roman" w:hAnsi="Times New Roman"/>
                <w:b/>
                <w:sz w:val="22"/>
                <w:szCs w:val="22"/>
              </w:rPr>
              <w:t>jednotka</w:t>
            </w:r>
          </w:p>
        </w:tc>
        <w:tc>
          <w:tcPr>
            <w:tcW w:w="1276" w:type="dxa"/>
            <w:shd w:val="clear" w:color="auto" w:fill="auto"/>
            <w:tcMar>
              <w:top w:w="0" w:type="dxa"/>
              <w:left w:w="108" w:type="dxa"/>
              <w:bottom w:w="0" w:type="dxa"/>
              <w:right w:w="108" w:type="dxa"/>
            </w:tcMar>
            <w:vAlign w:val="center"/>
          </w:tcPr>
          <w:p w:rsidR="00C45CD5" w:rsidRPr="009A0366" w:rsidRDefault="00C45CD5" w:rsidP="00DC1E8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Hodnota milníku v r.</w:t>
            </w:r>
            <w:r w:rsidRPr="009A0366">
              <w:rPr>
                <w:rFonts w:ascii="Times New Roman" w:hAnsi="Times New Roman"/>
                <w:b/>
                <w:bCs/>
                <w:sz w:val="22"/>
                <w:szCs w:val="22"/>
              </w:rPr>
              <w:t xml:space="preserve">  </w:t>
            </w:r>
            <w:r w:rsidRPr="009A0366">
              <w:rPr>
                <w:rFonts w:ascii="Times New Roman" w:hAnsi="Times New Roman"/>
                <w:b/>
                <w:sz w:val="22"/>
                <w:szCs w:val="22"/>
              </w:rPr>
              <w:t xml:space="preserve"> 2018</w:t>
            </w:r>
          </w:p>
        </w:tc>
        <w:tc>
          <w:tcPr>
            <w:tcW w:w="1701" w:type="dxa"/>
            <w:shd w:val="clear" w:color="auto" w:fill="auto"/>
            <w:tcMar>
              <w:top w:w="0" w:type="dxa"/>
              <w:left w:w="108" w:type="dxa"/>
              <w:bottom w:w="0" w:type="dxa"/>
              <w:right w:w="108" w:type="dxa"/>
            </w:tcMar>
            <w:vAlign w:val="center"/>
          </w:tcPr>
          <w:p w:rsidR="00C45CD5" w:rsidRPr="009A0366" w:rsidRDefault="00C45CD5" w:rsidP="00DC1E8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Cílová hodnota milníku k roku 2022 </w:t>
            </w:r>
          </w:p>
        </w:tc>
        <w:tc>
          <w:tcPr>
            <w:tcW w:w="2090" w:type="dxa"/>
            <w:shd w:val="clear" w:color="auto" w:fill="auto"/>
            <w:tcMar>
              <w:top w:w="0" w:type="dxa"/>
              <w:left w:w="108" w:type="dxa"/>
              <w:bottom w:w="0" w:type="dxa"/>
              <w:right w:w="108" w:type="dxa"/>
            </w:tcMar>
            <w:vAlign w:val="center"/>
          </w:tcPr>
          <w:p w:rsidR="00C45CD5" w:rsidRPr="009A0366" w:rsidRDefault="00C45CD5" w:rsidP="00DC1E83">
            <w:pPr>
              <w:pStyle w:val="TextMetodika"/>
              <w:spacing w:before="0" w:after="0" w:line="240" w:lineRule="auto"/>
              <w:jc w:val="center"/>
              <w:rPr>
                <w:rFonts w:ascii="Times New Roman" w:hAnsi="Times New Roman"/>
                <w:b/>
                <w:sz w:val="22"/>
                <w:szCs w:val="22"/>
              </w:rPr>
            </w:pPr>
            <w:r w:rsidRPr="009A0366">
              <w:rPr>
                <w:rFonts w:ascii="Times New Roman" w:hAnsi="Times New Roman"/>
                <w:b/>
                <w:sz w:val="22"/>
                <w:szCs w:val="22"/>
              </w:rPr>
              <w:t>Odůvodnění, jakým způsobem byly hodnoty stanoveny</w:t>
            </w:r>
          </w:p>
        </w:tc>
      </w:tr>
      <w:tr w:rsidR="00C45CD5" w:rsidRPr="009A0366" w:rsidTr="00DC1E83">
        <w:tc>
          <w:tcPr>
            <w:tcW w:w="1101" w:type="dxa"/>
            <w:shd w:val="clear" w:color="auto" w:fill="auto"/>
            <w:tcMar>
              <w:top w:w="0" w:type="dxa"/>
              <w:left w:w="108" w:type="dxa"/>
              <w:bottom w:w="0" w:type="dxa"/>
              <w:right w:w="108" w:type="dxa"/>
            </w:tcMar>
            <w:vAlign w:val="center"/>
          </w:tcPr>
          <w:p w:rsidR="00C45CD5" w:rsidRPr="009A0366" w:rsidRDefault="00C45CD5" w:rsidP="00DC1E83">
            <w:pPr>
              <w:pStyle w:val="TextMetodika"/>
              <w:jc w:val="center"/>
              <w:rPr>
                <w:rFonts w:ascii="Times New Roman" w:hAnsi="Times New Roman"/>
              </w:rPr>
            </w:pPr>
          </w:p>
        </w:tc>
        <w:tc>
          <w:tcPr>
            <w:tcW w:w="1134" w:type="dxa"/>
            <w:shd w:val="clear" w:color="auto" w:fill="auto"/>
            <w:tcMar>
              <w:top w:w="0" w:type="dxa"/>
              <w:left w:w="108" w:type="dxa"/>
              <w:bottom w:w="0" w:type="dxa"/>
              <w:right w:w="108" w:type="dxa"/>
            </w:tcMar>
            <w:vAlign w:val="center"/>
          </w:tcPr>
          <w:p w:rsidR="00C45CD5" w:rsidRPr="009A0366" w:rsidRDefault="00C45CD5" w:rsidP="00DC1E83">
            <w:pPr>
              <w:pStyle w:val="TextMetodika"/>
              <w:jc w:val="center"/>
              <w:rPr>
                <w:rFonts w:ascii="Times New Roman" w:hAnsi="Times New Roman"/>
              </w:rPr>
            </w:pPr>
          </w:p>
        </w:tc>
        <w:tc>
          <w:tcPr>
            <w:tcW w:w="2126" w:type="dxa"/>
            <w:shd w:val="clear" w:color="auto" w:fill="auto"/>
            <w:tcMar>
              <w:top w:w="0" w:type="dxa"/>
              <w:left w:w="108" w:type="dxa"/>
              <w:bottom w:w="0" w:type="dxa"/>
              <w:right w:w="108" w:type="dxa"/>
            </w:tcMar>
            <w:vAlign w:val="center"/>
          </w:tcPr>
          <w:p w:rsidR="00C45CD5" w:rsidRPr="009A0366" w:rsidRDefault="00C45CD5" w:rsidP="00DC1E83">
            <w:pPr>
              <w:pStyle w:val="TextMetodika"/>
              <w:jc w:val="center"/>
              <w:rPr>
                <w:rFonts w:ascii="Times New Roman" w:hAnsi="Times New Roman"/>
              </w:rPr>
            </w:pPr>
          </w:p>
        </w:tc>
        <w:tc>
          <w:tcPr>
            <w:tcW w:w="1276" w:type="dxa"/>
            <w:shd w:val="clear" w:color="auto" w:fill="auto"/>
            <w:tcMar>
              <w:top w:w="0" w:type="dxa"/>
              <w:left w:w="108" w:type="dxa"/>
              <w:bottom w:w="0" w:type="dxa"/>
              <w:right w:w="108" w:type="dxa"/>
            </w:tcMar>
            <w:vAlign w:val="center"/>
          </w:tcPr>
          <w:p w:rsidR="00C45CD5" w:rsidRPr="009A0366" w:rsidRDefault="00C45CD5" w:rsidP="00DC1E83">
            <w:pPr>
              <w:pStyle w:val="TextMetodika"/>
              <w:jc w:val="center"/>
              <w:rPr>
                <w:rFonts w:ascii="Times New Roman" w:hAnsi="Times New Roman"/>
              </w:rPr>
            </w:pPr>
          </w:p>
        </w:tc>
        <w:tc>
          <w:tcPr>
            <w:tcW w:w="1701" w:type="dxa"/>
            <w:shd w:val="clear" w:color="auto" w:fill="auto"/>
            <w:tcMar>
              <w:top w:w="0" w:type="dxa"/>
              <w:left w:w="108" w:type="dxa"/>
              <w:bottom w:w="0" w:type="dxa"/>
              <w:right w:w="108" w:type="dxa"/>
            </w:tcMar>
            <w:vAlign w:val="center"/>
          </w:tcPr>
          <w:p w:rsidR="00C45CD5" w:rsidRPr="009A0366" w:rsidRDefault="00C45CD5" w:rsidP="00DC1E83">
            <w:pPr>
              <w:pStyle w:val="TextMetodika"/>
              <w:jc w:val="center"/>
              <w:rPr>
                <w:rFonts w:ascii="Times New Roman" w:hAnsi="Times New Roman"/>
              </w:rPr>
            </w:pPr>
          </w:p>
        </w:tc>
        <w:tc>
          <w:tcPr>
            <w:tcW w:w="2090" w:type="dxa"/>
            <w:shd w:val="clear" w:color="auto" w:fill="auto"/>
            <w:tcMar>
              <w:top w:w="0" w:type="dxa"/>
              <w:left w:w="108" w:type="dxa"/>
              <w:bottom w:w="0" w:type="dxa"/>
              <w:right w:w="108" w:type="dxa"/>
            </w:tcMar>
            <w:vAlign w:val="center"/>
          </w:tcPr>
          <w:p w:rsidR="00C45CD5" w:rsidRPr="009A0366" w:rsidRDefault="00C45CD5" w:rsidP="00DC1E83">
            <w:pPr>
              <w:pStyle w:val="TextMetodika"/>
              <w:jc w:val="center"/>
              <w:rPr>
                <w:rFonts w:ascii="Times New Roman" w:hAnsi="Times New Roman"/>
              </w:rPr>
            </w:pPr>
          </w:p>
        </w:tc>
      </w:tr>
    </w:tbl>
    <w:p w:rsidR="00C45CD5" w:rsidRDefault="00C45CD5" w:rsidP="00C45CD5">
      <w:pPr>
        <w:overflowPunct/>
        <w:jc w:val="both"/>
        <w:textAlignment w:val="auto"/>
        <w:rPr>
          <w:b/>
          <w:bCs/>
          <w:color w:val="FF0000"/>
          <w:sz w:val="24"/>
          <w:szCs w:val="24"/>
        </w:rPr>
      </w:pPr>
    </w:p>
    <w:p w:rsidR="00C45CD5" w:rsidRDefault="00C45CD5" w:rsidP="00C45CD5">
      <w:pPr>
        <w:pStyle w:val="Nadpis3"/>
      </w:pPr>
      <w:bookmarkStart w:id="85" w:name="_Toc351464401"/>
      <w:bookmarkStart w:id="86" w:name="_Toc352328377"/>
      <w:r>
        <w:t>Kategorie intervencí</w:t>
      </w:r>
      <w:bookmarkEnd w:id="85"/>
      <w:bookmarkEnd w:id="86"/>
    </w:p>
    <w:p w:rsidR="00C45CD5" w:rsidRPr="009A0366" w:rsidRDefault="00C45CD5" w:rsidP="00C45CD5">
      <w:pPr>
        <w:overflowPunct/>
        <w:jc w:val="both"/>
        <w:textAlignment w:val="auto"/>
        <w:rPr>
          <w:b/>
          <w:bCs/>
          <w:color w:val="FF0000"/>
          <w:sz w:val="24"/>
          <w:szCs w:val="24"/>
          <w:lang w:val="it-IT"/>
        </w:rPr>
      </w:pPr>
    </w:p>
    <w:p w:rsidR="00C45CD5" w:rsidRPr="009A0366" w:rsidRDefault="00C45CD5" w:rsidP="00C45CD5">
      <w:pPr>
        <w:spacing w:after="120"/>
        <w:rPr>
          <w:b/>
          <w:sz w:val="24"/>
          <w:szCs w:val="24"/>
        </w:rPr>
      </w:pPr>
      <w:r w:rsidRPr="00DD04E7">
        <w:rPr>
          <w:b/>
          <w:sz w:val="24"/>
          <w:szCs w:val="24"/>
        </w:rPr>
        <w:t>Tabu</w:t>
      </w:r>
      <w:r w:rsidR="009C7BE0" w:rsidRPr="00DD04E7">
        <w:rPr>
          <w:b/>
          <w:sz w:val="24"/>
          <w:szCs w:val="24"/>
        </w:rPr>
        <w:t>l</w:t>
      </w:r>
      <w:r w:rsidRPr="00DD04E7">
        <w:rPr>
          <w:b/>
          <w:sz w:val="24"/>
          <w:szCs w:val="24"/>
        </w:rPr>
        <w:t xml:space="preserve">ka </w:t>
      </w:r>
      <w:r w:rsidR="009C7BE0" w:rsidRPr="00DD04E7">
        <w:rPr>
          <w:b/>
          <w:sz w:val="24"/>
          <w:szCs w:val="24"/>
        </w:rPr>
        <w:t>xx</w:t>
      </w:r>
      <w:r w:rsidRPr="00DD04E7">
        <w:rPr>
          <w:b/>
          <w:sz w:val="24"/>
          <w:szCs w:val="24"/>
        </w:rPr>
        <w:t>:</w:t>
      </w:r>
      <w:r w:rsidRPr="009A0366">
        <w:rPr>
          <w:b/>
          <w:sz w:val="24"/>
          <w:szCs w:val="24"/>
        </w:rPr>
        <w:t xml:space="preserve"> Dimenze 1: Intervenční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C45CD5" w:rsidRPr="009A0366" w:rsidTr="00DC1E83">
        <w:tc>
          <w:tcPr>
            <w:tcW w:w="4640" w:type="dxa"/>
            <w:shd w:val="clear" w:color="auto" w:fill="auto"/>
          </w:tcPr>
          <w:p w:rsidR="00C45CD5" w:rsidRPr="009A0366" w:rsidRDefault="00C45CD5" w:rsidP="00DC1E83">
            <w:pPr>
              <w:spacing w:after="120" w:line="288" w:lineRule="auto"/>
              <w:rPr>
                <w:b/>
                <w:sz w:val="22"/>
                <w:szCs w:val="22"/>
              </w:rPr>
            </w:pPr>
            <w:r w:rsidRPr="009A0366">
              <w:rPr>
                <w:b/>
                <w:sz w:val="22"/>
                <w:szCs w:val="22"/>
              </w:rPr>
              <w:t>Kód</w:t>
            </w:r>
          </w:p>
        </w:tc>
        <w:tc>
          <w:tcPr>
            <w:tcW w:w="4640" w:type="dxa"/>
            <w:shd w:val="clear" w:color="auto" w:fill="auto"/>
          </w:tcPr>
          <w:p w:rsidR="00C45CD5" w:rsidRPr="009A0366" w:rsidRDefault="00C45CD5" w:rsidP="00DC1E83">
            <w:pPr>
              <w:spacing w:after="120" w:line="288" w:lineRule="auto"/>
              <w:rPr>
                <w:b/>
                <w:sz w:val="22"/>
                <w:szCs w:val="22"/>
              </w:rPr>
            </w:pPr>
            <w:r w:rsidRPr="009A0366">
              <w:rPr>
                <w:b/>
                <w:bCs/>
                <w:sz w:val="22"/>
                <w:szCs w:val="22"/>
              </w:rPr>
              <w:t>Příspěvek z EU: indikativní částka (EUR)</w:t>
            </w:r>
          </w:p>
        </w:tc>
      </w:tr>
      <w:tr w:rsidR="00C45CD5" w:rsidRPr="009A0366" w:rsidTr="00DC1E83">
        <w:tc>
          <w:tcPr>
            <w:tcW w:w="4640" w:type="dxa"/>
            <w:shd w:val="clear" w:color="auto" w:fill="auto"/>
          </w:tcPr>
          <w:p w:rsidR="00C45CD5" w:rsidRPr="009A0366" w:rsidRDefault="00C45CD5" w:rsidP="00DC1E83">
            <w:pPr>
              <w:spacing w:after="120" w:line="288" w:lineRule="auto"/>
            </w:pPr>
          </w:p>
        </w:tc>
        <w:tc>
          <w:tcPr>
            <w:tcW w:w="4640" w:type="dxa"/>
            <w:shd w:val="clear" w:color="auto" w:fill="auto"/>
          </w:tcPr>
          <w:p w:rsidR="00C45CD5" w:rsidRPr="009A0366" w:rsidRDefault="00C45CD5" w:rsidP="00DC1E83">
            <w:pPr>
              <w:spacing w:after="120" w:line="288" w:lineRule="auto"/>
            </w:pPr>
          </w:p>
        </w:tc>
      </w:tr>
    </w:tbl>
    <w:p w:rsidR="00C45CD5" w:rsidRPr="009A0366" w:rsidRDefault="00C45CD5" w:rsidP="00C45CD5">
      <w:pPr>
        <w:pStyle w:val="TextNOK"/>
        <w:spacing w:before="60" w:after="60"/>
        <w:rPr>
          <w:rFonts w:ascii="Times New Roman" w:hAnsi="Times New Roman"/>
          <w:szCs w:val="20"/>
        </w:rPr>
      </w:pPr>
      <w:r w:rsidRPr="009A0366">
        <w:rPr>
          <w:rFonts w:ascii="Times New Roman" w:hAnsi="Times New Roman"/>
          <w:szCs w:val="20"/>
        </w:rPr>
        <w:t>Zdroj: Evropská komise</w:t>
      </w:r>
    </w:p>
    <w:p w:rsidR="00C45CD5" w:rsidRPr="009A0366" w:rsidRDefault="00C45CD5" w:rsidP="00C45CD5">
      <w:pPr>
        <w:spacing w:after="120" w:line="288" w:lineRule="auto"/>
      </w:pPr>
    </w:p>
    <w:p w:rsidR="00C45CD5" w:rsidRPr="009A0366" w:rsidRDefault="00C45CD5" w:rsidP="00C45CD5">
      <w:pPr>
        <w:spacing w:after="120"/>
        <w:rPr>
          <w:b/>
          <w:sz w:val="24"/>
          <w:szCs w:val="24"/>
        </w:rPr>
      </w:pPr>
      <w:r w:rsidRPr="00DD04E7">
        <w:rPr>
          <w:b/>
          <w:sz w:val="24"/>
          <w:szCs w:val="24"/>
        </w:rPr>
        <w:t xml:space="preserve">Tabulka </w:t>
      </w:r>
      <w:r w:rsidR="009C7BE0" w:rsidRPr="00DD04E7">
        <w:rPr>
          <w:b/>
          <w:sz w:val="24"/>
          <w:szCs w:val="24"/>
        </w:rPr>
        <w:t>xx</w:t>
      </w:r>
      <w:r w:rsidRPr="00DD04E7">
        <w:rPr>
          <w:b/>
          <w:sz w:val="24"/>
          <w:szCs w:val="24"/>
        </w:rPr>
        <w:t>: Dimen</w:t>
      </w:r>
      <w:r w:rsidRPr="009A0366">
        <w:rPr>
          <w:b/>
          <w:sz w:val="24"/>
          <w:szCs w:val="24"/>
        </w:rPr>
        <w:t>ze 2: Forma financování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C45CD5" w:rsidRPr="009A0366" w:rsidTr="00DC1E83">
        <w:tc>
          <w:tcPr>
            <w:tcW w:w="4640" w:type="dxa"/>
            <w:shd w:val="clear" w:color="auto" w:fill="auto"/>
          </w:tcPr>
          <w:p w:rsidR="00C45CD5" w:rsidRPr="009A0366" w:rsidRDefault="00C45CD5" w:rsidP="00DC1E83">
            <w:pPr>
              <w:spacing w:after="120" w:line="288" w:lineRule="auto"/>
              <w:rPr>
                <w:b/>
                <w:sz w:val="22"/>
                <w:szCs w:val="22"/>
              </w:rPr>
            </w:pPr>
            <w:r w:rsidRPr="009A0366">
              <w:rPr>
                <w:b/>
                <w:sz w:val="22"/>
                <w:szCs w:val="22"/>
              </w:rPr>
              <w:t>Kód</w:t>
            </w:r>
          </w:p>
        </w:tc>
        <w:tc>
          <w:tcPr>
            <w:tcW w:w="4640" w:type="dxa"/>
            <w:shd w:val="clear" w:color="auto" w:fill="auto"/>
          </w:tcPr>
          <w:p w:rsidR="00C45CD5" w:rsidRPr="009A0366" w:rsidRDefault="00C45CD5" w:rsidP="00DC1E83">
            <w:pPr>
              <w:spacing w:after="120" w:line="288" w:lineRule="auto"/>
              <w:rPr>
                <w:b/>
                <w:sz w:val="22"/>
                <w:szCs w:val="22"/>
              </w:rPr>
            </w:pPr>
            <w:r w:rsidRPr="009A0366">
              <w:rPr>
                <w:b/>
                <w:bCs/>
                <w:sz w:val="22"/>
                <w:szCs w:val="22"/>
              </w:rPr>
              <w:t>Příspěvek z EU: indikativní částka (EUR)</w:t>
            </w:r>
          </w:p>
        </w:tc>
      </w:tr>
      <w:tr w:rsidR="00C45CD5" w:rsidRPr="009A0366" w:rsidTr="00DC1E83">
        <w:tc>
          <w:tcPr>
            <w:tcW w:w="4640" w:type="dxa"/>
            <w:shd w:val="clear" w:color="auto" w:fill="auto"/>
          </w:tcPr>
          <w:p w:rsidR="00C45CD5" w:rsidRPr="009A0366" w:rsidRDefault="00C45CD5" w:rsidP="00DC1E83">
            <w:pPr>
              <w:spacing w:after="120" w:line="288" w:lineRule="auto"/>
            </w:pPr>
          </w:p>
        </w:tc>
        <w:tc>
          <w:tcPr>
            <w:tcW w:w="4640" w:type="dxa"/>
            <w:shd w:val="clear" w:color="auto" w:fill="auto"/>
          </w:tcPr>
          <w:p w:rsidR="00C45CD5" w:rsidRPr="009A0366" w:rsidRDefault="00C45CD5" w:rsidP="00DC1E83">
            <w:pPr>
              <w:spacing w:after="120" w:line="288" w:lineRule="auto"/>
            </w:pPr>
          </w:p>
        </w:tc>
      </w:tr>
    </w:tbl>
    <w:p w:rsidR="00C45CD5" w:rsidRPr="009A0366" w:rsidRDefault="00C45CD5" w:rsidP="00C45CD5">
      <w:pPr>
        <w:pStyle w:val="TextNOK"/>
        <w:spacing w:before="60" w:after="60"/>
        <w:rPr>
          <w:rFonts w:ascii="Times New Roman" w:hAnsi="Times New Roman"/>
          <w:szCs w:val="20"/>
        </w:rPr>
      </w:pPr>
      <w:r w:rsidRPr="009A0366">
        <w:rPr>
          <w:rFonts w:ascii="Times New Roman" w:hAnsi="Times New Roman"/>
          <w:szCs w:val="20"/>
        </w:rPr>
        <w:t>Zdroj: Evropská komise</w:t>
      </w:r>
    </w:p>
    <w:p w:rsidR="00C45CD5" w:rsidRPr="009A0366" w:rsidRDefault="00C45CD5" w:rsidP="00C45CD5"/>
    <w:p w:rsidR="00C45CD5" w:rsidRPr="009A0366" w:rsidRDefault="00C45CD5" w:rsidP="00C45CD5">
      <w:pPr>
        <w:spacing w:after="120"/>
        <w:rPr>
          <w:b/>
          <w:sz w:val="24"/>
          <w:szCs w:val="24"/>
        </w:rPr>
      </w:pPr>
      <w:r w:rsidRPr="00DD04E7">
        <w:rPr>
          <w:b/>
          <w:sz w:val="24"/>
          <w:szCs w:val="24"/>
        </w:rPr>
        <w:lastRenderedPageBreak/>
        <w:t xml:space="preserve">Tabulka </w:t>
      </w:r>
      <w:r w:rsidR="009C7BE0" w:rsidRPr="00DD04E7">
        <w:rPr>
          <w:b/>
          <w:sz w:val="24"/>
          <w:szCs w:val="24"/>
        </w:rPr>
        <w:t>xx</w:t>
      </w:r>
      <w:r w:rsidRPr="00DD04E7">
        <w:rPr>
          <w:b/>
          <w:sz w:val="24"/>
          <w:szCs w:val="24"/>
        </w:rPr>
        <w:t>: Dimen</w:t>
      </w:r>
      <w:r w:rsidRPr="009A0366">
        <w:rPr>
          <w:b/>
          <w:sz w:val="24"/>
          <w:szCs w:val="24"/>
        </w:rPr>
        <w:t>ze 3: Území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C45CD5" w:rsidRPr="009A0366" w:rsidTr="00DC1E83">
        <w:tc>
          <w:tcPr>
            <w:tcW w:w="4640" w:type="dxa"/>
            <w:shd w:val="clear" w:color="auto" w:fill="auto"/>
          </w:tcPr>
          <w:p w:rsidR="00C45CD5" w:rsidRPr="009A0366" w:rsidRDefault="00C45CD5" w:rsidP="00DC1E83">
            <w:pPr>
              <w:spacing w:after="120" w:line="288" w:lineRule="auto"/>
              <w:rPr>
                <w:b/>
                <w:sz w:val="22"/>
                <w:szCs w:val="22"/>
              </w:rPr>
            </w:pPr>
            <w:r w:rsidRPr="009A0366">
              <w:rPr>
                <w:b/>
                <w:sz w:val="22"/>
                <w:szCs w:val="22"/>
              </w:rPr>
              <w:t>Kód</w:t>
            </w:r>
          </w:p>
        </w:tc>
        <w:tc>
          <w:tcPr>
            <w:tcW w:w="4640" w:type="dxa"/>
            <w:shd w:val="clear" w:color="auto" w:fill="auto"/>
          </w:tcPr>
          <w:p w:rsidR="00C45CD5" w:rsidRPr="009A0366" w:rsidRDefault="00C45CD5" w:rsidP="00DC1E83">
            <w:pPr>
              <w:spacing w:after="120" w:line="288" w:lineRule="auto"/>
              <w:rPr>
                <w:b/>
                <w:sz w:val="22"/>
                <w:szCs w:val="22"/>
              </w:rPr>
            </w:pPr>
            <w:r w:rsidRPr="009A0366">
              <w:rPr>
                <w:b/>
                <w:bCs/>
                <w:sz w:val="22"/>
                <w:szCs w:val="22"/>
              </w:rPr>
              <w:t>Příspěvek z EU: indikativní částka (EUR)</w:t>
            </w:r>
          </w:p>
        </w:tc>
      </w:tr>
      <w:tr w:rsidR="00C45CD5" w:rsidRPr="009A0366" w:rsidTr="00DC1E83">
        <w:tc>
          <w:tcPr>
            <w:tcW w:w="4640" w:type="dxa"/>
            <w:shd w:val="clear" w:color="auto" w:fill="auto"/>
          </w:tcPr>
          <w:p w:rsidR="00C45CD5" w:rsidRPr="009A0366" w:rsidRDefault="00C45CD5" w:rsidP="00DC1E83">
            <w:pPr>
              <w:spacing w:after="120" w:line="288" w:lineRule="auto"/>
            </w:pPr>
          </w:p>
        </w:tc>
        <w:tc>
          <w:tcPr>
            <w:tcW w:w="4640" w:type="dxa"/>
            <w:shd w:val="clear" w:color="auto" w:fill="auto"/>
          </w:tcPr>
          <w:p w:rsidR="00C45CD5" w:rsidRPr="009A0366" w:rsidRDefault="00C45CD5" w:rsidP="00DC1E83">
            <w:pPr>
              <w:spacing w:after="120" w:line="288" w:lineRule="auto"/>
            </w:pPr>
          </w:p>
        </w:tc>
      </w:tr>
    </w:tbl>
    <w:p w:rsidR="00C45CD5" w:rsidRPr="009A0366" w:rsidRDefault="00C45CD5" w:rsidP="00C45CD5">
      <w:pPr>
        <w:pStyle w:val="TextNOK"/>
        <w:spacing w:before="60" w:after="60"/>
        <w:rPr>
          <w:rFonts w:ascii="Times New Roman" w:hAnsi="Times New Roman"/>
          <w:szCs w:val="20"/>
        </w:rPr>
      </w:pPr>
      <w:r w:rsidRPr="009A0366">
        <w:rPr>
          <w:rFonts w:ascii="Times New Roman" w:hAnsi="Times New Roman"/>
          <w:szCs w:val="20"/>
        </w:rPr>
        <w:t>Zdroj: Evropská komise</w:t>
      </w:r>
    </w:p>
    <w:p w:rsidR="00C45CD5" w:rsidRPr="009A0366" w:rsidRDefault="00C45CD5" w:rsidP="00C45CD5"/>
    <w:p w:rsidR="00C45CD5" w:rsidRPr="009A0366" w:rsidRDefault="00C45CD5" w:rsidP="00C45CD5">
      <w:pPr>
        <w:spacing w:after="120"/>
        <w:rPr>
          <w:b/>
          <w:sz w:val="24"/>
          <w:szCs w:val="24"/>
        </w:rPr>
      </w:pPr>
      <w:r w:rsidRPr="00DD04E7">
        <w:rPr>
          <w:b/>
          <w:sz w:val="24"/>
          <w:szCs w:val="24"/>
        </w:rPr>
        <w:t xml:space="preserve">Tabulka </w:t>
      </w:r>
      <w:r w:rsidR="009C7BE0" w:rsidRPr="00DD04E7">
        <w:rPr>
          <w:b/>
          <w:sz w:val="24"/>
          <w:szCs w:val="24"/>
        </w:rPr>
        <w:t>xx</w:t>
      </w:r>
      <w:r w:rsidRPr="00DD04E7">
        <w:rPr>
          <w:b/>
          <w:sz w:val="24"/>
          <w:szCs w:val="24"/>
        </w:rPr>
        <w:t>:</w:t>
      </w:r>
      <w:r w:rsidRPr="009A0366">
        <w:rPr>
          <w:b/>
          <w:sz w:val="24"/>
          <w:szCs w:val="24"/>
        </w:rPr>
        <w:t xml:space="preserve"> Dimenze 4: Sekundární téma pro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C45CD5" w:rsidRPr="009A0366" w:rsidTr="00DC1E83">
        <w:tc>
          <w:tcPr>
            <w:tcW w:w="4640" w:type="dxa"/>
            <w:shd w:val="clear" w:color="auto" w:fill="auto"/>
          </w:tcPr>
          <w:p w:rsidR="00C45CD5" w:rsidRPr="009A0366" w:rsidRDefault="00C45CD5" w:rsidP="00DC1E83">
            <w:pPr>
              <w:spacing w:after="120" w:line="288" w:lineRule="auto"/>
              <w:rPr>
                <w:b/>
                <w:sz w:val="22"/>
                <w:szCs w:val="22"/>
              </w:rPr>
            </w:pPr>
            <w:r w:rsidRPr="009A0366">
              <w:rPr>
                <w:b/>
                <w:sz w:val="22"/>
                <w:szCs w:val="22"/>
              </w:rPr>
              <w:t>Kód</w:t>
            </w:r>
          </w:p>
        </w:tc>
        <w:tc>
          <w:tcPr>
            <w:tcW w:w="4640" w:type="dxa"/>
            <w:shd w:val="clear" w:color="auto" w:fill="auto"/>
          </w:tcPr>
          <w:p w:rsidR="00C45CD5" w:rsidRPr="009A0366" w:rsidRDefault="00C45CD5" w:rsidP="00DC1E83">
            <w:pPr>
              <w:spacing w:after="120" w:line="288" w:lineRule="auto"/>
              <w:rPr>
                <w:b/>
                <w:sz w:val="22"/>
                <w:szCs w:val="22"/>
              </w:rPr>
            </w:pPr>
            <w:r w:rsidRPr="009A0366">
              <w:rPr>
                <w:b/>
                <w:bCs/>
                <w:sz w:val="22"/>
                <w:szCs w:val="22"/>
              </w:rPr>
              <w:t>Příspěvek z EU: indikativní částka (EUR)</w:t>
            </w:r>
          </w:p>
        </w:tc>
      </w:tr>
      <w:tr w:rsidR="00C45CD5" w:rsidRPr="009A0366" w:rsidTr="00DC1E83">
        <w:tc>
          <w:tcPr>
            <w:tcW w:w="4640" w:type="dxa"/>
            <w:shd w:val="clear" w:color="auto" w:fill="auto"/>
          </w:tcPr>
          <w:p w:rsidR="00C45CD5" w:rsidRPr="009A0366" w:rsidRDefault="00C45CD5" w:rsidP="00DC1E83">
            <w:pPr>
              <w:spacing w:after="120" w:line="288" w:lineRule="auto"/>
            </w:pPr>
          </w:p>
        </w:tc>
        <w:tc>
          <w:tcPr>
            <w:tcW w:w="4640" w:type="dxa"/>
            <w:shd w:val="clear" w:color="auto" w:fill="auto"/>
          </w:tcPr>
          <w:p w:rsidR="00C45CD5" w:rsidRPr="009A0366" w:rsidRDefault="00C45CD5" w:rsidP="00DC1E83">
            <w:pPr>
              <w:spacing w:after="120" w:line="288" w:lineRule="auto"/>
            </w:pPr>
          </w:p>
        </w:tc>
      </w:tr>
    </w:tbl>
    <w:p w:rsidR="00C45CD5" w:rsidRPr="009A0366" w:rsidRDefault="00C45CD5" w:rsidP="00C45CD5">
      <w:pPr>
        <w:pStyle w:val="TextNOK"/>
        <w:spacing w:before="60" w:after="60"/>
        <w:rPr>
          <w:rFonts w:ascii="Times New Roman" w:hAnsi="Times New Roman"/>
          <w:szCs w:val="20"/>
        </w:rPr>
      </w:pPr>
      <w:r w:rsidRPr="009A0366">
        <w:rPr>
          <w:rFonts w:ascii="Times New Roman" w:hAnsi="Times New Roman"/>
          <w:szCs w:val="20"/>
        </w:rPr>
        <w:t>Zdroj: Evropská komise</w:t>
      </w:r>
    </w:p>
    <w:p w:rsidR="00C45CD5" w:rsidRDefault="00C45CD5" w:rsidP="00C45CD5">
      <w:pPr>
        <w:pStyle w:val="Seznamsodrkami"/>
      </w:pPr>
    </w:p>
    <w:p w:rsidR="00C45CD5" w:rsidRPr="009A0366" w:rsidRDefault="00C45CD5" w:rsidP="00C45CD5">
      <w:pPr>
        <w:pStyle w:val="Nadpis3"/>
      </w:pPr>
      <w:bookmarkStart w:id="87" w:name="_Toc352328378"/>
      <w:bookmarkStart w:id="88" w:name="_Toc351464402"/>
      <w:r w:rsidRPr="009A0366">
        <w:t>Souhrn plánovaného využití technické pomoci, včetně aktivit na posílení administrativní kapacity odpovědných subjektů a p</w:t>
      </w:r>
      <w:r>
        <w:t>říjemců v dané prioritní ose</w:t>
      </w:r>
      <w:bookmarkEnd w:id="87"/>
      <w:r w:rsidRPr="009A0366">
        <w:t xml:space="preserve"> </w:t>
      </w:r>
      <w:bookmarkEnd w:id="88"/>
    </w:p>
    <w:p w:rsidR="00DB73B5" w:rsidRDefault="00DB73B5" w:rsidP="008D4BCB">
      <w:pPr>
        <w:overflowPunct/>
        <w:spacing w:after="120"/>
        <w:jc w:val="both"/>
        <w:textAlignment w:val="auto"/>
        <w:rPr>
          <w:b/>
          <w:bCs/>
          <w:sz w:val="24"/>
          <w:szCs w:val="24"/>
        </w:rPr>
      </w:pPr>
    </w:p>
    <w:p w:rsidR="007359FB" w:rsidRPr="0057331F" w:rsidRDefault="00CB2B83" w:rsidP="00B1484D">
      <w:pPr>
        <w:pStyle w:val="Nadpis2"/>
      </w:pPr>
      <w:bookmarkStart w:id="89" w:name="_Toc351464403"/>
      <w:bookmarkStart w:id="90" w:name="_Toc352328379"/>
      <w:r w:rsidRPr="0057331F">
        <w:t xml:space="preserve">Prioritní osa 4 </w:t>
      </w:r>
      <w:r w:rsidR="003568A9" w:rsidRPr="0057331F">
        <w:t xml:space="preserve">- </w:t>
      </w:r>
      <w:r w:rsidR="008D4BCB" w:rsidRPr="0057331F">
        <w:t>Rozvoj vysokorychlostních přístupových sítí k internetu a</w:t>
      </w:r>
      <w:r w:rsidR="009A2305" w:rsidRPr="0057331F">
        <w:t xml:space="preserve"> i</w:t>
      </w:r>
      <w:r w:rsidR="008D4BCB" w:rsidRPr="0057331F">
        <w:t>nformačn</w:t>
      </w:r>
      <w:r w:rsidRPr="0057331F">
        <w:t>ích a komunikačních technologií</w:t>
      </w:r>
      <w:bookmarkEnd w:id="89"/>
      <w:bookmarkEnd w:id="90"/>
    </w:p>
    <w:p w:rsidR="0057331F" w:rsidRPr="00DD04E7" w:rsidRDefault="0057331F" w:rsidP="0057331F">
      <w:pPr>
        <w:overflowPunct/>
        <w:jc w:val="both"/>
        <w:textAlignment w:val="auto"/>
        <w:rPr>
          <w:rFonts w:asciiTheme="minorHAnsi" w:hAnsiTheme="minorHAnsi" w:cstheme="minorHAnsi"/>
          <w:sz w:val="24"/>
          <w:szCs w:val="24"/>
        </w:rPr>
      </w:pPr>
      <w:r w:rsidRPr="00E40039">
        <w:rPr>
          <w:rFonts w:asciiTheme="minorHAnsi" w:hAnsiTheme="minorHAnsi" w:cstheme="minorHAnsi"/>
          <w:bCs/>
          <w:sz w:val="24"/>
          <w:szCs w:val="24"/>
        </w:rPr>
        <w:t xml:space="preserve">Tato prioritní osa bude implementována v návaznosti na tematický cíl č. </w:t>
      </w:r>
      <w:r>
        <w:rPr>
          <w:rFonts w:asciiTheme="minorHAnsi" w:hAnsiTheme="minorHAnsi" w:cstheme="minorHAnsi"/>
          <w:bCs/>
          <w:sz w:val="24"/>
          <w:szCs w:val="24"/>
        </w:rPr>
        <w:t>2</w:t>
      </w:r>
      <w:r w:rsidRPr="00E40039">
        <w:rPr>
          <w:rFonts w:asciiTheme="minorHAnsi" w:hAnsiTheme="minorHAnsi" w:cstheme="minorHAnsi"/>
          <w:bCs/>
          <w:sz w:val="24"/>
          <w:szCs w:val="24"/>
        </w:rPr>
        <w:t xml:space="preserve"> </w:t>
      </w:r>
      <w:r w:rsidRPr="0057331F">
        <w:rPr>
          <w:rFonts w:asciiTheme="minorHAnsi" w:hAnsiTheme="minorHAnsi" w:cstheme="minorHAnsi"/>
          <w:sz w:val="24"/>
          <w:szCs w:val="24"/>
        </w:rPr>
        <w:t xml:space="preserve">Zlepšení přístupu k </w:t>
      </w:r>
      <w:r w:rsidRPr="00DD04E7">
        <w:rPr>
          <w:rFonts w:asciiTheme="minorHAnsi" w:hAnsiTheme="minorHAnsi" w:cstheme="minorHAnsi"/>
          <w:sz w:val="24"/>
          <w:szCs w:val="24"/>
        </w:rPr>
        <w:t xml:space="preserve">informačním a komunikačním technologiím (IKT), jejich využití a kvality definovaném v nařízení č. xxxx/2013 s cílem přispět k naplnění odpovídající investiční priority definované v nařízení č. xxxx/2013. </w:t>
      </w:r>
    </w:p>
    <w:p w:rsidR="0057331F" w:rsidRPr="00DD04E7" w:rsidRDefault="0057331F" w:rsidP="0057331F">
      <w:pPr>
        <w:overflowPunct/>
        <w:jc w:val="both"/>
        <w:textAlignment w:val="auto"/>
        <w:rPr>
          <w:rFonts w:asciiTheme="minorHAnsi" w:hAnsiTheme="minorHAnsi" w:cstheme="minorHAnsi"/>
          <w:sz w:val="24"/>
          <w:szCs w:val="24"/>
        </w:rPr>
      </w:pPr>
    </w:p>
    <w:p w:rsidR="0057331F" w:rsidRPr="003A22CC" w:rsidRDefault="0057331F" w:rsidP="003A22CC">
      <w:pPr>
        <w:pStyle w:val="TextNOK"/>
        <w:spacing w:before="60" w:line="240" w:lineRule="auto"/>
        <w:rPr>
          <w:rFonts w:ascii="Times New Roman" w:hAnsi="Times New Roman"/>
          <w:b/>
          <w:sz w:val="24"/>
          <w:szCs w:val="24"/>
        </w:rPr>
      </w:pPr>
      <w:r w:rsidRPr="00DD04E7">
        <w:rPr>
          <w:rFonts w:ascii="Times New Roman" w:hAnsi="Times New Roman"/>
          <w:b/>
          <w:sz w:val="24"/>
          <w:szCs w:val="24"/>
        </w:rPr>
        <w:t>Tabulka xx: Seznam všech indi</w:t>
      </w:r>
      <w:r w:rsidRPr="008A50E3">
        <w:rPr>
          <w:rFonts w:ascii="Times New Roman" w:hAnsi="Times New Roman"/>
          <w:b/>
          <w:sz w:val="24"/>
          <w:szCs w:val="24"/>
        </w:rPr>
        <w:t>kátorů programu</w:t>
      </w:r>
      <w:r w:rsidR="003A22CC">
        <w:rPr>
          <w:rFonts w:ascii="Times New Roman" w:hAnsi="Times New Roman"/>
          <w:b/>
          <w:sz w:val="24"/>
          <w:szCs w:val="24"/>
        </w:rPr>
        <w:t xml:space="preserve"> </w:t>
      </w:r>
    </w:p>
    <w:tbl>
      <w:tblPr>
        <w:tblW w:w="10987"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1417"/>
        <w:gridCol w:w="992"/>
        <w:gridCol w:w="992"/>
        <w:gridCol w:w="992"/>
        <w:gridCol w:w="1134"/>
        <w:gridCol w:w="851"/>
        <w:gridCol w:w="815"/>
      </w:tblGrid>
      <w:tr w:rsidR="003A22CC" w:rsidRPr="009A0366" w:rsidTr="00641EA3">
        <w:tc>
          <w:tcPr>
            <w:tcW w:w="1101" w:type="dxa"/>
            <w:vMerge w:val="restart"/>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Specifický cíl </w:t>
            </w:r>
          </w:p>
        </w:tc>
        <w:tc>
          <w:tcPr>
            <w:tcW w:w="1134" w:type="dxa"/>
            <w:vMerge w:val="restart"/>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4110" w:type="dxa"/>
            <w:gridSpan w:val="4"/>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992" w:type="dxa"/>
            <w:vMerge w:val="restart"/>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815" w:type="dxa"/>
            <w:vMerge w:val="restart"/>
            <w:shd w:val="clear" w:color="auto" w:fill="auto"/>
          </w:tcPr>
          <w:p w:rsidR="003A22CC" w:rsidRPr="009A0366" w:rsidRDefault="003A22CC" w:rsidP="003A22CC">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3A22CC" w:rsidRPr="009A0366" w:rsidTr="00641EA3">
        <w:tc>
          <w:tcPr>
            <w:tcW w:w="1101" w:type="dxa"/>
            <w:vMerge/>
            <w:shd w:val="clear" w:color="auto" w:fill="auto"/>
          </w:tcPr>
          <w:p w:rsidR="003A22CC" w:rsidRPr="009A0366" w:rsidRDefault="003A22CC" w:rsidP="003A22CC">
            <w:pPr>
              <w:pStyle w:val="TextMetodika"/>
              <w:jc w:val="center"/>
              <w:rPr>
                <w:rFonts w:ascii="Times New Roman" w:hAnsi="Times New Roman"/>
                <w:b/>
                <w:bCs/>
                <w:sz w:val="22"/>
                <w:szCs w:val="22"/>
              </w:rPr>
            </w:pPr>
          </w:p>
        </w:tc>
        <w:tc>
          <w:tcPr>
            <w:tcW w:w="850" w:type="dxa"/>
            <w:vMerge/>
            <w:shd w:val="clear" w:color="auto" w:fill="auto"/>
          </w:tcPr>
          <w:p w:rsidR="003A22CC" w:rsidRPr="009A0366" w:rsidRDefault="003A22CC" w:rsidP="003A22CC">
            <w:pPr>
              <w:pStyle w:val="TextMetodika"/>
              <w:jc w:val="center"/>
              <w:rPr>
                <w:rFonts w:ascii="Times New Roman" w:hAnsi="Times New Roman"/>
                <w:b/>
                <w:bCs/>
                <w:sz w:val="22"/>
                <w:szCs w:val="22"/>
              </w:rPr>
            </w:pPr>
          </w:p>
        </w:tc>
        <w:tc>
          <w:tcPr>
            <w:tcW w:w="1134" w:type="dxa"/>
            <w:vMerge/>
            <w:shd w:val="clear" w:color="auto" w:fill="auto"/>
          </w:tcPr>
          <w:p w:rsidR="003A22CC" w:rsidRPr="009A0366" w:rsidRDefault="003A22CC" w:rsidP="003A22CC">
            <w:pPr>
              <w:pStyle w:val="TextMetodika"/>
              <w:jc w:val="center"/>
              <w:rPr>
                <w:rFonts w:ascii="Times New Roman" w:hAnsi="Times New Roman"/>
                <w:b/>
                <w:bCs/>
                <w:sz w:val="22"/>
                <w:szCs w:val="22"/>
              </w:rPr>
            </w:pPr>
          </w:p>
        </w:tc>
        <w:tc>
          <w:tcPr>
            <w:tcW w:w="709" w:type="dxa"/>
            <w:shd w:val="clear" w:color="auto" w:fill="auto"/>
          </w:tcPr>
          <w:p w:rsidR="003A22CC" w:rsidRPr="009A0366" w:rsidRDefault="003A22CC" w:rsidP="003A22CC">
            <w:pPr>
              <w:pStyle w:val="TextMetodika"/>
              <w:jc w:val="center"/>
              <w:rPr>
                <w:rFonts w:ascii="Times New Roman" w:hAnsi="Times New Roman"/>
                <w:b/>
                <w:bCs/>
                <w:sz w:val="22"/>
                <w:szCs w:val="22"/>
              </w:rPr>
            </w:pPr>
            <w:r w:rsidRPr="009A0366">
              <w:rPr>
                <w:rFonts w:ascii="Times New Roman" w:hAnsi="Times New Roman"/>
                <w:b/>
                <w:bCs/>
                <w:sz w:val="22"/>
                <w:szCs w:val="22"/>
              </w:rPr>
              <w:t>Kód NČI 2014+</w:t>
            </w:r>
          </w:p>
        </w:tc>
        <w:tc>
          <w:tcPr>
            <w:tcW w:w="1417" w:type="dxa"/>
            <w:shd w:val="clear" w:color="auto" w:fill="auto"/>
          </w:tcPr>
          <w:p w:rsidR="003A22CC" w:rsidRPr="009A0366" w:rsidRDefault="003A22CC" w:rsidP="003A22CC">
            <w:pPr>
              <w:pStyle w:val="TextMetodika"/>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3A22CC" w:rsidRPr="009A0366" w:rsidRDefault="003A22CC" w:rsidP="003A22CC">
            <w:pPr>
              <w:pStyle w:val="TextMetodika"/>
              <w:jc w:val="center"/>
              <w:rPr>
                <w:rFonts w:ascii="Times New Roman" w:hAnsi="Times New Roman"/>
                <w:b/>
                <w:bCs/>
                <w:sz w:val="22"/>
                <w:szCs w:val="22"/>
              </w:rPr>
            </w:pPr>
            <w:r w:rsidRPr="009A0366">
              <w:rPr>
                <w:rFonts w:ascii="Times New Roman" w:hAnsi="Times New Roman"/>
                <w:b/>
                <w:bCs/>
                <w:sz w:val="22"/>
                <w:szCs w:val="22"/>
              </w:rPr>
              <w:t>Měrná jednotka</w:t>
            </w:r>
          </w:p>
        </w:tc>
        <w:tc>
          <w:tcPr>
            <w:tcW w:w="992" w:type="dxa"/>
            <w:shd w:val="clear" w:color="auto" w:fill="auto"/>
          </w:tcPr>
          <w:p w:rsidR="003A22CC" w:rsidRPr="009A0366" w:rsidRDefault="003A22CC" w:rsidP="003A22CC">
            <w:pPr>
              <w:pStyle w:val="TextMetodika"/>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992" w:type="dxa"/>
            <w:vMerge/>
            <w:shd w:val="clear" w:color="auto" w:fill="auto"/>
          </w:tcPr>
          <w:p w:rsidR="003A22CC" w:rsidRPr="009A0366" w:rsidRDefault="003A22CC" w:rsidP="003A22CC">
            <w:pPr>
              <w:pStyle w:val="TextMetodika"/>
              <w:jc w:val="center"/>
              <w:rPr>
                <w:rFonts w:ascii="Times New Roman" w:hAnsi="Times New Roman"/>
                <w:b/>
                <w:bCs/>
                <w:sz w:val="22"/>
                <w:szCs w:val="22"/>
              </w:rPr>
            </w:pPr>
          </w:p>
        </w:tc>
        <w:tc>
          <w:tcPr>
            <w:tcW w:w="1134" w:type="dxa"/>
            <w:vMerge/>
            <w:shd w:val="clear" w:color="auto" w:fill="auto"/>
          </w:tcPr>
          <w:p w:rsidR="003A22CC" w:rsidRPr="009A0366" w:rsidRDefault="003A22CC" w:rsidP="003A22CC">
            <w:pPr>
              <w:pStyle w:val="TextMetodika"/>
              <w:jc w:val="center"/>
              <w:rPr>
                <w:rFonts w:ascii="Times New Roman" w:hAnsi="Times New Roman"/>
                <w:b/>
                <w:bCs/>
                <w:sz w:val="22"/>
                <w:szCs w:val="22"/>
              </w:rPr>
            </w:pPr>
          </w:p>
        </w:tc>
        <w:tc>
          <w:tcPr>
            <w:tcW w:w="851" w:type="dxa"/>
            <w:vMerge/>
            <w:shd w:val="clear" w:color="auto" w:fill="auto"/>
          </w:tcPr>
          <w:p w:rsidR="003A22CC" w:rsidRPr="009A0366" w:rsidRDefault="003A22CC" w:rsidP="003A22CC">
            <w:pPr>
              <w:pStyle w:val="TextMetodika"/>
              <w:jc w:val="center"/>
              <w:rPr>
                <w:rFonts w:ascii="Times New Roman" w:hAnsi="Times New Roman"/>
                <w:b/>
                <w:bCs/>
                <w:sz w:val="22"/>
                <w:szCs w:val="22"/>
              </w:rPr>
            </w:pPr>
          </w:p>
        </w:tc>
        <w:tc>
          <w:tcPr>
            <w:tcW w:w="815" w:type="dxa"/>
            <w:vMerge/>
            <w:shd w:val="clear" w:color="auto" w:fill="auto"/>
          </w:tcPr>
          <w:p w:rsidR="003A22CC" w:rsidRPr="009A0366" w:rsidRDefault="003A22CC" w:rsidP="003A22CC">
            <w:pPr>
              <w:pStyle w:val="TextMetodika"/>
              <w:jc w:val="center"/>
              <w:rPr>
                <w:rFonts w:ascii="Times New Roman" w:hAnsi="Times New Roman"/>
                <w:b/>
                <w:bCs/>
                <w:sz w:val="22"/>
                <w:szCs w:val="22"/>
              </w:rPr>
            </w:pPr>
          </w:p>
        </w:tc>
      </w:tr>
      <w:tr w:rsidR="003A22CC" w:rsidRPr="009A0366" w:rsidTr="00641EA3">
        <w:tc>
          <w:tcPr>
            <w:tcW w:w="1101" w:type="dxa"/>
            <w:shd w:val="clear" w:color="auto" w:fill="auto"/>
          </w:tcPr>
          <w:p w:rsidR="003A22CC" w:rsidRPr="00B47FEC" w:rsidRDefault="003A22CC" w:rsidP="003A22CC">
            <w:pPr>
              <w:pStyle w:val="TextMetodika"/>
              <w:jc w:val="center"/>
              <w:rPr>
                <w:rFonts w:ascii="Times New Roman" w:hAnsi="Times New Roman"/>
                <w:bCs/>
                <w:sz w:val="22"/>
                <w:szCs w:val="22"/>
              </w:rPr>
            </w:pPr>
            <w:r>
              <w:rPr>
                <w:rFonts w:ascii="Times New Roman" w:hAnsi="Times New Roman"/>
                <w:bCs/>
                <w:sz w:val="22"/>
                <w:szCs w:val="22"/>
              </w:rPr>
              <w:t>2a,2b</w:t>
            </w:r>
          </w:p>
        </w:tc>
        <w:tc>
          <w:tcPr>
            <w:tcW w:w="850"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709"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417" w:type="dxa"/>
            <w:shd w:val="clear" w:color="auto" w:fill="auto"/>
          </w:tcPr>
          <w:p w:rsidR="003A22CC" w:rsidRPr="00B47FEC" w:rsidRDefault="003A22CC" w:rsidP="003A22CC">
            <w:pPr>
              <w:pStyle w:val="TextMetodika"/>
              <w:jc w:val="center"/>
              <w:rPr>
                <w:rFonts w:ascii="Times New Roman" w:hAnsi="Times New Roman"/>
                <w:bCs/>
                <w:sz w:val="22"/>
                <w:szCs w:val="22"/>
              </w:rPr>
            </w:pPr>
            <w:r w:rsidRPr="00B47FEC">
              <w:t>Number of enterprises receiving support</w:t>
            </w:r>
          </w:p>
        </w:tc>
        <w:tc>
          <w:tcPr>
            <w:tcW w:w="992" w:type="dxa"/>
            <w:shd w:val="clear" w:color="auto" w:fill="auto"/>
          </w:tcPr>
          <w:p w:rsidR="003A22CC" w:rsidRPr="00B47FEC" w:rsidRDefault="003A22CC" w:rsidP="003A22CC">
            <w:pPr>
              <w:pStyle w:val="TextMetodika"/>
              <w:jc w:val="center"/>
              <w:rPr>
                <w:rFonts w:ascii="Times New Roman" w:hAnsi="Times New Roman"/>
                <w:bCs/>
                <w:sz w:val="22"/>
                <w:szCs w:val="22"/>
              </w:rPr>
            </w:pPr>
            <w:r w:rsidRPr="00B47FEC">
              <w:t>enterprises</w:t>
            </w:r>
          </w:p>
        </w:tc>
        <w:tc>
          <w:tcPr>
            <w:tcW w:w="992" w:type="dxa"/>
            <w:shd w:val="clear" w:color="auto" w:fill="auto"/>
          </w:tcPr>
          <w:p w:rsidR="003A22CC" w:rsidRPr="00B47FEC" w:rsidRDefault="00CF5C63" w:rsidP="003A22CC">
            <w:pPr>
              <w:pStyle w:val="TextMetodika"/>
              <w:jc w:val="center"/>
              <w:rPr>
                <w:rFonts w:ascii="Times New Roman" w:hAnsi="Times New Roman"/>
                <w:bCs/>
                <w:sz w:val="22"/>
                <w:szCs w:val="22"/>
              </w:rPr>
            </w:pPr>
            <w:r w:rsidRPr="00B47FEC">
              <w:rPr>
                <w:rFonts w:ascii="Times New Roman" w:hAnsi="Times New Roman"/>
                <w:bCs/>
                <w:sz w:val="22"/>
                <w:szCs w:val="22"/>
              </w:rPr>
              <w:t>V</w:t>
            </w:r>
            <w:r w:rsidR="003A22CC" w:rsidRPr="00B47FEC">
              <w:rPr>
                <w:rFonts w:ascii="Times New Roman" w:hAnsi="Times New Roman"/>
                <w:bCs/>
                <w:sz w:val="22"/>
                <w:szCs w:val="22"/>
              </w:rPr>
              <w:t>ýstup</w:t>
            </w:r>
            <w:r>
              <w:rPr>
                <w:rFonts w:ascii="Times New Roman" w:hAnsi="Times New Roman"/>
                <w:bCs/>
                <w:sz w:val="22"/>
                <w:szCs w:val="22"/>
              </w:rPr>
              <w:t>*</w:t>
            </w:r>
          </w:p>
        </w:tc>
        <w:tc>
          <w:tcPr>
            <w:tcW w:w="992" w:type="dxa"/>
            <w:shd w:val="clear" w:color="auto" w:fill="auto"/>
          </w:tcPr>
          <w:p w:rsidR="003A22CC" w:rsidRPr="00B47FEC" w:rsidRDefault="003A22CC" w:rsidP="003A22CC">
            <w:pPr>
              <w:pStyle w:val="TextMetodika"/>
              <w:jc w:val="center"/>
              <w:rPr>
                <w:rFonts w:ascii="Times New Roman" w:hAnsi="Times New Roman"/>
                <w:bCs/>
                <w:sz w:val="22"/>
                <w:szCs w:val="22"/>
              </w:rPr>
            </w:pPr>
            <w:r w:rsidRPr="00B47FEC">
              <w:rPr>
                <w:rFonts w:ascii="Times New Roman" w:hAnsi="Times New Roman"/>
                <w:bCs/>
                <w:sz w:val="22"/>
                <w:szCs w:val="22"/>
              </w:rPr>
              <w:t>0</w:t>
            </w: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851" w:type="dxa"/>
            <w:shd w:val="clear" w:color="auto" w:fill="auto"/>
          </w:tcPr>
          <w:p w:rsidR="003A22CC" w:rsidRPr="00B47FEC" w:rsidRDefault="003A22CC" w:rsidP="003A22CC">
            <w:pPr>
              <w:pStyle w:val="TextMetodika"/>
              <w:jc w:val="center"/>
              <w:rPr>
                <w:rFonts w:ascii="Times New Roman" w:hAnsi="Times New Roman"/>
                <w:bCs/>
                <w:sz w:val="22"/>
                <w:szCs w:val="22"/>
              </w:rPr>
            </w:pPr>
            <w:r w:rsidRPr="00B47FEC">
              <w:rPr>
                <w:rFonts w:ascii="Times New Roman" w:hAnsi="Times New Roman"/>
                <w:bCs/>
                <w:sz w:val="22"/>
                <w:szCs w:val="22"/>
              </w:rPr>
              <w:t>IS</w:t>
            </w:r>
          </w:p>
        </w:tc>
        <w:tc>
          <w:tcPr>
            <w:tcW w:w="815" w:type="dxa"/>
            <w:shd w:val="clear" w:color="auto" w:fill="auto"/>
          </w:tcPr>
          <w:p w:rsidR="003A22CC" w:rsidRPr="00B47FEC" w:rsidRDefault="003A22CC" w:rsidP="003A22CC">
            <w:pPr>
              <w:pStyle w:val="TextMetodika"/>
              <w:jc w:val="center"/>
              <w:rPr>
                <w:rFonts w:ascii="Times New Roman" w:hAnsi="Times New Roman"/>
                <w:bCs/>
                <w:sz w:val="22"/>
                <w:szCs w:val="22"/>
              </w:rPr>
            </w:pPr>
          </w:p>
        </w:tc>
      </w:tr>
      <w:tr w:rsidR="003A22CC" w:rsidRPr="009A0366" w:rsidTr="00641EA3">
        <w:tc>
          <w:tcPr>
            <w:tcW w:w="1101" w:type="dxa"/>
            <w:shd w:val="clear" w:color="auto" w:fill="auto"/>
          </w:tcPr>
          <w:p w:rsidR="003A22CC" w:rsidRPr="003A22CC" w:rsidRDefault="003A22CC" w:rsidP="00AE0AB9">
            <w:pPr>
              <w:pStyle w:val="TextMetodika"/>
              <w:keepNext/>
              <w:jc w:val="center"/>
              <w:rPr>
                <w:rFonts w:ascii="Times New Roman" w:hAnsi="Times New Roman"/>
                <w:bCs/>
                <w:sz w:val="22"/>
                <w:szCs w:val="22"/>
              </w:rPr>
            </w:pPr>
            <w:r w:rsidRPr="00A10225">
              <w:rPr>
                <w:rFonts w:ascii="Times New Roman" w:hAnsi="Times New Roman"/>
                <w:bCs/>
                <w:sz w:val="22"/>
                <w:szCs w:val="22"/>
              </w:rPr>
              <w:lastRenderedPageBreak/>
              <w:t>2a,2b</w:t>
            </w:r>
          </w:p>
        </w:tc>
        <w:tc>
          <w:tcPr>
            <w:tcW w:w="850" w:type="dxa"/>
            <w:shd w:val="clear" w:color="auto" w:fill="auto"/>
          </w:tcPr>
          <w:p w:rsidR="003A22CC" w:rsidRPr="00B47FEC" w:rsidRDefault="003A22CC" w:rsidP="00AE0AB9">
            <w:pPr>
              <w:pStyle w:val="TextMetodika"/>
              <w:keepNext/>
              <w:jc w:val="center"/>
              <w:rPr>
                <w:rFonts w:ascii="Times New Roman" w:hAnsi="Times New Roman"/>
                <w:bCs/>
                <w:sz w:val="22"/>
                <w:szCs w:val="22"/>
              </w:rPr>
            </w:pPr>
          </w:p>
        </w:tc>
        <w:tc>
          <w:tcPr>
            <w:tcW w:w="1134" w:type="dxa"/>
            <w:shd w:val="clear" w:color="auto" w:fill="auto"/>
          </w:tcPr>
          <w:p w:rsidR="003A22CC" w:rsidRPr="00B47FEC" w:rsidRDefault="003A22CC" w:rsidP="00AE0AB9">
            <w:pPr>
              <w:pStyle w:val="TextMetodika"/>
              <w:keepNext/>
              <w:jc w:val="center"/>
              <w:rPr>
                <w:rFonts w:ascii="Times New Roman" w:hAnsi="Times New Roman"/>
                <w:bCs/>
                <w:sz w:val="22"/>
                <w:szCs w:val="22"/>
              </w:rPr>
            </w:pPr>
          </w:p>
        </w:tc>
        <w:tc>
          <w:tcPr>
            <w:tcW w:w="709" w:type="dxa"/>
            <w:shd w:val="clear" w:color="auto" w:fill="auto"/>
          </w:tcPr>
          <w:p w:rsidR="003A22CC" w:rsidRPr="00B47FEC" w:rsidRDefault="003A22CC" w:rsidP="00AE0AB9">
            <w:pPr>
              <w:pStyle w:val="TextMetodika"/>
              <w:keepNext/>
              <w:jc w:val="center"/>
              <w:rPr>
                <w:rFonts w:ascii="Times New Roman" w:hAnsi="Times New Roman"/>
                <w:bCs/>
                <w:sz w:val="22"/>
                <w:szCs w:val="22"/>
              </w:rPr>
            </w:pPr>
          </w:p>
        </w:tc>
        <w:tc>
          <w:tcPr>
            <w:tcW w:w="1417" w:type="dxa"/>
            <w:shd w:val="clear" w:color="auto" w:fill="auto"/>
          </w:tcPr>
          <w:p w:rsidR="003A22CC" w:rsidRPr="00B47FEC" w:rsidRDefault="003A22CC" w:rsidP="00AE0AB9">
            <w:pPr>
              <w:pStyle w:val="TextMetodika"/>
              <w:keepNext/>
              <w:jc w:val="center"/>
            </w:pPr>
            <w:r w:rsidRPr="00B47FEC">
              <w:t>Number of enterprises receiving grants</w:t>
            </w:r>
          </w:p>
        </w:tc>
        <w:tc>
          <w:tcPr>
            <w:tcW w:w="992" w:type="dxa"/>
            <w:shd w:val="clear" w:color="auto" w:fill="auto"/>
          </w:tcPr>
          <w:p w:rsidR="003A22CC" w:rsidRPr="00B47FEC" w:rsidRDefault="003A22CC" w:rsidP="00AE0AB9">
            <w:pPr>
              <w:pStyle w:val="TextMetodika"/>
              <w:keepNext/>
              <w:jc w:val="center"/>
            </w:pPr>
            <w:r w:rsidRPr="00B47FEC">
              <w:t>enterprises</w:t>
            </w:r>
          </w:p>
        </w:tc>
        <w:tc>
          <w:tcPr>
            <w:tcW w:w="992" w:type="dxa"/>
            <w:shd w:val="clear" w:color="auto" w:fill="auto"/>
          </w:tcPr>
          <w:p w:rsidR="003A22CC" w:rsidRPr="00B47FEC" w:rsidRDefault="003A22CC" w:rsidP="00AE0AB9">
            <w:pPr>
              <w:pStyle w:val="TextMetodika"/>
              <w:keepNext/>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3A22CC" w:rsidRPr="00B47FEC" w:rsidRDefault="003A22CC" w:rsidP="00AE0AB9">
            <w:pPr>
              <w:pStyle w:val="TextMetodika"/>
              <w:keepNext/>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3A22CC" w:rsidRPr="00B47FEC" w:rsidRDefault="003A22CC" w:rsidP="00AE0AB9">
            <w:pPr>
              <w:pStyle w:val="TextMetodika"/>
              <w:keepNext/>
              <w:jc w:val="center"/>
              <w:rPr>
                <w:rFonts w:ascii="Times New Roman" w:hAnsi="Times New Roman"/>
                <w:bCs/>
                <w:sz w:val="22"/>
                <w:szCs w:val="22"/>
              </w:rPr>
            </w:pPr>
          </w:p>
        </w:tc>
        <w:tc>
          <w:tcPr>
            <w:tcW w:w="851" w:type="dxa"/>
            <w:shd w:val="clear" w:color="auto" w:fill="auto"/>
          </w:tcPr>
          <w:p w:rsidR="003A22CC" w:rsidRPr="00B47FEC" w:rsidRDefault="003A22CC" w:rsidP="00AE0AB9">
            <w:pPr>
              <w:pStyle w:val="TextMetodika"/>
              <w:keepNext/>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3A22CC" w:rsidRPr="00B47FEC" w:rsidRDefault="003A22CC" w:rsidP="00AE0AB9">
            <w:pPr>
              <w:pStyle w:val="TextMetodika"/>
              <w:keepNext/>
              <w:jc w:val="center"/>
              <w:rPr>
                <w:rFonts w:ascii="Times New Roman" w:hAnsi="Times New Roman"/>
                <w:bCs/>
                <w:sz w:val="22"/>
                <w:szCs w:val="22"/>
              </w:rPr>
            </w:pPr>
          </w:p>
        </w:tc>
      </w:tr>
      <w:tr w:rsidR="003A22CC" w:rsidRPr="009A0366" w:rsidTr="00641EA3">
        <w:tc>
          <w:tcPr>
            <w:tcW w:w="1101" w:type="dxa"/>
            <w:shd w:val="clear" w:color="auto" w:fill="auto"/>
          </w:tcPr>
          <w:p w:rsidR="003A22CC" w:rsidRPr="003A22CC" w:rsidRDefault="003A22CC" w:rsidP="003A22CC">
            <w:pPr>
              <w:pStyle w:val="TextMetodika"/>
              <w:jc w:val="center"/>
              <w:rPr>
                <w:rFonts w:ascii="Times New Roman" w:hAnsi="Times New Roman"/>
                <w:bCs/>
                <w:sz w:val="22"/>
                <w:szCs w:val="22"/>
              </w:rPr>
            </w:pPr>
            <w:r w:rsidRPr="00A10225">
              <w:rPr>
                <w:rFonts w:ascii="Times New Roman" w:hAnsi="Times New Roman"/>
                <w:bCs/>
                <w:sz w:val="22"/>
                <w:szCs w:val="22"/>
              </w:rPr>
              <w:t>2a,2b</w:t>
            </w:r>
          </w:p>
        </w:tc>
        <w:tc>
          <w:tcPr>
            <w:tcW w:w="850"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709"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417" w:type="dxa"/>
            <w:shd w:val="clear" w:color="auto" w:fill="auto"/>
          </w:tcPr>
          <w:p w:rsidR="003A22CC" w:rsidRPr="00B47FEC" w:rsidRDefault="003A22CC" w:rsidP="003A22CC">
            <w:pPr>
              <w:pStyle w:val="TextMetodika"/>
              <w:jc w:val="center"/>
            </w:pPr>
            <w:r w:rsidRPr="001F5E1A">
              <w:t>Number of enterprises receiving financial support other than grants</w:t>
            </w:r>
          </w:p>
        </w:tc>
        <w:tc>
          <w:tcPr>
            <w:tcW w:w="992" w:type="dxa"/>
            <w:shd w:val="clear" w:color="auto" w:fill="auto"/>
          </w:tcPr>
          <w:p w:rsidR="003A22CC" w:rsidRPr="00B47FEC" w:rsidRDefault="003A22CC" w:rsidP="003A22CC">
            <w:pPr>
              <w:pStyle w:val="TextMetodika"/>
              <w:jc w:val="center"/>
            </w:pPr>
            <w:r w:rsidRPr="00B47FEC">
              <w:t>enterprises</w:t>
            </w:r>
          </w:p>
        </w:tc>
        <w:tc>
          <w:tcPr>
            <w:tcW w:w="992" w:type="dxa"/>
            <w:shd w:val="clear" w:color="auto" w:fill="auto"/>
          </w:tcPr>
          <w:p w:rsidR="003A22CC" w:rsidRPr="00B47FEC" w:rsidRDefault="003A22CC" w:rsidP="003A22CC">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3A22CC" w:rsidRPr="00B47FEC" w:rsidRDefault="003A22CC" w:rsidP="003A22CC">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851" w:type="dxa"/>
            <w:shd w:val="clear" w:color="auto" w:fill="auto"/>
          </w:tcPr>
          <w:p w:rsidR="003A22CC" w:rsidRPr="00B47FEC" w:rsidRDefault="003A22CC" w:rsidP="003A22CC">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3A22CC" w:rsidRPr="00B47FEC" w:rsidRDefault="003A22CC" w:rsidP="003A22CC">
            <w:pPr>
              <w:pStyle w:val="TextMetodika"/>
              <w:jc w:val="center"/>
              <w:rPr>
                <w:rFonts w:ascii="Times New Roman" w:hAnsi="Times New Roman"/>
                <w:bCs/>
                <w:sz w:val="22"/>
                <w:szCs w:val="22"/>
              </w:rPr>
            </w:pPr>
          </w:p>
        </w:tc>
      </w:tr>
      <w:tr w:rsidR="003A22CC" w:rsidRPr="009A0366" w:rsidTr="00641EA3">
        <w:tc>
          <w:tcPr>
            <w:tcW w:w="1101" w:type="dxa"/>
            <w:shd w:val="clear" w:color="auto" w:fill="auto"/>
          </w:tcPr>
          <w:p w:rsidR="003A22CC" w:rsidRPr="003A22CC" w:rsidRDefault="003A22CC" w:rsidP="003A22CC">
            <w:pPr>
              <w:pStyle w:val="TextMetodika"/>
              <w:jc w:val="center"/>
              <w:rPr>
                <w:rFonts w:ascii="Times New Roman" w:hAnsi="Times New Roman"/>
                <w:bCs/>
                <w:sz w:val="22"/>
                <w:szCs w:val="22"/>
              </w:rPr>
            </w:pPr>
            <w:r w:rsidRPr="00A10225">
              <w:rPr>
                <w:rFonts w:ascii="Times New Roman" w:hAnsi="Times New Roman"/>
                <w:bCs/>
                <w:sz w:val="22"/>
                <w:szCs w:val="22"/>
              </w:rPr>
              <w:t>2a,2b</w:t>
            </w:r>
          </w:p>
        </w:tc>
        <w:tc>
          <w:tcPr>
            <w:tcW w:w="850"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709"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417" w:type="dxa"/>
            <w:shd w:val="clear" w:color="auto" w:fill="auto"/>
          </w:tcPr>
          <w:p w:rsidR="003A22CC" w:rsidRPr="001F5E1A" w:rsidRDefault="003A22CC" w:rsidP="003A22CC">
            <w:pPr>
              <w:pStyle w:val="TextMetodika"/>
              <w:jc w:val="center"/>
            </w:pPr>
            <w:r w:rsidRPr="007003FB">
              <w:t>Number of enterprises receiving non-financial support</w:t>
            </w:r>
            <w:r w:rsidR="00FC1CF8">
              <w:t>**</w:t>
            </w:r>
          </w:p>
        </w:tc>
        <w:tc>
          <w:tcPr>
            <w:tcW w:w="992" w:type="dxa"/>
            <w:shd w:val="clear" w:color="auto" w:fill="auto"/>
          </w:tcPr>
          <w:p w:rsidR="003A22CC" w:rsidRPr="00B47FEC" w:rsidRDefault="003A22CC" w:rsidP="003A22CC">
            <w:pPr>
              <w:pStyle w:val="TextMetodika"/>
              <w:jc w:val="center"/>
            </w:pPr>
            <w:r w:rsidRPr="00B47FEC">
              <w:t>enterprises</w:t>
            </w:r>
          </w:p>
        </w:tc>
        <w:tc>
          <w:tcPr>
            <w:tcW w:w="992" w:type="dxa"/>
            <w:shd w:val="clear" w:color="auto" w:fill="auto"/>
          </w:tcPr>
          <w:p w:rsidR="003A22CC" w:rsidRPr="00B47FEC" w:rsidRDefault="003A22CC" w:rsidP="003A22CC">
            <w:pPr>
              <w:pStyle w:val="TextMetodika"/>
              <w:jc w:val="center"/>
              <w:rPr>
                <w:rFonts w:ascii="Times New Roman" w:hAnsi="Times New Roman"/>
                <w:bCs/>
                <w:sz w:val="22"/>
                <w:szCs w:val="22"/>
              </w:rPr>
            </w:pPr>
            <w:r>
              <w:rPr>
                <w:rFonts w:ascii="Times New Roman" w:hAnsi="Times New Roman"/>
                <w:bCs/>
                <w:sz w:val="22"/>
                <w:szCs w:val="22"/>
              </w:rPr>
              <w:t>výstup</w:t>
            </w:r>
          </w:p>
        </w:tc>
        <w:tc>
          <w:tcPr>
            <w:tcW w:w="992" w:type="dxa"/>
            <w:shd w:val="clear" w:color="auto" w:fill="auto"/>
          </w:tcPr>
          <w:p w:rsidR="003A22CC" w:rsidRPr="00B47FEC" w:rsidRDefault="003A22CC" w:rsidP="003A22CC">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851" w:type="dxa"/>
            <w:shd w:val="clear" w:color="auto" w:fill="auto"/>
          </w:tcPr>
          <w:p w:rsidR="003A22CC" w:rsidRPr="00B47FEC" w:rsidRDefault="003A22CC" w:rsidP="003A22CC">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3A22CC" w:rsidRPr="00B47FEC" w:rsidRDefault="003A22CC" w:rsidP="003A22CC">
            <w:pPr>
              <w:pStyle w:val="TextMetodika"/>
              <w:jc w:val="center"/>
              <w:rPr>
                <w:rFonts w:ascii="Times New Roman" w:hAnsi="Times New Roman"/>
                <w:bCs/>
                <w:sz w:val="22"/>
                <w:szCs w:val="22"/>
              </w:rPr>
            </w:pPr>
          </w:p>
        </w:tc>
      </w:tr>
      <w:tr w:rsidR="003A22CC" w:rsidRPr="009A0366" w:rsidTr="00641EA3">
        <w:tc>
          <w:tcPr>
            <w:tcW w:w="1101" w:type="dxa"/>
            <w:shd w:val="clear" w:color="auto" w:fill="auto"/>
          </w:tcPr>
          <w:p w:rsidR="003A22CC" w:rsidRPr="003A22CC" w:rsidRDefault="003A22CC" w:rsidP="003A22CC">
            <w:pPr>
              <w:pStyle w:val="TextMetodika"/>
              <w:jc w:val="center"/>
              <w:rPr>
                <w:rFonts w:ascii="Times New Roman" w:hAnsi="Times New Roman"/>
                <w:bCs/>
                <w:sz w:val="22"/>
                <w:szCs w:val="22"/>
              </w:rPr>
            </w:pPr>
            <w:r w:rsidRPr="00A10225">
              <w:rPr>
                <w:rFonts w:ascii="Times New Roman" w:hAnsi="Times New Roman"/>
                <w:bCs/>
                <w:sz w:val="22"/>
                <w:szCs w:val="22"/>
              </w:rPr>
              <w:t>2a,2b</w:t>
            </w:r>
          </w:p>
        </w:tc>
        <w:tc>
          <w:tcPr>
            <w:tcW w:w="850"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709"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417" w:type="dxa"/>
            <w:shd w:val="clear" w:color="auto" w:fill="auto"/>
          </w:tcPr>
          <w:p w:rsidR="003A22CC" w:rsidRPr="001F5E1A" w:rsidRDefault="003A22CC" w:rsidP="003A22CC">
            <w:pPr>
              <w:pStyle w:val="TextMetodika"/>
              <w:jc w:val="center"/>
            </w:pPr>
            <w:r w:rsidRPr="007003FB">
              <w:t>Private investment matching public support to enterprises (grants)</w:t>
            </w:r>
          </w:p>
        </w:tc>
        <w:tc>
          <w:tcPr>
            <w:tcW w:w="992" w:type="dxa"/>
            <w:shd w:val="clear" w:color="auto" w:fill="auto"/>
          </w:tcPr>
          <w:p w:rsidR="003A22CC" w:rsidRPr="00B47FEC" w:rsidRDefault="003A22CC" w:rsidP="003A22CC">
            <w:pPr>
              <w:pStyle w:val="TextMetodika"/>
              <w:jc w:val="center"/>
            </w:pPr>
            <w:r>
              <w:t>EUR</w:t>
            </w:r>
          </w:p>
        </w:tc>
        <w:tc>
          <w:tcPr>
            <w:tcW w:w="992" w:type="dxa"/>
            <w:shd w:val="clear" w:color="auto" w:fill="auto"/>
          </w:tcPr>
          <w:p w:rsidR="003A22CC" w:rsidRDefault="00FC1CF8" w:rsidP="003A22CC">
            <w:pPr>
              <w:pStyle w:val="TextMetodika"/>
              <w:jc w:val="center"/>
              <w:rPr>
                <w:rFonts w:ascii="Times New Roman" w:hAnsi="Times New Roman"/>
                <w:bCs/>
                <w:sz w:val="22"/>
                <w:szCs w:val="22"/>
              </w:rPr>
            </w:pPr>
            <w:r>
              <w:rPr>
                <w:rFonts w:ascii="Times New Roman" w:hAnsi="Times New Roman"/>
                <w:bCs/>
                <w:sz w:val="22"/>
                <w:szCs w:val="22"/>
              </w:rPr>
              <w:t>V</w:t>
            </w:r>
            <w:r w:rsidR="003A22CC">
              <w:rPr>
                <w:rFonts w:ascii="Times New Roman" w:hAnsi="Times New Roman"/>
                <w:bCs/>
                <w:sz w:val="22"/>
                <w:szCs w:val="22"/>
              </w:rPr>
              <w:t>stup</w:t>
            </w:r>
          </w:p>
        </w:tc>
        <w:tc>
          <w:tcPr>
            <w:tcW w:w="992"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851"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3A22CC" w:rsidRPr="00B47FEC" w:rsidRDefault="003A22CC" w:rsidP="003A22CC">
            <w:pPr>
              <w:pStyle w:val="TextMetodika"/>
              <w:jc w:val="center"/>
              <w:rPr>
                <w:rFonts w:ascii="Times New Roman" w:hAnsi="Times New Roman"/>
                <w:bCs/>
                <w:sz w:val="22"/>
                <w:szCs w:val="22"/>
              </w:rPr>
            </w:pPr>
          </w:p>
        </w:tc>
      </w:tr>
      <w:tr w:rsidR="003A22CC" w:rsidRPr="009A0366" w:rsidTr="00641EA3">
        <w:tc>
          <w:tcPr>
            <w:tcW w:w="1101" w:type="dxa"/>
            <w:shd w:val="clear" w:color="auto" w:fill="auto"/>
          </w:tcPr>
          <w:p w:rsidR="003A22CC" w:rsidRPr="003A22CC" w:rsidRDefault="003A22CC" w:rsidP="003A22CC">
            <w:pPr>
              <w:pStyle w:val="TextMetodika"/>
              <w:jc w:val="center"/>
              <w:rPr>
                <w:rFonts w:ascii="Times New Roman" w:hAnsi="Times New Roman"/>
                <w:bCs/>
                <w:sz w:val="22"/>
                <w:szCs w:val="22"/>
              </w:rPr>
            </w:pPr>
            <w:r w:rsidRPr="00A10225">
              <w:rPr>
                <w:rFonts w:ascii="Times New Roman" w:hAnsi="Times New Roman"/>
                <w:bCs/>
                <w:sz w:val="22"/>
                <w:szCs w:val="22"/>
              </w:rPr>
              <w:t>2a,2b</w:t>
            </w:r>
          </w:p>
        </w:tc>
        <w:tc>
          <w:tcPr>
            <w:tcW w:w="850"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709"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417" w:type="dxa"/>
            <w:shd w:val="clear" w:color="auto" w:fill="auto"/>
          </w:tcPr>
          <w:p w:rsidR="003A22CC" w:rsidRPr="001F5E1A" w:rsidRDefault="003A22CC" w:rsidP="003A22CC">
            <w:pPr>
              <w:pStyle w:val="TextMetodika"/>
              <w:jc w:val="center"/>
            </w:pPr>
            <w:r w:rsidRPr="007003FB">
              <w:t>Private investment matching public support to enterprises (non-grants)</w:t>
            </w:r>
          </w:p>
        </w:tc>
        <w:tc>
          <w:tcPr>
            <w:tcW w:w="992" w:type="dxa"/>
            <w:shd w:val="clear" w:color="auto" w:fill="auto"/>
          </w:tcPr>
          <w:p w:rsidR="003A22CC" w:rsidRPr="00B47FEC" w:rsidRDefault="003A22CC" w:rsidP="003A22CC">
            <w:pPr>
              <w:pStyle w:val="TextMetodika"/>
              <w:jc w:val="center"/>
            </w:pPr>
            <w:r>
              <w:t>EUR</w:t>
            </w:r>
          </w:p>
        </w:tc>
        <w:tc>
          <w:tcPr>
            <w:tcW w:w="992"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vstup</w:t>
            </w:r>
          </w:p>
        </w:tc>
        <w:tc>
          <w:tcPr>
            <w:tcW w:w="992"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851"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3A22CC" w:rsidRPr="00B47FEC" w:rsidRDefault="003A22CC" w:rsidP="003A22CC">
            <w:pPr>
              <w:pStyle w:val="TextMetodika"/>
              <w:jc w:val="center"/>
              <w:rPr>
                <w:rFonts w:ascii="Times New Roman" w:hAnsi="Times New Roman"/>
                <w:bCs/>
                <w:sz w:val="22"/>
                <w:szCs w:val="22"/>
              </w:rPr>
            </w:pPr>
          </w:p>
        </w:tc>
      </w:tr>
      <w:tr w:rsidR="003A22CC" w:rsidRPr="009A0366" w:rsidTr="00641EA3">
        <w:tc>
          <w:tcPr>
            <w:tcW w:w="1101" w:type="dxa"/>
            <w:shd w:val="clear" w:color="auto" w:fill="auto"/>
          </w:tcPr>
          <w:p w:rsidR="003A22CC" w:rsidRPr="003A22CC" w:rsidRDefault="003A22CC" w:rsidP="003A22CC">
            <w:pPr>
              <w:pStyle w:val="TextMetodika"/>
              <w:jc w:val="center"/>
              <w:rPr>
                <w:rFonts w:ascii="Times New Roman" w:hAnsi="Times New Roman"/>
                <w:bCs/>
                <w:sz w:val="22"/>
                <w:szCs w:val="22"/>
              </w:rPr>
            </w:pPr>
            <w:r w:rsidRPr="00A10225">
              <w:rPr>
                <w:rFonts w:ascii="Times New Roman" w:hAnsi="Times New Roman"/>
                <w:bCs/>
                <w:sz w:val="22"/>
                <w:szCs w:val="22"/>
              </w:rPr>
              <w:t>2a,2b</w:t>
            </w:r>
          </w:p>
        </w:tc>
        <w:tc>
          <w:tcPr>
            <w:tcW w:w="850"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709"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1417" w:type="dxa"/>
            <w:shd w:val="clear" w:color="auto" w:fill="auto"/>
          </w:tcPr>
          <w:p w:rsidR="003A22CC" w:rsidRPr="007003FB" w:rsidRDefault="003A22CC" w:rsidP="003A22CC">
            <w:pPr>
              <w:pStyle w:val="TextMetodika"/>
              <w:jc w:val="center"/>
            </w:pPr>
            <w:r w:rsidRPr="007003FB">
              <w:t>Employment increase in supported enterprises</w:t>
            </w:r>
            <w:r w:rsidR="00CF5C63">
              <w:t>***</w:t>
            </w:r>
          </w:p>
        </w:tc>
        <w:tc>
          <w:tcPr>
            <w:tcW w:w="992" w:type="dxa"/>
            <w:shd w:val="clear" w:color="auto" w:fill="auto"/>
          </w:tcPr>
          <w:p w:rsidR="003A22CC" w:rsidRDefault="003A22CC" w:rsidP="003A22CC">
            <w:pPr>
              <w:pStyle w:val="TextMetodika"/>
              <w:jc w:val="center"/>
            </w:pPr>
            <w:r w:rsidRPr="007003FB">
              <w:t>FTE</w:t>
            </w:r>
          </w:p>
        </w:tc>
        <w:tc>
          <w:tcPr>
            <w:tcW w:w="992"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3A22CC" w:rsidRPr="00B47FEC" w:rsidRDefault="003A22CC" w:rsidP="003A22CC">
            <w:pPr>
              <w:pStyle w:val="TextMetodika"/>
              <w:jc w:val="center"/>
              <w:rPr>
                <w:rFonts w:ascii="Times New Roman" w:hAnsi="Times New Roman"/>
                <w:bCs/>
                <w:sz w:val="22"/>
                <w:szCs w:val="22"/>
              </w:rPr>
            </w:pPr>
          </w:p>
        </w:tc>
        <w:tc>
          <w:tcPr>
            <w:tcW w:w="851" w:type="dxa"/>
            <w:shd w:val="clear" w:color="auto" w:fill="auto"/>
          </w:tcPr>
          <w:p w:rsidR="003A22CC" w:rsidRDefault="003A22CC" w:rsidP="003A22CC">
            <w:pPr>
              <w:pStyle w:val="TextMetodika"/>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3A22CC" w:rsidRPr="00B47FEC" w:rsidRDefault="003A22CC" w:rsidP="003A22CC">
            <w:pPr>
              <w:pStyle w:val="TextMetodika"/>
              <w:jc w:val="center"/>
              <w:rPr>
                <w:rFonts w:ascii="Times New Roman" w:hAnsi="Times New Roman"/>
                <w:bCs/>
                <w:sz w:val="22"/>
                <w:szCs w:val="22"/>
              </w:rPr>
            </w:pPr>
          </w:p>
        </w:tc>
      </w:tr>
      <w:tr w:rsidR="00B576FD" w:rsidRPr="009A0366" w:rsidTr="00641EA3">
        <w:tc>
          <w:tcPr>
            <w:tcW w:w="1101" w:type="dxa"/>
            <w:shd w:val="clear" w:color="auto" w:fill="auto"/>
          </w:tcPr>
          <w:p w:rsidR="00B576FD" w:rsidRPr="00A10225" w:rsidRDefault="00B576FD" w:rsidP="00AE0AB9">
            <w:pPr>
              <w:pStyle w:val="TextMetodika"/>
              <w:keepNext/>
              <w:jc w:val="center"/>
              <w:rPr>
                <w:rFonts w:ascii="Times New Roman" w:hAnsi="Times New Roman"/>
                <w:bCs/>
                <w:sz w:val="22"/>
                <w:szCs w:val="22"/>
              </w:rPr>
            </w:pPr>
            <w:r>
              <w:rPr>
                <w:rFonts w:ascii="Times New Roman" w:hAnsi="Times New Roman"/>
                <w:bCs/>
                <w:sz w:val="22"/>
                <w:szCs w:val="22"/>
              </w:rPr>
              <w:lastRenderedPageBreak/>
              <w:t>2a</w:t>
            </w:r>
          </w:p>
        </w:tc>
        <w:tc>
          <w:tcPr>
            <w:tcW w:w="850" w:type="dxa"/>
            <w:shd w:val="clear" w:color="auto" w:fill="auto"/>
          </w:tcPr>
          <w:p w:rsidR="00B576FD" w:rsidRPr="00B47FEC" w:rsidRDefault="00B576FD" w:rsidP="00AE0AB9">
            <w:pPr>
              <w:pStyle w:val="TextMetodika"/>
              <w:keepNext/>
              <w:jc w:val="center"/>
              <w:rPr>
                <w:rFonts w:ascii="Times New Roman" w:hAnsi="Times New Roman"/>
                <w:bCs/>
                <w:sz w:val="22"/>
                <w:szCs w:val="22"/>
              </w:rPr>
            </w:pPr>
          </w:p>
        </w:tc>
        <w:tc>
          <w:tcPr>
            <w:tcW w:w="1134" w:type="dxa"/>
            <w:shd w:val="clear" w:color="auto" w:fill="auto"/>
          </w:tcPr>
          <w:p w:rsidR="00B576FD" w:rsidRPr="00B47FEC" w:rsidRDefault="00B576FD" w:rsidP="00AE0AB9">
            <w:pPr>
              <w:pStyle w:val="TextMetodika"/>
              <w:keepNext/>
              <w:jc w:val="center"/>
              <w:rPr>
                <w:rFonts w:ascii="Times New Roman" w:hAnsi="Times New Roman"/>
                <w:bCs/>
                <w:sz w:val="22"/>
                <w:szCs w:val="22"/>
              </w:rPr>
            </w:pPr>
          </w:p>
        </w:tc>
        <w:tc>
          <w:tcPr>
            <w:tcW w:w="709" w:type="dxa"/>
            <w:shd w:val="clear" w:color="auto" w:fill="auto"/>
          </w:tcPr>
          <w:p w:rsidR="00B576FD" w:rsidRPr="00B47FEC" w:rsidRDefault="00B576FD" w:rsidP="00AE0AB9">
            <w:pPr>
              <w:pStyle w:val="TextMetodika"/>
              <w:keepNext/>
              <w:jc w:val="center"/>
              <w:rPr>
                <w:rFonts w:ascii="Times New Roman" w:hAnsi="Times New Roman"/>
                <w:bCs/>
                <w:sz w:val="22"/>
                <w:szCs w:val="22"/>
              </w:rPr>
            </w:pPr>
          </w:p>
        </w:tc>
        <w:tc>
          <w:tcPr>
            <w:tcW w:w="1417" w:type="dxa"/>
            <w:shd w:val="clear" w:color="auto" w:fill="auto"/>
          </w:tcPr>
          <w:p w:rsidR="00B576FD" w:rsidRPr="007003FB" w:rsidRDefault="00B576FD" w:rsidP="00AE0AB9">
            <w:pPr>
              <w:pStyle w:val="TextMetodika"/>
              <w:keepNext/>
              <w:jc w:val="center"/>
            </w:pPr>
            <w:r w:rsidRPr="007003FB">
              <w:t>Additional households with broadband access of at least 30 Mbps</w:t>
            </w:r>
          </w:p>
        </w:tc>
        <w:tc>
          <w:tcPr>
            <w:tcW w:w="992" w:type="dxa"/>
            <w:shd w:val="clear" w:color="auto" w:fill="auto"/>
          </w:tcPr>
          <w:p w:rsidR="00B576FD" w:rsidRPr="007003FB" w:rsidRDefault="00B576FD" w:rsidP="00AE0AB9">
            <w:pPr>
              <w:pStyle w:val="TextMetodika"/>
              <w:keepNext/>
              <w:jc w:val="center"/>
            </w:pPr>
            <w:r w:rsidRPr="007003FB">
              <w:t>households</w:t>
            </w:r>
          </w:p>
        </w:tc>
        <w:tc>
          <w:tcPr>
            <w:tcW w:w="992" w:type="dxa"/>
            <w:shd w:val="clear" w:color="auto" w:fill="auto"/>
          </w:tcPr>
          <w:p w:rsidR="00B576FD" w:rsidRDefault="00B576FD" w:rsidP="00AE0AB9">
            <w:pPr>
              <w:pStyle w:val="TextMetodika"/>
              <w:keepNext/>
              <w:jc w:val="center"/>
              <w:rPr>
                <w:rFonts w:ascii="Times New Roman" w:hAnsi="Times New Roman"/>
                <w:bCs/>
                <w:sz w:val="22"/>
                <w:szCs w:val="22"/>
              </w:rPr>
            </w:pPr>
            <w:r>
              <w:rPr>
                <w:rFonts w:ascii="Times New Roman" w:hAnsi="Times New Roman"/>
                <w:bCs/>
                <w:sz w:val="22"/>
                <w:szCs w:val="22"/>
              </w:rPr>
              <w:t>výsledek</w:t>
            </w:r>
          </w:p>
        </w:tc>
        <w:tc>
          <w:tcPr>
            <w:tcW w:w="992" w:type="dxa"/>
            <w:shd w:val="clear" w:color="auto" w:fill="auto"/>
          </w:tcPr>
          <w:p w:rsidR="00B576FD" w:rsidRDefault="00B576FD" w:rsidP="00AE0AB9">
            <w:pPr>
              <w:pStyle w:val="TextMetodika"/>
              <w:keepNext/>
              <w:jc w:val="center"/>
              <w:rPr>
                <w:rFonts w:ascii="Times New Roman" w:hAnsi="Times New Roman"/>
                <w:bCs/>
                <w:sz w:val="22"/>
                <w:szCs w:val="22"/>
              </w:rPr>
            </w:pPr>
            <w:r>
              <w:rPr>
                <w:rFonts w:ascii="Times New Roman" w:hAnsi="Times New Roman"/>
                <w:bCs/>
                <w:sz w:val="22"/>
                <w:szCs w:val="22"/>
              </w:rPr>
              <w:t>0</w:t>
            </w:r>
          </w:p>
        </w:tc>
        <w:tc>
          <w:tcPr>
            <w:tcW w:w="1134" w:type="dxa"/>
            <w:shd w:val="clear" w:color="auto" w:fill="auto"/>
          </w:tcPr>
          <w:p w:rsidR="00B576FD" w:rsidRPr="00B47FEC" w:rsidRDefault="00B576FD" w:rsidP="00AE0AB9">
            <w:pPr>
              <w:pStyle w:val="TextMetodika"/>
              <w:keepNext/>
              <w:jc w:val="center"/>
              <w:rPr>
                <w:rFonts w:ascii="Times New Roman" w:hAnsi="Times New Roman"/>
                <w:bCs/>
                <w:sz w:val="22"/>
                <w:szCs w:val="22"/>
              </w:rPr>
            </w:pPr>
          </w:p>
        </w:tc>
        <w:tc>
          <w:tcPr>
            <w:tcW w:w="851" w:type="dxa"/>
            <w:shd w:val="clear" w:color="auto" w:fill="auto"/>
          </w:tcPr>
          <w:p w:rsidR="00B576FD" w:rsidRDefault="00B576FD" w:rsidP="00AE0AB9">
            <w:pPr>
              <w:pStyle w:val="TextMetodika"/>
              <w:keepNext/>
              <w:jc w:val="center"/>
              <w:rPr>
                <w:rFonts w:ascii="Times New Roman" w:hAnsi="Times New Roman"/>
                <w:bCs/>
                <w:sz w:val="22"/>
                <w:szCs w:val="22"/>
              </w:rPr>
            </w:pPr>
            <w:r>
              <w:rPr>
                <w:rFonts w:ascii="Times New Roman" w:hAnsi="Times New Roman"/>
                <w:bCs/>
                <w:sz w:val="22"/>
                <w:szCs w:val="22"/>
              </w:rPr>
              <w:t>IS</w:t>
            </w:r>
          </w:p>
        </w:tc>
        <w:tc>
          <w:tcPr>
            <w:tcW w:w="815" w:type="dxa"/>
            <w:shd w:val="clear" w:color="auto" w:fill="auto"/>
          </w:tcPr>
          <w:p w:rsidR="00B576FD" w:rsidRPr="00B47FEC" w:rsidRDefault="00B576FD" w:rsidP="00AE0AB9">
            <w:pPr>
              <w:pStyle w:val="TextMetodika"/>
              <w:keepNext/>
              <w:jc w:val="center"/>
              <w:rPr>
                <w:rFonts w:ascii="Times New Roman" w:hAnsi="Times New Roman"/>
                <w:bCs/>
                <w:sz w:val="22"/>
                <w:szCs w:val="22"/>
              </w:rPr>
            </w:pPr>
          </w:p>
        </w:tc>
      </w:tr>
    </w:tbl>
    <w:p w:rsidR="003A22CC" w:rsidRPr="00DD04E7" w:rsidRDefault="003A22CC" w:rsidP="00DD04E7">
      <w:pPr>
        <w:overflowPunct/>
        <w:jc w:val="both"/>
        <w:textAlignment w:val="auto"/>
        <w:rPr>
          <w:b/>
          <w:bCs/>
          <w:color w:val="FF0000"/>
          <w:lang w:val="en-GB"/>
        </w:rPr>
      </w:pPr>
    </w:p>
    <w:p w:rsidR="0057331F" w:rsidRPr="00DD04E7" w:rsidRDefault="002D5206" w:rsidP="0057331F">
      <w:pPr>
        <w:spacing w:line="288" w:lineRule="auto"/>
        <w:jc w:val="both"/>
        <w:rPr>
          <w:rFonts w:asciiTheme="minorHAnsi" w:hAnsiTheme="minorHAnsi" w:cstheme="minorHAnsi"/>
          <w:iCs/>
          <w:color w:val="FF0000"/>
        </w:rPr>
      </w:pPr>
      <w:r w:rsidRPr="00DD04E7">
        <w:rPr>
          <w:rFonts w:asciiTheme="minorHAnsi" w:hAnsiTheme="minorHAnsi" w:cstheme="minorHAnsi"/>
          <w:iCs/>
          <w:color w:val="FF0000"/>
        </w:rPr>
        <w:t>*</w:t>
      </w:r>
      <w:r w:rsidR="00FC1CF8" w:rsidRPr="00DD04E7">
        <w:rPr>
          <w:rFonts w:asciiTheme="minorHAnsi" w:hAnsiTheme="minorHAnsi" w:cstheme="minorHAnsi"/>
          <w:iCs/>
          <w:color w:val="FF0000"/>
        </w:rPr>
        <w:t>U všech common indikátorů stanovit typ. Připomínka odeslána na MMR-NOK.</w:t>
      </w:r>
    </w:p>
    <w:p w:rsidR="00FC1CF8" w:rsidRPr="00DD04E7" w:rsidRDefault="00FC1CF8" w:rsidP="0057331F">
      <w:pPr>
        <w:spacing w:line="288" w:lineRule="auto"/>
        <w:jc w:val="both"/>
        <w:rPr>
          <w:rFonts w:asciiTheme="minorHAnsi" w:hAnsiTheme="minorHAnsi" w:cstheme="minorHAnsi"/>
          <w:iCs/>
          <w:color w:val="FF0000"/>
        </w:rPr>
      </w:pPr>
      <w:r w:rsidRPr="00DD04E7">
        <w:rPr>
          <w:rFonts w:asciiTheme="minorHAnsi" w:hAnsiTheme="minorHAnsi" w:cstheme="minorHAnsi"/>
          <w:iCs/>
          <w:color w:val="FF0000"/>
        </w:rPr>
        <w:t>**Uvedeno pro</w:t>
      </w:r>
      <w:r w:rsidR="00CF5C63" w:rsidRPr="00DD04E7">
        <w:rPr>
          <w:rFonts w:asciiTheme="minorHAnsi" w:hAnsiTheme="minorHAnsi" w:cstheme="minorHAnsi"/>
          <w:iCs/>
          <w:color w:val="FF0000"/>
        </w:rPr>
        <w:t xml:space="preserve"> úplnost. Není jistá relevance. Nutné projednat s MMR-NOK.</w:t>
      </w:r>
    </w:p>
    <w:p w:rsidR="00CF5C63" w:rsidRPr="00DD04E7" w:rsidRDefault="00CF5C63" w:rsidP="0057331F">
      <w:pPr>
        <w:spacing w:line="288" w:lineRule="auto"/>
        <w:jc w:val="both"/>
        <w:rPr>
          <w:rFonts w:asciiTheme="minorHAnsi" w:hAnsiTheme="minorHAnsi" w:cstheme="minorHAnsi"/>
          <w:iCs/>
          <w:color w:val="FF0000"/>
        </w:rPr>
      </w:pPr>
      <w:r w:rsidRPr="00DD04E7">
        <w:rPr>
          <w:rFonts w:asciiTheme="minorHAnsi" w:hAnsiTheme="minorHAnsi" w:cstheme="minorHAnsi"/>
          <w:iCs/>
          <w:color w:val="FF0000"/>
        </w:rPr>
        <w:t>***Uvedeno pro úpnost. Není jistá relevance. Nutné projednat s MMR-NOK.</w:t>
      </w:r>
    </w:p>
    <w:p w:rsidR="0057331F" w:rsidRDefault="0057331F" w:rsidP="0057331F">
      <w:pPr>
        <w:pStyle w:val="Nadpis3"/>
      </w:pPr>
      <w:bookmarkStart w:id="91" w:name="_Toc351464404"/>
      <w:bookmarkStart w:id="92" w:name="_Toc352328380"/>
      <w:r>
        <w:t>Identifikace investičních priorit a popis specifických cílů</w:t>
      </w:r>
      <w:bookmarkEnd w:id="91"/>
      <w:bookmarkEnd w:id="92"/>
      <w:r>
        <w:t xml:space="preserve"> </w:t>
      </w:r>
    </w:p>
    <w:p w:rsidR="0057331F" w:rsidRDefault="0057331F" w:rsidP="0057331F">
      <w:pPr>
        <w:overflowPunct/>
        <w:spacing w:after="120"/>
        <w:jc w:val="both"/>
        <w:textAlignment w:val="auto"/>
        <w:rPr>
          <w:rFonts w:asciiTheme="minorHAnsi" w:hAnsiTheme="minorHAnsi" w:cstheme="minorHAnsi"/>
          <w:sz w:val="24"/>
          <w:szCs w:val="24"/>
        </w:rPr>
      </w:pPr>
      <w:r w:rsidRPr="00E40039">
        <w:rPr>
          <w:rFonts w:asciiTheme="minorHAnsi" w:hAnsiTheme="minorHAnsi" w:cstheme="minorHAnsi"/>
          <w:sz w:val="24"/>
          <w:szCs w:val="24"/>
        </w:rPr>
        <w:t>Na základě analýzy problémů a potřeb ČR identifikovaných a popsaných pro</w:t>
      </w:r>
      <w:r>
        <w:rPr>
          <w:rFonts w:asciiTheme="minorHAnsi" w:hAnsiTheme="minorHAnsi" w:cstheme="minorHAnsi"/>
          <w:sz w:val="24"/>
          <w:szCs w:val="24"/>
        </w:rPr>
        <w:t xml:space="preserve"> prioritní osu 2 byly identifikovány následující investiční priority a </w:t>
      </w:r>
      <w:r w:rsidRPr="007A7549">
        <w:rPr>
          <w:rFonts w:asciiTheme="minorHAnsi" w:hAnsiTheme="minorHAnsi" w:cstheme="minorHAnsi"/>
          <w:sz w:val="24"/>
          <w:szCs w:val="24"/>
        </w:rPr>
        <w:t>specifické cíle:</w:t>
      </w:r>
    </w:p>
    <w:p w:rsidR="0057331F" w:rsidRPr="00B85EE3" w:rsidRDefault="0057331F" w:rsidP="0057331F"/>
    <w:tbl>
      <w:tblPr>
        <w:tblStyle w:val="Mkatabulky"/>
        <w:tblW w:w="0" w:type="auto"/>
        <w:tblLook w:val="04A0"/>
      </w:tblPr>
      <w:tblGrid>
        <w:gridCol w:w="4676"/>
        <w:gridCol w:w="4676"/>
      </w:tblGrid>
      <w:tr w:rsidR="0057331F" w:rsidRPr="00B85EE3" w:rsidTr="00EC6DD0">
        <w:tc>
          <w:tcPr>
            <w:tcW w:w="4676" w:type="dxa"/>
            <w:shd w:val="clear" w:color="auto" w:fill="92CDDC" w:themeFill="accent5" w:themeFillTint="99"/>
          </w:tcPr>
          <w:p w:rsidR="0057331F" w:rsidRPr="00B85EE3" w:rsidRDefault="0057331F" w:rsidP="00EC6DD0">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Investiční priorita</w:t>
            </w:r>
          </w:p>
        </w:tc>
        <w:tc>
          <w:tcPr>
            <w:tcW w:w="4676" w:type="dxa"/>
            <w:shd w:val="clear" w:color="auto" w:fill="92CDDC" w:themeFill="accent5" w:themeFillTint="99"/>
          </w:tcPr>
          <w:p w:rsidR="0057331F" w:rsidRPr="00B85EE3" w:rsidRDefault="0057331F" w:rsidP="00EC6DD0">
            <w:pPr>
              <w:overflowPunct/>
              <w:spacing w:before="120" w:after="120"/>
              <w:jc w:val="both"/>
              <w:textAlignment w:val="auto"/>
              <w:rPr>
                <w:rFonts w:asciiTheme="minorHAnsi" w:hAnsiTheme="minorHAnsi" w:cstheme="minorHAnsi"/>
                <w:b/>
                <w:bCs/>
                <w:sz w:val="24"/>
                <w:szCs w:val="24"/>
              </w:rPr>
            </w:pPr>
            <w:r w:rsidRPr="00B85EE3">
              <w:rPr>
                <w:rFonts w:asciiTheme="minorHAnsi" w:hAnsiTheme="minorHAnsi" w:cstheme="minorHAnsi"/>
                <w:b/>
                <w:bCs/>
                <w:sz w:val="24"/>
                <w:szCs w:val="24"/>
              </w:rPr>
              <w:t>Specifický cíl</w:t>
            </w:r>
          </w:p>
        </w:tc>
      </w:tr>
      <w:tr w:rsidR="0057331F" w:rsidRPr="00B85EE3" w:rsidTr="0057331F">
        <w:trPr>
          <w:trHeight w:val="1683"/>
        </w:trPr>
        <w:tc>
          <w:tcPr>
            <w:tcW w:w="4676" w:type="dxa"/>
            <w:vAlign w:val="center"/>
          </w:tcPr>
          <w:p w:rsidR="0057331F" w:rsidRPr="00530623" w:rsidRDefault="0057331F" w:rsidP="00EC6DD0">
            <w:pPr>
              <w:overflowPunct/>
              <w:textAlignment w:val="auto"/>
              <w:rPr>
                <w:rFonts w:asciiTheme="minorHAnsi" w:hAnsiTheme="minorHAnsi" w:cstheme="minorHAnsi"/>
                <w:bCs/>
                <w:sz w:val="24"/>
                <w:szCs w:val="24"/>
              </w:rPr>
            </w:pPr>
            <w:r w:rsidRPr="0057331F">
              <w:rPr>
                <w:rFonts w:asciiTheme="minorHAnsi" w:hAnsiTheme="minorHAnsi" w:cstheme="minorHAnsi"/>
                <w:bCs/>
                <w:sz w:val="24"/>
                <w:szCs w:val="24"/>
              </w:rPr>
              <w:t>Rozšiřování širokopásmového připojení a zavádění vysokorychlostních sítí a podpora zavádění vznikajících technologií a sítí pro digitální hospodářství</w:t>
            </w:r>
            <w:r>
              <w:rPr>
                <w:rFonts w:asciiTheme="minorHAnsi" w:hAnsiTheme="minorHAnsi" w:cstheme="minorHAnsi"/>
                <w:bCs/>
                <w:sz w:val="24"/>
                <w:szCs w:val="24"/>
              </w:rPr>
              <w:t xml:space="preserve"> </w:t>
            </w:r>
            <w:r w:rsidRPr="0057331F">
              <w:rPr>
                <w:rFonts w:asciiTheme="minorHAnsi" w:hAnsiTheme="minorHAnsi" w:cstheme="minorHAnsi"/>
                <w:bCs/>
                <w:sz w:val="24"/>
                <w:szCs w:val="24"/>
              </w:rPr>
              <w:t>(nařízení o ERDF, článek 5, odst. (2) bod a)</w:t>
            </w:r>
          </w:p>
        </w:tc>
        <w:tc>
          <w:tcPr>
            <w:tcW w:w="4676" w:type="dxa"/>
            <w:vAlign w:val="center"/>
          </w:tcPr>
          <w:p w:rsidR="0057331F" w:rsidRPr="00B85EE3" w:rsidRDefault="0057331F" w:rsidP="00EC6DD0">
            <w:pPr>
              <w:rPr>
                <w:rFonts w:asciiTheme="minorHAnsi" w:hAnsiTheme="minorHAnsi" w:cstheme="minorHAnsi"/>
                <w:sz w:val="24"/>
              </w:rPr>
            </w:pPr>
            <w:r w:rsidRPr="0057331F">
              <w:rPr>
                <w:rFonts w:asciiTheme="minorHAnsi" w:hAnsiTheme="minorHAnsi" w:cstheme="minorHAnsi"/>
                <w:sz w:val="24"/>
              </w:rPr>
              <w:t xml:space="preserve">4.1 - </w:t>
            </w:r>
            <w:r w:rsidR="00EC6DD0">
              <w:rPr>
                <w:rFonts w:asciiTheme="minorHAnsi" w:hAnsiTheme="minorHAnsi" w:cstheme="minorHAnsi"/>
                <w:sz w:val="24"/>
              </w:rPr>
              <w:t>Zvětšení</w:t>
            </w:r>
            <w:r w:rsidRPr="0057331F">
              <w:rPr>
                <w:rFonts w:asciiTheme="minorHAnsi" w:hAnsiTheme="minorHAnsi" w:cstheme="minorHAnsi"/>
                <w:sz w:val="24"/>
              </w:rPr>
              <w:t xml:space="preserve"> pokrytí vysokorychlostním přístupem k internetu</w:t>
            </w:r>
          </w:p>
        </w:tc>
      </w:tr>
      <w:tr w:rsidR="0057331F" w:rsidRPr="00B85EE3" w:rsidTr="0057331F">
        <w:trPr>
          <w:trHeight w:val="1409"/>
        </w:trPr>
        <w:tc>
          <w:tcPr>
            <w:tcW w:w="4676" w:type="dxa"/>
            <w:vAlign w:val="center"/>
          </w:tcPr>
          <w:p w:rsidR="0057331F" w:rsidRPr="00530623" w:rsidRDefault="0057331F" w:rsidP="00EC6DD0">
            <w:pPr>
              <w:overflowPunct/>
              <w:textAlignment w:val="auto"/>
              <w:rPr>
                <w:rFonts w:asciiTheme="minorHAnsi" w:hAnsiTheme="minorHAnsi" w:cstheme="minorHAnsi"/>
                <w:bCs/>
                <w:sz w:val="24"/>
                <w:szCs w:val="24"/>
              </w:rPr>
            </w:pPr>
            <w:r w:rsidRPr="0057331F">
              <w:rPr>
                <w:rFonts w:asciiTheme="minorHAnsi" w:hAnsiTheme="minorHAnsi" w:cstheme="minorHAnsi"/>
                <w:bCs/>
                <w:sz w:val="24"/>
                <w:szCs w:val="24"/>
              </w:rPr>
              <w:t>Vyvíjení produktů a služeb v oblasti IKT, elektronického obchodu a zvyšování poptávky po IKT</w:t>
            </w:r>
            <w:r>
              <w:rPr>
                <w:rFonts w:asciiTheme="minorHAnsi" w:hAnsiTheme="minorHAnsi" w:cstheme="minorHAnsi"/>
                <w:bCs/>
                <w:sz w:val="24"/>
                <w:szCs w:val="24"/>
              </w:rPr>
              <w:t xml:space="preserve"> </w:t>
            </w:r>
            <w:r w:rsidRPr="0057331F">
              <w:rPr>
                <w:rFonts w:asciiTheme="minorHAnsi" w:hAnsiTheme="minorHAnsi" w:cstheme="minorHAnsi"/>
                <w:bCs/>
                <w:sz w:val="24"/>
                <w:szCs w:val="24"/>
              </w:rPr>
              <w:t>(nařízení o ERDF, článek 5, odst. (2) bod b)</w:t>
            </w:r>
          </w:p>
        </w:tc>
        <w:tc>
          <w:tcPr>
            <w:tcW w:w="4676" w:type="dxa"/>
            <w:vAlign w:val="center"/>
          </w:tcPr>
          <w:p w:rsidR="0057331F" w:rsidRPr="00B85EE3" w:rsidRDefault="0057331F" w:rsidP="00EC6DD0">
            <w:pPr>
              <w:rPr>
                <w:rFonts w:asciiTheme="minorHAnsi" w:hAnsiTheme="minorHAnsi" w:cstheme="minorHAnsi"/>
                <w:sz w:val="24"/>
              </w:rPr>
            </w:pPr>
            <w:r w:rsidRPr="0057331F">
              <w:rPr>
                <w:rFonts w:asciiTheme="minorHAnsi" w:hAnsiTheme="minorHAnsi" w:cstheme="minorHAnsi"/>
                <w:sz w:val="24"/>
              </w:rPr>
              <w:t xml:space="preserve">4.2 - Rozvoj nejmodernějších a pokročilých informačních a komunikačních technologií </w:t>
            </w:r>
            <w:r w:rsidR="00EC6DD0" w:rsidRPr="00EC6DD0">
              <w:rPr>
                <w:rFonts w:asciiTheme="minorHAnsi" w:hAnsiTheme="minorHAnsi" w:cstheme="minorHAnsi"/>
                <w:sz w:val="24"/>
              </w:rPr>
              <w:t>a podpora poskytování souvisejících sdílených služeb</w:t>
            </w:r>
          </w:p>
        </w:tc>
      </w:tr>
    </w:tbl>
    <w:p w:rsidR="0057331F" w:rsidRDefault="0057331F" w:rsidP="0057331F">
      <w:pPr>
        <w:overflowPunct/>
        <w:jc w:val="both"/>
        <w:textAlignment w:val="auto"/>
        <w:rPr>
          <w:b/>
          <w:bCs/>
          <w:sz w:val="24"/>
          <w:szCs w:val="24"/>
        </w:rPr>
      </w:pPr>
    </w:p>
    <w:p w:rsidR="0057331F" w:rsidRDefault="0057331F" w:rsidP="00FF3BA2">
      <w:pPr>
        <w:pStyle w:val="Nadpis4"/>
      </w:pPr>
      <w:bookmarkStart w:id="93" w:name="_Toc351464405"/>
      <w:r w:rsidRPr="00047389">
        <w:t xml:space="preserve">Specifický cíl </w:t>
      </w:r>
      <w:r w:rsidR="00FF3BA2" w:rsidRPr="00FF3BA2">
        <w:t>4.1 - Zvětšení pokrytí vysokorychlostním přístupem k</w:t>
      </w:r>
      <w:r w:rsidR="00FF3BA2">
        <w:t> </w:t>
      </w:r>
      <w:r w:rsidR="00FF3BA2" w:rsidRPr="00FF3BA2">
        <w:t>internetu</w:t>
      </w:r>
      <w:bookmarkEnd w:id="93"/>
    </w:p>
    <w:p w:rsidR="00FF3BA2" w:rsidRDefault="00FF3BA2" w:rsidP="0038738E">
      <w:pPr>
        <w:spacing w:after="120"/>
        <w:jc w:val="both"/>
        <w:rPr>
          <w:rFonts w:ascii="Calibri" w:hAnsi="Calibri" w:cs="Calibri"/>
          <w:sz w:val="24"/>
          <w:szCs w:val="24"/>
        </w:rPr>
      </w:pPr>
      <w:r>
        <w:rPr>
          <w:rFonts w:ascii="Calibri" w:hAnsi="Calibri" w:cs="Calibri"/>
          <w:sz w:val="24"/>
          <w:szCs w:val="24"/>
        </w:rPr>
        <w:t>Sítě pro vysokorychlostní přístup k i</w:t>
      </w:r>
      <w:r w:rsidRPr="0044063C">
        <w:rPr>
          <w:rFonts w:ascii="Calibri" w:hAnsi="Calibri" w:cs="Calibri"/>
          <w:sz w:val="24"/>
          <w:szCs w:val="24"/>
        </w:rPr>
        <w:t>nternet</w:t>
      </w:r>
      <w:r>
        <w:rPr>
          <w:rFonts w:ascii="Calibri" w:hAnsi="Calibri" w:cs="Calibri"/>
          <w:sz w:val="24"/>
          <w:szCs w:val="24"/>
        </w:rPr>
        <w:t>u</w:t>
      </w:r>
      <w:r w:rsidRPr="0044063C">
        <w:rPr>
          <w:rFonts w:ascii="Calibri" w:hAnsi="Calibri" w:cs="Calibri"/>
          <w:sz w:val="24"/>
          <w:szCs w:val="24"/>
        </w:rPr>
        <w:t xml:space="preserve"> </w:t>
      </w:r>
      <w:r>
        <w:rPr>
          <w:rFonts w:ascii="Calibri" w:hAnsi="Calibri" w:cs="Calibri"/>
          <w:sz w:val="24"/>
          <w:szCs w:val="24"/>
        </w:rPr>
        <w:t xml:space="preserve">založené zčásti nebo zcela na optických vedeních patří mezi základní infrastrukturu státu a jsou </w:t>
      </w:r>
      <w:r w:rsidRPr="0044063C">
        <w:rPr>
          <w:rFonts w:ascii="Calibri" w:hAnsi="Calibri" w:cs="Calibri"/>
          <w:sz w:val="24"/>
          <w:szCs w:val="24"/>
        </w:rPr>
        <w:t xml:space="preserve">významným komunikačním prostředkem moderního hospodářství, nepostradatelným nástrojem </w:t>
      </w:r>
      <w:r>
        <w:rPr>
          <w:rFonts w:ascii="Calibri" w:hAnsi="Calibri" w:cs="Calibri"/>
          <w:sz w:val="24"/>
          <w:szCs w:val="24"/>
        </w:rPr>
        <w:t xml:space="preserve">znalostní </w:t>
      </w:r>
      <w:r w:rsidRPr="0044063C">
        <w:rPr>
          <w:rFonts w:ascii="Calibri" w:hAnsi="Calibri" w:cs="Calibri"/>
          <w:sz w:val="24"/>
          <w:szCs w:val="24"/>
        </w:rPr>
        <w:t>společnosti, v</w:t>
      </w:r>
      <w:r>
        <w:rPr>
          <w:rFonts w:ascii="Calibri" w:hAnsi="Calibri" w:cs="Calibri"/>
          <w:sz w:val="24"/>
          <w:szCs w:val="24"/>
        </w:rPr>
        <w:t> </w:t>
      </w:r>
      <w:r w:rsidRPr="0044063C">
        <w:rPr>
          <w:rFonts w:ascii="Calibri" w:hAnsi="Calibri" w:cs="Calibri"/>
          <w:sz w:val="24"/>
          <w:szCs w:val="24"/>
        </w:rPr>
        <w:t xml:space="preserve">níž se uskutečňuje dělba práce </w:t>
      </w:r>
      <w:r>
        <w:rPr>
          <w:rFonts w:ascii="Calibri" w:hAnsi="Calibri" w:cs="Calibri"/>
          <w:sz w:val="24"/>
          <w:szCs w:val="24"/>
        </w:rPr>
        <w:t>a která se orientuje na produkci</w:t>
      </w:r>
      <w:r w:rsidRPr="0044063C">
        <w:rPr>
          <w:rFonts w:ascii="Calibri" w:hAnsi="Calibri" w:cs="Calibri"/>
          <w:sz w:val="24"/>
          <w:szCs w:val="24"/>
        </w:rPr>
        <w:t xml:space="preserve"> </w:t>
      </w:r>
      <w:r>
        <w:rPr>
          <w:rFonts w:ascii="Calibri" w:hAnsi="Calibri" w:cs="Calibri"/>
          <w:sz w:val="24"/>
          <w:szCs w:val="24"/>
        </w:rPr>
        <w:t>služeb</w:t>
      </w:r>
      <w:r w:rsidRPr="0044063C">
        <w:rPr>
          <w:rFonts w:ascii="Calibri" w:hAnsi="Calibri" w:cs="Calibri"/>
          <w:sz w:val="24"/>
          <w:szCs w:val="24"/>
        </w:rPr>
        <w:t xml:space="preserve"> s</w:t>
      </w:r>
      <w:r w:rsidR="007408D9">
        <w:rPr>
          <w:rFonts w:ascii="Calibri" w:hAnsi="Calibri" w:cs="Calibri"/>
          <w:sz w:val="24"/>
          <w:szCs w:val="24"/>
        </w:rPr>
        <w:t> </w:t>
      </w:r>
      <w:r w:rsidRPr="0044063C">
        <w:rPr>
          <w:rFonts w:ascii="Calibri" w:hAnsi="Calibri" w:cs="Calibri"/>
          <w:sz w:val="24"/>
          <w:szCs w:val="24"/>
        </w:rPr>
        <w:t>vysokou</w:t>
      </w:r>
      <w:r w:rsidR="007408D9">
        <w:rPr>
          <w:rFonts w:ascii="Calibri" w:hAnsi="Calibri" w:cs="Calibri"/>
          <w:sz w:val="24"/>
          <w:szCs w:val="24"/>
        </w:rPr>
        <w:t xml:space="preserve"> přidanou</w:t>
      </w:r>
      <w:r w:rsidRPr="0044063C">
        <w:rPr>
          <w:rFonts w:ascii="Calibri" w:hAnsi="Calibri" w:cs="Calibri"/>
          <w:sz w:val="24"/>
          <w:szCs w:val="24"/>
        </w:rPr>
        <w:t xml:space="preserve"> hodnotou. </w:t>
      </w:r>
      <w:r>
        <w:rPr>
          <w:rFonts w:ascii="Calibri" w:hAnsi="Calibri" w:cs="Calibri"/>
          <w:sz w:val="24"/>
          <w:szCs w:val="24"/>
        </w:rPr>
        <w:t xml:space="preserve">Prostřednictvím této moderní infrastruktury </w:t>
      </w:r>
      <w:r w:rsidRPr="0044063C">
        <w:rPr>
          <w:rFonts w:ascii="Calibri" w:hAnsi="Calibri" w:cs="Calibri"/>
          <w:sz w:val="24"/>
          <w:szCs w:val="24"/>
        </w:rPr>
        <w:t>může být práce v</w:t>
      </w:r>
      <w:r>
        <w:rPr>
          <w:rFonts w:ascii="Calibri" w:hAnsi="Calibri" w:cs="Calibri"/>
          <w:sz w:val="24"/>
          <w:szCs w:val="24"/>
        </w:rPr>
        <w:t> </w:t>
      </w:r>
      <w:r w:rsidRPr="0044063C">
        <w:rPr>
          <w:rFonts w:ascii="Calibri" w:hAnsi="Calibri" w:cs="Calibri"/>
          <w:sz w:val="24"/>
          <w:szCs w:val="24"/>
        </w:rPr>
        <w:t>podnicích</w:t>
      </w:r>
      <w:r>
        <w:rPr>
          <w:rFonts w:ascii="Calibri" w:hAnsi="Calibri" w:cs="Calibri"/>
          <w:sz w:val="24"/>
          <w:szCs w:val="24"/>
        </w:rPr>
        <w:t>,</w:t>
      </w:r>
      <w:r w:rsidRPr="0044063C">
        <w:rPr>
          <w:rFonts w:ascii="Calibri" w:hAnsi="Calibri" w:cs="Calibri"/>
          <w:sz w:val="24"/>
          <w:szCs w:val="24"/>
        </w:rPr>
        <w:t xml:space="preserve"> v</w:t>
      </w:r>
      <w:r>
        <w:rPr>
          <w:rFonts w:ascii="Calibri" w:hAnsi="Calibri" w:cs="Calibri"/>
          <w:sz w:val="24"/>
          <w:szCs w:val="24"/>
        </w:rPr>
        <w:t> </w:t>
      </w:r>
      <w:r w:rsidRPr="0044063C">
        <w:rPr>
          <w:rFonts w:ascii="Calibri" w:hAnsi="Calibri" w:cs="Calibri"/>
          <w:sz w:val="24"/>
          <w:szCs w:val="24"/>
        </w:rPr>
        <w:t>úřadech</w:t>
      </w:r>
      <w:r>
        <w:rPr>
          <w:rFonts w:ascii="Calibri" w:hAnsi="Calibri" w:cs="Calibri"/>
          <w:sz w:val="24"/>
          <w:szCs w:val="24"/>
        </w:rPr>
        <w:t>,</w:t>
      </w:r>
      <w:r w:rsidR="00205224">
        <w:rPr>
          <w:rFonts w:ascii="Calibri" w:hAnsi="Calibri" w:cs="Calibri"/>
          <w:sz w:val="24"/>
          <w:szCs w:val="24"/>
        </w:rPr>
        <w:t xml:space="preserve"> ve</w:t>
      </w:r>
      <w:r w:rsidRPr="0044063C">
        <w:rPr>
          <w:rFonts w:ascii="Calibri" w:hAnsi="Calibri" w:cs="Calibri"/>
          <w:sz w:val="24"/>
          <w:szCs w:val="24"/>
        </w:rPr>
        <w:t xml:space="preserve"> vzdělávacích </w:t>
      </w:r>
      <w:r>
        <w:rPr>
          <w:rFonts w:ascii="Calibri" w:hAnsi="Calibri" w:cs="Calibri"/>
          <w:sz w:val="24"/>
          <w:szCs w:val="24"/>
        </w:rPr>
        <w:t>institucích</w:t>
      </w:r>
      <w:r w:rsidRPr="0044063C">
        <w:rPr>
          <w:rFonts w:ascii="Calibri" w:hAnsi="Calibri" w:cs="Calibri"/>
          <w:sz w:val="24"/>
          <w:szCs w:val="24"/>
        </w:rPr>
        <w:t xml:space="preserve"> a</w:t>
      </w:r>
      <w:r>
        <w:rPr>
          <w:rFonts w:ascii="Calibri" w:hAnsi="Calibri" w:cs="Calibri"/>
          <w:sz w:val="24"/>
          <w:szCs w:val="24"/>
        </w:rPr>
        <w:t> </w:t>
      </w:r>
      <w:r w:rsidRPr="0044063C">
        <w:rPr>
          <w:rFonts w:ascii="Calibri" w:hAnsi="Calibri" w:cs="Calibri"/>
          <w:sz w:val="24"/>
          <w:szCs w:val="24"/>
        </w:rPr>
        <w:t xml:space="preserve">mezi </w:t>
      </w:r>
      <w:r>
        <w:rPr>
          <w:rFonts w:ascii="Calibri" w:hAnsi="Calibri" w:cs="Calibri"/>
          <w:sz w:val="24"/>
          <w:szCs w:val="24"/>
        </w:rPr>
        <w:t>nimi navzájem</w:t>
      </w:r>
      <w:r w:rsidRPr="0044063C">
        <w:rPr>
          <w:rFonts w:ascii="Calibri" w:hAnsi="Calibri" w:cs="Calibri"/>
          <w:sz w:val="24"/>
          <w:szCs w:val="24"/>
        </w:rPr>
        <w:t xml:space="preserve"> prováděna efektivněji a</w:t>
      </w:r>
      <w:r>
        <w:rPr>
          <w:rFonts w:ascii="Calibri" w:hAnsi="Calibri" w:cs="Calibri"/>
          <w:sz w:val="24"/>
          <w:szCs w:val="24"/>
        </w:rPr>
        <w:t> občané</w:t>
      </w:r>
      <w:r w:rsidRPr="0044063C">
        <w:rPr>
          <w:rFonts w:ascii="Calibri" w:hAnsi="Calibri" w:cs="Calibri"/>
          <w:sz w:val="24"/>
          <w:szCs w:val="24"/>
        </w:rPr>
        <w:t xml:space="preserve"> se mohou lépe </w:t>
      </w:r>
      <w:r>
        <w:rPr>
          <w:rFonts w:ascii="Calibri" w:hAnsi="Calibri" w:cs="Calibri"/>
          <w:sz w:val="24"/>
          <w:szCs w:val="24"/>
        </w:rPr>
        <w:t>a snadněji začlenit do</w:t>
      </w:r>
      <w:r w:rsidRPr="0044063C">
        <w:rPr>
          <w:rFonts w:ascii="Calibri" w:hAnsi="Calibri" w:cs="Calibri"/>
          <w:sz w:val="24"/>
          <w:szCs w:val="24"/>
        </w:rPr>
        <w:t xml:space="preserve"> informační společnosti.</w:t>
      </w:r>
    </w:p>
    <w:p w:rsidR="00FF3BA2" w:rsidRPr="00B61F67" w:rsidRDefault="00FF3BA2" w:rsidP="0038738E">
      <w:pPr>
        <w:spacing w:after="120"/>
        <w:jc w:val="both"/>
        <w:rPr>
          <w:rFonts w:ascii="Calibri" w:hAnsi="Calibri" w:cs="Calibri"/>
          <w:sz w:val="24"/>
          <w:szCs w:val="24"/>
        </w:rPr>
      </w:pPr>
      <w:r w:rsidRPr="00B61F67">
        <w:rPr>
          <w:rFonts w:ascii="Calibri" w:hAnsi="Calibri" w:cs="Calibri"/>
          <w:sz w:val="24"/>
          <w:szCs w:val="24"/>
        </w:rPr>
        <w:t xml:space="preserve">Začlenění do informační společnosti předpokládá splnění </w:t>
      </w:r>
      <w:r>
        <w:rPr>
          <w:rFonts w:ascii="Calibri" w:hAnsi="Calibri" w:cs="Calibri"/>
          <w:sz w:val="24"/>
          <w:szCs w:val="24"/>
        </w:rPr>
        <w:t xml:space="preserve">několika </w:t>
      </w:r>
      <w:r w:rsidRPr="00B61F67">
        <w:rPr>
          <w:rFonts w:ascii="Calibri" w:hAnsi="Calibri" w:cs="Calibri"/>
          <w:sz w:val="24"/>
          <w:szCs w:val="24"/>
        </w:rPr>
        <w:t>podmínek</w:t>
      </w:r>
      <w:r>
        <w:rPr>
          <w:rFonts w:ascii="Calibri" w:hAnsi="Calibri" w:cs="Calibri"/>
          <w:sz w:val="24"/>
          <w:szCs w:val="24"/>
        </w:rPr>
        <w:t xml:space="preserve">, přičemž klíčovým aspektem je právě </w:t>
      </w:r>
      <w:r w:rsidRPr="00B61F67">
        <w:rPr>
          <w:rFonts w:ascii="Calibri" w:hAnsi="Calibri" w:cs="Calibri"/>
          <w:sz w:val="24"/>
          <w:szCs w:val="24"/>
        </w:rPr>
        <w:t>přístup k informač</w:t>
      </w:r>
      <w:r>
        <w:rPr>
          <w:rFonts w:ascii="Calibri" w:hAnsi="Calibri" w:cs="Calibri"/>
          <w:sz w:val="24"/>
          <w:szCs w:val="24"/>
        </w:rPr>
        <w:t>ním a komunikačním technologiím.</w:t>
      </w:r>
      <w:r w:rsidRPr="00B61F67">
        <w:t xml:space="preserve"> </w:t>
      </w:r>
      <w:r>
        <w:rPr>
          <w:rFonts w:ascii="Calibri" w:hAnsi="Calibri" w:cs="Calibri"/>
          <w:sz w:val="24"/>
          <w:szCs w:val="24"/>
        </w:rPr>
        <w:t>Z</w:t>
      </w:r>
      <w:r w:rsidRPr="00B61F67">
        <w:rPr>
          <w:rFonts w:ascii="Calibri" w:hAnsi="Calibri" w:cs="Calibri"/>
          <w:sz w:val="24"/>
          <w:szCs w:val="24"/>
        </w:rPr>
        <w:t>vyšování dostupnosti ICT pro všechny bez ohledu na lokalitu, sociální postavení nebo zdravotní postižení a podpora celoživotního vzdělávání za účelem posílení digitální gramotnosti</w:t>
      </w:r>
      <w:r>
        <w:rPr>
          <w:rFonts w:ascii="Calibri" w:hAnsi="Calibri" w:cs="Calibri"/>
          <w:sz w:val="24"/>
          <w:szCs w:val="24"/>
        </w:rPr>
        <w:t xml:space="preserve"> je prioritou ČR.</w:t>
      </w:r>
    </w:p>
    <w:p w:rsidR="00FF3BA2" w:rsidRPr="0044063C" w:rsidRDefault="00FF3BA2" w:rsidP="0038738E">
      <w:pPr>
        <w:spacing w:after="120"/>
        <w:jc w:val="both"/>
        <w:rPr>
          <w:rFonts w:ascii="Calibri" w:hAnsi="Calibri" w:cs="Calibri"/>
          <w:sz w:val="24"/>
          <w:szCs w:val="24"/>
        </w:rPr>
      </w:pPr>
      <w:r>
        <w:rPr>
          <w:rFonts w:ascii="Calibri" w:hAnsi="Calibri" w:cs="Calibri"/>
          <w:sz w:val="24"/>
          <w:szCs w:val="24"/>
        </w:rPr>
        <w:lastRenderedPageBreak/>
        <w:t>S</w:t>
      </w:r>
      <w:r w:rsidRPr="0044063C">
        <w:rPr>
          <w:rFonts w:ascii="Calibri" w:hAnsi="Calibri" w:cs="Calibri"/>
          <w:sz w:val="24"/>
          <w:szCs w:val="24"/>
        </w:rPr>
        <w:t xml:space="preserve">oučasná finanční krize </w:t>
      </w:r>
      <w:r>
        <w:rPr>
          <w:rFonts w:ascii="Calibri" w:hAnsi="Calibri" w:cs="Calibri"/>
          <w:sz w:val="24"/>
          <w:szCs w:val="24"/>
        </w:rPr>
        <w:t>omezila potenciál ekonomického růstu a snížila objem investic ve všech sektorech. Zároveň</w:t>
      </w:r>
      <w:r w:rsidRPr="0044063C">
        <w:rPr>
          <w:rFonts w:ascii="Calibri" w:hAnsi="Calibri" w:cs="Calibri"/>
          <w:sz w:val="24"/>
          <w:szCs w:val="24"/>
        </w:rPr>
        <w:t xml:space="preserve"> se na všech trzích zostřuje konkurence a</w:t>
      </w:r>
      <w:r>
        <w:rPr>
          <w:rFonts w:ascii="Calibri" w:hAnsi="Calibri" w:cs="Calibri"/>
          <w:sz w:val="24"/>
          <w:szCs w:val="24"/>
        </w:rPr>
        <w:t> </w:t>
      </w:r>
      <w:r w:rsidRPr="0044063C">
        <w:rPr>
          <w:rFonts w:ascii="Calibri" w:hAnsi="Calibri" w:cs="Calibri"/>
          <w:sz w:val="24"/>
          <w:szCs w:val="24"/>
        </w:rPr>
        <w:t xml:space="preserve">stává se obtížnějším financování </w:t>
      </w:r>
      <w:r>
        <w:rPr>
          <w:rFonts w:ascii="Calibri" w:hAnsi="Calibri" w:cs="Calibri"/>
          <w:sz w:val="24"/>
          <w:szCs w:val="24"/>
        </w:rPr>
        <w:t>dlouhodobých investic</w:t>
      </w:r>
      <w:r w:rsidRPr="0044063C">
        <w:rPr>
          <w:rFonts w:ascii="Calibri" w:hAnsi="Calibri" w:cs="Calibri"/>
          <w:sz w:val="24"/>
          <w:szCs w:val="24"/>
        </w:rPr>
        <w:t xml:space="preserve"> zvláště ve venkovských oblastech.</w:t>
      </w:r>
    </w:p>
    <w:p w:rsidR="00FF3BA2" w:rsidRPr="0044063C" w:rsidRDefault="00FF3BA2" w:rsidP="0038738E">
      <w:pPr>
        <w:spacing w:after="120"/>
        <w:jc w:val="both"/>
        <w:rPr>
          <w:rFonts w:ascii="Calibri" w:hAnsi="Calibri" w:cs="Calibri"/>
          <w:sz w:val="24"/>
          <w:szCs w:val="24"/>
        </w:rPr>
      </w:pPr>
      <w:r w:rsidRPr="0044063C">
        <w:rPr>
          <w:rFonts w:ascii="Calibri" w:hAnsi="Calibri" w:cs="Calibri"/>
          <w:sz w:val="24"/>
          <w:szCs w:val="24"/>
        </w:rPr>
        <w:t xml:space="preserve">Investice do komunikační infrastruktury provádějí na liberalizovaných trzích soukromé subjekty </w:t>
      </w:r>
      <w:r>
        <w:rPr>
          <w:rFonts w:ascii="Calibri" w:hAnsi="Calibri" w:cs="Calibri"/>
          <w:sz w:val="24"/>
          <w:szCs w:val="24"/>
        </w:rPr>
        <w:t>na základě</w:t>
      </w:r>
      <w:r w:rsidRPr="0044063C">
        <w:rPr>
          <w:rFonts w:ascii="Calibri" w:hAnsi="Calibri" w:cs="Calibri"/>
          <w:sz w:val="24"/>
          <w:szCs w:val="24"/>
        </w:rPr>
        <w:t xml:space="preserve"> </w:t>
      </w:r>
      <w:r>
        <w:rPr>
          <w:rFonts w:ascii="Calibri" w:hAnsi="Calibri" w:cs="Calibri"/>
          <w:sz w:val="24"/>
          <w:szCs w:val="24"/>
        </w:rPr>
        <w:t>fungování tržních</w:t>
      </w:r>
      <w:r w:rsidRPr="0044063C">
        <w:rPr>
          <w:rFonts w:ascii="Calibri" w:hAnsi="Calibri" w:cs="Calibri"/>
          <w:sz w:val="24"/>
          <w:szCs w:val="24"/>
        </w:rPr>
        <w:t xml:space="preserve"> </w:t>
      </w:r>
      <w:r>
        <w:rPr>
          <w:rFonts w:ascii="Calibri" w:hAnsi="Calibri" w:cs="Calibri"/>
          <w:sz w:val="24"/>
          <w:szCs w:val="24"/>
        </w:rPr>
        <w:t xml:space="preserve">mechanismů, tedy </w:t>
      </w:r>
      <w:r w:rsidRPr="0044063C">
        <w:rPr>
          <w:rFonts w:ascii="Calibri" w:hAnsi="Calibri" w:cs="Calibri"/>
          <w:sz w:val="24"/>
          <w:szCs w:val="24"/>
        </w:rPr>
        <w:t>především v</w:t>
      </w:r>
      <w:r>
        <w:rPr>
          <w:rFonts w:ascii="Calibri" w:hAnsi="Calibri" w:cs="Calibri"/>
          <w:sz w:val="24"/>
          <w:szCs w:val="24"/>
        </w:rPr>
        <w:t> lokalitách</w:t>
      </w:r>
      <w:r w:rsidRPr="0044063C">
        <w:rPr>
          <w:rFonts w:ascii="Calibri" w:hAnsi="Calibri" w:cs="Calibri"/>
          <w:sz w:val="24"/>
          <w:szCs w:val="24"/>
        </w:rPr>
        <w:t xml:space="preserve"> s</w:t>
      </w:r>
      <w:r>
        <w:rPr>
          <w:rFonts w:ascii="Calibri" w:hAnsi="Calibri" w:cs="Calibri"/>
          <w:sz w:val="24"/>
          <w:szCs w:val="24"/>
        </w:rPr>
        <w:t> </w:t>
      </w:r>
      <w:r w:rsidRPr="0044063C">
        <w:rPr>
          <w:rFonts w:ascii="Calibri" w:hAnsi="Calibri" w:cs="Calibri"/>
          <w:sz w:val="24"/>
          <w:szCs w:val="24"/>
        </w:rPr>
        <w:t>vysokou perspektivou poptávky</w:t>
      </w:r>
      <w:r>
        <w:rPr>
          <w:rFonts w:ascii="Calibri" w:hAnsi="Calibri" w:cs="Calibri"/>
          <w:sz w:val="24"/>
          <w:szCs w:val="24"/>
        </w:rPr>
        <w:t xml:space="preserve">. Jedná se zpravidla o hustě osídlené městské oblasti. Tento vývoj může </w:t>
      </w:r>
      <w:r w:rsidRPr="0044063C">
        <w:rPr>
          <w:rFonts w:ascii="Calibri" w:hAnsi="Calibri" w:cs="Calibri"/>
          <w:sz w:val="24"/>
          <w:szCs w:val="24"/>
        </w:rPr>
        <w:t>rozš</w:t>
      </w:r>
      <w:r>
        <w:rPr>
          <w:rFonts w:ascii="Calibri" w:hAnsi="Calibri" w:cs="Calibri"/>
          <w:sz w:val="24"/>
          <w:szCs w:val="24"/>
        </w:rPr>
        <w:t>í</w:t>
      </w:r>
      <w:r w:rsidRPr="0044063C">
        <w:rPr>
          <w:rFonts w:ascii="Calibri" w:hAnsi="Calibri" w:cs="Calibri"/>
          <w:sz w:val="24"/>
          <w:szCs w:val="24"/>
        </w:rPr>
        <w:t>ř</w:t>
      </w:r>
      <w:r>
        <w:rPr>
          <w:rFonts w:ascii="Calibri" w:hAnsi="Calibri" w:cs="Calibri"/>
          <w:sz w:val="24"/>
          <w:szCs w:val="24"/>
        </w:rPr>
        <w:t>it</w:t>
      </w:r>
      <w:r w:rsidRPr="0044063C">
        <w:rPr>
          <w:rFonts w:ascii="Calibri" w:hAnsi="Calibri" w:cs="Calibri"/>
          <w:sz w:val="24"/>
          <w:szCs w:val="24"/>
        </w:rPr>
        <w:t xml:space="preserve"> </w:t>
      </w:r>
      <w:r>
        <w:rPr>
          <w:rFonts w:ascii="Calibri" w:hAnsi="Calibri" w:cs="Calibri"/>
          <w:sz w:val="24"/>
          <w:szCs w:val="24"/>
        </w:rPr>
        <w:t xml:space="preserve">tzv. „digitální </w:t>
      </w:r>
      <w:r w:rsidRPr="0044063C">
        <w:rPr>
          <w:rFonts w:ascii="Calibri" w:hAnsi="Calibri" w:cs="Calibri"/>
          <w:sz w:val="24"/>
          <w:szCs w:val="24"/>
        </w:rPr>
        <w:t>propast</w:t>
      </w:r>
      <w:r>
        <w:rPr>
          <w:rFonts w:ascii="Calibri" w:hAnsi="Calibri" w:cs="Calibri"/>
          <w:sz w:val="24"/>
          <w:szCs w:val="24"/>
        </w:rPr>
        <w:t>“</w:t>
      </w:r>
      <w:r w:rsidRPr="0044063C">
        <w:rPr>
          <w:rFonts w:ascii="Calibri" w:hAnsi="Calibri" w:cs="Calibri"/>
          <w:sz w:val="24"/>
          <w:szCs w:val="24"/>
        </w:rPr>
        <w:t xml:space="preserve"> mezi městskými </w:t>
      </w:r>
      <w:r>
        <w:rPr>
          <w:rFonts w:ascii="Calibri" w:hAnsi="Calibri" w:cs="Calibri"/>
          <w:sz w:val="24"/>
          <w:szCs w:val="24"/>
        </w:rPr>
        <w:t>a </w:t>
      </w:r>
      <w:r w:rsidRPr="0044063C">
        <w:rPr>
          <w:rFonts w:ascii="Calibri" w:hAnsi="Calibri" w:cs="Calibri"/>
          <w:sz w:val="24"/>
          <w:szCs w:val="24"/>
        </w:rPr>
        <w:t>venkovskými oblastmi</w:t>
      </w:r>
      <w:r>
        <w:rPr>
          <w:rFonts w:ascii="Calibri" w:hAnsi="Calibri" w:cs="Calibri"/>
          <w:sz w:val="24"/>
          <w:szCs w:val="24"/>
        </w:rPr>
        <w:t xml:space="preserve">, ve kterých nelze soukromé investice na komerční bázi očekávat. </w:t>
      </w:r>
      <w:r w:rsidRPr="0044063C">
        <w:rPr>
          <w:rFonts w:ascii="Calibri" w:hAnsi="Calibri" w:cs="Calibri"/>
          <w:sz w:val="24"/>
          <w:szCs w:val="24"/>
        </w:rPr>
        <w:t xml:space="preserve">Méně obydlené oblasti </w:t>
      </w:r>
      <w:r>
        <w:rPr>
          <w:rFonts w:ascii="Calibri" w:hAnsi="Calibri" w:cs="Calibri"/>
          <w:sz w:val="24"/>
          <w:szCs w:val="24"/>
        </w:rPr>
        <w:t>České republiky</w:t>
      </w:r>
      <w:r w:rsidRPr="0044063C">
        <w:rPr>
          <w:rFonts w:ascii="Calibri" w:hAnsi="Calibri" w:cs="Calibri"/>
          <w:sz w:val="24"/>
          <w:szCs w:val="24"/>
        </w:rPr>
        <w:t xml:space="preserve"> by </w:t>
      </w:r>
      <w:r>
        <w:rPr>
          <w:rFonts w:ascii="Calibri" w:hAnsi="Calibri" w:cs="Calibri"/>
          <w:sz w:val="24"/>
          <w:szCs w:val="24"/>
        </w:rPr>
        <w:t xml:space="preserve">tak </w:t>
      </w:r>
      <w:r w:rsidRPr="0044063C">
        <w:rPr>
          <w:rFonts w:ascii="Calibri" w:hAnsi="Calibri" w:cs="Calibri"/>
          <w:sz w:val="24"/>
          <w:szCs w:val="24"/>
        </w:rPr>
        <w:t>mohly zůstat v</w:t>
      </w:r>
      <w:r>
        <w:rPr>
          <w:rFonts w:ascii="Calibri" w:hAnsi="Calibri" w:cs="Calibri"/>
          <w:sz w:val="24"/>
          <w:szCs w:val="24"/>
        </w:rPr>
        <w:t> </w:t>
      </w:r>
      <w:r w:rsidRPr="0044063C">
        <w:rPr>
          <w:rFonts w:ascii="Calibri" w:hAnsi="Calibri" w:cs="Calibri"/>
          <w:sz w:val="24"/>
          <w:szCs w:val="24"/>
        </w:rPr>
        <w:t xml:space="preserve">důsledku </w:t>
      </w:r>
      <w:r>
        <w:rPr>
          <w:rFonts w:ascii="Calibri" w:hAnsi="Calibri" w:cs="Calibri"/>
          <w:sz w:val="24"/>
          <w:szCs w:val="24"/>
        </w:rPr>
        <w:t>kapacitně nedostatečného</w:t>
      </w:r>
      <w:r w:rsidRPr="0044063C">
        <w:rPr>
          <w:rFonts w:ascii="Calibri" w:hAnsi="Calibri" w:cs="Calibri"/>
          <w:sz w:val="24"/>
          <w:szCs w:val="24"/>
        </w:rPr>
        <w:t xml:space="preserve"> připojení k</w:t>
      </w:r>
      <w:r>
        <w:rPr>
          <w:rFonts w:ascii="Calibri" w:hAnsi="Calibri" w:cs="Calibri"/>
          <w:sz w:val="24"/>
          <w:szCs w:val="24"/>
        </w:rPr>
        <w:t> i</w:t>
      </w:r>
      <w:r w:rsidRPr="0044063C">
        <w:rPr>
          <w:rFonts w:ascii="Calibri" w:hAnsi="Calibri" w:cs="Calibri"/>
          <w:sz w:val="24"/>
          <w:szCs w:val="24"/>
        </w:rPr>
        <w:t xml:space="preserve">nternetu </w:t>
      </w:r>
      <w:r>
        <w:rPr>
          <w:rFonts w:ascii="Calibri" w:hAnsi="Calibri" w:cs="Calibri"/>
          <w:sz w:val="24"/>
          <w:szCs w:val="24"/>
        </w:rPr>
        <w:t xml:space="preserve">– </w:t>
      </w:r>
      <w:r w:rsidRPr="0044063C">
        <w:rPr>
          <w:rFonts w:ascii="Calibri" w:hAnsi="Calibri" w:cs="Calibri"/>
          <w:sz w:val="24"/>
          <w:szCs w:val="24"/>
        </w:rPr>
        <w:t>dokonce i</w:t>
      </w:r>
      <w:r>
        <w:rPr>
          <w:rFonts w:ascii="Calibri" w:hAnsi="Calibri" w:cs="Calibri"/>
          <w:sz w:val="24"/>
          <w:szCs w:val="24"/>
        </w:rPr>
        <w:t> </w:t>
      </w:r>
      <w:r w:rsidRPr="0044063C">
        <w:rPr>
          <w:rFonts w:ascii="Calibri" w:hAnsi="Calibri" w:cs="Calibri"/>
          <w:sz w:val="24"/>
          <w:szCs w:val="24"/>
        </w:rPr>
        <w:t xml:space="preserve">při stoupající poptávce </w:t>
      </w:r>
      <w:r w:rsidRPr="00273255">
        <w:rPr>
          <w:rFonts w:ascii="Calibri" w:hAnsi="Calibri" w:cs="Calibri"/>
          <w:sz w:val="24"/>
          <w:szCs w:val="24"/>
        </w:rPr>
        <w:t>–</w:t>
      </w:r>
      <w:r w:rsidRPr="0044063C">
        <w:rPr>
          <w:rFonts w:ascii="Calibri" w:hAnsi="Calibri" w:cs="Calibri"/>
          <w:sz w:val="24"/>
          <w:szCs w:val="24"/>
        </w:rPr>
        <w:t xml:space="preserve"> dlouhodobě vyloučeny z</w:t>
      </w:r>
      <w:r>
        <w:rPr>
          <w:rFonts w:ascii="Calibri" w:hAnsi="Calibri" w:cs="Calibri"/>
          <w:sz w:val="24"/>
          <w:szCs w:val="24"/>
        </w:rPr>
        <w:t> budování moderních sítí elektronických komunikací založeném na tržním základě</w:t>
      </w:r>
      <w:r w:rsidRPr="0044063C">
        <w:rPr>
          <w:rFonts w:ascii="Calibri" w:hAnsi="Calibri" w:cs="Calibri"/>
          <w:sz w:val="24"/>
          <w:szCs w:val="24"/>
        </w:rPr>
        <w:t>. Jako následek trvající stagnace hrozí v</w:t>
      </w:r>
      <w:r>
        <w:rPr>
          <w:rFonts w:ascii="Calibri" w:hAnsi="Calibri" w:cs="Calibri"/>
          <w:sz w:val="24"/>
          <w:szCs w:val="24"/>
        </w:rPr>
        <w:t> </w:t>
      </w:r>
      <w:r w:rsidRPr="0044063C">
        <w:rPr>
          <w:rFonts w:ascii="Calibri" w:hAnsi="Calibri" w:cs="Calibri"/>
          <w:sz w:val="24"/>
          <w:szCs w:val="24"/>
        </w:rPr>
        <w:t>postižených oblastech růst nezaměstnanosti a</w:t>
      </w:r>
      <w:r>
        <w:rPr>
          <w:rFonts w:ascii="Calibri" w:hAnsi="Calibri" w:cs="Calibri"/>
          <w:sz w:val="24"/>
          <w:szCs w:val="24"/>
        </w:rPr>
        <w:t> </w:t>
      </w:r>
      <w:r w:rsidRPr="0044063C">
        <w:rPr>
          <w:rFonts w:ascii="Calibri" w:hAnsi="Calibri" w:cs="Calibri"/>
          <w:sz w:val="24"/>
          <w:szCs w:val="24"/>
        </w:rPr>
        <w:t>úbytek obyvatelstva.</w:t>
      </w:r>
    </w:p>
    <w:p w:rsidR="00FF3BA2" w:rsidRDefault="00FF3BA2" w:rsidP="0038738E">
      <w:pPr>
        <w:spacing w:after="120"/>
        <w:jc w:val="both"/>
        <w:rPr>
          <w:rFonts w:ascii="Calibri" w:hAnsi="Calibri" w:cs="Calibri"/>
          <w:sz w:val="24"/>
          <w:szCs w:val="24"/>
        </w:rPr>
      </w:pPr>
      <w:r w:rsidRPr="003351B1">
        <w:rPr>
          <w:rFonts w:ascii="Calibri" w:hAnsi="Calibri" w:cs="Calibri"/>
          <w:sz w:val="24"/>
          <w:szCs w:val="24"/>
        </w:rPr>
        <w:t xml:space="preserve">K strukturálnímu překonání </w:t>
      </w:r>
      <w:r>
        <w:rPr>
          <w:rFonts w:ascii="Calibri" w:hAnsi="Calibri" w:cs="Calibri"/>
          <w:sz w:val="24"/>
          <w:szCs w:val="24"/>
        </w:rPr>
        <w:t xml:space="preserve">tzv. </w:t>
      </w:r>
      <w:r w:rsidRPr="003351B1">
        <w:rPr>
          <w:rFonts w:ascii="Calibri" w:hAnsi="Calibri" w:cs="Calibri"/>
          <w:sz w:val="24"/>
          <w:szCs w:val="24"/>
        </w:rPr>
        <w:t>„</w:t>
      </w:r>
      <w:r>
        <w:rPr>
          <w:rFonts w:ascii="Calibri" w:hAnsi="Calibri" w:cs="Calibri"/>
          <w:sz w:val="24"/>
          <w:szCs w:val="24"/>
        </w:rPr>
        <w:t xml:space="preserve">digitální </w:t>
      </w:r>
      <w:r w:rsidRPr="003351B1">
        <w:rPr>
          <w:rFonts w:ascii="Calibri" w:hAnsi="Calibri" w:cs="Calibri"/>
          <w:sz w:val="24"/>
          <w:szCs w:val="24"/>
        </w:rPr>
        <w:t>propasti</w:t>
      </w:r>
      <w:r>
        <w:rPr>
          <w:rFonts w:ascii="Calibri" w:hAnsi="Calibri" w:cs="Calibri"/>
          <w:sz w:val="24"/>
          <w:szCs w:val="24"/>
        </w:rPr>
        <w:t>“</w:t>
      </w:r>
      <w:r w:rsidRPr="003351B1">
        <w:rPr>
          <w:rFonts w:ascii="Calibri" w:hAnsi="Calibri" w:cs="Calibri"/>
          <w:sz w:val="24"/>
          <w:szCs w:val="24"/>
        </w:rPr>
        <w:t xml:space="preserve"> </w:t>
      </w:r>
      <w:r>
        <w:rPr>
          <w:rFonts w:ascii="Calibri" w:hAnsi="Calibri" w:cs="Calibri"/>
          <w:sz w:val="24"/>
          <w:szCs w:val="24"/>
        </w:rPr>
        <w:t xml:space="preserve">z hlediska geografické dostupnosti vysokorychlostního přístupu k internetu v jednotlivých regionech </w:t>
      </w:r>
      <w:r w:rsidRPr="003351B1">
        <w:rPr>
          <w:rFonts w:ascii="Calibri" w:hAnsi="Calibri" w:cs="Calibri"/>
          <w:sz w:val="24"/>
          <w:szCs w:val="24"/>
        </w:rPr>
        <w:t>jsou nutné enormní finanční prostředky, které nejsou</w:t>
      </w:r>
      <w:r>
        <w:rPr>
          <w:rFonts w:ascii="Calibri" w:hAnsi="Calibri" w:cs="Calibri"/>
          <w:sz w:val="24"/>
          <w:szCs w:val="24"/>
        </w:rPr>
        <w:t xml:space="preserve"> na základě samotných tržních mechanismů </w:t>
      </w:r>
      <w:r w:rsidRPr="003351B1">
        <w:rPr>
          <w:rFonts w:ascii="Calibri" w:hAnsi="Calibri" w:cs="Calibri"/>
          <w:sz w:val="24"/>
          <w:szCs w:val="24"/>
        </w:rPr>
        <w:t>k</w:t>
      </w:r>
      <w:r>
        <w:rPr>
          <w:rFonts w:ascii="Calibri" w:hAnsi="Calibri" w:cs="Calibri"/>
          <w:sz w:val="24"/>
          <w:szCs w:val="24"/>
        </w:rPr>
        <w:t> </w:t>
      </w:r>
      <w:r w:rsidRPr="003351B1">
        <w:rPr>
          <w:rFonts w:ascii="Calibri" w:hAnsi="Calibri" w:cs="Calibri"/>
          <w:sz w:val="24"/>
          <w:szCs w:val="24"/>
        </w:rPr>
        <w:t>dispozici.</w:t>
      </w:r>
    </w:p>
    <w:p w:rsidR="00FF3BA2" w:rsidRDefault="00FF3BA2" w:rsidP="0038738E">
      <w:pPr>
        <w:spacing w:after="120"/>
        <w:jc w:val="both"/>
        <w:rPr>
          <w:rFonts w:ascii="Calibri" w:hAnsi="Calibri" w:cs="Calibri"/>
          <w:sz w:val="24"/>
          <w:szCs w:val="24"/>
        </w:rPr>
      </w:pPr>
      <w:r>
        <w:rPr>
          <w:rFonts w:ascii="Calibri" w:hAnsi="Calibri" w:cs="Calibri"/>
          <w:sz w:val="24"/>
          <w:szCs w:val="24"/>
        </w:rPr>
        <w:t>Podle dosud dostupných analýz jsou náklady na</w:t>
      </w:r>
      <w:r w:rsidRPr="008B099F">
        <w:rPr>
          <w:rFonts w:ascii="Calibri" w:hAnsi="Calibri" w:cs="Calibri"/>
          <w:sz w:val="24"/>
          <w:szCs w:val="24"/>
        </w:rPr>
        <w:t xml:space="preserve"> vybudování pasivní části </w:t>
      </w:r>
      <w:r>
        <w:rPr>
          <w:rFonts w:ascii="Calibri" w:hAnsi="Calibri" w:cs="Calibri"/>
          <w:sz w:val="24"/>
          <w:szCs w:val="24"/>
        </w:rPr>
        <w:t>moderní vysokorychlostní přístupové</w:t>
      </w:r>
      <w:r w:rsidRPr="008B099F">
        <w:rPr>
          <w:rFonts w:ascii="Calibri" w:hAnsi="Calibri" w:cs="Calibri"/>
          <w:sz w:val="24"/>
          <w:szCs w:val="24"/>
        </w:rPr>
        <w:t xml:space="preserve"> sítě </w:t>
      </w:r>
      <w:r>
        <w:rPr>
          <w:rFonts w:ascii="Calibri" w:hAnsi="Calibri" w:cs="Calibri"/>
          <w:sz w:val="24"/>
          <w:szCs w:val="24"/>
        </w:rPr>
        <w:t xml:space="preserve">na bázi optické technologie </w:t>
      </w:r>
      <w:r w:rsidRPr="008B099F">
        <w:rPr>
          <w:rFonts w:ascii="Calibri" w:hAnsi="Calibri" w:cs="Calibri"/>
          <w:sz w:val="24"/>
          <w:szCs w:val="24"/>
        </w:rPr>
        <w:t>1</w:t>
      </w:r>
      <w:r>
        <w:rPr>
          <w:rFonts w:ascii="Calibri" w:hAnsi="Calibri" w:cs="Calibri"/>
          <w:sz w:val="24"/>
          <w:szCs w:val="24"/>
        </w:rPr>
        <w:t xml:space="preserve"> </w:t>
      </w:r>
      <w:r w:rsidRPr="008B099F">
        <w:rPr>
          <w:rFonts w:ascii="Calibri" w:hAnsi="Calibri" w:cs="Calibri"/>
          <w:sz w:val="24"/>
          <w:szCs w:val="24"/>
        </w:rPr>
        <w:t xml:space="preserve">500 </w:t>
      </w:r>
      <w:r>
        <w:rPr>
          <w:rFonts w:ascii="Calibri" w:hAnsi="Calibri" w:cs="Calibri"/>
          <w:sz w:val="24"/>
          <w:szCs w:val="24"/>
        </w:rPr>
        <w:t>až</w:t>
      </w:r>
      <w:r w:rsidRPr="008B099F">
        <w:rPr>
          <w:rFonts w:ascii="Calibri" w:hAnsi="Calibri" w:cs="Calibri"/>
          <w:sz w:val="24"/>
          <w:szCs w:val="24"/>
        </w:rPr>
        <w:t xml:space="preserve"> 2</w:t>
      </w:r>
      <w:r>
        <w:rPr>
          <w:rFonts w:ascii="Calibri" w:hAnsi="Calibri" w:cs="Calibri"/>
          <w:sz w:val="24"/>
          <w:szCs w:val="24"/>
        </w:rPr>
        <w:t xml:space="preserve"> </w:t>
      </w:r>
      <w:r w:rsidRPr="008B099F">
        <w:rPr>
          <w:rFonts w:ascii="Calibri" w:hAnsi="Calibri" w:cs="Calibri"/>
          <w:sz w:val="24"/>
          <w:szCs w:val="24"/>
        </w:rPr>
        <w:t xml:space="preserve">000 Kč/metr, tedy </w:t>
      </w:r>
      <w:r>
        <w:rPr>
          <w:rFonts w:ascii="Calibri" w:hAnsi="Calibri" w:cs="Calibri"/>
          <w:sz w:val="24"/>
          <w:szCs w:val="24"/>
        </w:rPr>
        <w:t>realizace</w:t>
      </w:r>
      <w:r w:rsidRPr="008B099F">
        <w:rPr>
          <w:rFonts w:ascii="Calibri" w:hAnsi="Calibri" w:cs="Calibri"/>
          <w:sz w:val="24"/>
          <w:szCs w:val="24"/>
        </w:rPr>
        <w:t xml:space="preserve"> 1 km stojí 1,</w:t>
      </w:r>
      <w:r>
        <w:rPr>
          <w:rFonts w:ascii="Calibri" w:hAnsi="Calibri" w:cs="Calibri"/>
          <w:sz w:val="24"/>
          <w:szCs w:val="24"/>
        </w:rPr>
        <w:t xml:space="preserve">5 až </w:t>
      </w:r>
      <w:r w:rsidRPr="008B099F">
        <w:rPr>
          <w:rFonts w:ascii="Calibri" w:hAnsi="Calibri" w:cs="Calibri"/>
          <w:sz w:val="24"/>
          <w:szCs w:val="24"/>
        </w:rPr>
        <w:t>2</w:t>
      </w:r>
      <w:r>
        <w:rPr>
          <w:rFonts w:ascii="Calibri" w:hAnsi="Calibri" w:cs="Calibri"/>
          <w:sz w:val="24"/>
          <w:szCs w:val="24"/>
        </w:rPr>
        <w:t xml:space="preserve"> </w:t>
      </w:r>
      <w:r w:rsidRPr="008B099F">
        <w:rPr>
          <w:rFonts w:ascii="Calibri" w:hAnsi="Calibri" w:cs="Calibri"/>
          <w:sz w:val="24"/>
          <w:szCs w:val="24"/>
        </w:rPr>
        <w:t>mil. Kč.</w:t>
      </w:r>
      <w:r w:rsidRPr="008B099F">
        <w:t xml:space="preserve"> </w:t>
      </w:r>
      <w:r w:rsidRPr="008B099F">
        <w:rPr>
          <w:rFonts w:ascii="Calibri" w:hAnsi="Calibri" w:cs="Calibri"/>
          <w:sz w:val="24"/>
          <w:szCs w:val="24"/>
        </w:rPr>
        <w:t>Cena se skládá z</w:t>
      </w:r>
      <w:r>
        <w:rPr>
          <w:rFonts w:ascii="Calibri" w:hAnsi="Calibri" w:cs="Calibri"/>
          <w:sz w:val="24"/>
          <w:szCs w:val="24"/>
        </w:rPr>
        <w:t xml:space="preserve"> ceny </w:t>
      </w:r>
      <w:r w:rsidRPr="008B099F">
        <w:rPr>
          <w:rFonts w:ascii="Calibri" w:hAnsi="Calibri" w:cs="Calibri"/>
          <w:sz w:val="24"/>
          <w:szCs w:val="24"/>
        </w:rPr>
        <w:t>projekčních prací včetně územního řízení, materiálových toků, stavebních a</w:t>
      </w:r>
      <w:r>
        <w:rPr>
          <w:rFonts w:ascii="Calibri" w:hAnsi="Calibri" w:cs="Calibri"/>
          <w:sz w:val="24"/>
          <w:szCs w:val="24"/>
        </w:rPr>
        <w:t> </w:t>
      </w:r>
      <w:r w:rsidRPr="008B099F">
        <w:rPr>
          <w:rFonts w:ascii="Calibri" w:hAnsi="Calibri" w:cs="Calibri"/>
          <w:sz w:val="24"/>
          <w:szCs w:val="24"/>
        </w:rPr>
        <w:t>výkopových prací. V</w:t>
      </w:r>
      <w:r>
        <w:rPr>
          <w:rFonts w:ascii="Calibri" w:hAnsi="Calibri" w:cs="Calibri"/>
          <w:sz w:val="24"/>
          <w:szCs w:val="24"/>
        </w:rPr>
        <w:t> </w:t>
      </w:r>
      <w:r w:rsidRPr="008B099F">
        <w:rPr>
          <w:rFonts w:ascii="Calibri" w:hAnsi="Calibri" w:cs="Calibri"/>
          <w:sz w:val="24"/>
          <w:szCs w:val="24"/>
        </w:rPr>
        <w:t>této ceně nejsou započítány aktivní koncové prvky, které vyžadují další investice.</w:t>
      </w:r>
      <w:r>
        <w:rPr>
          <w:rFonts w:ascii="Calibri" w:hAnsi="Calibri" w:cs="Calibri"/>
          <w:sz w:val="24"/>
          <w:szCs w:val="24"/>
        </w:rPr>
        <w:t xml:space="preserve"> Cena je rovněž závislá na tom, zda se jedná o venkovskou nebo městskou lokalitu, na výši věcných břemen nebo na možnosti využití dosavadní</w:t>
      </w:r>
      <w:r w:rsidRPr="00A463ED">
        <w:rPr>
          <w:rFonts w:ascii="Calibri" w:hAnsi="Calibri" w:cs="Calibri"/>
          <w:sz w:val="24"/>
          <w:szCs w:val="24"/>
        </w:rPr>
        <w:t xml:space="preserve"> </w:t>
      </w:r>
      <w:r>
        <w:rPr>
          <w:rFonts w:ascii="Calibri" w:hAnsi="Calibri" w:cs="Calibri"/>
          <w:sz w:val="24"/>
          <w:szCs w:val="24"/>
        </w:rPr>
        <w:t xml:space="preserve">infrastruktury. Nejvýznamnější nákladovou položkou jsou stavební a inženýrské práce (např. provádění výkopů, pokládání kabelů, instalace domovních rozvodů apod.), které mohou dosáhnout až 70 - 80 % všech nákladů na </w:t>
      </w:r>
      <w:r w:rsidRPr="003E6DF8">
        <w:rPr>
          <w:rFonts w:ascii="Calibri" w:hAnsi="Calibri" w:cs="Calibri"/>
          <w:sz w:val="24"/>
          <w:szCs w:val="24"/>
        </w:rPr>
        <w:t xml:space="preserve">realizaci </w:t>
      </w:r>
      <w:r>
        <w:rPr>
          <w:rFonts w:ascii="Calibri" w:hAnsi="Calibri" w:cs="Calibri"/>
          <w:sz w:val="24"/>
          <w:szCs w:val="24"/>
        </w:rPr>
        <w:t>těchto</w:t>
      </w:r>
      <w:r w:rsidRPr="003E6DF8">
        <w:rPr>
          <w:rFonts w:ascii="Calibri" w:hAnsi="Calibri" w:cs="Calibri"/>
          <w:sz w:val="24"/>
          <w:szCs w:val="24"/>
        </w:rPr>
        <w:t xml:space="preserve"> sítí.</w:t>
      </w:r>
    </w:p>
    <w:p w:rsidR="00FF3BA2" w:rsidRDefault="00FF3BA2" w:rsidP="0038738E">
      <w:pPr>
        <w:spacing w:after="120"/>
        <w:jc w:val="both"/>
        <w:rPr>
          <w:rFonts w:ascii="Calibri" w:hAnsi="Calibri" w:cs="Calibri"/>
          <w:sz w:val="24"/>
          <w:szCs w:val="24"/>
        </w:rPr>
      </w:pPr>
      <w:r w:rsidRPr="00F349C8">
        <w:rPr>
          <w:rFonts w:ascii="Calibri" w:hAnsi="Calibri" w:cs="Calibri"/>
          <w:sz w:val="24"/>
          <w:szCs w:val="24"/>
        </w:rPr>
        <w:t xml:space="preserve">Na základě výše uvedeného </w:t>
      </w:r>
      <w:r w:rsidRPr="00D3412B">
        <w:rPr>
          <w:rFonts w:ascii="Calibri" w:hAnsi="Calibri" w:cs="Calibri"/>
          <w:sz w:val="24"/>
          <w:szCs w:val="24"/>
        </w:rPr>
        <w:t>lze v</w:t>
      </w:r>
      <w:r>
        <w:rPr>
          <w:rFonts w:ascii="Calibri" w:hAnsi="Calibri" w:cs="Calibri"/>
          <w:sz w:val="24"/>
          <w:szCs w:val="24"/>
        </w:rPr>
        <w:t> </w:t>
      </w:r>
      <w:r w:rsidRPr="00D3412B">
        <w:rPr>
          <w:rFonts w:ascii="Calibri" w:hAnsi="Calibri" w:cs="Calibri"/>
          <w:sz w:val="24"/>
          <w:szCs w:val="24"/>
        </w:rPr>
        <w:t>obecné rovině konstatovat</w:t>
      </w:r>
      <w:r w:rsidRPr="00F349C8">
        <w:rPr>
          <w:rFonts w:ascii="Calibri" w:hAnsi="Calibri" w:cs="Calibri"/>
          <w:sz w:val="24"/>
          <w:szCs w:val="24"/>
        </w:rPr>
        <w:t xml:space="preserve">, že návratnost investic do </w:t>
      </w:r>
      <w:r w:rsidRPr="00D3412B">
        <w:rPr>
          <w:rFonts w:ascii="Calibri" w:hAnsi="Calibri" w:cs="Calibri"/>
          <w:sz w:val="24"/>
          <w:szCs w:val="24"/>
        </w:rPr>
        <w:t xml:space="preserve">realizace vysokorychlostních přístupových sítí </w:t>
      </w:r>
      <w:r>
        <w:rPr>
          <w:rFonts w:ascii="Calibri" w:hAnsi="Calibri" w:cs="Calibri"/>
          <w:sz w:val="24"/>
          <w:szCs w:val="24"/>
        </w:rPr>
        <w:t xml:space="preserve">ve venkovských oblastech </w:t>
      </w:r>
      <w:r w:rsidRPr="00D3412B">
        <w:rPr>
          <w:rFonts w:ascii="Calibri" w:hAnsi="Calibri" w:cs="Calibri"/>
          <w:sz w:val="24"/>
          <w:szCs w:val="24"/>
        </w:rPr>
        <w:t xml:space="preserve">je za horizontem reálných </w:t>
      </w:r>
      <w:r w:rsidRPr="00F349C8">
        <w:rPr>
          <w:rFonts w:ascii="Calibri" w:hAnsi="Calibri" w:cs="Calibri"/>
          <w:sz w:val="24"/>
          <w:szCs w:val="24"/>
        </w:rPr>
        <w:t>možností podnikatel</w:t>
      </w:r>
      <w:r>
        <w:rPr>
          <w:rFonts w:ascii="Calibri" w:hAnsi="Calibri" w:cs="Calibri"/>
          <w:sz w:val="24"/>
          <w:szCs w:val="24"/>
        </w:rPr>
        <w:t>ských subjektů a bez veřejné podpory nelze předpokládat další rozvoj, resp. rozšíření, vysokorychlostního přístupu k internetu</w:t>
      </w:r>
      <w:r w:rsidRPr="00F349C8">
        <w:rPr>
          <w:rFonts w:ascii="Calibri" w:hAnsi="Calibri" w:cs="Calibri"/>
          <w:sz w:val="24"/>
          <w:szCs w:val="24"/>
        </w:rPr>
        <w:t>.</w:t>
      </w:r>
    </w:p>
    <w:p w:rsidR="00FF3BA2" w:rsidRDefault="00FF3BA2" w:rsidP="0038738E">
      <w:pPr>
        <w:jc w:val="both"/>
        <w:rPr>
          <w:rFonts w:asciiTheme="minorHAnsi" w:hAnsiTheme="minorHAnsi" w:cstheme="minorHAnsi"/>
          <w:sz w:val="24"/>
          <w:szCs w:val="24"/>
        </w:rPr>
      </w:pPr>
      <w:r w:rsidRPr="00FF3BA2">
        <w:rPr>
          <w:rFonts w:asciiTheme="minorHAnsi" w:hAnsiTheme="minorHAnsi" w:cstheme="minorHAnsi"/>
          <w:sz w:val="24"/>
          <w:szCs w:val="24"/>
        </w:rPr>
        <w:t>Mezi přínosy plošné výstavby optických sítí je nutné zmínit výsledky některých studií</w:t>
      </w:r>
      <w:r w:rsidRPr="00205224">
        <w:rPr>
          <w:rFonts w:asciiTheme="minorHAnsi" w:hAnsiTheme="minorHAnsi" w:cstheme="minorHAnsi"/>
          <w:vertAlign w:val="superscript"/>
        </w:rPr>
        <w:footnoteReference w:id="10"/>
      </w:r>
      <w:r w:rsidRPr="00FF3BA2">
        <w:rPr>
          <w:rFonts w:asciiTheme="minorHAnsi" w:hAnsiTheme="minorHAnsi" w:cstheme="minorHAnsi"/>
          <w:sz w:val="24"/>
          <w:szCs w:val="24"/>
        </w:rPr>
        <w:t>, podle kterých plošná výstavba optických sítí přispívá k růstu HDP a ke zvýšení zaměstnanosti. Evropská komise přímo konstatuje, že každým rozšířením vysokorychlostního připojení o dalších 10 % vzroste ekonomika o 1 až 1,5 %.</w:t>
      </w:r>
    </w:p>
    <w:p w:rsidR="00330E3C" w:rsidRPr="00FF3BA2" w:rsidRDefault="00330E3C" w:rsidP="0038738E">
      <w:pPr>
        <w:jc w:val="both"/>
        <w:rPr>
          <w:rFonts w:asciiTheme="minorHAnsi" w:hAnsiTheme="minorHAnsi" w:cstheme="minorHAnsi"/>
          <w:sz w:val="24"/>
          <w:szCs w:val="24"/>
        </w:rPr>
      </w:pPr>
    </w:p>
    <w:p w:rsidR="0057331F" w:rsidRDefault="0057331F" w:rsidP="0038738E">
      <w:pPr>
        <w:pStyle w:val="Nadpis4"/>
        <w:spacing w:line="240" w:lineRule="auto"/>
      </w:pPr>
      <w:bookmarkStart w:id="94" w:name="_Toc351464406"/>
      <w:r>
        <w:rPr>
          <w:szCs w:val="24"/>
        </w:rPr>
        <w:t xml:space="preserve">Specifický cíl </w:t>
      </w:r>
      <w:r w:rsidR="00FF3BA2" w:rsidRPr="00FF3BA2">
        <w:rPr>
          <w:szCs w:val="24"/>
        </w:rPr>
        <w:t>4.2 - Rozvoj nejmodernějších a pokročilých informačních a komunikačních technologií a podpora poskytování souvisejících sdílených služeb</w:t>
      </w:r>
      <w:bookmarkEnd w:id="94"/>
    </w:p>
    <w:p w:rsidR="00FF3BA2" w:rsidRPr="00A32A66" w:rsidRDefault="00FF3BA2" w:rsidP="0038738E">
      <w:pPr>
        <w:spacing w:after="120"/>
        <w:jc w:val="both"/>
        <w:rPr>
          <w:rFonts w:ascii="Calibri" w:hAnsi="Calibri" w:cs="Calibri"/>
          <w:sz w:val="24"/>
          <w:szCs w:val="24"/>
        </w:rPr>
      </w:pPr>
      <w:r>
        <w:rPr>
          <w:rFonts w:ascii="Calibri" w:hAnsi="Calibri" w:cs="Calibri"/>
          <w:sz w:val="24"/>
          <w:szCs w:val="24"/>
        </w:rPr>
        <w:t>Smyslem tohoto specifického cíle</w:t>
      </w:r>
      <w:r w:rsidRPr="00A32A66">
        <w:rPr>
          <w:rFonts w:ascii="Calibri" w:hAnsi="Calibri" w:cs="Calibri"/>
          <w:sz w:val="24"/>
          <w:szCs w:val="24"/>
        </w:rPr>
        <w:t xml:space="preserve"> je podpořit konkure</w:t>
      </w:r>
      <w:r>
        <w:rPr>
          <w:rFonts w:ascii="Calibri" w:hAnsi="Calibri" w:cs="Calibri"/>
          <w:sz w:val="24"/>
          <w:szCs w:val="24"/>
        </w:rPr>
        <w:t xml:space="preserve">nceschopnost a růst ICT sektoru </w:t>
      </w:r>
      <w:r w:rsidRPr="00A32A66">
        <w:rPr>
          <w:rFonts w:ascii="Calibri" w:hAnsi="Calibri" w:cs="Calibri"/>
          <w:sz w:val="24"/>
          <w:szCs w:val="24"/>
        </w:rPr>
        <w:t>v</w:t>
      </w:r>
      <w:r>
        <w:rPr>
          <w:rFonts w:ascii="Calibri" w:hAnsi="Calibri" w:cs="Calibri"/>
          <w:sz w:val="24"/>
          <w:szCs w:val="24"/>
        </w:rPr>
        <w:t> </w:t>
      </w:r>
      <w:r w:rsidRPr="00A32A66">
        <w:rPr>
          <w:rFonts w:ascii="Calibri" w:hAnsi="Calibri" w:cs="Calibri"/>
          <w:sz w:val="24"/>
          <w:szCs w:val="24"/>
        </w:rPr>
        <w:t>České republice, podpořit nabídku nových in</w:t>
      </w:r>
      <w:r>
        <w:rPr>
          <w:rFonts w:ascii="Calibri" w:hAnsi="Calibri" w:cs="Calibri"/>
          <w:sz w:val="24"/>
          <w:szCs w:val="24"/>
        </w:rPr>
        <w:t xml:space="preserve">formačních systémů, ICT řešení, </w:t>
      </w:r>
      <w:r w:rsidRPr="00A32A66">
        <w:rPr>
          <w:rFonts w:ascii="Calibri" w:hAnsi="Calibri" w:cs="Calibri"/>
          <w:sz w:val="24"/>
          <w:szCs w:val="24"/>
        </w:rPr>
        <w:t>nových softwarových produktů a</w:t>
      </w:r>
      <w:r>
        <w:rPr>
          <w:rFonts w:ascii="Calibri" w:hAnsi="Calibri" w:cs="Calibri"/>
          <w:sz w:val="24"/>
          <w:szCs w:val="24"/>
        </w:rPr>
        <w:t> </w:t>
      </w:r>
      <w:r w:rsidRPr="00A32A66">
        <w:rPr>
          <w:rFonts w:ascii="Calibri" w:hAnsi="Calibri" w:cs="Calibri"/>
          <w:sz w:val="24"/>
          <w:szCs w:val="24"/>
        </w:rPr>
        <w:t xml:space="preserve">služeb. </w:t>
      </w:r>
      <w:r>
        <w:rPr>
          <w:rFonts w:ascii="Calibri" w:hAnsi="Calibri" w:cs="Calibri"/>
          <w:sz w:val="24"/>
          <w:szCs w:val="24"/>
        </w:rPr>
        <w:t xml:space="preserve">Specifický cíl je zaměřen rovněž na rozvoj </w:t>
      </w:r>
      <w:r w:rsidRPr="00A32A66">
        <w:rPr>
          <w:rFonts w:ascii="Calibri" w:hAnsi="Calibri" w:cs="Calibri"/>
          <w:sz w:val="24"/>
          <w:szCs w:val="24"/>
        </w:rPr>
        <w:t>informační a</w:t>
      </w:r>
      <w:r>
        <w:rPr>
          <w:rFonts w:ascii="Calibri" w:hAnsi="Calibri" w:cs="Calibri"/>
          <w:sz w:val="24"/>
          <w:szCs w:val="24"/>
        </w:rPr>
        <w:t> </w:t>
      </w:r>
      <w:r w:rsidRPr="00A32A66">
        <w:rPr>
          <w:rFonts w:ascii="Calibri" w:hAnsi="Calibri" w:cs="Calibri"/>
          <w:sz w:val="24"/>
          <w:szCs w:val="24"/>
        </w:rPr>
        <w:t>znalostní společnosti</w:t>
      </w:r>
      <w:r>
        <w:rPr>
          <w:rFonts w:ascii="Calibri" w:hAnsi="Calibri" w:cs="Calibri"/>
          <w:sz w:val="24"/>
          <w:szCs w:val="24"/>
        </w:rPr>
        <w:t>.</w:t>
      </w:r>
    </w:p>
    <w:p w:rsidR="00FF3BA2" w:rsidRPr="00A32A66" w:rsidRDefault="00FF3BA2" w:rsidP="0038738E">
      <w:pPr>
        <w:spacing w:after="120"/>
        <w:jc w:val="both"/>
        <w:rPr>
          <w:rFonts w:ascii="Calibri" w:hAnsi="Calibri" w:cs="Calibri"/>
          <w:sz w:val="24"/>
          <w:szCs w:val="24"/>
        </w:rPr>
      </w:pPr>
      <w:r>
        <w:rPr>
          <w:rFonts w:ascii="Calibri" w:hAnsi="Calibri" w:cs="Calibri"/>
          <w:sz w:val="24"/>
          <w:szCs w:val="24"/>
        </w:rPr>
        <w:lastRenderedPageBreak/>
        <w:t>Specifický cíl zahrnuje</w:t>
      </w:r>
      <w:r w:rsidRPr="00A32A66">
        <w:rPr>
          <w:rFonts w:ascii="Calibri" w:hAnsi="Calibri" w:cs="Calibri"/>
          <w:sz w:val="24"/>
          <w:szCs w:val="24"/>
        </w:rPr>
        <w:t xml:space="preserve"> </w:t>
      </w:r>
      <w:r>
        <w:rPr>
          <w:rFonts w:ascii="Calibri" w:hAnsi="Calibri" w:cs="Calibri"/>
          <w:sz w:val="24"/>
          <w:szCs w:val="24"/>
        </w:rPr>
        <w:t xml:space="preserve">rovněž </w:t>
      </w:r>
      <w:r w:rsidRPr="00A32A66">
        <w:rPr>
          <w:rFonts w:ascii="Calibri" w:hAnsi="Calibri" w:cs="Calibri"/>
          <w:sz w:val="24"/>
          <w:szCs w:val="24"/>
        </w:rPr>
        <w:t>podpor</w:t>
      </w:r>
      <w:r>
        <w:rPr>
          <w:rFonts w:ascii="Calibri" w:hAnsi="Calibri" w:cs="Calibri"/>
          <w:sz w:val="24"/>
          <w:szCs w:val="24"/>
        </w:rPr>
        <w:t>u</w:t>
      </w:r>
      <w:r w:rsidRPr="00A32A66">
        <w:rPr>
          <w:rFonts w:ascii="Calibri" w:hAnsi="Calibri" w:cs="Calibri"/>
          <w:sz w:val="24"/>
          <w:szCs w:val="24"/>
        </w:rPr>
        <w:t xml:space="preserve"> vybraných </w:t>
      </w:r>
      <w:r>
        <w:rPr>
          <w:rFonts w:ascii="Calibri" w:hAnsi="Calibri" w:cs="Calibri"/>
          <w:sz w:val="24"/>
          <w:szCs w:val="24"/>
        </w:rPr>
        <w:t xml:space="preserve">sdílených služeb s úzkou návazností </w:t>
      </w:r>
      <w:r w:rsidRPr="00A32A66">
        <w:rPr>
          <w:rFonts w:ascii="Calibri" w:hAnsi="Calibri" w:cs="Calibri"/>
          <w:sz w:val="24"/>
          <w:szCs w:val="24"/>
        </w:rPr>
        <w:t>na informační a</w:t>
      </w:r>
      <w:r>
        <w:rPr>
          <w:rFonts w:ascii="Calibri" w:hAnsi="Calibri" w:cs="Calibri"/>
          <w:sz w:val="24"/>
          <w:szCs w:val="24"/>
        </w:rPr>
        <w:t> </w:t>
      </w:r>
      <w:r w:rsidRPr="00A32A66">
        <w:rPr>
          <w:rFonts w:ascii="Calibri" w:hAnsi="Calibri" w:cs="Calibri"/>
          <w:sz w:val="24"/>
          <w:szCs w:val="24"/>
        </w:rPr>
        <w:t>komunikační technologie,</w:t>
      </w:r>
      <w:r>
        <w:rPr>
          <w:rFonts w:ascii="Calibri" w:hAnsi="Calibri" w:cs="Calibri"/>
          <w:sz w:val="24"/>
          <w:szCs w:val="24"/>
        </w:rPr>
        <w:t xml:space="preserve"> které by měly </w:t>
      </w:r>
      <w:r w:rsidRPr="00A32A66">
        <w:rPr>
          <w:rFonts w:ascii="Calibri" w:hAnsi="Calibri" w:cs="Calibri"/>
          <w:sz w:val="24"/>
          <w:szCs w:val="24"/>
        </w:rPr>
        <w:t xml:space="preserve">vést ke snižování nákladovosti procesů </w:t>
      </w:r>
      <w:r>
        <w:rPr>
          <w:rFonts w:ascii="Calibri" w:hAnsi="Calibri" w:cs="Calibri"/>
          <w:sz w:val="24"/>
          <w:szCs w:val="24"/>
        </w:rPr>
        <w:t xml:space="preserve">a zvyšování efektivity činností </w:t>
      </w:r>
      <w:r w:rsidRPr="00A32A66">
        <w:rPr>
          <w:rFonts w:ascii="Calibri" w:hAnsi="Calibri" w:cs="Calibri"/>
          <w:sz w:val="24"/>
          <w:szCs w:val="24"/>
        </w:rPr>
        <w:t>v</w:t>
      </w:r>
      <w:r>
        <w:rPr>
          <w:rFonts w:ascii="Calibri" w:hAnsi="Calibri" w:cs="Calibri"/>
          <w:sz w:val="24"/>
          <w:szCs w:val="24"/>
        </w:rPr>
        <w:t> </w:t>
      </w:r>
      <w:r w:rsidRPr="00A32A66">
        <w:rPr>
          <w:rFonts w:ascii="Calibri" w:hAnsi="Calibri" w:cs="Calibri"/>
          <w:sz w:val="24"/>
          <w:szCs w:val="24"/>
        </w:rPr>
        <w:t>podnicích, a</w:t>
      </w:r>
      <w:r>
        <w:rPr>
          <w:rFonts w:ascii="Calibri" w:hAnsi="Calibri" w:cs="Calibri"/>
          <w:sz w:val="24"/>
          <w:szCs w:val="24"/>
        </w:rPr>
        <w:t> </w:t>
      </w:r>
      <w:r w:rsidRPr="00A32A66">
        <w:rPr>
          <w:rFonts w:ascii="Calibri" w:hAnsi="Calibri" w:cs="Calibri"/>
          <w:sz w:val="24"/>
          <w:szCs w:val="24"/>
        </w:rPr>
        <w:t>tím přispět ke zvyšování jejich konkurenceschopnosti.</w:t>
      </w:r>
      <w:r w:rsidRPr="00F0735D">
        <w:t xml:space="preserve"> </w:t>
      </w:r>
      <w:r w:rsidRPr="00F0735D">
        <w:rPr>
          <w:rFonts w:ascii="Calibri" w:hAnsi="Calibri" w:cs="Calibri"/>
          <w:sz w:val="24"/>
          <w:szCs w:val="24"/>
        </w:rPr>
        <w:t>S</w:t>
      </w:r>
      <w:r>
        <w:rPr>
          <w:rFonts w:ascii="Calibri" w:hAnsi="Calibri" w:cs="Calibri"/>
          <w:sz w:val="24"/>
          <w:szCs w:val="24"/>
        </w:rPr>
        <w:t>dílenými</w:t>
      </w:r>
      <w:r w:rsidRPr="00F0735D">
        <w:rPr>
          <w:rFonts w:ascii="Calibri" w:hAnsi="Calibri" w:cs="Calibri"/>
          <w:sz w:val="24"/>
          <w:szCs w:val="24"/>
        </w:rPr>
        <w:t xml:space="preserve"> službami se </w:t>
      </w:r>
      <w:r>
        <w:rPr>
          <w:rFonts w:ascii="Calibri" w:hAnsi="Calibri" w:cs="Calibri"/>
          <w:sz w:val="24"/>
          <w:szCs w:val="24"/>
        </w:rPr>
        <w:t xml:space="preserve">rozumí vybrané podpůrné </w:t>
      </w:r>
      <w:r w:rsidRPr="00F0735D">
        <w:rPr>
          <w:rFonts w:ascii="Calibri" w:hAnsi="Calibri" w:cs="Calibri"/>
          <w:sz w:val="24"/>
          <w:szCs w:val="24"/>
        </w:rPr>
        <w:t>aktivity společností, které jsou poskyt</w:t>
      </w:r>
      <w:r>
        <w:rPr>
          <w:rFonts w:ascii="Calibri" w:hAnsi="Calibri" w:cs="Calibri"/>
          <w:sz w:val="24"/>
          <w:szCs w:val="24"/>
        </w:rPr>
        <w:t xml:space="preserve">ovány na principu outsourcingu, </w:t>
      </w:r>
      <w:r w:rsidRPr="00F0735D">
        <w:rPr>
          <w:rFonts w:ascii="Calibri" w:hAnsi="Calibri" w:cs="Calibri"/>
          <w:sz w:val="24"/>
          <w:szCs w:val="24"/>
        </w:rPr>
        <w:t xml:space="preserve">vyznačující se úzkou návazností na </w:t>
      </w:r>
      <w:r>
        <w:rPr>
          <w:rFonts w:ascii="Calibri" w:hAnsi="Calibri" w:cs="Calibri"/>
          <w:sz w:val="24"/>
          <w:szCs w:val="24"/>
        </w:rPr>
        <w:t>ICT.</w:t>
      </w:r>
    </w:p>
    <w:p w:rsidR="00FF3BA2" w:rsidRPr="00A32A66" w:rsidRDefault="00FF3BA2" w:rsidP="0038738E">
      <w:pPr>
        <w:spacing w:after="120"/>
        <w:jc w:val="both"/>
        <w:rPr>
          <w:rFonts w:ascii="Calibri" w:hAnsi="Calibri" w:cs="Calibri"/>
          <w:sz w:val="24"/>
          <w:szCs w:val="24"/>
        </w:rPr>
      </w:pPr>
      <w:r w:rsidRPr="00A32A66">
        <w:rPr>
          <w:rFonts w:ascii="Calibri" w:hAnsi="Calibri" w:cs="Calibri"/>
          <w:sz w:val="24"/>
          <w:szCs w:val="24"/>
        </w:rPr>
        <w:t xml:space="preserve">V neposlední řadě je </w:t>
      </w:r>
      <w:r>
        <w:rPr>
          <w:rFonts w:ascii="Calibri" w:hAnsi="Calibri" w:cs="Calibri"/>
          <w:sz w:val="24"/>
          <w:szCs w:val="24"/>
        </w:rPr>
        <w:t>specifický cíl zaměřen na</w:t>
      </w:r>
      <w:r w:rsidRPr="00A32A66">
        <w:rPr>
          <w:rFonts w:ascii="Calibri" w:hAnsi="Calibri" w:cs="Calibri"/>
          <w:sz w:val="24"/>
          <w:szCs w:val="24"/>
        </w:rPr>
        <w:t xml:space="preserve"> rozvoj lids</w:t>
      </w:r>
      <w:r>
        <w:rPr>
          <w:rFonts w:ascii="Calibri" w:hAnsi="Calibri" w:cs="Calibri"/>
          <w:sz w:val="24"/>
          <w:szCs w:val="24"/>
        </w:rPr>
        <w:t>kých zdrojů (jejich mobility) a </w:t>
      </w:r>
      <w:r w:rsidRPr="00A32A66">
        <w:rPr>
          <w:rFonts w:ascii="Calibri" w:hAnsi="Calibri" w:cs="Calibri"/>
          <w:sz w:val="24"/>
          <w:szCs w:val="24"/>
        </w:rPr>
        <w:t>tvorb</w:t>
      </w:r>
      <w:r>
        <w:rPr>
          <w:rFonts w:ascii="Calibri" w:hAnsi="Calibri" w:cs="Calibri"/>
          <w:sz w:val="24"/>
          <w:szCs w:val="24"/>
        </w:rPr>
        <w:t>u</w:t>
      </w:r>
      <w:r w:rsidRPr="00A32A66">
        <w:rPr>
          <w:rFonts w:ascii="Calibri" w:hAnsi="Calibri" w:cs="Calibri"/>
          <w:sz w:val="24"/>
          <w:szCs w:val="24"/>
        </w:rPr>
        <w:t xml:space="preserve"> </w:t>
      </w:r>
      <w:r>
        <w:rPr>
          <w:rFonts w:ascii="Calibri" w:hAnsi="Calibri" w:cs="Calibri"/>
          <w:sz w:val="24"/>
          <w:szCs w:val="24"/>
        </w:rPr>
        <w:t xml:space="preserve">vysoce </w:t>
      </w:r>
      <w:r w:rsidRPr="00A32A66">
        <w:rPr>
          <w:rFonts w:ascii="Calibri" w:hAnsi="Calibri" w:cs="Calibri"/>
          <w:sz w:val="24"/>
          <w:szCs w:val="24"/>
        </w:rPr>
        <w:t>kvalifikovaných pracovních míst v</w:t>
      </w:r>
      <w:r>
        <w:rPr>
          <w:rFonts w:ascii="Calibri" w:hAnsi="Calibri" w:cs="Calibri"/>
          <w:sz w:val="24"/>
          <w:szCs w:val="24"/>
        </w:rPr>
        <w:t> </w:t>
      </w:r>
      <w:r w:rsidRPr="00A32A66">
        <w:rPr>
          <w:rFonts w:ascii="Calibri" w:hAnsi="Calibri" w:cs="Calibri"/>
          <w:sz w:val="24"/>
          <w:szCs w:val="24"/>
        </w:rPr>
        <w:t>sektoru služeb.</w:t>
      </w:r>
      <w:r>
        <w:rPr>
          <w:rFonts w:ascii="Calibri" w:hAnsi="Calibri" w:cs="Calibri"/>
          <w:sz w:val="24"/>
          <w:szCs w:val="24"/>
        </w:rPr>
        <w:t xml:space="preserve"> S</w:t>
      </w:r>
      <w:r w:rsidRPr="00A32A66">
        <w:rPr>
          <w:rFonts w:ascii="Calibri" w:hAnsi="Calibri" w:cs="Calibri"/>
          <w:sz w:val="24"/>
          <w:szCs w:val="24"/>
        </w:rPr>
        <w:t>dílen</w:t>
      </w:r>
      <w:r>
        <w:rPr>
          <w:rFonts w:ascii="Calibri" w:hAnsi="Calibri" w:cs="Calibri"/>
          <w:sz w:val="24"/>
          <w:szCs w:val="24"/>
        </w:rPr>
        <w:t>é</w:t>
      </w:r>
      <w:r w:rsidRPr="00A32A66">
        <w:rPr>
          <w:rFonts w:ascii="Calibri" w:hAnsi="Calibri" w:cs="Calibri"/>
          <w:sz w:val="24"/>
          <w:szCs w:val="24"/>
        </w:rPr>
        <w:t xml:space="preserve"> služ</w:t>
      </w:r>
      <w:r>
        <w:rPr>
          <w:rFonts w:ascii="Calibri" w:hAnsi="Calibri" w:cs="Calibri"/>
          <w:sz w:val="24"/>
          <w:szCs w:val="24"/>
        </w:rPr>
        <w:t>by jsou důsledkem</w:t>
      </w:r>
      <w:r w:rsidRPr="00D3412B">
        <w:rPr>
          <w:rFonts w:ascii="Calibri" w:hAnsi="Calibri" w:cs="Calibri"/>
          <w:sz w:val="24"/>
          <w:szCs w:val="24"/>
        </w:rPr>
        <w:t xml:space="preserve"> </w:t>
      </w:r>
      <w:r w:rsidRPr="00A32A66">
        <w:rPr>
          <w:rFonts w:ascii="Calibri" w:hAnsi="Calibri" w:cs="Calibri"/>
          <w:sz w:val="24"/>
          <w:szCs w:val="24"/>
        </w:rPr>
        <w:t>rozvoj</w:t>
      </w:r>
      <w:r>
        <w:rPr>
          <w:rFonts w:ascii="Calibri" w:hAnsi="Calibri" w:cs="Calibri"/>
          <w:sz w:val="24"/>
          <w:szCs w:val="24"/>
        </w:rPr>
        <w:t>e</w:t>
      </w:r>
      <w:r w:rsidRPr="00A32A66">
        <w:rPr>
          <w:rFonts w:ascii="Calibri" w:hAnsi="Calibri" w:cs="Calibri"/>
          <w:sz w:val="24"/>
          <w:szCs w:val="24"/>
        </w:rPr>
        <w:t xml:space="preserve"> informační společnosti a</w:t>
      </w:r>
      <w:r>
        <w:rPr>
          <w:rFonts w:ascii="Calibri" w:hAnsi="Calibri" w:cs="Calibri"/>
          <w:sz w:val="24"/>
          <w:szCs w:val="24"/>
        </w:rPr>
        <w:t> </w:t>
      </w:r>
      <w:r w:rsidRPr="00A32A66">
        <w:rPr>
          <w:rFonts w:ascii="Calibri" w:hAnsi="Calibri" w:cs="Calibri"/>
          <w:sz w:val="24"/>
          <w:szCs w:val="24"/>
        </w:rPr>
        <w:t>ICT služeb</w:t>
      </w:r>
      <w:r w:rsidRPr="00D3412B">
        <w:rPr>
          <w:rFonts w:ascii="Calibri" w:hAnsi="Calibri" w:cs="Calibri"/>
          <w:sz w:val="24"/>
          <w:szCs w:val="24"/>
        </w:rPr>
        <w:t xml:space="preserve"> </w:t>
      </w:r>
      <w:r>
        <w:rPr>
          <w:rFonts w:ascii="Calibri" w:hAnsi="Calibri" w:cs="Calibri"/>
          <w:sz w:val="24"/>
          <w:szCs w:val="24"/>
        </w:rPr>
        <w:t>s ohledem na zvyšování dostupnosti v</w:t>
      </w:r>
      <w:r w:rsidRPr="00A32A66">
        <w:rPr>
          <w:rFonts w:ascii="Calibri" w:hAnsi="Calibri" w:cs="Calibri"/>
          <w:sz w:val="24"/>
          <w:szCs w:val="24"/>
        </w:rPr>
        <w:t>ysokorychlostní</w:t>
      </w:r>
      <w:r>
        <w:rPr>
          <w:rFonts w:ascii="Calibri" w:hAnsi="Calibri" w:cs="Calibri"/>
          <w:sz w:val="24"/>
          <w:szCs w:val="24"/>
        </w:rPr>
        <w:t>ho</w:t>
      </w:r>
      <w:r w:rsidRPr="00A32A66">
        <w:rPr>
          <w:rFonts w:ascii="Calibri" w:hAnsi="Calibri" w:cs="Calibri"/>
          <w:sz w:val="24"/>
          <w:szCs w:val="24"/>
        </w:rPr>
        <w:t xml:space="preserve"> přístup</w:t>
      </w:r>
      <w:r>
        <w:rPr>
          <w:rFonts w:ascii="Calibri" w:hAnsi="Calibri" w:cs="Calibri"/>
          <w:sz w:val="24"/>
          <w:szCs w:val="24"/>
        </w:rPr>
        <w:t>u</w:t>
      </w:r>
      <w:r w:rsidRPr="00A32A66">
        <w:rPr>
          <w:rFonts w:ascii="Calibri" w:hAnsi="Calibri" w:cs="Calibri"/>
          <w:sz w:val="24"/>
          <w:szCs w:val="24"/>
        </w:rPr>
        <w:t xml:space="preserve"> k</w:t>
      </w:r>
      <w:r>
        <w:rPr>
          <w:rFonts w:ascii="Calibri" w:hAnsi="Calibri" w:cs="Calibri"/>
          <w:sz w:val="24"/>
          <w:szCs w:val="24"/>
        </w:rPr>
        <w:t> </w:t>
      </w:r>
      <w:r w:rsidRPr="00A32A66">
        <w:rPr>
          <w:rFonts w:ascii="Calibri" w:hAnsi="Calibri" w:cs="Calibri"/>
          <w:sz w:val="24"/>
          <w:szCs w:val="24"/>
        </w:rPr>
        <w:t>internetu. Poj</w:t>
      </w:r>
      <w:r>
        <w:rPr>
          <w:rFonts w:ascii="Calibri" w:hAnsi="Calibri" w:cs="Calibri"/>
          <w:sz w:val="24"/>
          <w:szCs w:val="24"/>
        </w:rPr>
        <w:t>em</w:t>
      </w:r>
      <w:r w:rsidRPr="00A32A66">
        <w:rPr>
          <w:rFonts w:ascii="Calibri" w:hAnsi="Calibri" w:cs="Calibri"/>
          <w:sz w:val="24"/>
          <w:szCs w:val="24"/>
        </w:rPr>
        <w:t xml:space="preserve"> sdílen</w:t>
      </w:r>
      <w:r>
        <w:rPr>
          <w:rFonts w:ascii="Calibri" w:hAnsi="Calibri" w:cs="Calibri"/>
          <w:sz w:val="24"/>
          <w:szCs w:val="24"/>
        </w:rPr>
        <w:t>á</w:t>
      </w:r>
      <w:r w:rsidRPr="00A32A66">
        <w:rPr>
          <w:rFonts w:ascii="Calibri" w:hAnsi="Calibri" w:cs="Calibri"/>
          <w:sz w:val="24"/>
          <w:szCs w:val="24"/>
        </w:rPr>
        <w:t xml:space="preserve"> služb</w:t>
      </w:r>
      <w:r>
        <w:rPr>
          <w:rFonts w:ascii="Calibri" w:hAnsi="Calibri" w:cs="Calibri"/>
          <w:sz w:val="24"/>
          <w:szCs w:val="24"/>
        </w:rPr>
        <w:t>a</w:t>
      </w:r>
      <w:r w:rsidRPr="00A32A66">
        <w:rPr>
          <w:rFonts w:ascii="Calibri" w:hAnsi="Calibri" w:cs="Calibri"/>
          <w:sz w:val="24"/>
          <w:szCs w:val="24"/>
        </w:rPr>
        <w:t xml:space="preserve"> j</w:t>
      </w:r>
      <w:r>
        <w:rPr>
          <w:rFonts w:ascii="Calibri" w:hAnsi="Calibri" w:cs="Calibri"/>
          <w:sz w:val="24"/>
          <w:szCs w:val="24"/>
        </w:rPr>
        <w:t>e</w:t>
      </w:r>
      <w:r w:rsidRPr="00A32A66">
        <w:rPr>
          <w:rFonts w:ascii="Calibri" w:hAnsi="Calibri" w:cs="Calibri"/>
          <w:sz w:val="24"/>
          <w:szCs w:val="24"/>
        </w:rPr>
        <w:t xml:space="preserve"> dnes používán jako určité zastřešující označení pro celou řadu efektů, které přinášejí moderní technologie a</w:t>
      </w:r>
      <w:r>
        <w:rPr>
          <w:rFonts w:ascii="Calibri" w:hAnsi="Calibri" w:cs="Calibri"/>
          <w:sz w:val="24"/>
          <w:szCs w:val="24"/>
        </w:rPr>
        <w:t> </w:t>
      </w:r>
      <w:r w:rsidRPr="00A32A66">
        <w:rPr>
          <w:rFonts w:ascii="Calibri" w:hAnsi="Calibri" w:cs="Calibri"/>
          <w:sz w:val="24"/>
          <w:szCs w:val="24"/>
        </w:rPr>
        <w:t>inovované způsoby jejich využívání. Včetně efektů ekonomických, jež znamenají dnes to</w:t>
      </w:r>
      <w:r>
        <w:rPr>
          <w:rFonts w:ascii="Calibri" w:hAnsi="Calibri" w:cs="Calibri"/>
          <w:sz w:val="24"/>
          <w:szCs w:val="24"/>
        </w:rPr>
        <w:t>lik potřebné úspory.</w:t>
      </w:r>
    </w:p>
    <w:p w:rsidR="00FF3BA2" w:rsidRPr="00A32A66" w:rsidRDefault="00FF3BA2" w:rsidP="0038738E">
      <w:pPr>
        <w:spacing w:after="120"/>
        <w:jc w:val="both"/>
        <w:rPr>
          <w:rFonts w:ascii="Calibri" w:hAnsi="Calibri" w:cs="Calibri"/>
          <w:sz w:val="24"/>
          <w:szCs w:val="24"/>
        </w:rPr>
      </w:pPr>
      <w:r>
        <w:rPr>
          <w:rFonts w:ascii="Calibri" w:hAnsi="Calibri" w:cs="Calibri"/>
          <w:sz w:val="24"/>
          <w:szCs w:val="24"/>
        </w:rPr>
        <w:t xml:space="preserve">Z pohledu uživatele sdílených služeb je jejich hlavním přínosem </w:t>
      </w:r>
      <w:r w:rsidRPr="00A32A66">
        <w:rPr>
          <w:rFonts w:ascii="Calibri" w:hAnsi="Calibri" w:cs="Calibri"/>
          <w:sz w:val="24"/>
          <w:szCs w:val="24"/>
        </w:rPr>
        <w:t xml:space="preserve">možnost </w:t>
      </w:r>
      <w:r>
        <w:rPr>
          <w:rFonts w:ascii="Calibri" w:hAnsi="Calibri" w:cs="Calibri"/>
          <w:sz w:val="24"/>
          <w:szCs w:val="24"/>
        </w:rPr>
        <w:t xml:space="preserve">je </w:t>
      </w:r>
      <w:r w:rsidRPr="00A32A66">
        <w:rPr>
          <w:rFonts w:ascii="Calibri" w:hAnsi="Calibri" w:cs="Calibri"/>
          <w:sz w:val="24"/>
          <w:szCs w:val="24"/>
        </w:rPr>
        <w:t xml:space="preserve">okamžitě využívat, bez nutnosti budovat, vlastnit nebo provozovat nezbytné vlastní technologické řešení, nebo jen čekat na jeho zprovoznění. </w:t>
      </w:r>
      <w:r>
        <w:rPr>
          <w:rFonts w:ascii="Calibri" w:hAnsi="Calibri" w:cs="Calibri"/>
          <w:sz w:val="24"/>
          <w:szCs w:val="24"/>
        </w:rPr>
        <w:t>Dalším pozitivním efektem je podstatná úspora nákladů</w:t>
      </w:r>
      <w:r w:rsidRPr="00A32A66">
        <w:rPr>
          <w:rFonts w:ascii="Calibri" w:hAnsi="Calibri" w:cs="Calibri"/>
          <w:sz w:val="24"/>
          <w:szCs w:val="24"/>
        </w:rPr>
        <w:t xml:space="preserve"> díky </w:t>
      </w:r>
      <w:r>
        <w:rPr>
          <w:rFonts w:ascii="Calibri" w:hAnsi="Calibri" w:cs="Calibri"/>
          <w:sz w:val="24"/>
          <w:szCs w:val="24"/>
        </w:rPr>
        <w:t>úsporám z rozsahu</w:t>
      </w:r>
      <w:r w:rsidRPr="00A32A66">
        <w:rPr>
          <w:rFonts w:ascii="Calibri" w:hAnsi="Calibri" w:cs="Calibri"/>
          <w:sz w:val="24"/>
          <w:szCs w:val="24"/>
        </w:rPr>
        <w:t xml:space="preserve">, </w:t>
      </w:r>
      <w:r>
        <w:rPr>
          <w:rFonts w:ascii="Calibri" w:hAnsi="Calibri" w:cs="Calibri"/>
          <w:sz w:val="24"/>
          <w:szCs w:val="24"/>
        </w:rPr>
        <w:t xml:space="preserve">kdy </w:t>
      </w:r>
      <w:r w:rsidRPr="00A32A66">
        <w:rPr>
          <w:rFonts w:ascii="Calibri" w:hAnsi="Calibri" w:cs="Calibri"/>
          <w:sz w:val="24"/>
          <w:szCs w:val="24"/>
        </w:rPr>
        <w:t xml:space="preserve">sdílené služby </w:t>
      </w:r>
      <w:r>
        <w:rPr>
          <w:rFonts w:ascii="Calibri" w:hAnsi="Calibri" w:cs="Calibri"/>
          <w:sz w:val="24"/>
          <w:szCs w:val="24"/>
        </w:rPr>
        <w:t xml:space="preserve">mohou být </w:t>
      </w:r>
      <w:r w:rsidRPr="00A32A66">
        <w:rPr>
          <w:rFonts w:ascii="Calibri" w:hAnsi="Calibri" w:cs="Calibri"/>
          <w:sz w:val="24"/>
          <w:szCs w:val="24"/>
        </w:rPr>
        <w:t>nabízeny a</w:t>
      </w:r>
      <w:r>
        <w:rPr>
          <w:rFonts w:ascii="Calibri" w:hAnsi="Calibri" w:cs="Calibri"/>
          <w:sz w:val="24"/>
          <w:szCs w:val="24"/>
        </w:rPr>
        <w:t> </w:t>
      </w:r>
      <w:r w:rsidRPr="00A32A66">
        <w:rPr>
          <w:rFonts w:ascii="Calibri" w:hAnsi="Calibri" w:cs="Calibri"/>
          <w:sz w:val="24"/>
          <w:szCs w:val="24"/>
        </w:rPr>
        <w:t>poskytovány více uživatelům současně. Výhod sdílených služeb pro jejich uživatele je celá řada. Kromě úspor a</w:t>
      </w:r>
      <w:r>
        <w:rPr>
          <w:rFonts w:ascii="Calibri" w:hAnsi="Calibri" w:cs="Calibri"/>
          <w:sz w:val="24"/>
          <w:szCs w:val="24"/>
        </w:rPr>
        <w:t> </w:t>
      </w:r>
      <w:r w:rsidRPr="00A32A66">
        <w:rPr>
          <w:rFonts w:ascii="Calibri" w:hAnsi="Calibri" w:cs="Calibri"/>
          <w:sz w:val="24"/>
          <w:szCs w:val="24"/>
        </w:rPr>
        <w:t>celkové ekonomické výhodnosti se jedná například o</w:t>
      </w:r>
      <w:r>
        <w:rPr>
          <w:rFonts w:ascii="Calibri" w:hAnsi="Calibri" w:cs="Calibri"/>
          <w:sz w:val="24"/>
          <w:szCs w:val="24"/>
        </w:rPr>
        <w:t> </w:t>
      </w:r>
      <w:r w:rsidRPr="00A32A66">
        <w:rPr>
          <w:rFonts w:ascii="Calibri" w:hAnsi="Calibri" w:cs="Calibri"/>
          <w:sz w:val="24"/>
          <w:szCs w:val="24"/>
        </w:rPr>
        <w:t>změnu struktury výdajů, které jsou již jen provozní (a žádné investiční). Díky tomu je lze i</w:t>
      </w:r>
      <w:r>
        <w:rPr>
          <w:rFonts w:ascii="Calibri" w:hAnsi="Calibri" w:cs="Calibri"/>
          <w:sz w:val="24"/>
          <w:szCs w:val="24"/>
        </w:rPr>
        <w:t> </w:t>
      </w:r>
      <w:r w:rsidRPr="00A32A66">
        <w:rPr>
          <w:rFonts w:ascii="Calibri" w:hAnsi="Calibri" w:cs="Calibri"/>
          <w:sz w:val="24"/>
          <w:szCs w:val="24"/>
        </w:rPr>
        <w:t>lépe predikovat a</w:t>
      </w:r>
      <w:r>
        <w:rPr>
          <w:rFonts w:ascii="Calibri" w:hAnsi="Calibri" w:cs="Calibri"/>
          <w:sz w:val="24"/>
          <w:szCs w:val="24"/>
        </w:rPr>
        <w:t> </w:t>
      </w:r>
      <w:r w:rsidRPr="00A32A66">
        <w:rPr>
          <w:rFonts w:ascii="Calibri" w:hAnsi="Calibri" w:cs="Calibri"/>
          <w:sz w:val="24"/>
          <w:szCs w:val="24"/>
        </w:rPr>
        <w:t>plánovat. V</w:t>
      </w:r>
      <w:r>
        <w:rPr>
          <w:rFonts w:ascii="Calibri" w:hAnsi="Calibri" w:cs="Calibri"/>
          <w:sz w:val="24"/>
          <w:szCs w:val="24"/>
        </w:rPr>
        <w:t> </w:t>
      </w:r>
      <w:r w:rsidRPr="00A32A66">
        <w:rPr>
          <w:rFonts w:ascii="Calibri" w:hAnsi="Calibri" w:cs="Calibri"/>
          <w:sz w:val="24"/>
          <w:szCs w:val="24"/>
        </w:rPr>
        <w:t>neposlední řadě jsou sdílené služby dobře škálovatelné, a</w:t>
      </w:r>
      <w:r>
        <w:rPr>
          <w:rFonts w:ascii="Calibri" w:hAnsi="Calibri" w:cs="Calibri"/>
          <w:sz w:val="24"/>
          <w:szCs w:val="24"/>
        </w:rPr>
        <w:t> </w:t>
      </w:r>
      <w:r w:rsidRPr="00A32A66">
        <w:rPr>
          <w:rFonts w:ascii="Calibri" w:hAnsi="Calibri" w:cs="Calibri"/>
          <w:sz w:val="24"/>
          <w:szCs w:val="24"/>
        </w:rPr>
        <w:t xml:space="preserve">lze je tedy přidávat nebo </w:t>
      </w:r>
      <w:r>
        <w:rPr>
          <w:rFonts w:ascii="Calibri" w:hAnsi="Calibri" w:cs="Calibri"/>
          <w:sz w:val="24"/>
          <w:szCs w:val="24"/>
        </w:rPr>
        <w:t>ubírat podle aktuálních potřeb.</w:t>
      </w:r>
    </w:p>
    <w:p w:rsidR="0057331F" w:rsidRDefault="00FF3BA2" w:rsidP="00BF6E57">
      <w:pPr>
        <w:spacing w:after="120"/>
        <w:jc w:val="both"/>
        <w:rPr>
          <w:rFonts w:ascii="Calibri" w:hAnsi="Calibri" w:cs="Calibri"/>
          <w:sz w:val="24"/>
          <w:szCs w:val="24"/>
        </w:rPr>
      </w:pPr>
      <w:r w:rsidRPr="00A32A66">
        <w:rPr>
          <w:rFonts w:ascii="Calibri" w:hAnsi="Calibri" w:cs="Calibri"/>
          <w:sz w:val="24"/>
          <w:szCs w:val="24"/>
        </w:rPr>
        <w:t xml:space="preserve">Pro realizaci </w:t>
      </w:r>
      <w:r>
        <w:rPr>
          <w:rFonts w:ascii="Calibri" w:hAnsi="Calibri" w:cs="Calibri"/>
          <w:sz w:val="24"/>
          <w:szCs w:val="24"/>
        </w:rPr>
        <w:t xml:space="preserve">center </w:t>
      </w:r>
      <w:r w:rsidRPr="00A32A66">
        <w:rPr>
          <w:rFonts w:ascii="Calibri" w:hAnsi="Calibri" w:cs="Calibri"/>
          <w:sz w:val="24"/>
          <w:szCs w:val="24"/>
        </w:rPr>
        <w:t>sdílených služeb se nejvíce hodí takové agendy, aplikace nebo činnosti, které jsou univerzální a</w:t>
      </w:r>
      <w:r>
        <w:rPr>
          <w:rFonts w:ascii="Calibri" w:hAnsi="Calibri" w:cs="Calibri"/>
          <w:sz w:val="24"/>
          <w:szCs w:val="24"/>
        </w:rPr>
        <w:t> </w:t>
      </w:r>
      <w:r w:rsidRPr="00A32A66">
        <w:rPr>
          <w:rFonts w:ascii="Calibri" w:hAnsi="Calibri" w:cs="Calibri"/>
          <w:sz w:val="24"/>
          <w:szCs w:val="24"/>
        </w:rPr>
        <w:t>využitelné co největším počtem zákazníků.</w:t>
      </w:r>
    </w:p>
    <w:p w:rsidR="0057331F" w:rsidRDefault="0057331F" w:rsidP="0057331F">
      <w:pPr>
        <w:pStyle w:val="Nadpis3"/>
      </w:pPr>
      <w:bookmarkStart w:id="95" w:name="_Toc351464407"/>
      <w:bookmarkStart w:id="96" w:name="_Toc352328381"/>
      <w:r w:rsidRPr="00FF25A4">
        <w:t>Popis typu a příkladů aktivit, které budou</w:t>
      </w:r>
      <w:r>
        <w:t xml:space="preserve"> podporovány v rámci </w:t>
      </w:r>
      <w:r w:rsidRPr="00FF25A4">
        <w:t>dané investiční priority (dle investičních priorit)</w:t>
      </w:r>
      <w:bookmarkEnd w:id="95"/>
      <w:bookmarkEnd w:id="96"/>
    </w:p>
    <w:p w:rsidR="0057331F" w:rsidRDefault="0057331F" w:rsidP="0057331F">
      <w:pPr>
        <w:jc w:val="both"/>
        <w:rPr>
          <w:rFonts w:asciiTheme="minorHAnsi" w:hAnsiTheme="minorHAnsi" w:cstheme="minorHAnsi"/>
          <w:b/>
          <w:sz w:val="24"/>
          <w:szCs w:val="24"/>
        </w:rPr>
      </w:pPr>
    </w:p>
    <w:p w:rsidR="0057331F" w:rsidRDefault="0057331F" w:rsidP="0057331F">
      <w:pPr>
        <w:jc w:val="both"/>
        <w:rPr>
          <w:rFonts w:asciiTheme="minorHAnsi" w:hAnsiTheme="minorHAnsi" w:cstheme="minorHAnsi"/>
          <w:b/>
          <w:bCs/>
          <w:sz w:val="24"/>
          <w:szCs w:val="24"/>
        </w:rPr>
      </w:pPr>
      <w:r w:rsidRPr="00D71D90">
        <w:rPr>
          <w:rFonts w:asciiTheme="minorHAnsi" w:hAnsiTheme="minorHAnsi" w:cstheme="minorHAnsi"/>
          <w:b/>
          <w:sz w:val="24"/>
          <w:szCs w:val="24"/>
        </w:rPr>
        <w:t xml:space="preserve">Investiční priorita: </w:t>
      </w:r>
      <w:r w:rsidR="00FF3BA2" w:rsidRPr="00FF3BA2">
        <w:rPr>
          <w:rFonts w:asciiTheme="minorHAnsi" w:hAnsiTheme="minorHAnsi" w:cstheme="minorHAnsi"/>
          <w:b/>
          <w:bCs/>
          <w:sz w:val="24"/>
          <w:szCs w:val="24"/>
        </w:rPr>
        <w:t>Rozšiřování širokopásmového připojení a zavádění vysokorychlostních sítí a podpora zavádění vzn</w:t>
      </w:r>
      <w:r w:rsidR="00FF3BA2" w:rsidRPr="00DD04E7">
        <w:rPr>
          <w:rFonts w:asciiTheme="minorHAnsi" w:hAnsiTheme="minorHAnsi" w:cstheme="minorHAnsi"/>
          <w:b/>
          <w:bCs/>
          <w:sz w:val="24"/>
          <w:szCs w:val="24"/>
        </w:rPr>
        <w:t>ikajících technologií a sítí pro digitální hospodářství (nařízení o ERDF, článek 5, odst. (2) bod a)</w:t>
      </w:r>
    </w:p>
    <w:p w:rsidR="00330E3C" w:rsidRDefault="00330E3C" w:rsidP="0057331F">
      <w:pPr>
        <w:jc w:val="both"/>
        <w:rPr>
          <w:rFonts w:asciiTheme="minorHAnsi" w:hAnsiTheme="minorHAnsi" w:cstheme="minorHAnsi"/>
          <w:b/>
          <w:bCs/>
          <w:sz w:val="24"/>
          <w:szCs w:val="24"/>
        </w:rPr>
      </w:pPr>
    </w:p>
    <w:p w:rsidR="0057331F" w:rsidRPr="00047389" w:rsidRDefault="0057331F" w:rsidP="0057331F">
      <w:pPr>
        <w:pStyle w:val="Nadpis4"/>
      </w:pPr>
      <w:bookmarkStart w:id="97" w:name="_Toc351464408"/>
      <w:r w:rsidRPr="00047389">
        <w:t xml:space="preserve">Specifický cíl </w:t>
      </w:r>
      <w:r w:rsidR="00FF3BA2" w:rsidRPr="00FF3BA2">
        <w:t>4.1 - Zvětšení pokrytí vysokorychlostním přístupem k</w:t>
      </w:r>
      <w:r w:rsidR="00FF3BA2">
        <w:t> </w:t>
      </w:r>
      <w:r w:rsidR="00FF3BA2" w:rsidRPr="00FF3BA2">
        <w:t>internetu</w:t>
      </w:r>
      <w:bookmarkEnd w:id="97"/>
    </w:p>
    <w:p w:rsidR="0057331F" w:rsidRDefault="0057331F" w:rsidP="0057331F">
      <w:pPr>
        <w:pStyle w:val="Nadpis5"/>
      </w:pPr>
      <w:r w:rsidRPr="00FF25A4">
        <w:t>Popis typů a příkladů financovaných aktivit a jejich očekávaný příspěvek ke specifickým cílům, včetně, pokud je to možné</w:t>
      </w:r>
    </w:p>
    <w:p w:rsidR="00FF3BA2" w:rsidRPr="00B91281" w:rsidRDefault="0057331F" w:rsidP="00FF3BA2">
      <w:pPr>
        <w:spacing w:after="60" w:line="312" w:lineRule="auto"/>
        <w:jc w:val="both"/>
        <w:rPr>
          <w:rFonts w:ascii="Calibri" w:hAnsi="Calibri" w:cs="Calibri"/>
          <w:sz w:val="24"/>
          <w:szCs w:val="24"/>
        </w:rPr>
      </w:pPr>
      <w:r w:rsidRPr="0036610F">
        <w:rPr>
          <w:rFonts w:asciiTheme="minorHAnsi" w:hAnsiTheme="minorHAnsi" w:cstheme="minorHAnsi"/>
          <w:b/>
          <w:sz w:val="24"/>
          <w:szCs w:val="24"/>
        </w:rPr>
        <w:t xml:space="preserve">Podporované aktivity: </w:t>
      </w:r>
      <w:r w:rsidR="00FF3BA2" w:rsidRPr="00B91281">
        <w:rPr>
          <w:rFonts w:ascii="Calibri" w:hAnsi="Calibri" w:cs="Calibri"/>
          <w:sz w:val="24"/>
          <w:szCs w:val="24"/>
        </w:rPr>
        <w:t xml:space="preserve">Předmětem podpory </w:t>
      </w:r>
      <w:r w:rsidR="00FF3BA2">
        <w:rPr>
          <w:rFonts w:ascii="Calibri" w:hAnsi="Calibri" w:cs="Calibri"/>
          <w:sz w:val="24"/>
          <w:szCs w:val="24"/>
        </w:rPr>
        <w:t>s cílem umožnit vysokorychlostní přístup k internetu</w:t>
      </w:r>
      <w:r w:rsidR="00FF3BA2" w:rsidRPr="0019488D">
        <w:rPr>
          <w:rFonts w:ascii="Calibri" w:hAnsi="Calibri" w:cs="Calibri"/>
          <w:sz w:val="24"/>
          <w:szCs w:val="24"/>
        </w:rPr>
        <w:t xml:space="preserve"> </w:t>
      </w:r>
      <w:r w:rsidR="00FF3BA2">
        <w:rPr>
          <w:rFonts w:ascii="Calibri" w:hAnsi="Calibri" w:cs="Calibri"/>
          <w:sz w:val="24"/>
          <w:szCs w:val="24"/>
        </w:rPr>
        <w:t xml:space="preserve">alespoň </w:t>
      </w:r>
      <w:r w:rsidR="00BF6E57">
        <w:rPr>
          <w:rFonts w:ascii="Calibri" w:hAnsi="Calibri" w:cs="Calibri"/>
          <w:sz w:val="24"/>
          <w:szCs w:val="24"/>
        </w:rPr>
        <w:t>přenosovou rychlostí</w:t>
      </w:r>
      <w:r w:rsidR="00BF6E57" w:rsidRPr="0019488D">
        <w:rPr>
          <w:rFonts w:ascii="Calibri" w:hAnsi="Calibri" w:cs="Calibri"/>
          <w:sz w:val="24"/>
          <w:szCs w:val="24"/>
        </w:rPr>
        <w:t xml:space="preserve"> </w:t>
      </w:r>
      <w:r w:rsidR="00FF3BA2" w:rsidRPr="0019488D">
        <w:rPr>
          <w:rFonts w:ascii="Calibri" w:hAnsi="Calibri" w:cs="Calibri"/>
          <w:sz w:val="24"/>
          <w:szCs w:val="24"/>
        </w:rPr>
        <w:t>30 Mbit/s pro všechny obyvatele a</w:t>
      </w:r>
      <w:r w:rsidR="00FF3BA2">
        <w:rPr>
          <w:rFonts w:ascii="Calibri" w:hAnsi="Calibri" w:cs="Calibri"/>
          <w:sz w:val="24"/>
          <w:szCs w:val="24"/>
        </w:rPr>
        <w:t> </w:t>
      </w:r>
      <w:r w:rsidR="00FF3BA2" w:rsidRPr="0019488D">
        <w:rPr>
          <w:rFonts w:ascii="Calibri" w:hAnsi="Calibri" w:cs="Calibri"/>
          <w:sz w:val="24"/>
          <w:szCs w:val="24"/>
        </w:rPr>
        <w:t>100 Mbit/s minimálně pro polovinu domácností</w:t>
      </w:r>
      <w:r w:rsidR="00FF3BA2">
        <w:rPr>
          <w:rFonts w:ascii="Calibri" w:hAnsi="Calibri" w:cs="Calibri"/>
          <w:sz w:val="24"/>
          <w:szCs w:val="24"/>
        </w:rPr>
        <w:t xml:space="preserve"> </w:t>
      </w:r>
      <w:r w:rsidR="00FF3BA2" w:rsidRPr="00B91281">
        <w:rPr>
          <w:rFonts w:ascii="Calibri" w:hAnsi="Calibri" w:cs="Calibri"/>
          <w:sz w:val="24"/>
          <w:szCs w:val="24"/>
        </w:rPr>
        <w:t>by měl</w:t>
      </w:r>
      <w:r w:rsidR="00FF3BA2">
        <w:rPr>
          <w:rFonts w:ascii="Calibri" w:hAnsi="Calibri" w:cs="Calibri"/>
          <w:sz w:val="24"/>
          <w:szCs w:val="24"/>
        </w:rPr>
        <w:t>y</w:t>
      </w:r>
      <w:r w:rsidR="00FF3BA2" w:rsidRPr="00B91281">
        <w:rPr>
          <w:rFonts w:ascii="Calibri" w:hAnsi="Calibri" w:cs="Calibri"/>
          <w:sz w:val="24"/>
          <w:szCs w:val="24"/>
        </w:rPr>
        <w:t xml:space="preserve"> být zejména:</w:t>
      </w:r>
    </w:p>
    <w:p w:rsidR="00FF3BA2" w:rsidRPr="00B91281" w:rsidRDefault="00FF3BA2" w:rsidP="00FF3BA2">
      <w:pPr>
        <w:spacing w:after="60" w:line="312" w:lineRule="auto"/>
        <w:jc w:val="both"/>
        <w:rPr>
          <w:rFonts w:ascii="Calibri" w:hAnsi="Calibri" w:cs="Calibri"/>
          <w:sz w:val="24"/>
          <w:szCs w:val="24"/>
        </w:rPr>
      </w:pPr>
      <w:r w:rsidRPr="00B91281">
        <w:rPr>
          <w:rFonts w:ascii="Calibri" w:hAnsi="Calibri" w:cs="Calibri"/>
          <w:sz w:val="24"/>
          <w:szCs w:val="24"/>
        </w:rPr>
        <w:t xml:space="preserve">a) </w:t>
      </w:r>
      <w:r>
        <w:rPr>
          <w:rFonts w:ascii="Calibri" w:hAnsi="Calibri" w:cs="Calibri"/>
          <w:sz w:val="24"/>
          <w:szCs w:val="24"/>
        </w:rPr>
        <w:t>modernizace</w:t>
      </w:r>
      <w:r w:rsidRPr="00B91281">
        <w:rPr>
          <w:rFonts w:ascii="Calibri" w:hAnsi="Calibri" w:cs="Calibri"/>
          <w:sz w:val="24"/>
          <w:szCs w:val="24"/>
        </w:rPr>
        <w:t xml:space="preserve"> resp. rozšiřování</w:t>
      </w:r>
      <w:r>
        <w:rPr>
          <w:rFonts w:ascii="Calibri" w:hAnsi="Calibri" w:cs="Calibri"/>
          <w:sz w:val="24"/>
          <w:szCs w:val="24"/>
        </w:rPr>
        <w:t xml:space="preserve"> stávající </w:t>
      </w:r>
      <w:r w:rsidRPr="00B91281">
        <w:rPr>
          <w:rFonts w:ascii="Calibri" w:hAnsi="Calibri" w:cs="Calibri"/>
          <w:sz w:val="24"/>
          <w:szCs w:val="24"/>
        </w:rPr>
        <w:t>infrastruktury pro vysokorychlostní přístup k</w:t>
      </w:r>
      <w:r>
        <w:rPr>
          <w:rFonts w:ascii="Calibri" w:hAnsi="Calibri" w:cs="Calibri"/>
          <w:sz w:val="24"/>
          <w:szCs w:val="24"/>
        </w:rPr>
        <w:t> </w:t>
      </w:r>
      <w:r w:rsidRPr="00B91281">
        <w:rPr>
          <w:rFonts w:ascii="Calibri" w:hAnsi="Calibri" w:cs="Calibri"/>
          <w:sz w:val="24"/>
          <w:szCs w:val="24"/>
        </w:rPr>
        <w:t>internetu</w:t>
      </w:r>
      <w:r>
        <w:rPr>
          <w:rFonts w:ascii="Calibri" w:hAnsi="Calibri" w:cs="Calibri"/>
          <w:sz w:val="24"/>
          <w:szCs w:val="24"/>
        </w:rPr>
        <w:t xml:space="preserve"> využitím optických prvků,</w:t>
      </w:r>
    </w:p>
    <w:p w:rsidR="00FF3BA2" w:rsidRDefault="00FF3BA2" w:rsidP="00FF3BA2">
      <w:pPr>
        <w:spacing w:after="60" w:line="312" w:lineRule="auto"/>
        <w:jc w:val="both"/>
        <w:rPr>
          <w:rFonts w:ascii="Calibri" w:hAnsi="Calibri" w:cs="Calibri"/>
          <w:sz w:val="24"/>
          <w:szCs w:val="24"/>
        </w:rPr>
      </w:pPr>
      <w:r w:rsidRPr="00B627C7">
        <w:rPr>
          <w:rFonts w:ascii="Calibri" w:hAnsi="Calibri" w:cs="Calibri"/>
          <w:sz w:val="24"/>
          <w:szCs w:val="24"/>
        </w:rPr>
        <w:lastRenderedPageBreak/>
        <w:t>b) zřizování nových sítí pro vysokorychlostní přístup k</w:t>
      </w:r>
      <w:r>
        <w:rPr>
          <w:rFonts w:ascii="Calibri" w:hAnsi="Calibri" w:cs="Calibri"/>
          <w:sz w:val="24"/>
          <w:szCs w:val="24"/>
        </w:rPr>
        <w:t> </w:t>
      </w:r>
      <w:r w:rsidRPr="00B627C7">
        <w:rPr>
          <w:rFonts w:ascii="Calibri" w:hAnsi="Calibri" w:cs="Calibri"/>
          <w:sz w:val="24"/>
          <w:szCs w:val="24"/>
        </w:rPr>
        <w:t>internetu sestávajících z</w:t>
      </w:r>
      <w:r>
        <w:rPr>
          <w:rFonts w:ascii="Calibri" w:hAnsi="Calibri" w:cs="Calibri"/>
          <w:sz w:val="24"/>
          <w:szCs w:val="24"/>
        </w:rPr>
        <w:t> </w:t>
      </w:r>
      <w:r w:rsidRPr="00B627C7">
        <w:rPr>
          <w:rFonts w:ascii="Calibri" w:hAnsi="Calibri" w:cs="Calibri"/>
          <w:sz w:val="24"/>
          <w:szCs w:val="24"/>
        </w:rPr>
        <w:t>části nebo plně z</w:t>
      </w:r>
      <w:r>
        <w:rPr>
          <w:rFonts w:ascii="Calibri" w:hAnsi="Calibri" w:cs="Calibri"/>
          <w:sz w:val="24"/>
          <w:szCs w:val="24"/>
        </w:rPr>
        <w:t> </w:t>
      </w:r>
      <w:r w:rsidRPr="00B627C7">
        <w:rPr>
          <w:rFonts w:ascii="Calibri" w:hAnsi="Calibri" w:cs="Calibri"/>
          <w:sz w:val="24"/>
          <w:szCs w:val="24"/>
        </w:rPr>
        <w:t>optických vedení,</w:t>
      </w:r>
    </w:p>
    <w:p w:rsidR="00FF3BA2" w:rsidRPr="00B91281" w:rsidRDefault="00FF3BA2" w:rsidP="00FF3BA2">
      <w:pPr>
        <w:spacing w:after="60" w:line="312" w:lineRule="auto"/>
        <w:jc w:val="both"/>
        <w:rPr>
          <w:rFonts w:ascii="Calibri" w:hAnsi="Calibri" w:cs="Calibri"/>
          <w:sz w:val="24"/>
          <w:szCs w:val="24"/>
        </w:rPr>
      </w:pPr>
      <w:r>
        <w:rPr>
          <w:rFonts w:ascii="Calibri" w:hAnsi="Calibri" w:cs="Calibri"/>
          <w:sz w:val="24"/>
          <w:szCs w:val="24"/>
        </w:rPr>
        <w:t>c) v</w:t>
      </w:r>
      <w:r w:rsidRPr="003E6DF8">
        <w:rPr>
          <w:rFonts w:ascii="Calibri" w:hAnsi="Calibri" w:cs="Calibri"/>
          <w:sz w:val="24"/>
          <w:szCs w:val="24"/>
        </w:rPr>
        <w:t>ytváření pasivní infrastruktury pro vysokorychlostní přístup k</w:t>
      </w:r>
      <w:r>
        <w:rPr>
          <w:rFonts w:ascii="Calibri" w:hAnsi="Calibri" w:cs="Calibri"/>
          <w:sz w:val="24"/>
          <w:szCs w:val="24"/>
        </w:rPr>
        <w:t> </w:t>
      </w:r>
      <w:r w:rsidRPr="003E6DF8">
        <w:rPr>
          <w:rFonts w:ascii="Calibri" w:hAnsi="Calibri" w:cs="Calibri"/>
          <w:sz w:val="24"/>
          <w:szCs w:val="24"/>
        </w:rPr>
        <w:t>internetu</w:t>
      </w:r>
      <w:r>
        <w:rPr>
          <w:rFonts w:ascii="Calibri" w:hAnsi="Calibri" w:cs="Calibri"/>
          <w:sz w:val="24"/>
          <w:szCs w:val="24"/>
        </w:rPr>
        <w:t>.</w:t>
      </w:r>
    </w:p>
    <w:p w:rsidR="0057331F" w:rsidRDefault="00FF3BA2" w:rsidP="00FF3BA2">
      <w:pPr>
        <w:keepNext/>
        <w:overflowPunct/>
        <w:autoSpaceDE/>
        <w:autoSpaceDN/>
        <w:adjustRightInd/>
        <w:spacing w:after="120"/>
        <w:jc w:val="both"/>
        <w:rPr>
          <w:rFonts w:ascii="Calibri" w:hAnsi="Calibri" w:cs="Calibri"/>
          <w:sz w:val="24"/>
          <w:szCs w:val="24"/>
        </w:rPr>
      </w:pPr>
      <w:r>
        <w:rPr>
          <w:rFonts w:ascii="Calibri" w:hAnsi="Calibri" w:cs="Calibri"/>
          <w:sz w:val="24"/>
          <w:szCs w:val="24"/>
        </w:rPr>
        <w:t>Podporovaná</w:t>
      </w:r>
      <w:r w:rsidRPr="006A6A96">
        <w:rPr>
          <w:rFonts w:ascii="Calibri" w:hAnsi="Calibri" w:cs="Calibri"/>
          <w:sz w:val="24"/>
          <w:szCs w:val="24"/>
        </w:rPr>
        <w:t xml:space="preserve"> infrastruktura </w:t>
      </w:r>
      <w:r>
        <w:rPr>
          <w:rFonts w:ascii="Calibri" w:hAnsi="Calibri" w:cs="Calibri"/>
          <w:sz w:val="24"/>
          <w:szCs w:val="24"/>
        </w:rPr>
        <w:t>by měla</w:t>
      </w:r>
      <w:r w:rsidRPr="006A6A96">
        <w:rPr>
          <w:rFonts w:ascii="Calibri" w:hAnsi="Calibri" w:cs="Calibri"/>
          <w:sz w:val="24"/>
          <w:szCs w:val="24"/>
        </w:rPr>
        <w:t xml:space="preserve"> </w:t>
      </w:r>
      <w:r>
        <w:rPr>
          <w:rFonts w:ascii="Calibri" w:hAnsi="Calibri" w:cs="Calibri"/>
          <w:sz w:val="24"/>
          <w:szCs w:val="24"/>
        </w:rPr>
        <w:t xml:space="preserve">případně </w:t>
      </w:r>
      <w:r w:rsidRPr="006A6A96">
        <w:rPr>
          <w:rFonts w:ascii="Calibri" w:hAnsi="Calibri" w:cs="Calibri"/>
          <w:sz w:val="24"/>
          <w:szCs w:val="24"/>
        </w:rPr>
        <w:t xml:space="preserve">umožnit rovněž dosažení </w:t>
      </w:r>
      <w:r>
        <w:rPr>
          <w:rFonts w:ascii="Calibri" w:hAnsi="Calibri" w:cs="Calibri"/>
          <w:sz w:val="24"/>
          <w:szCs w:val="24"/>
        </w:rPr>
        <w:t xml:space="preserve">tzv. </w:t>
      </w:r>
      <w:r w:rsidRPr="006A6A96">
        <w:rPr>
          <w:rFonts w:ascii="Calibri" w:hAnsi="Calibri" w:cs="Calibri"/>
          <w:sz w:val="24"/>
          <w:szCs w:val="24"/>
        </w:rPr>
        <w:t>„skokové změny“</w:t>
      </w:r>
      <w:r>
        <w:rPr>
          <w:rStyle w:val="Znakapoznpodarou"/>
          <w:rFonts w:ascii="Calibri" w:hAnsi="Calibri" w:cs="Calibri"/>
          <w:sz w:val="24"/>
          <w:szCs w:val="24"/>
        </w:rPr>
        <w:footnoteReference w:id="11"/>
      </w:r>
      <w:r w:rsidRPr="006A6A96">
        <w:rPr>
          <w:rFonts w:ascii="Calibri" w:hAnsi="Calibri" w:cs="Calibri"/>
          <w:sz w:val="24"/>
          <w:szCs w:val="24"/>
        </w:rPr>
        <w:t xml:space="preserve">, pokud </w:t>
      </w:r>
      <w:r>
        <w:rPr>
          <w:rFonts w:ascii="Calibri" w:hAnsi="Calibri" w:cs="Calibri"/>
          <w:sz w:val="24"/>
          <w:szCs w:val="24"/>
        </w:rPr>
        <w:t>se jedná</w:t>
      </w:r>
      <w:r w:rsidRPr="006A6A96">
        <w:rPr>
          <w:rFonts w:ascii="Calibri" w:hAnsi="Calibri" w:cs="Calibri"/>
          <w:sz w:val="24"/>
          <w:szCs w:val="24"/>
        </w:rPr>
        <w:t xml:space="preserve"> o</w:t>
      </w:r>
      <w:r>
        <w:rPr>
          <w:rFonts w:ascii="Calibri" w:hAnsi="Calibri" w:cs="Calibri"/>
          <w:sz w:val="24"/>
          <w:szCs w:val="24"/>
        </w:rPr>
        <w:t> </w:t>
      </w:r>
      <w:r w:rsidRPr="006A6A96">
        <w:rPr>
          <w:rFonts w:ascii="Calibri" w:hAnsi="Calibri" w:cs="Calibri"/>
          <w:sz w:val="24"/>
          <w:szCs w:val="24"/>
        </w:rPr>
        <w:t>dostupnost vysokorychlostních služeb. „Skoková změna“ může být prokázána, pokud v</w:t>
      </w:r>
      <w:r>
        <w:rPr>
          <w:rFonts w:ascii="Calibri" w:hAnsi="Calibri" w:cs="Calibri"/>
          <w:sz w:val="24"/>
          <w:szCs w:val="24"/>
        </w:rPr>
        <w:t> </w:t>
      </w:r>
      <w:r w:rsidRPr="006A6A96">
        <w:rPr>
          <w:rFonts w:ascii="Calibri" w:hAnsi="Calibri" w:cs="Calibri"/>
          <w:sz w:val="24"/>
          <w:szCs w:val="24"/>
        </w:rPr>
        <w:t xml:space="preserve">důsledku veřejného zásahu budou provedeny nové rozsáhlé investice do vysokorychlostních sítí nebo </w:t>
      </w:r>
      <w:r>
        <w:rPr>
          <w:rFonts w:ascii="Calibri" w:hAnsi="Calibri" w:cs="Calibri"/>
          <w:sz w:val="24"/>
          <w:szCs w:val="24"/>
        </w:rPr>
        <w:t>tato</w:t>
      </w:r>
      <w:r w:rsidRPr="006A6A96">
        <w:rPr>
          <w:rFonts w:ascii="Calibri" w:hAnsi="Calibri" w:cs="Calibri"/>
          <w:sz w:val="24"/>
          <w:szCs w:val="24"/>
        </w:rPr>
        <w:t xml:space="preserve"> infrastruktura přinese na trh nové významné možnosti, pokud </w:t>
      </w:r>
      <w:r>
        <w:rPr>
          <w:rFonts w:ascii="Calibri" w:hAnsi="Calibri" w:cs="Calibri"/>
          <w:sz w:val="24"/>
          <w:szCs w:val="24"/>
        </w:rPr>
        <w:t>se jedná</w:t>
      </w:r>
      <w:r w:rsidRPr="006A6A96">
        <w:rPr>
          <w:rFonts w:ascii="Calibri" w:hAnsi="Calibri" w:cs="Calibri"/>
          <w:sz w:val="24"/>
          <w:szCs w:val="24"/>
        </w:rPr>
        <w:t xml:space="preserve"> </w:t>
      </w:r>
      <w:r>
        <w:rPr>
          <w:rFonts w:ascii="Calibri" w:hAnsi="Calibri" w:cs="Calibri"/>
          <w:sz w:val="24"/>
          <w:szCs w:val="24"/>
        </w:rPr>
        <w:t xml:space="preserve">např. </w:t>
      </w:r>
      <w:r w:rsidRPr="006A6A96">
        <w:rPr>
          <w:rFonts w:ascii="Calibri" w:hAnsi="Calibri" w:cs="Calibri"/>
          <w:sz w:val="24"/>
          <w:szCs w:val="24"/>
        </w:rPr>
        <w:t>o</w:t>
      </w:r>
      <w:r>
        <w:rPr>
          <w:rFonts w:ascii="Calibri" w:hAnsi="Calibri" w:cs="Calibri"/>
          <w:sz w:val="24"/>
          <w:szCs w:val="24"/>
        </w:rPr>
        <w:t> </w:t>
      </w:r>
      <w:r w:rsidRPr="006A6A96">
        <w:rPr>
          <w:rFonts w:ascii="Calibri" w:hAnsi="Calibri" w:cs="Calibri"/>
          <w:sz w:val="24"/>
          <w:szCs w:val="24"/>
        </w:rPr>
        <w:t>dostupnost a</w:t>
      </w:r>
      <w:r>
        <w:rPr>
          <w:rFonts w:ascii="Calibri" w:hAnsi="Calibri" w:cs="Calibri"/>
          <w:sz w:val="24"/>
          <w:szCs w:val="24"/>
        </w:rPr>
        <w:t> </w:t>
      </w:r>
      <w:r w:rsidRPr="006A6A96">
        <w:rPr>
          <w:rFonts w:ascii="Calibri" w:hAnsi="Calibri" w:cs="Calibri"/>
          <w:sz w:val="24"/>
          <w:szCs w:val="24"/>
        </w:rPr>
        <w:t>kapacitu vysokorychlostních služeb a</w:t>
      </w:r>
      <w:r>
        <w:rPr>
          <w:rFonts w:ascii="Calibri" w:hAnsi="Calibri" w:cs="Calibri"/>
          <w:sz w:val="24"/>
          <w:szCs w:val="24"/>
        </w:rPr>
        <w:t xml:space="preserve"> zvýší </w:t>
      </w:r>
      <w:r w:rsidRPr="006A6A96">
        <w:rPr>
          <w:rFonts w:ascii="Calibri" w:hAnsi="Calibri" w:cs="Calibri"/>
          <w:sz w:val="24"/>
          <w:szCs w:val="24"/>
        </w:rPr>
        <w:t>hospodářskou soutěž.</w:t>
      </w:r>
    </w:p>
    <w:p w:rsidR="00BF6E57" w:rsidRPr="0036610F" w:rsidRDefault="00BF6E57" w:rsidP="00FF3BA2">
      <w:pPr>
        <w:keepNext/>
        <w:overflowPunct/>
        <w:autoSpaceDE/>
        <w:autoSpaceDN/>
        <w:adjustRightInd/>
        <w:spacing w:after="120"/>
        <w:jc w:val="both"/>
        <w:rPr>
          <w:rFonts w:asciiTheme="minorHAnsi" w:hAnsiTheme="minorHAnsi" w:cstheme="minorHAnsi"/>
          <w:bCs/>
          <w:sz w:val="24"/>
          <w:szCs w:val="24"/>
        </w:rPr>
      </w:pPr>
      <w:r>
        <w:rPr>
          <w:rFonts w:asciiTheme="minorHAnsi" w:hAnsiTheme="minorHAnsi" w:cstheme="minorHAnsi"/>
          <w:bCs/>
          <w:sz w:val="24"/>
          <w:szCs w:val="24"/>
        </w:rPr>
        <w:t>V</w:t>
      </w:r>
      <w:r w:rsidRPr="00FC0C89">
        <w:rPr>
          <w:rFonts w:asciiTheme="minorHAnsi" w:hAnsiTheme="minorHAnsi" w:cstheme="minorHAnsi"/>
          <w:bCs/>
          <w:sz w:val="24"/>
          <w:szCs w:val="24"/>
        </w:rPr>
        <w:t xml:space="preserve"> některých specifických případech lze zvážit řešení </w:t>
      </w:r>
      <w:r>
        <w:rPr>
          <w:rFonts w:asciiTheme="minorHAnsi" w:hAnsiTheme="minorHAnsi" w:cstheme="minorHAnsi"/>
          <w:bCs/>
          <w:sz w:val="24"/>
          <w:szCs w:val="24"/>
        </w:rPr>
        <w:t xml:space="preserve">založené na </w:t>
      </w:r>
      <w:r w:rsidRPr="00FC0C89">
        <w:rPr>
          <w:rFonts w:asciiTheme="minorHAnsi" w:hAnsiTheme="minorHAnsi" w:cstheme="minorHAnsi"/>
          <w:bCs/>
          <w:sz w:val="24"/>
          <w:szCs w:val="24"/>
        </w:rPr>
        <w:t>družicové telekomunikac</w:t>
      </w:r>
      <w:r>
        <w:rPr>
          <w:rFonts w:asciiTheme="minorHAnsi" w:hAnsiTheme="minorHAnsi" w:cstheme="minorHAnsi"/>
          <w:bCs/>
          <w:sz w:val="24"/>
          <w:szCs w:val="24"/>
        </w:rPr>
        <w:t>i.</w:t>
      </w:r>
    </w:p>
    <w:p w:rsidR="0057331F" w:rsidRPr="0036610F" w:rsidRDefault="0057331F" w:rsidP="0057331F">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FF3BA2">
        <w:rPr>
          <w:rFonts w:ascii="Calibri" w:hAnsi="Calibri" w:cs="Calibri"/>
          <w:sz w:val="24"/>
          <w:szCs w:val="24"/>
        </w:rPr>
        <w:t>Obyvatelé, kteří nemají možnost využívat vysokorychlostní přístup k internetu alespoň o rychlosti 30 Mbit/s.</w:t>
      </w:r>
    </w:p>
    <w:p w:rsidR="0057331F" w:rsidRDefault="0057331F" w:rsidP="0057331F">
      <w:pPr>
        <w:spacing w:after="120"/>
        <w:jc w:val="both"/>
        <w:rPr>
          <w:rFonts w:ascii="Calibri" w:hAnsi="Calibri" w:cs="Calibri"/>
          <w:sz w:val="24"/>
          <w:szCs w:val="24"/>
        </w:rPr>
      </w:pPr>
      <w:r w:rsidRPr="0036610F">
        <w:rPr>
          <w:rFonts w:asciiTheme="minorHAnsi" w:hAnsiTheme="minorHAnsi" w:cstheme="minorHAnsi"/>
          <w:b/>
          <w:bCs/>
          <w:sz w:val="24"/>
          <w:szCs w:val="24"/>
        </w:rPr>
        <w:t xml:space="preserve">Cílové území: </w:t>
      </w:r>
      <w:r w:rsidR="00FF3BA2">
        <w:rPr>
          <w:rFonts w:ascii="Calibri" w:hAnsi="Calibri" w:cs="Calibri"/>
          <w:sz w:val="24"/>
          <w:szCs w:val="24"/>
        </w:rPr>
        <w:t>Tzv. bílé případně i šedé oblasti na území ČR.</w:t>
      </w:r>
    </w:p>
    <w:p w:rsidR="00FF3BA2" w:rsidRPr="00F557B4" w:rsidRDefault="00FF3BA2" w:rsidP="00BF6E57">
      <w:pPr>
        <w:spacing w:after="60"/>
        <w:jc w:val="both"/>
        <w:rPr>
          <w:rFonts w:ascii="Calibri" w:hAnsi="Calibri" w:cs="Calibri"/>
          <w:sz w:val="24"/>
          <w:szCs w:val="24"/>
        </w:rPr>
      </w:pPr>
      <w:r w:rsidRPr="00F557B4">
        <w:rPr>
          <w:rFonts w:ascii="Calibri" w:hAnsi="Calibri" w:cs="Calibri"/>
          <w:sz w:val="24"/>
          <w:szCs w:val="24"/>
        </w:rPr>
        <w:t xml:space="preserve">Bílou oblastí se rozumí oblast, ve které neexistuje žádný provozovatel sítě pro vysokorychlostní přístup k internetu umožňující zajišťování služby reálnou rychlostí alespoň 30 Mbit/s a není pravděpodobné, že by v ní do tří let nějaký poskytovatel vybudoval infrastrukturu pro poskytování této služby. </w:t>
      </w:r>
    </w:p>
    <w:p w:rsidR="00FF3BA2" w:rsidRPr="0036610F" w:rsidRDefault="00FF3BA2" w:rsidP="00FF3BA2">
      <w:pPr>
        <w:spacing w:after="120"/>
        <w:jc w:val="both"/>
        <w:rPr>
          <w:rFonts w:asciiTheme="minorHAnsi" w:hAnsiTheme="minorHAnsi" w:cstheme="minorHAnsi"/>
          <w:bCs/>
          <w:sz w:val="24"/>
          <w:szCs w:val="24"/>
        </w:rPr>
      </w:pPr>
      <w:r w:rsidRPr="00F557B4">
        <w:rPr>
          <w:rFonts w:ascii="Calibri" w:hAnsi="Calibri" w:cs="Calibri"/>
          <w:sz w:val="24"/>
          <w:szCs w:val="24"/>
        </w:rPr>
        <w:t>Šedou oblastí se rozumí oblast, ve které existuje jeden provozovatel sítě vysokorychlostního přístupu k internetu zajišťující poskytování služby reálnou rychlostí alespoň 30 Mbit/s a není pravděpodobné, že by v ní do tří let jiný podnikatel vybudoval infrastrukturu pro poskytování této služby.</w:t>
      </w:r>
    </w:p>
    <w:p w:rsidR="0057331F" w:rsidRPr="0036610F" w:rsidRDefault="0057331F" w:rsidP="0057331F">
      <w:pPr>
        <w:keepNext/>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FF3BA2" w:rsidRPr="00FF3BA2">
        <w:rPr>
          <w:rFonts w:asciiTheme="minorHAnsi" w:hAnsiTheme="minorHAnsi" w:cstheme="minorHAnsi"/>
          <w:bCs/>
          <w:sz w:val="24"/>
          <w:szCs w:val="24"/>
        </w:rPr>
        <w:t>Podnikatelské subjekty (malé, střední a velké podniky), obce nebo sdružení obcí, případně kraje.</w:t>
      </w:r>
    </w:p>
    <w:p w:rsidR="0057331F" w:rsidRDefault="0057331F" w:rsidP="0057331F">
      <w:pPr>
        <w:pStyle w:val="Nadpis5"/>
      </w:pPr>
      <w:r w:rsidRPr="00D71D90">
        <w:t>Popis principů pro výběr operací</w:t>
      </w:r>
    </w:p>
    <w:p w:rsidR="0057331F" w:rsidRPr="0036610F" w:rsidRDefault="0057331F" w:rsidP="0057331F">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57331F" w:rsidRPr="0036610F" w:rsidRDefault="0057331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57331F" w:rsidRPr="0036610F" w:rsidRDefault="0057331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Jak bude při výběru projektů zohledněna problematika horizontálních principů, tj. rovnost žen a mužů, nediskriminace, rovný přístup a udržitelný rozvoj.</w:t>
      </w:r>
    </w:p>
    <w:p w:rsidR="0057331F" w:rsidRDefault="0057331F" w:rsidP="0057331F">
      <w:pPr>
        <w:pStyle w:val="Nadpis5"/>
      </w:pPr>
      <w:r w:rsidRPr="00D71D90">
        <w:t>Plánované využití finančních nástrojů</w:t>
      </w:r>
    </w:p>
    <w:p w:rsidR="0057331F" w:rsidRPr="002D5206" w:rsidRDefault="0057331F" w:rsidP="0057331F">
      <w:pPr>
        <w:spacing w:after="60" w:line="312" w:lineRule="auto"/>
        <w:jc w:val="both"/>
        <w:rPr>
          <w:rFonts w:asciiTheme="minorHAnsi" w:hAnsiTheme="minorHAnsi" w:cstheme="minorHAnsi"/>
          <w:bCs/>
          <w:color w:val="FF0000"/>
          <w:sz w:val="24"/>
          <w:szCs w:val="24"/>
        </w:rPr>
      </w:pPr>
      <w:r w:rsidRPr="002D5206">
        <w:rPr>
          <w:rFonts w:asciiTheme="minorHAnsi" w:hAnsiTheme="minorHAnsi" w:cstheme="minorHAnsi"/>
          <w:bCs/>
          <w:color w:val="FF0000"/>
          <w:sz w:val="24"/>
          <w:szCs w:val="24"/>
        </w:rPr>
        <w:t xml:space="preserve">Využití a případný výběr nejvhodnějších forem finančních nástrojů a jejich specifické zaměření bude ponechán na ex-ante analýze finančních nástrojů </w:t>
      </w:r>
      <w:r w:rsidRPr="00DD04E7">
        <w:rPr>
          <w:rFonts w:asciiTheme="minorHAnsi" w:hAnsiTheme="minorHAnsi" w:cstheme="minorHAnsi"/>
          <w:bCs/>
          <w:color w:val="FF0000"/>
          <w:sz w:val="24"/>
          <w:szCs w:val="24"/>
        </w:rPr>
        <w:t>OP PIK dle čl. 32 návrhu obecného nařízení.</w:t>
      </w:r>
    </w:p>
    <w:p w:rsidR="0057331F" w:rsidRPr="00D71D90" w:rsidRDefault="0057331F" w:rsidP="0057331F">
      <w:pPr>
        <w:pStyle w:val="Nadpis5"/>
      </w:pPr>
      <w:r w:rsidRPr="00D71D90">
        <w:lastRenderedPageBreak/>
        <w:t>Specifikace velkých projektů</w:t>
      </w:r>
    </w:p>
    <w:p w:rsidR="0057331F" w:rsidRPr="00DD04E7" w:rsidRDefault="002D5206" w:rsidP="0057331F">
      <w:pPr>
        <w:overflowPunct/>
        <w:jc w:val="both"/>
        <w:textAlignment w:val="auto"/>
        <w:rPr>
          <w:rFonts w:asciiTheme="minorHAnsi" w:hAnsiTheme="minorHAnsi" w:cstheme="minorHAnsi"/>
          <w:color w:val="FF0000"/>
          <w:sz w:val="24"/>
          <w:szCs w:val="24"/>
        </w:rPr>
      </w:pPr>
      <w:r w:rsidRPr="002D5206">
        <w:rPr>
          <w:rFonts w:asciiTheme="minorHAnsi" w:hAnsiTheme="minorHAnsi" w:cstheme="minorHAnsi"/>
          <w:color w:val="FF0000"/>
          <w:sz w:val="24"/>
          <w:szCs w:val="24"/>
        </w:rPr>
        <w:t>Otázka realizace velkých proje</w:t>
      </w:r>
      <w:r w:rsidRPr="00DD04E7">
        <w:rPr>
          <w:rFonts w:asciiTheme="minorHAnsi" w:hAnsiTheme="minorHAnsi" w:cstheme="minorHAnsi"/>
          <w:color w:val="FF0000"/>
          <w:sz w:val="24"/>
          <w:szCs w:val="24"/>
        </w:rPr>
        <w:t xml:space="preserve">ktů dle vymezení čl. 87 odst. 2 písm. (b)(iii) nařízení č. xxxx/2013 bude řešena dle vývoje přípravy operačního programu. </w:t>
      </w:r>
      <w:r w:rsidR="0057331F" w:rsidRPr="00DD04E7">
        <w:rPr>
          <w:rFonts w:asciiTheme="minorHAnsi" w:hAnsiTheme="minorHAnsi" w:cstheme="minorHAnsi"/>
          <w:color w:val="FF0000"/>
          <w:sz w:val="24"/>
          <w:szCs w:val="24"/>
        </w:rPr>
        <w:t xml:space="preserve">  </w:t>
      </w:r>
    </w:p>
    <w:p w:rsidR="0057331F" w:rsidRPr="00DD04E7" w:rsidRDefault="0057331F" w:rsidP="0057331F">
      <w:pPr>
        <w:pStyle w:val="Nadpis5"/>
      </w:pPr>
      <w:r w:rsidRPr="00DD04E7">
        <w:t>Společné a specifické indikátory</w:t>
      </w:r>
    </w:p>
    <w:p w:rsidR="0057331F" w:rsidRPr="00DD04E7" w:rsidRDefault="0057331F" w:rsidP="0057331F"/>
    <w:p w:rsidR="0057331F" w:rsidRPr="009A0366" w:rsidRDefault="0057331F" w:rsidP="0057331F">
      <w:pPr>
        <w:pStyle w:val="TextNOK"/>
        <w:spacing w:before="60" w:line="240" w:lineRule="auto"/>
        <w:rPr>
          <w:rFonts w:ascii="Times New Roman" w:hAnsi="Times New Roman"/>
          <w:b/>
          <w:sz w:val="24"/>
          <w:szCs w:val="24"/>
        </w:rPr>
      </w:pPr>
      <w:r w:rsidRPr="00DD04E7">
        <w:rPr>
          <w:rFonts w:ascii="Times New Roman" w:hAnsi="Times New Roman"/>
          <w:b/>
          <w:sz w:val="24"/>
          <w:szCs w:val="24"/>
        </w:rPr>
        <w:t>Tabulka xx: Seznam všech ind</w:t>
      </w:r>
      <w:r w:rsidRPr="008A50E3">
        <w:rPr>
          <w:rFonts w:ascii="Times New Roman" w:hAnsi="Times New Roman"/>
          <w:b/>
          <w:sz w:val="24"/>
          <w:szCs w:val="24"/>
        </w:rPr>
        <w:t>ikátorů programu</w:t>
      </w:r>
      <w:r w:rsidRPr="009A0366">
        <w:rPr>
          <w:rFonts w:ascii="Times New Roman" w:hAnsi="Times New Roman"/>
          <w:b/>
          <w:sz w:val="24"/>
          <w:szCs w:val="24"/>
        </w:rPr>
        <w:t xml:space="preserve"> </w:t>
      </w:r>
    </w:p>
    <w:tbl>
      <w:tblPr>
        <w:tblW w:w="10421"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851"/>
        <w:gridCol w:w="992"/>
        <w:gridCol w:w="992"/>
        <w:gridCol w:w="992"/>
        <w:gridCol w:w="1134"/>
        <w:gridCol w:w="851"/>
        <w:gridCol w:w="815"/>
      </w:tblGrid>
      <w:tr w:rsidR="0057331F" w:rsidRPr="009A0366" w:rsidTr="00641EA3">
        <w:tc>
          <w:tcPr>
            <w:tcW w:w="1101" w:type="dxa"/>
            <w:vMerge w:val="restart"/>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Investiční priorita </w:t>
            </w:r>
          </w:p>
        </w:tc>
        <w:tc>
          <w:tcPr>
            <w:tcW w:w="850" w:type="dxa"/>
            <w:vMerge w:val="restart"/>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Specifický cíl </w:t>
            </w:r>
          </w:p>
        </w:tc>
        <w:tc>
          <w:tcPr>
            <w:tcW w:w="1134" w:type="dxa"/>
            <w:vMerge w:val="restart"/>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skupina / územní dimenze</w:t>
            </w:r>
          </w:p>
        </w:tc>
        <w:tc>
          <w:tcPr>
            <w:tcW w:w="3544" w:type="dxa"/>
            <w:gridSpan w:val="4"/>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xml:space="preserve">Indikátor výstupu a výsledku </w:t>
            </w:r>
          </w:p>
        </w:tc>
        <w:tc>
          <w:tcPr>
            <w:tcW w:w="992" w:type="dxa"/>
            <w:vMerge w:val="restart"/>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Výchozí hodnota</w:t>
            </w:r>
          </w:p>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 (rok)</w:t>
            </w:r>
          </w:p>
        </w:tc>
        <w:tc>
          <w:tcPr>
            <w:tcW w:w="1134" w:type="dxa"/>
            <w:vMerge w:val="restart"/>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Cílová hodnota (2022)</w:t>
            </w:r>
          </w:p>
        </w:tc>
        <w:tc>
          <w:tcPr>
            <w:tcW w:w="851" w:type="dxa"/>
            <w:vMerge w:val="restart"/>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Zdroj dat, frekvence sledování</w:t>
            </w:r>
          </w:p>
        </w:tc>
        <w:tc>
          <w:tcPr>
            <w:tcW w:w="815" w:type="dxa"/>
            <w:vMerge w:val="restart"/>
            <w:shd w:val="clear" w:color="auto" w:fill="auto"/>
          </w:tcPr>
          <w:p w:rsidR="0057331F" w:rsidRPr="009A0366" w:rsidRDefault="0057331F" w:rsidP="00EC6DD0">
            <w:pPr>
              <w:pStyle w:val="TextMetodika"/>
              <w:spacing w:before="0" w:after="0" w:line="240" w:lineRule="auto"/>
              <w:jc w:val="center"/>
              <w:rPr>
                <w:rFonts w:ascii="Times New Roman" w:hAnsi="Times New Roman"/>
                <w:b/>
                <w:bCs/>
                <w:sz w:val="22"/>
                <w:szCs w:val="22"/>
              </w:rPr>
            </w:pPr>
            <w:r w:rsidRPr="009A0366">
              <w:rPr>
                <w:rFonts w:ascii="Times New Roman" w:hAnsi="Times New Roman"/>
                <w:b/>
                <w:bCs/>
                <w:sz w:val="22"/>
                <w:szCs w:val="22"/>
              </w:rPr>
              <w:t>Odůvodnění, jakým způsobem byly hodnoty stanoveny</w:t>
            </w:r>
          </w:p>
        </w:tc>
      </w:tr>
      <w:tr w:rsidR="0057331F" w:rsidRPr="009A0366" w:rsidTr="00641EA3">
        <w:tc>
          <w:tcPr>
            <w:tcW w:w="1101" w:type="dxa"/>
            <w:vMerge/>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850" w:type="dxa"/>
            <w:vMerge/>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1134" w:type="dxa"/>
            <w:vMerge/>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709" w:type="dxa"/>
            <w:shd w:val="clear" w:color="auto" w:fill="auto"/>
          </w:tcPr>
          <w:p w:rsidR="0057331F" w:rsidRPr="009A0366" w:rsidRDefault="0057331F" w:rsidP="00EC6DD0">
            <w:pPr>
              <w:pStyle w:val="TextMetodika"/>
              <w:jc w:val="center"/>
              <w:rPr>
                <w:rFonts w:ascii="Times New Roman" w:hAnsi="Times New Roman"/>
                <w:b/>
                <w:bCs/>
                <w:sz w:val="22"/>
                <w:szCs w:val="22"/>
              </w:rPr>
            </w:pPr>
            <w:r w:rsidRPr="009A0366">
              <w:rPr>
                <w:rFonts w:ascii="Times New Roman" w:hAnsi="Times New Roman"/>
                <w:b/>
                <w:bCs/>
                <w:sz w:val="22"/>
                <w:szCs w:val="22"/>
              </w:rPr>
              <w:t>Kód NČI 2014+</w:t>
            </w:r>
          </w:p>
        </w:tc>
        <w:tc>
          <w:tcPr>
            <w:tcW w:w="851" w:type="dxa"/>
            <w:shd w:val="clear" w:color="auto" w:fill="auto"/>
          </w:tcPr>
          <w:p w:rsidR="0057331F" w:rsidRPr="009A0366" w:rsidRDefault="0057331F" w:rsidP="00EC6DD0">
            <w:pPr>
              <w:pStyle w:val="TextMetodika"/>
              <w:jc w:val="center"/>
              <w:rPr>
                <w:rFonts w:ascii="Times New Roman" w:hAnsi="Times New Roman"/>
                <w:b/>
                <w:bCs/>
                <w:sz w:val="22"/>
                <w:szCs w:val="22"/>
              </w:rPr>
            </w:pPr>
            <w:r w:rsidRPr="009A0366">
              <w:rPr>
                <w:rFonts w:ascii="Times New Roman" w:hAnsi="Times New Roman"/>
                <w:b/>
                <w:bCs/>
                <w:sz w:val="22"/>
                <w:szCs w:val="22"/>
              </w:rPr>
              <w:t>Název indikátoru</w:t>
            </w:r>
          </w:p>
        </w:tc>
        <w:tc>
          <w:tcPr>
            <w:tcW w:w="992" w:type="dxa"/>
            <w:shd w:val="clear" w:color="auto" w:fill="auto"/>
          </w:tcPr>
          <w:p w:rsidR="0057331F" w:rsidRPr="009A0366" w:rsidRDefault="0057331F" w:rsidP="00EC6DD0">
            <w:pPr>
              <w:pStyle w:val="TextMetodika"/>
              <w:jc w:val="center"/>
              <w:rPr>
                <w:rFonts w:ascii="Times New Roman" w:hAnsi="Times New Roman"/>
                <w:b/>
                <w:bCs/>
                <w:sz w:val="22"/>
                <w:szCs w:val="22"/>
              </w:rPr>
            </w:pPr>
            <w:r w:rsidRPr="009A0366">
              <w:rPr>
                <w:rFonts w:ascii="Times New Roman" w:hAnsi="Times New Roman"/>
                <w:b/>
                <w:bCs/>
                <w:sz w:val="22"/>
                <w:szCs w:val="22"/>
              </w:rPr>
              <w:t>Měrná jednotka</w:t>
            </w:r>
          </w:p>
        </w:tc>
        <w:tc>
          <w:tcPr>
            <w:tcW w:w="992" w:type="dxa"/>
            <w:shd w:val="clear" w:color="auto" w:fill="auto"/>
          </w:tcPr>
          <w:p w:rsidR="0057331F" w:rsidRPr="009A0366" w:rsidRDefault="0057331F" w:rsidP="00EC6DD0">
            <w:pPr>
              <w:pStyle w:val="TextMetodika"/>
              <w:jc w:val="center"/>
              <w:rPr>
                <w:rFonts w:ascii="Times New Roman" w:hAnsi="Times New Roman"/>
                <w:b/>
                <w:bCs/>
                <w:sz w:val="22"/>
                <w:szCs w:val="22"/>
              </w:rPr>
            </w:pPr>
            <w:r w:rsidRPr="009A0366">
              <w:rPr>
                <w:rFonts w:ascii="Times New Roman" w:hAnsi="Times New Roman"/>
                <w:b/>
                <w:bCs/>
                <w:sz w:val="22"/>
                <w:szCs w:val="22"/>
              </w:rPr>
              <w:t xml:space="preserve">Typ Indikátoru (výstup /, výsledek) </w:t>
            </w:r>
          </w:p>
        </w:tc>
        <w:tc>
          <w:tcPr>
            <w:tcW w:w="992" w:type="dxa"/>
            <w:vMerge/>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1134" w:type="dxa"/>
            <w:vMerge/>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851" w:type="dxa"/>
            <w:vMerge/>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815" w:type="dxa"/>
            <w:vMerge/>
            <w:shd w:val="clear" w:color="auto" w:fill="auto"/>
          </w:tcPr>
          <w:p w:rsidR="0057331F" w:rsidRPr="009A0366" w:rsidRDefault="0057331F" w:rsidP="00EC6DD0">
            <w:pPr>
              <w:pStyle w:val="TextMetodika"/>
              <w:jc w:val="center"/>
              <w:rPr>
                <w:rFonts w:ascii="Times New Roman" w:hAnsi="Times New Roman"/>
                <w:b/>
                <w:bCs/>
                <w:sz w:val="22"/>
                <w:szCs w:val="22"/>
              </w:rPr>
            </w:pPr>
          </w:p>
        </w:tc>
      </w:tr>
      <w:tr w:rsidR="0057331F" w:rsidRPr="009A0366" w:rsidTr="00641EA3">
        <w:tc>
          <w:tcPr>
            <w:tcW w:w="1101"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850"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1134"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709"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851"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992"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992"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992"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1134"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851" w:type="dxa"/>
            <w:shd w:val="clear" w:color="auto" w:fill="auto"/>
          </w:tcPr>
          <w:p w:rsidR="0057331F" w:rsidRPr="009A0366" w:rsidRDefault="0057331F" w:rsidP="00EC6DD0">
            <w:pPr>
              <w:pStyle w:val="TextMetodika"/>
              <w:jc w:val="center"/>
              <w:rPr>
                <w:rFonts w:ascii="Times New Roman" w:hAnsi="Times New Roman"/>
                <w:b/>
                <w:bCs/>
                <w:sz w:val="22"/>
                <w:szCs w:val="22"/>
              </w:rPr>
            </w:pPr>
          </w:p>
        </w:tc>
        <w:tc>
          <w:tcPr>
            <w:tcW w:w="815" w:type="dxa"/>
            <w:shd w:val="clear" w:color="auto" w:fill="auto"/>
          </w:tcPr>
          <w:p w:rsidR="0057331F" w:rsidRPr="009A0366" w:rsidRDefault="0057331F" w:rsidP="00EC6DD0">
            <w:pPr>
              <w:pStyle w:val="TextMetodika"/>
              <w:jc w:val="center"/>
              <w:rPr>
                <w:rFonts w:ascii="Times New Roman" w:hAnsi="Times New Roman"/>
                <w:b/>
                <w:bCs/>
                <w:sz w:val="22"/>
                <w:szCs w:val="22"/>
              </w:rPr>
            </w:pPr>
          </w:p>
        </w:tc>
      </w:tr>
    </w:tbl>
    <w:p w:rsidR="0057331F" w:rsidRDefault="0057331F" w:rsidP="0057331F">
      <w:pPr>
        <w:overflowPunct/>
        <w:textAlignment w:val="auto"/>
        <w:rPr>
          <w:sz w:val="24"/>
          <w:szCs w:val="24"/>
        </w:rPr>
      </w:pPr>
    </w:p>
    <w:p w:rsidR="0057331F" w:rsidRDefault="0057331F" w:rsidP="0057331F">
      <w:pPr>
        <w:overflowPunct/>
        <w:textAlignment w:val="auto"/>
        <w:rPr>
          <w:sz w:val="24"/>
          <w:szCs w:val="24"/>
        </w:rPr>
      </w:pPr>
    </w:p>
    <w:p w:rsidR="00FF3BA2" w:rsidRPr="00DD04E7" w:rsidRDefault="00FF3BA2" w:rsidP="0057331F">
      <w:pPr>
        <w:overflowPunct/>
        <w:textAlignment w:val="auto"/>
        <w:rPr>
          <w:rFonts w:asciiTheme="minorHAnsi" w:hAnsiTheme="minorHAnsi" w:cstheme="minorHAnsi"/>
          <w:b/>
          <w:bCs/>
          <w:sz w:val="24"/>
          <w:szCs w:val="24"/>
        </w:rPr>
      </w:pPr>
      <w:r w:rsidRPr="00D71D90">
        <w:rPr>
          <w:rFonts w:asciiTheme="minorHAnsi" w:hAnsiTheme="minorHAnsi" w:cstheme="minorHAnsi"/>
          <w:b/>
          <w:sz w:val="24"/>
          <w:szCs w:val="24"/>
        </w:rPr>
        <w:t>Investiční priorita:</w:t>
      </w:r>
      <w:r w:rsidRPr="00FF3BA2">
        <w:rPr>
          <w:rFonts w:asciiTheme="minorHAnsi" w:hAnsiTheme="minorHAnsi" w:cstheme="minorHAnsi"/>
          <w:b/>
          <w:sz w:val="24"/>
          <w:szCs w:val="24"/>
        </w:rPr>
        <w:t xml:space="preserve"> </w:t>
      </w:r>
      <w:r w:rsidRPr="00FF3BA2">
        <w:rPr>
          <w:rFonts w:asciiTheme="minorHAnsi" w:hAnsiTheme="minorHAnsi" w:cstheme="minorHAnsi"/>
          <w:b/>
          <w:bCs/>
          <w:sz w:val="24"/>
          <w:szCs w:val="24"/>
        </w:rPr>
        <w:t xml:space="preserve">Vyvíjení produktů a služeb v oblasti IKT, elektronického obchodu a zvyšování poptávky </w:t>
      </w:r>
      <w:r w:rsidRPr="00DD04E7">
        <w:rPr>
          <w:rFonts w:asciiTheme="minorHAnsi" w:hAnsiTheme="minorHAnsi" w:cstheme="minorHAnsi"/>
          <w:b/>
          <w:bCs/>
          <w:sz w:val="24"/>
          <w:szCs w:val="24"/>
        </w:rPr>
        <w:t>po IKT (nařízení o ERDF, článek 5, odst. (2) bod b)</w:t>
      </w:r>
    </w:p>
    <w:p w:rsidR="002D5206" w:rsidRPr="00DD04E7" w:rsidRDefault="002D5206" w:rsidP="0057331F">
      <w:pPr>
        <w:overflowPunct/>
        <w:textAlignment w:val="auto"/>
        <w:rPr>
          <w:sz w:val="24"/>
          <w:szCs w:val="24"/>
        </w:rPr>
      </w:pPr>
    </w:p>
    <w:p w:rsidR="0057331F" w:rsidRPr="00047389" w:rsidRDefault="0057331F" w:rsidP="003E384D">
      <w:pPr>
        <w:pStyle w:val="Nadpis4"/>
        <w:keepNext w:val="0"/>
        <w:keepLines w:val="0"/>
      </w:pPr>
      <w:bookmarkStart w:id="98" w:name="_Toc351464409"/>
      <w:r w:rsidRPr="00DD04E7">
        <w:t xml:space="preserve">Specifický cíl </w:t>
      </w:r>
      <w:r w:rsidR="00FF3BA2" w:rsidRPr="00DD04E7">
        <w:rPr>
          <w:szCs w:val="24"/>
        </w:rPr>
        <w:t>4.2 - Rozvoj</w:t>
      </w:r>
      <w:r w:rsidR="00FF3BA2" w:rsidRPr="00FF3BA2">
        <w:rPr>
          <w:szCs w:val="24"/>
        </w:rPr>
        <w:t xml:space="preserve"> nejmodernějších a pokročilých informačních a komunikačních technologií a podpora poskytování souvisejících sdílených služeb</w:t>
      </w:r>
      <w:bookmarkEnd w:id="98"/>
    </w:p>
    <w:p w:rsidR="0057331F" w:rsidRDefault="0057331F" w:rsidP="003E384D">
      <w:pPr>
        <w:pStyle w:val="Nadpis5"/>
        <w:keepNext w:val="0"/>
        <w:keepLines w:val="0"/>
      </w:pPr>
      <w:r w:rsidRPr="00FF25A4">
        <w:t>Popis typů a příkladů financovaných aktivit a jejich očekávaný příspěvek ke specifickým cílům, včetně, pokud je to možné</w:t>
      </w:r>
    </w:p>
    <w:p w:rsidR="0057331F" w:rsidRPr="0036610F" w:rsidRDefault="0057331F" w:rsidP="003E384D">
      <w:pPr>
        <w:overflowPunct/>
        <w:autoSpaceDE/>
        <w:autoSpaceDN/>
        <w:adjustRightInd/>
        <w:spacing w:after="120"/>
        <w:jc w:val="both"/>
        <w:rPr>
          <w:rFonts w:asciiTheme="minorHAnsi" w:hAnsiTheme="minorHAnsi" w:cstheme="minorHAnsi"/>
          <w:bCs/>
          <w:sz w:val="24"/>
          <w:szCs w:val="24"/>
        </w:rPr>
      </w:pPr>
      <w:r w:rsidRPr="0036610F">
        <w:rPr>
          <w:rFonts w:asciiTheme="minorHAnsi" w:hAnsiTheme="minorHAnsi" w:cstheme="minorHAnsi"/>
          <w:b/>
          <w:sz w:val="24"/>
          <w:szCs w:val="24"/>
        </w:rPr>
        <w:t xml:space="preserve">Podporované aktivity: </w:t>
      </w:r>
      <w:r w:rsidR="00FF3BA2" w:rsidRPr="00A32A66">
        <w:rPr>
          <w:rFonts w:ascii="Calibri" w:hAnsi="Calibri" w:cs="Calibri"/>
          <w:sz w:val="24"/>
          <w:szCs w:val="24"/>
        </w:rPr>
        <w:t>Podporova</w:t>
      </w:r>
      <w:r w:rsidR="00FF3BA2">
        <w:rPr>
          <w:rFonts w:ascii="Calibri" w:hAnsi="Calibri" w:cs="Calibri"/>
          <w:sz w:val="24"/>
          <w:szCs w:val="24"/>
        </w:rPr>
        <w:t>nými</w:t>
      </w:r>
      <w:r w:rsidR="00FF3BA2" w:rsidRPr="00A32A66">
        <w:rPr>
          <w:rFonts w:ascii="Calibri" w:hAnsi="Calibri" w:cs="Calibri"/>
          <w:sz w:val="24"/>
          <w:szCs w:val="24"/>
        </w:rPr>
        <w:t xml:space="preserve"> aktivit</w:t>
      </w:r>
      <w:r w:rsidR="00FF3BA2">
        <w:rPr>
          <w:rFonts w:ascii="Calibri" w:hAnsi="Calibri" w:cs="Calibri"/>
          <w:sz w:val="24"/>
          <w:szCs w:val="24"/>
        </w:rPr>
        <w:t>ami bude zejména tvorba nových IS/ICT řešení a aplikací, centra sdílených služeb.</w:t>
      </w:r>
    </w:p>
    <w:p w:rsidR="0057331F" w:rsidRPr="00724A93" w:rsidRDefault="0057331F" w:rsidP="003E384D">
      <w:pPr>
        <w:spacing w:after="120"/>
        <w:jc w:val="both"/>
        <w:rPr>
          <w:rFonts w:asciiTheme="minorHAnsi" w:hAnsiTheme="minorHAnsi" w:cstheme="minorHAnsi"/>
          <w:sz w:val="24"/>
        </w:rPr>
      </w:pPr>
      <w:r w:rsidRPr="0036610F">
        <w:rPr>
          <w:rFonts w:asciiTheme="minorHAnsi" w:hAnsiTheme="minorHAnsi" w:cstheme="minorHAnsi"/>
          <w:b/>
          <w:bCs/>
          <w:sz w:val="24"/>
          <w:szCs w:val="24"/>
        </w:rPr>
        <w:t xml:space="preserve">Hlavní cílová skupina: </w:t>
      </w:r>
      <w:r w:rsidR="00FF3BA2">
        <w:rPr>
          <w:rFonts w:ascii="Calibri" w:hAnsi="Calibri" w:cs="Calibri"/>
          <w:sz w:val="24"/>
          <w:szCs w:val="24"/>
        </w:rPr>
        <w:t>Podnikatelské subjekty a obyvatelé využívající IT.</w:t>
      </w:r>
    </w:p>
    <w:p w:rsidR="0057331F" w:rsidRPr="0036610F" w:rsidRDefault="0057331F" w:rsidP="003E384D">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Cílové území: </w:t>
      </w:r>
      <w:r w:rsidR="00FF3BA2">
        <w:rPr>
          <w:rFonts w:ascii="Calibri" w:hAnsi="Calibri" w:cs="Calibri"/>
          <w:sz w:val="24"/>
          <w:szCs w:val="24"/>
        </w:rPr>
        <w:t>Území České republiky, mimo území hl. m. Prahy.</w:t>
      </w:r>
    </w:p>
    <w:p w:rsidR="0057331F" w:rsidRPr="0036610F" w:rsidRDefault="0057331F" w:rsidP="003E384D">
      <w:pPr>
        <w:spacing w:after="120"/>
        <w:jc w:val="both"/>
        <w:rPr>
          <w:rFonts w:asciiTheme="minorHAnsi" w:hAnsiTheme="minorHAnsi" w:cstheme="minorHAnsi"/>
          <w:bCs/>
          <w:sz w:val="24"/>
          <w:szCs w:val="24"/>
        </w:rPr>
      </w:pPr>
      <w:r w:rsidRPr="0036610F">
        <w:rPr>
          <w:rFonts w:asciiTheme="minorHAnsi" w:hAnsiTheme="minorHAnsi" w:cstheme="minorHAnsi"/>
          <w:b/>
          <w:bCs/>
          <w:sz w:val="24"/>
          <w:szCs w:val="24"/>
        </w:rPr>
        <w:t xml:space="preserve">Typy příjemců: </w:t>
      </w:r>
      <w:r w:rsidR="00FF3BA2">
        <w:rPr>
          <w:rFonts w:ascii="Calibri" w:hAnsi="Calibri" w:cs="Calibri"/>
          <w:sz w:val="24"/>
          <w:szCs w:val="24"/>
        </w:rPr>
        <w:t>P</w:t>
      </w:r>
      <w:r w:rsidR="00FF3BA2" w:rsidRPr="003B6700">
        <w:rPr>
          <w:rFonts w:ascii="Calibri" w:hAnsi="Calibri" w:cs="Calibri"/>
          <w:sz w:val="24"/>
          <w:szCs w:val="24"/>
        </w:rPr>
        <w:t>odnikatelské subjekty (malé, střední a</w:t>
      </w:r>
      <w:r w:rsidR="00FF3BA2">
        <w:rPr>
          <w:rFonts w:ascii="Calibri" w:hAnsi="Calibri" w:cs="Calibri"/>
          <w:sz w:val="24"/>
          <w:szCs w:val="24"/>
        </w:rPr>
        <w:t> </w:t>
      </w:r>
      <w:r w:rsidR="00FF3BA2" w:rsidRPr="003B6700">
        <w:rPr>
          <w:rFonts w:ascii="Calibri" w:hAnsi="Calibri" w:cs="Calibri"/>
          <w:sz w:val="24"/>
          <w:szCs w:val="24"/>
        </w:rPr>
        <w:t>velké podniky).</w:t>
      </w:r>
    </w:p>
    <w:p w:rsidR="0057331F" w:rsidRDefault="0057331F" w:rsidP="0057331F">
      <w:pPr>
        <w:pStyle w:val="Nadpis5"/>
      </w:pPr>
      <w:r w:rsidRPr="00D71D90">
        <w:t>Popis principů pro výběr operací</w:t>
      </w:r>
    </w:p>
    <w:p w:rsidR="0057331F" w:rsidRPr="0036610F" w:rsidRDefault="0057331F" w:rsidP="0057331F">
      <w:pPr>
        <w:spacing w:before="60" w:after="60" w:line="288" w:lineRule="auto"/>
        <w:rPr>
          <w:rFonts w:asciiTheme="minorHAnsi" w:hAnsiTheme="minorHAnsi" w:cstheme="minorHAnsi"/>
          <w:iCs/>
          <w:color w:val="FF0000"/>
          <w:sz w:val="24"/>
          <w:szCs w:val="24"/>
        </w:rPr>
      </w:pPr>
      <w:r w:rsidRPr="0036610F">
        <w:rPr>
          <w:rFonts w:asciiTheme="minorHAnsi" w:hAnsiTheme="minorHAnsi" w:cstheme="minorHAnsi"/>
          <w:iCs/>
          <w:color w:val="FF0000"/>
          <w:sz w:val="24"/>
          <w:szCs w:val="24"/>
        </w:rPr>
        <w:t>Tato část bude obsahovat stručný popis:</w:t>
      </w:r>
    </w:p>
    <w:p w:rsidR="0057331F" w:rsidRPr="0036610F" w:rsidRDefault="0057331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t>Způsob postupu a další předpokládané mechanismy, jak bude zajištěno, aby operace / projekty přispívaly k plnění specifických cílů a dosažení výsledků;</w:t>
      </w:r>
    </w:p>
    <w:p w:rsidR="0057331F" w:rsidRPr="0036610F" w:rsidRDefault="0057331F" w:rsidP="00851D6E">
      <w:pPr>
        <w:pStyle w:val="Odstavecseseznamem"/>
        <w:numPr>
          <w:ilvl w:val="0"/>
          <w:numId w:val="20"/>
        </w:numPr>
        <w:overflowPunct/>
        <w:autoSpaceDE/>
        <w:autoSpaceDN/>
        <w:adjustRightInd/>
        <w:spacing w:after="120" w:line="288" w:lineRule="auto"/>
        <w:contextualSpacing w:val="0"/>
        <w:jc w:val="both"/>
        <w:textAlignment w:val="auto"/>
        <w:rPr>
          <w:rFonts w:asciiTheme="minorHAnsi" w:hAnsiTheme="minorHAnsi" w:cstheme="minorHAnsi"/>
          <w:color w:val="FF0000"/>
          <w:sz w:val="24"/>
          <w:szCs w:val="24"/>
        </w:rPr>
      </w:pPr>
      <w:r w:rsidRPr="0036610F">
        <w:rPr>
          <w:rFonts w:asciiTheme="minorHAnsi" w:hAnsiTheme="minorHAnsi" w:cstheme="minorHAnsi"/>
          <w:color w:val="FF0000"/>
          <w:sz w:val="24"/>
          <w:szCs w:val="24"/>
        </w:rPr>
        <w:lastRenderedPageBreak/>
        <w:t>Jak bude při výběru projektů zohledněna problematika horizontálních principů, tj. rovnost žen a mužů, nediskriminace, rovný přístup a udržitelný rozvoj.</w:t>
      </w:r>
    </w:p>
    <w:p w:rsidR="0057331F" w:rsidRDefault="0057331F" w:rsidP="0057331F">
      <w:pPr>
        <w:pStyle w:val="Nadpis5"/>
      </w:pPr>
      <w:r w:rsidRPr="00D71D90">
        <w:t>Plánované využití finančních nástrojů</w:t>
      </w:r>
    </w:p>
    <w:p w:rsidR="0057331F" w:rsidRPr="00DD04E7" w:rsidRDefault="0057331F" w:rsidP="0057331F">
      <w:pPr>
        <w:spacing w:after="60" w:line="312" w:lineRule="auto"/>
        <w:jc w:val="both"/>
        <w:rPr>
          <w:rFonts w:asciiTheme="minorHAnsi" w:hAnsiTheme="minorHAnsi" w:cstheme="minorHAnsi"/>
          <w:bCs/>
          <w:color w:val="FF0000"/>
          <w:sz w:val="24"/>
          <w:szCs w:val="24"/>
        </w:rPr>
      </w:pPr>
      <w:r w:rsidRPr="002D5206">
        <w:rPr>
          <w:rFonts w:asciiTheme="minorHAnsi" w:hAnsiTheme="minorHAnsi" w:cstheme="minorHAnsi"/>
          <w:bCs/>
          <w:color w:val="FF0000"/>
          <w:sz w:val="24"/>
          <w:szCs w:val="24"/>
        </w:rPr>
        <w:t xml:space="preserve">Využití a případný výběr nejvhodnějších forem finančních nástrojů a jejich specifické zaměření bude ponechán </w:t>
      </w:r>
      <w:r w:rsidRPr="00DD04E7">
        <w:rPr>
          <w:rFonts w:asciiTheme="minorHAnsi" w:hAnsiTheme="minorHAnsi" w:cstheme="minorHAnsi"/>
          <w:bCs/>
          <w:color w:val="FF0000"/>
          <w:sz w:val="24"/>
          <w:szCs w:val="24"/>
        </w:rPr>
        <w:t>na ex-ante analýze finančních nástrojů OP PIK dle čl. 32 návrhu obecného nařízení.</w:t>
      </w:r>
    </w:p>
    <w:p w:rsidR="0057331F" w:rsidRPr="00DD04E7" w:rsidRDefault="0057331F" w:rsidP="0057331F">
      <w:pPr>
        <w:pStyle w:val="Nadpis5"/>
      </w:pPr>
      <w:r w:rsidRPr="00DD04E7">
        <w:t>Specifikace velkých projektů</w:t>
      </w:r>
    </w:p>
    <w:p w:rsidR="0057331F" w:rsidRPr="00DD04E7" w:rsidRDefault="002D5206" w:rsidP="0057331F">
      <w:pPr>
        <w:overflowPunct/>
        <w:jc w:val="both"/>
        <w:textAlignment w:val="auto"/>
        <w:rPr>
          <w:rFonts w:asciiTheme="minorHAnsi" w:hAnsiTheme="minorHAnsi" w:cstheme="minorHAnsi"/>
          <w:color w:val="FF0000"/>
          <w:sz w:val="24"/>
          <w:szCs w:val="24"/>
        </w:rPr>
      </w:pPr>
      <w:r w:rsidRPr="00DD04E7">
        <w:rPr>
          <w:rFonts w:asciiTheme="minorHAnsi" w:hAnsiTheme="minorHAnsi" w:cstheme="minorHAnsi"/>
          <w:color w:val="FF0000"/>
          <w:sz w:val="24"/>
          <w:szCs w:val="24"/>
        </w:rPr>
        <w:t xml:space="preserve">Otázka realizace velkých projektů dle vymezení čl. 87 odst. 2 písm. (b)(iii) nařízení č. xxxx/2013 bude řešena dle vývoje přípravy operačního programu. </w:t>
      </w:r>
      <w:r w:rsidR="0057331F" w:rsidRPr="00DD04E7">
        <w:rPr>
          <w:rFonts w:asciiTheme="minorHAnsi" w:hAnsiTheme="minorHAnsi" w:cstheme="minorHAnsi"/>
          <w:color w:val="FF0000"/>
          <w:sz w:val="24"/>
          <w:szCs w:val="24"/>
        </w:rPr>
        <w:t xml:space="preserve">  </w:t>
      </w:r>
    </w:p>
    <w:p w:rsidR="0057331F" w:rsidRPr="00DD04E7" w:rsidRDefault="0057331F" w:rsidP="0057331F">
      <w:pPr>
        <w:pStyle w:val="Nadpis5"/>
      </w:pPr>
      <w:r w:rsidRPr="00DD04E7">
        <w:t>Společné a specifické indikátory</w:t>
      </w:r>
    </w:p>
    <w:p w:rsidR="0057331F" w:rsidRPr="00DD04E7" w:rsidRDefault="0057331F" w:rsidP="0057331F">
      <w:pPr>
        <w:overflowPunct/>
        <w:textAlignment w:val="auto"/>
        <w:rPr>
          <w:sz w:val="24"/>
          <w:szCs w:val="24"/>
        </w:rPr>
      </w:pPr>
    </w:p>
    <w:p w:rsidR="0057331F" w:rsidRPr="00DD04E7" w:rsidRDefault="0057331F" w:rsidP="002803F9">
      <w:pPr>
        <w:pStyle w:val="Nadpis3"/>
      </w:pPr>
      <w:bookmarkStart w:id="99" w:name="_Toc351464410"/>
      <w:bookmarkStart w:id="100" w:name="_Toc352328382"/>
      <w:r w:rsidRPr="00DD04E7">
        <w:t>Výkonnostní rámec</w:t>
      </w:r>
      <w:bookmarkEnd w:id="99"/>
      <w:bookmarkEnd w:id="100"/>
    </w:p>
    <w:p w:rsidR="0057331F" w:rsidRPr="009A0366" w:rsidRDefault="0057331F" w:rsidP="002803F9">
      <w:pPr>
        <w:keepNext/>
        <w:keepLines/>
        <w:spacing w:before="240" w:after="120"/>
        <w:rPr>
          <w:b/>
          <w:i/>
          <w:iCs/>
          <w:sz w:val="24"/>
          <w:szCs w:val="24"/>
        </w:rPr>
      </w:pPr>
      <w:r w:rsidRPr="00DD04E7">
        <w:rPr>
          <w:b/>
          <w:iCs/>
          <w:sz w:val="24"/>
          <w:szCs w:val="24"/>
        </w:rPr>
        <w:t xml:space="preserve">Tabulka </w:t>
      </w:r>
      <w:r w:rsidR="004B5801" w:rsidRPr="00DD04E7">
        <w:rPr>
          <w:b/>
          <w:iCs/>
          <w:sz w:val="24"/>
          <w:szCs w:val="24"/>
        </w:rPr>
        <w:t>xx</w:t>
      </w:r>
      <w:r w:rsidRPr="00DD04E7">
        <w:rPr>
          <w:b/>
          <w:iCs/>
          <w:sz w:val="24"/>
          <w:szCs w:val="24"/>
        </w:rPr>
        <w:t>: Výkonnostní rámec</w:t>
      </w:r>
      <w:r w:rsidRPr="009A0366">
        <w:rPr>
          <w:b/>
          <w:iCs/>
          <w:sz w:val="24"/>
          <w:szCs w:val="24"/>
        </w:rPr>
        <w:t xml:space="preserve"> na úrovni dané prioritní osy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101"/>
        <w:gridCol w:w="1134"/>
        <w:gridCol w:w="2126"/>
        <w:gridCol w:w="1276"/>
        <w:gridCol w:w="1701"/>
        <w:gridCol w:w="2090"/>
      </w:tblGrid>
      <w:tr w:rsidR="0057331F" w:rsidRPr="009A0366" w:rsidTr="00EC6DD0">
        <w:tc>
          <w:tcPr>
            <w:tcW w:w="1101" w:type="dxa"/>
            <w:shd w:val="clear" w:color="auto" w:fill="auto"/>
            <w:tcMar>
              <w:top w:w="0" w:type="dxa"/>
              <w:left w:w="108" w:type="dxa"/>
              <w:bottom w:w="0" w:type="dxa"/>
              <w:right w:w="108" w:type="dxa"/>
            </w:tcMar>
            <w:vAlign w:val="center"/>
          </w:tcPr>
          <w:p w:rsidR="0057331F" w:rsidRPr="009A0366" w:rsidRDefault="0057331F" w:rsidP="002803F9">
            <w:pPr>
              <w:pStyle w:val="TextMetodika"/>
              <w:keepNext/>
              <w:keepLines/>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Prioritní osa </w:t>
            </w:r>
          </w:p>
        </w:tc>
        <w:tc>
          <w:tcPr>
            <w:tcW w:w="1134" w:type="dxa"/>
            <w:shd w:val="clear" w:color="auto" w:fill="auto"/>
            <w:tcMar>
              <w:top w:w="0" w:type="dxa"/>
              <w:left w:w="108" w:type="dxa"/>
              <w:bottom w:w="0" w:type="dxa"/>
              <w:right w:w="108" w:type="dxa"/>
            </w:tcMar>
            <w:vAlign w:val="center"/>
          </w:tcPr>
          <w:p w:rsidR="0057331F" w:rsidRPr="009A0366" w:rsidRDefault="0057331F" w:rsidP="002803F9">
            <w:pPr>
              <w:pStyle w:val="TextMetodika"/>
              <w:keepNext/>
              <w:keepLines/>
              <w:spacing w:before="0" w:after="0" w:line="240" w:lineRule="auto"/>
              <w:jc w:val="center"/>
              <w:rPr>
                <w:rFonts w:ascii="Times New Roman" w:hAnsi="Times New Roman"/>
                <w:b/>
                <w:sz w:val="22"/>
                <w:szCs w:val="22"/>
              </w:rPr>
            </w:pPr>
            <w:r w:rsidRPr="009A0366">
              <w:rPr>
                <w:rFonts w:ascii="Times New Roman" w:hAnsi="Times New Roman"/>
                <w:b/>
                <w:sz w:val="22"/>
                <w:szCs w:val="22"/>
              </w:rPr>
              <w:t>Název milníku</w:t>
            </w:r>
          </w:p>
          <w:p w:rsidR="0057331F" w:rsidRPr="009A0366" w:rsidRDefault="0057331F" w:rsidP="002803F9">
            <w:pPr>
              <w:pStyle w:val="TextMetodika"/>
              <w:keepNext/>
              <w:keepLines/>
              <w:spacing w:before="0" w:after="0" w:line="240" w:lineRule="auto"/>
              <w:jc w:val="center"/>
              <w:rPr>
                <w:rFonts w:ascii="Times New Roman" w:hAnsi="Times New Roman"/>
                <w:b/>
                <w:sz w:val="22"/>
                <w:szCs w:val="22"/>
              </w:rPr>
            </w:pPr>
          </w:p>
        </w:tc>
        <w:tc>
          <w:tcPr>
            <w:tcW w:w="2126" w:type="dxa"/>
            <w:shd w:val="clear" w:color="auto" w:fill="auto"/>
            <w:tcMar>
              <w:top w:w="0" w:type="dxa"/>
              <w:left w:w="108" w:type="dxa"/>
              <w:bottom w:w="0" w:type="dxa"/>
              <w:right w:w="108" w:type="dxa"/>
            </w:tcMar>
            <w:vAlign w:val="center"/>
          </w:tcPr>
          <w:p w:rsidR="0057331F" w:rsidRPr="009A0366" w:rsidRDefault="0057331F" w:rsidP="002803F9">
            <w:pPr>
              <w:pStyle w:val="TextMetodika"/>
              <w:keepNext/>
              <w:keepLines/>
              <w:spacing w:before="0" w:after="0" w:line="240" w:lineRule="auto"/>
              <w:jc w:val="center"/>
              <w:rPr>
                <w:rFonts w:ascii="Times New Roman" w:hAnsi="Times New Roman"/>
                <w:b/>
                <w:sz w:val="22"/>
                <w:szCs w:val="22"/>
              </w:rPr>
            </w:pPr>
            <w:r w:rsidRPr="009A0366">
              <w:rPr>
                <w:rFonts w:ascii="Times New Roman" w:hAnsi="Times New Roman"/>
                <w:b/>
                <w:bCs/>
                <w:sz w:val="22"/>
                <w:szCs w:val="22"/>
              </w:rPr>
              <w:t xml:space="preserve">Definice milníku a měrná </w:t>
            </w:r>
            <w:r w:rsidRPr="009A0366">
              <w:rPr>
                <w:rFonts w:ascii="Times New Roman" w:hAnsi="Times New Roman"/>
                <w:b/>
                <w:sz w:val="22"/>
                <w:szCs w:val="22"/>
              </w:rPr>
              <w:t>jednotka</w:t>
            </w:r>
          </w:p>
        </w:tc>
        <w:tc>
          <w:tcPr>
            <w:tcW w:w="1276" w:type="dxa"/>
            <w:shd w:val="clear" w:color="auto" w:fill="auto"/>
            <w:tcMar>
              <w:top w:w="0" w:type="dxa"/>
              <w:left w:w="108" w:type="dxa"/>
              <w:bottom w:w="0" w:type="dxa"/>
              <w:right w:w="108" w:type="dxa"/>
            </w:tcMar>
            <w:vAlign w:val="center"/>
          </w:tcPr>
          <w:p w:rsidR="0057331F" w:rsidRPr="009A0366" w:rsidRDefault="0057331F" w:rsidP="002803F9">
            <w:pPr>
              <w:pStyle w:val="TextMetodika"/>
              <w:keepNext/>
              <w:keepLines/>
              <w:spacing w:before="0" w:after="0" w:line="240" w:lineRule="auto"/>
              <w:jc w:val="center"/>
              <w:rPr>
                <w:rFonts w:ascii="Times New Roman" w:hAnsi="Times New Roman"/>
                <w:b/>
                <w:sz w:val="22"/>
                <w:szCs w:val="22"/>
              </w:rPr>
            </w:pPr>
            <w:r w:rsidRPr="009A0366">
              <w:rPr>
                <w:rFonts w:ascii="Times New Roman" w:hAnsi="Times New Roman"/>
                <w:b/>
                <w:sz w:val="22"/>
                <w:szCs w:val="22"/>
              </w:rPr>
              <w:t>Hodnota milníku v r.</w:t>
            </w:r>
            <w:r w:rsidRPr="009A0366">
              <w:rPr>
                <w:rFonts w:ascii="Times New Roman" w:hAnsi="Times New Roman"/>
                <w:b/>
                <w:bCs/>
                <w:sz w:val="22"/>
                <w:szCs w:val="22"/>
              </w:rPr>
              <w:t xml:space="preserve">  </w:t>
            </w:r>
            <w:r w:rsidRPr="009A0366">
              <w:rPr>
                <w:rFonts w:ascii="Times New Roman" w:hAnsi="Times New Roman"/>
                <w:b/>
                <w:sz w:val="22"/>
                <w:szCs w:val="22"/>
              </w:rPr>
              <w:t xml:space="preserve"> 2018</w:t>
            </w:r>
          </w:p>
        </w:tc>
        <w:tc>
          <w:tcPr>
            <w:tcW w:w="1701" w:type="dxa"/>
            <w:shd w:val="clear" w:color="auto" w:fill="auto"/>
            <w:tcMar>
              <w:top w:w="0" w:type="dxa"/>
              <w:left w:w="108" w:type="dxa"/>
              <w:bottom w:w="0" w:type="dxa"/>
              <w:right w:w="108" w:type="dxa"/>
            </w:tcMar>
            <w:vAlign w:val="center"/>
          </w:tcPr>
          <w:p w:rsidR="0057331F" w:rsidRPr="009A0366" w:rsidRDefault="0057331F" w:rsidP="002803F9">
            <w:pPr>
              <w:pStyle w:val="TextMetodika"/>
              <w:keepNext/>
              <w:keepLines/>
              <w:spacing w:before="0" w:after="0" w:line="240" w:lineRule="auto"/>
              <w:jc w:val="center"/>
              <w:rPr>
                <w:rFonts w:ascii="Times New Roman" w:hAnsi="Times New Roman"/>
                <w:b/>
                <w:sz w:val="22"/>
                <w:szCs w:val="22"/>
              </w:rPr>
            </w:pPr>
            <w:r w:rsidRPr="009A0366">
              <w:rPr>
                <w:rFonts w:ascii="Times New Roman" w:hAnsi="Times New Roman"/>
                <w:b/>
                <w:sz w:val="22"/>
                <w:szCs w:val="22"/>
              </w:rPr>
              <w:t xml:space="preserve">Cílová hodnota milníku k roku 2022 </w:t>
            </w:r>
          </w:p>
        </w:tc>
        <w:tc>
          <w:tcPr>
            <w:tcW w:w="2090" w:type="dxa"/>
            <w:shd w:val="clear" w:color="auto" w:fill="auto"/>
            <w:tcMar>
              <w:top w:w="0" w:type="dxa"/>
              <w:left w:w="108" w:type="dxa"/>
              <w:bottom w:w="0" w:type="dxa"/>
              <w:right w:w="108" w:type="dxa"/>
            </w:tcMar>
            <w:vAlign w:val="center"/>
          </w:tcPr>
          <w:p w:rsidR="0057331F" w:rsidRPr="009A0366" w:rsidRDefault="0057331F" w:rsidP="002803F9">
            <w:pPr>
              <w:pStyle w:val="TextMetodika"/>
              <w:keepNext/>
              <w:keepLines/>
              <w:spacing w:before="0" w:after="0" w:line="240" w:lineRule="auto"/>
              <w:jc w:val="center"/>
              <w:rPr>
                <w:rFonts w:ascii="Times New Roman" w:hAnsi="Times New Roman"/>
                <w:b/>
                <w:sz w:val="22"/>
                <w:szCs w:val="22"/>
              </w:rPr>
            </w:pPr>
            <w:r w:rsidRPr="009A0366">
              <w:rPr>
                <w:rFonts w:ascii="Times New Roman" w:hAnsi="Times New Roman"/>
                <w:b/>
                <w:sz w:val="22"/>
                <w:szCs w:val="22"/>
              </w:rPr>
              <w:t>Odůvodnění, jakým způsobem byly hodnoty stanoveny</w:t>
            </w:r>
          </w:p>
        </w:tc>
      </w:tr>
      <w:tr w:rsidR="0057331F" w:rsidRPr="009A0366" w:rsidTr="00EC6DD0">
        <w:tc>
          <w:tcPr>
            <w:tcW w:w="1101" w:type="dxa"/>
            <w:shd w:val="clear" w:color="auto" w:fill="auto"/>
            <w:tcMar>
              <w:top w:w="0" w:type="dxa"/>
              <w:left w:w="108" w:type="dxa"/>
              <w:bottom w:w="0" w:type="dxa"/>
              <w:right w:w="108" w:type="dxa"/>
            </w:tcMar>
            <w:vAlign w:val="center"/>
          </w:tcPr>
          <w:p w:rsidR="0057331F" w:rsidRPr="009A0366" w:rsidRDefault="0057331F" w:rsidP="00EC6DD0">
            <w:pPr>
              <w:pStyle w:val="TextMetodika"/>
              <w:jc w:val="center"/>
              <w:rPr>
                <w:rFonts w:ascii="Times New Roman" w:hAnsi="Times New Roman"/>
              </w:rPr>
            </w:pPr>
          </w:p>
        </w:tc>
        <w:tc>
          <w:tcPr>
            <w:tcW w:w="1134" w:type="dxa"/>
            <w:shd w:val="clear" w:color="auto" w:fill="auto"/>
            <w:tcMar>
              <w:top w:w="0" w:type="dxa"/>
              <w:left w:w="108" w:type="dxa"/>
              <w:bottom w:w="0" w:type="dxa"/>
              <w:right w:w="108" w:type="dxa"/>
            </w:tcMar>
            <w:vAlign w:val="center"/>
          </w:tcPr>
          <w:p w:rsidR="0057331F" w:rsidRPr="009A0366" w:rsidRDefault="0057331F" w:rsidP="00EC6DD0">
            <w:pPr>
              <w:pStyle w:val="TextMetodika"/>
              <w:jc w:val="center"/>
              <w:rPr>
                <w:rFonts w:ascii="Times New Roman" w:hAnsi="Times New Roman"/>
              </w:rPr>
            </w:pPr>
          </w:p>
        </w:tc>
        <w:tc>
          <w:tcPr>
            <w:tcW w:w="2126" w:type="dxa"/>
            <w:shd w:val="clear" w:color="auto" w:fill="auto"/>
            <w:tcMar>
              <w:top w:w="0" w:type="dxa"/>
              <w:left w:w="108" w:type="dxa"/>
              <w:bottom w:w="0" w:type="dxa"/>
              <w:right w:w="108" w:type="dxa"/>
            </w:tcMar>
            <w:vAlign w:val="center"/>
          </w:tcPr>
          <w:p w:rsidR="0057331F" w:rsidRPr="009A0366" w:rsidRDefault="0057331F" w:rsidP="00EC6DD0">
            <w:pPr>
              <w:pStyle w:val="TextMetodika"/>
              <w:jc w:val="center"/>
              <w:rPr>
                <w:rFonts w:ascii="Times New Roman" w:hAnsi="Times New Roman"/>
              </w:rPr>
            </w:pPr>
          </w:p>
        </w:tc>
        <w:tc>
          <w:tcPr>
            <w:tcW w:w="1276" w:type="dxa"/>
            <w:shd w:val="clear" w:color="auto" w:fill="auto"/>
            <w:tcMar>
              <w:top w:w="0" w:type="dxa"/>
              <w:left w:w="108" w:type="dxa"/>
              <w:bottom w:w="0" w:type="dxa"/>
              <w:right w:w="108" w:type="dxa"/>
            </w:tcMar>
            <w:vAlign w:val="center"/>
          </w:tcPr>
          <w:p w:rsidR="0057331F" w:rsidRPr="009A0366" w:rsidRDefault="0057331F" w:rsidP="00EC6DD0">
            <w:pPr>
              <w:pStyle w:val="TextMetodika"/>
              <w:jc w:val="center"/>
              <w:rPr>
                <w:rFonts w:ascii="Times New Roman" w:hAnsi="Times New Roman"/>
              </w:rPr>
            </w:pPr>
          </w:p>
        </w:tc>
        <w:tc>
          <w:tcPr>
            <w:tcW w:w="1701" w:type="dxa"/>
            <w:shd w:val="clear" w:color="auto" w:fill="auto"/>
            <w:tcMar>
              <w:top w:w="0" w:type="dxa"/>
              <w:left w:w="108" w:type="dxa"/>
              <w:bottom w:w="0" w:type="dxa"/>
              <w:right w:w="108" w:type="dxa"/>
            </w:tcMar>
            <w:vAlign w:val="center"/>
          </w:tcPr>
          <w:p w:rsidR="0057331F" w:rsidRPr="009A0366" w:rsidRDefault="0057331F" w:rsidP="00EC6DD0">
            <w:pPr>
              <w:pStyle w:val="TextMetodika"/>
              <w:jc w:val="center"/>
              <w:rPr>
                <w:rFonts w:ascii="Times New Roman" w:hAnsi="Times New Roman"/>
              </w:rPr>
            </w:pPr>
          </w:p>
        </w:tc>
        <w:tc>
          <w:tcPr>
            <w:tcW w:w="2090" w:type="dxa"/>
            <w:shd w:val="clear" w:color="auto" w:fill="auto"/>
            <w:tcMar>
              <w:top w:w="0" w:type="dxa"/>
              <w:left w:w="108" w:type="dxa"/>
              <w:bottom w:w="0" w:type="dxa"/>
              <w:right w:w="108" w:type="dxa"/>
            </w:tcMar>
            <w:vAlign w:val="center"/>
          </w:tcPr>
          <w:p w:rsidR="0057331F" w:rsidRPr="009A0366" w:rsidRDefault="0057331F" w:rsidP="00EC6DD0">
            <w:pPr>
              <w:pStyle w:val="TextMetodika"/>
              <w:jc w:val="center"/>
              <w:rPr>
                <w:rFonts w:ascii="Times New Roman" w:hAnsi="Times New Roman"/>
              </w:rPr>
            </w:pPr>
          </w:p>
        </w:tc>
      </w:tr>
    </w:tbl>
    <w:p w:rsidR="0057331F" w:rsidRPr="006B41A8" w:rsidRDefault="0057331F" w:rsidP="0057331F">
      <w:pPr>
        <w:overflowPunct/>
        <w:jc w:val="both"/>
        <w:textAlignment w:val="auto"/>
        <w:rPr>
          <w:b/>
          <w:bCs/>
          <w:color w:val="FF0000"/>
          <w:sz w:val="24"/>
          <w:szCs w:val="24"/>
        </w:rPr>
      </w:pPr>
    </w:p>
    <w:p w:rsidR="0057331F" w:rsidRDefault="0057331F" w:rsidP="0057331F">
      <w:pPr>
        <w:pStyle w:val="Nadpis3"/>
      </w:pPr>
      <w:bookmarkStart w:id="101" w:name="_Toc351464411"/>
      <w:bookmarkStart w:id="102" w:name="_Toc352328383"/>
      <w:r>
        <w:t>Kategorie intervencí</w:t>
      </w:r>
      <w:bookmarkEnd w:id="101"/>
      <w:bookmarkEnd w:id="102"/>
    </w:p>
    <w:p w:rsidR="0057331F" w:rsidRPr="009A0366" w:rsidRDefault="0057331F" w:rsidP="0057331F">
      <w:pPr>
        <w:overflowPunct/>
        <w:jc w:val="both"/>
        <w:textAlignment w:val="auto"/>
        <w:rPr>
          <w:b/>
          <w:bCs/>
          <w:color w:val="FF0000"/>
          <w:sz w:val="24"/>
          <w:szCs w:val="24"/>
          <w:lang w:val="it-IT"/>
        </w:rPr>
      </w:pPr>
    </w:p>
    <w:p w:rsidR="0057331F" w:rsidRPr="009A0366" w:rsidRDefault="0057331F" w:rsidP="0057331F">
      <w:pPr>
        <w:spacing w:after="120"/>
        <w:rPr>
          <w:b/>
          <w:sz w:val="24"/>
          <w:szCs w:val="24"/>
        </w:rPr>
      </w:pPr>
      <w:r w:rsidRPr="00DD04E7">
        <w:rPr>
          <w:b/>
          <w:sz w:val="24"/>
          <w:szCs w:val="24"/>
        </w:rPr>
        <w:t>Tabu</w:t>
      </w:r>
      <w:r w:rsidR="004B5801" w:rsidRPr="00DD04E7">
        <w:rPr>
          <w:b/>
          <w:sz w:val="24"/>
          <w:szCs w:val="24"/>
        </w:rPr>
        <w:t>l</w:t>
      </w:r>
      <w:r w:rsidRPr="00DD04E7">
        <w:rPr>
          <w:b/>
          <w:sz w:val="24"/>
          <w:szCs w:val="24"/>
        </w:rPr>
        <w:t xml:space="preserve">ka </w:t>
      </w:r>
      <w:r w:rsidR="004B5801" w:rsidRPr="00DD04E7">
        <w:rPr>
          <w:b/>
          <w:sz w:val="24"/>
          <w:szCs w:val="24"/>
        </w:rPr>
        <w:t>xx</w:t>
      </w:r>
      <w:r w:rsidRPr="00DD04E7">
        <w:rPr>
          <w:b/>
          <w:sz w:val="24"/>
          <w:szCs w:val="24"/>
        </w:rPr>
        <w:t>: Dime</w:t>
      </w:r>
      <w:r w:rsidRPr="009A0366">
        <w:rPr>
          <w:b/>
          <w:sz w:val="24"/>
          <w:szCs w:val="24"/>
        </w:rPr>
        <w:t>nze 1: Intervenční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7331F" w:rsidRPr="009A0366" w:rsidTr="00EC6DD0">
        <w:tc>
          <w:tcPr>
            <w:tcW w:w="4640" w:type="dxa"/>
            <w:shd w:val="clear" w:color="auto" w:fill="auto"/>
          </w:tcPr>
          <w:p w:rsidR="0057331F" w:rsidRPr="009A0366" w:rsidRDefault="0057331F" w:rsidP="00EC6DD0">
            <w:pPr>
              <w:spacing w:after="120" w:line="288" w:lineRule="auto"/>
              <w:rPr>
                <w:b/>
                <w:sz w:val="22"/>
                <w:szCs w:val="22"/>
              </w:rPr>
            </w:pPr>
            <w:r w:rsidRPr="009A0366">
              <w:rPr>
                <w:b/>
                <w:sz w:val="22"/>
                <w:szCs w:val="22"/>
              </w:rPr>
              <w:t>Kód</w:t>
            </w:r>
          </w:p>
        </w:tc>
        <w:tc>
          <w:tcPr>
            <w:tcW w:w="4640" w:type="dxa"/>
            <w:shd w:val="clear" w:color="auto" w:fill="auto"/>
          </w:tcPr>
          <w:p w:rsidR="0057331F" w:rsidRPr="009A0366" w:rsidRDefault="0057331F" w:rsidP="00EC6DD0">
            <w:pPr>
              <w:spacing w:after="120" w:line="288" w:lineRule="auto"/>
              <w:rPr>
                <w:b/>
                <w:sz w:val="22"/>
                <w:szCs w:val="22"/>
              </w:rPr>
            </w:pPr>
            <w:r w:rsidRPr="009A0366">
              <w:rPr>
                <w:b/>
                <w:bCs/>
                <w:sz w:val="22"/>
                <w:szCs w:val="22"/>
              </w:rPr>
              <w:t>Příspěvek z EU: indikativní částka (EUR)</w:t>
            </w:r>
          </w:p>
        </w:tc>
      </w:tr>
      <w:tr w:rsidR="0057331F" w:rsidRPr="009A0366" w:rsidTr="00EC6DD0">
        <w:tc>
          <w:tcPr>
            <w:tcW w:w="4640" w:type="dxa"/>
            <w:shd w:val="clear" w:color="auto" w:fill="auto"/>
          </w:tcPr>
          <w:p w:rsidR="0057331F" w:rsidRPr="009A0366" w:rsidRDefault="0057331F" w:rsidP="00EC6DD0">
            <w:pPr>
              <w:spacing w:after="120" w:line="288" w:lineRule="auto"/>
            </w:pPr>
          </w:p>
        </w:tc>
        <w:tc>
          <w:tcPr>
            <w:tcW w:w="4640" w:type="dxa"/>
            <w:shd w:val="clear" w:color="auto" w:fill="auto"/>
          </w:tcPr>
          <w:p w:rsidR="0057331F" w:rsidRPr="009A0366" w:rsidRDefault="0057331F" w:rsidP="00EC6DD0">
            <w:pPr>
              <w:spacing w:after="120" w:line="288" w:lineRule="auto"/>
            </w:pPr>
          </w:p>
        </w:tc>
      </w:tr>
    </w:tbl>
    <w:p w:rsidR="0057331F" w:rsidRPr="009A0366" w:rsidRDefault="0057331F" w:rsidP="0057331F">
      <w:pPr>
        <w:pStyle w:val="TextNOK"/>
        <w:spacing w:before="60" w:after="60"/>
        <w:rPr>
          <w:rFonts w:ascii="Times New Roman" w:hAnsi="Times New Roman"/>
          <w:szCs w:val="20"/>
        </w:rPr>
      </w:pPr>
      <w:r w:rsidRPr="009A0366">
        <w:rPr>
          <w:rFonts w:ascii="Times New Roman" w:hAnsi="Times New Roman"/>
          <w:szCs w:val="20"/>
        </w:rPr>
        <w:t>Zdroj: Evropská komise</w:t>
      </w:r>
    </w:p>
    <w:p w:rsidR="002D5206" w:rsidRDefault="002D5206" w:rsidP="0057331F">
      <w:pPr>
        <w:spacing w:after="120" w:line="288" w:lineRule="auto"/>
      </w:pPr>
    </w:p>
    <w:p w:rsidR="0057331F" w:rsidRPr="009A0366" w:rsidRDefault="004B5801" w:rsidP="0057331F">
      <w:pPr>
        <w:spacing w:after="120"/>
        <w:rPr>
          <w:b/>
          <w:sz w:val="24"/>
          <w:szCs w:val="24"/>
        </w:rPr>
      </w:pPr>
      <w:r w:rsidRPr="00DD04E7">
        <w:rPr>
          <w:b/>
          <w:sz w:val="24"/>
          <w:szCs w:val="24"/>
        </w:rPr>
        <w:t>Tabulka xx</w:t>
      </w:r>
      <w:r w:rsidR="0057331F" w:rsidRPr="00DD04E7">
        <w:rPr>
          <w:b/>
          <w:sz w:val="24"/>
          <w:szCs w:val="24"/>
        </w:rPr>
        <w:t>: Di</w:t>
      </w:r>
      <w:r w:rsidR="0057331F" w:rsidRPr="009A0366">
        <w:rPr>
          <w:b/>
          <w:sz w:val="24"/>
          <w:szCs w:val="24"/>
        </w:rPr>
        <w:t>menze 2: Forma financování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7331F" w:rsidRPr="009A0366" w:rsidTr="00EC6DD0">
        <w:tc>
          <w:tcPr>
            <w:tcW w:w="4640" w:type="dxa"/>
            <w:shd w:val="clear" w:color="auto" w:fill="auto"/>
          </w:tcPr>
          <w:p w:rsidR="0057331F" w:rsidRPr="009A0366" w:rsidRDefault="0057331F" w:rsidP="00EC6DD0">
            <w:pPr>
              <w:spacing w:after="120" w:line="288" w:lineRule="auto"/>
              <w:rPr>
                <w:b/>
                <w:sz w:val="22"/>
                <w:szCs w:val="22"/>
              </w:rPr>
            </w:pPr>
            <w:r w:rsidRPr="009A0366">
              <w:rPr>
                <w:b/>
                <w:sz w:val="22"/>
                <w:szCs w:val="22"/>
              </w:rPr>
              <w:t>Kód</w:t>
            </w:r>
          </w:p>
        </w:tc>
        <w:tc>
          <w:tcPr>
            <w:tcW w:w="4640" w:type="dxa"/>
            <w:shd w:val="clear" w:color="auto" w:fill="auto"/>
          </w:tcPr>
          <w:p w:rsidR="0057331F" w:rsidRPr="009A0366" w:rsidRDefault="0057331F" w:rsidP="00EC6DD0">
            <w:pPr>
              <w:spacing w:after="120" w:line="288" w:lineRule="auto"/>
              <w:rPr>
                <w:b/>
                <w:sz w:val="22"/>
                <w:szCs w:val="22"/>
              </w:rPr>
            </w:pPr>
            <w:r w:rsidRPr="009A0366">
              <w:rPr>
                <w:b/>
                <w:bCs/>
                <w:sz w:val="22"/>
                <w:szCs w:val="22"/>
              </w:rPr>
              <w:t>Příspěvek z EU: indikativní částka (EUR)</w:t>
            </w:r>
          </w:p>
        </w:tc>
      </w:tr>
      <w:tr w:rsidR="0057331F" w:rsidRPr="009A0366" w:rsidTr="00EC6DD0">
        <w:tc>
          <w:tcPr>
            <w:tcW w:w="4640" w:type="dxa"/>
            <w:shd w:val="clear" w:color="auto" w:fill="auto"/>
          </w:tcPr>
          <w:p w:rsidR="0057331F" w:rsidRPr="009A0366" w:rsidRDefault="0057331F" w:rsidP="00EC6DD0">
            <w:pPr>
              <w:spacing w:after="120" w:line="288" w:lineRule="auto"/>
            </w:pPr>
          </w:p>
        </w:tc>
        <w:tc>
          <w:tcPr>
            <w:tcW w:w="4640" w:type="dxa"/>
            <w:shd w:val="clear" w:color="auto" w:fill="auto"/>
          </w:tcPr>
          <w:p w:rsidR="0057331F" w:rsidRPr="009A0366" w:rsidRDefault="0057331F" w:rsidP="00EC6DD0">
            <w:pPr>
              <w:spacing w:after="120" w:line="288" w:lineRule="auto"/>
            </w:pPr>
          </w:p>
        </w:tc>
      </w:tr>
    </w:tbl>
    <w:p w:rsidR="0057331F" w:rsidRPr="009A0366" w:rsidRDefault="0057331F" w:rsidP="0057331F">
      <w:pPr>
        <w:pStyle w:val="TextNOK"/>
        <w:spacing w:before="60" w:after="60"/>
        <w:rPr>
          <w:rFonts w:ascii="Times New Roman" w:hAnsi="Times New Roman"/>
          <w:szCs w:val="20"/>
        </w:rPr>
      </w:pPr>
      <w:r w:rsidRPr="009A0366">
        <w:rPr>
          <w:rFonts w:ascii="Times New Roman" w:hAnsi="Times New Roman"/>
          <w:szCs w:val="20"/>
        </w:rPr>
        <w:t>Zdroj: Evropská komise</w:t>
      </w:r>
    </w:p>
    <w:p w:rsidR="0057331F" w:rsidRPr="009A0366" w:rsidRDefault="0057331F" w:rsidP="0057331F"/>
    <w:p w:rsidR="0057331F" w:rsidRPr="009A0366" w:rsidRDefault="0057331F" w:rsidP="00AE0AB9">
      <w:pPr>
        <w:keepNext/>
        <w:spacing w:after="120"/>
        <w:rPr>
          <w:b/>
          <w:sz w:val="24"/>
          <w:szCs w:val="24"/>
        </w:rPr>
      </w:pPr>
      <w:r w:rsidRPr="00DD04E7">
        <w:rPr>
          <w:b/>
          <w:sz w:val="24"/>
          <w:szCs w:val="24"/>
        </w:rPr>
        <w:lastRenderedPageBreak/>
        <w:t xml:space="preserve">Tabulka </w:t>
      </w:r>
      <w:r w:rsidR="004B5801" w:rsidRPr="00DD04E7">
        <w:rPr>
          <w:b/>
          <w:sz w:val="24"/>
          <w:szCs w:val="24"/>
        </w:rPr>
        <w:t>xx</w:t>
      </w:r>
      <w:r w:rsidRPr="00DD04E7">
        <w:rPr>
          <w:b/>
          <w:sz w:val="24"/>
          <w:szCs w:val="24"/>
        </w:rPr>
        <w:t>:</w:t>
      </w:r>
      <w:r w:rsidRPr="009A0366">
        <w:rPr>
          <w:b/>
          <w:sz w:val="24"/>
          <w:szCs w:val="24"/>
        </w:rPr>
        <w:t xml:space="preserve"> Dimenze 3: Území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7331F" w:rsidRPr="009A0366" w:rsidTr="00EC6DD0">
        <w:tc>
          <w:tcPr>
            <w:tcW w:w="4640" w:type="dxa"/>
            <w:shd w:val="clear" w:color="auto" w:fill="auto"/>
          </w:tcPr>
          <w:p w:rsidR="0057331F" w:rsidRPr="009A0366" w:rsidRDefault="0057331F" w:rsidP="00AE0AB9">
            <w:pPr>
              <w:keepNext/>
              <w:spacing w:after="120" w:line="288" w:lineRule="auto"/>
              <w:rPr>
                <w:b/>
                <w:sz w:val="22"/>
                <w:szCs w:val="22"/>
              </w:rPr>
            </w:pPr>
            <w:r w:rsidRPr="009A0366">
              <w:rPr>
                <w:b/>
                <w:sz w:val="22"/>
                <w:szCs w:val="22"/>
              </w:rPr>
              <w:t>Kód</w:t>
            </w:r>
          </w:p>
        </w:tc>
        <w:tc>
          <w:tcPr>
            <w:tcW w:w="4640" w:type="dxa"/>
            <w:shd w:val="clear" w:color="auto" w:fill="auto"/>
          </w:tcPr>
          <w:p w:rsidR="0057331F" w:rsidRPr="009A0366" w:rsidRDefault="0057331F" w:rsidP="00AE0AB9">
            <w:pPr>
              <w:keepNext/>
              <w:spacing w:after="120" w:line="288" w:lineRule="auto"/>
              <w:rPr>
                <w:b/>
                <w:sz w:val="22"/>
                <w:szCs w:val="22"/>
              </w:rPr>
            </w:pPr>
            <w:r w:rsidRPr="009A0366">
              <w:rPr>
                <w:b/>
                <w:bCs/>
                <w:sz w:val="22"/>
                <w:szCs w:val="22"/>
              </w:rPr>
              <w:t>Příspěvek z EU: indikativní částka (EUR)</w:t>
            </w:r>
          </w:p>
        </w:tc>
      </w:tr>
      <w:tr w:rsidR="0057331F" w:rsidRPr="009A0366" w:rsidTr="00EC6DD0">
        <w:tc>
          <w:tcPr>
            <w:tcW w:w="4640" w:type="dxa"/>
            <w:shd w:val="clear" w:color="auto" w:fill="auto"/>
          </w:tcPr>
          <w:p w:rsidR="0057331F" w:rsidRPr="009A0366" w:rsidRDefault="0057331F" w:rsidP="00AE0AB9">
            <w:pPr>
              <w:keepNext/>
              <w:spacing w:after="120" w:line="288" w:lineRule="auto"/>
            </w:pPr>
          </w:p>
        </w:tc>
        <w:tc>
          <w:tcPr>
            <w:tcW w:w="4640" w:type="dxa"/>
            <w:shd w:val="clear" w:color="auto" w:fill="auto"/>
          </w:tcPr>
          <w:p w:rsidR="0057331F" w:rsidRPr="009A0366" w:rsidRDefault="0057331F" w:rsidP="00AE0AB9">
            <w:pPr>
              <w:keepNext/>
              <w:spacing w:after="120" w:line="288" w:lineRule="auto"/>
            </w:pPr>
          </w:p>
        </w:tc>
      </w:tr>
    </w:tbl>
    <w:p w:rsidR="0057331F" w:rsidRPr="009A0366" w:rsidRDefault="0057331F" w:rsidP="0057331F">
      <w:pPr>
        <w:pStyle w:val="TextNOK"/>
        <w:spacing w:before="60" w:after="60"/>
        <w:rPr>
          <w:rFonts w:ascii="Times New Roman" w:hAnsi="Times New Roman"/>
          <w:szCs w:val="20"/>
        </w:rPr>
      </w:pPr>
      <w:r w:rsidRPr="009A0366">
        <w:rPr>
          <w:rFonts w:ascii="Times New Roman" w:hAnsi="Times New Roman"/>
          <w:szCs w:val="20"/>
        </w:rPr>
        <w:t>Zdroj: Evropská komise</w:t>
      </w:r>
    </w:p>
    <w:p w:rsidR="0057331F" w:rsidRPr="009A0366" w:rsidRDefault="0057331F" w:rsidP="0057331F"/>
    <w:p w:rsidR="0057331F" w:rsidRPr="009A0366" w:rsidRDefault="0057331F" w:rsidP="0057331F">
      <w:pPr>
        <w:spacing w:after="120"/>
        <w:rPr>
          <w:b/>
          <w:sz w:val="24"/>
          <w:szCs w:val="24"/>
        </w:rPr>
      </w:pPr>
      <w:r w:rsidRPr="00DD04E7">
        <w:rPr>
          <w:b/>
          <w:sz w:val="24"/>
          <w:szCs w:val="24"/>
        </w:rPr>
        <w:t xml:space="preserve">Tabulka </w:t>
      </w:r>
      <w:r w:rsidR="004B5801" w:rsidRPr="00DD04E7">
        <w:rPr>
          <w:b/>
          <w:sz w:val="24"/>
          <w:szCs w:val="24"/>
        </w:rPr>
        <w:t>xx</w:t>
      </w:r>
      <w:r w:rsidRPr="00DD04E7">
        <w:rPr>
          <w:b/>
          <w:sz w:val="24"/>
          <w:szCs w:val="24"/>
        </w:rPr>
        <w:t>: Dim</w:t>
      </w:r>
      <w:r w:rsidRPr="009A0366">
        <w:rPr>
          <w:b/>
          <w:sz w:val="24"/>
          <w:szCs w:val="24"/>
        </w:rPr>
        <w:t>enze 4: Sekundární téma pro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57331F" w:rsidRPr="009A0366" w:rsidTr="00EC6DD0">
        <w:tc>
          <w:tcPr>
            <w:tcW w:w="4640" w:type="dxa"/>
            <w:shd w:val="clear" w:color="auto" w:fill="auto"/>
          </w:tcPr>
          <w:p w:rsidR="0057331F" w:rsidRPr="009A0366" w:rsidRDefault="0057331F" w:rsidP="00EC6DD0">
            <w:pPr>
              <w:spacing w:after="120" w:line="288" w:lineRule="auto"/>
              <w:rPr>
                <w:b/>
                <w:sz w:val="22"/>
                <w:szCs w:val="22"/>
              </w:rPr>
            </w:pPr>
            <w:r w:rsidRPr="009A0366">
              <w:rPr>
                <w:b/>
                <w:sz w:val="22"/>
                <w:szCs w:val="22"/>
              </w:rPr>
              <w:t>Kód</w:t>
            </w:r>
          </w:p>
        </w:tc>
        <w:tc>
          <w:tcPr>
            <w:tcW w:w="4640" w:type="dxa"/>
            <w:shd w:val="clear" w:color="auto" w:fill="auto"/>
          </w:tcPr>
          <w:p w:rsidR="0057331F" w:rsidRPr="009A0366" w:rsidRDefault="0057331F" w:rsidP="00EC6DD0">
            <w:pPr>
              <w:spacing w:after="120" w:line="288" w:lineRule="auto"/>
              <w:rPr>
                <w:b/>
                <w:sz w:val="22"/>
                <w:szCs w:val="22"/>
              </w:rPr>
            </w:pPr>
            <w:r w:rsidRPr="009A0366">
              <w:rPr>
                <w:b/>
                <w:bCs/>
                <w:sz w:val="22"/>
                <w:szCs w:val="22"/>
              </w:rPr>
              <w:t>Příspěvek z EU: indikativní částka (EUR)</w:t>
            </w:r>
          </w:p>
        </w:tc>
      </w:tr>
      <w:tr w:rsidR="0057331F" w:rsidRPr="009A0366" w:rsidTr="00EC6DD0">
        <w:tc>
          <w:tcPr>
            <w:tcW w:w="4640" w:type="dxa"/>
            <w:shd w:val="clear" w:color="auto" w:fill="auto"/>
          </w:tcPr>
          <w:p w:rsidR="0057331F" w:rsidRPr="009A0366" w:rsidRDefault="0057331F" w:rsidP="00EC6DD0">
            <w:pPr>
              <w:spacing w:after="120" w:line="288" w:lineRule="auto"/>
            </w:pPr>
          </w:p>
        </w:tc>
        <w:tc>
          <w:tcPr>
            <w:tcW w:w="4640" w:type="dxa"/>
            <w:shd w:val="clear" w:color="auto" w:fill="auto"/>
          </w:tcPr>
          <w:p w:rsidR="0057331F" w:rsidRPr="009A0366" w:rsidRDefault="0057331F" w:rsidP="00EC6DD0">
            <w:pPr>
              <w:spacing w:after="120" w:line="288" w:lineRule="auto"/>
            </w:pPr>
          </w:p>
        </w:tc>
      </w:tr>
    </w:tbl>
    <w:p w:rsidR="0057331F" w:rsidRPr="009A0366" w:rsidRDefault="0057331F" w:rsidP="0057331F">
      <w:pPr>
        <w:pStyle w:val="TextNOK"/>
        <w:spacing w:before="60" w:after="60"/>
        <w:rPr>
          <w:rFonts w:ascii="Times New Roman" w:hAnsi="Times New Roman"/>
          <w:szCs w:val="20"/>
        </w:rPr>
      </w:pPr>
      <w:r w:rsidRPr="009A0366">
        <w:rPr>
          <w:rFonts w:ascii="Times New Roman" w:hAnsi="Times New Roman"/>
          <w:szCs w:val="20"/>
        </w:rPr>
        <w:t>Zdroj: Evropská komise</w:t>
      </w:r>
    </w:p>
    <w:p w:rsidR="0057331F" w:rsidRPr="009A0366" w:rsidRDefault="0057331F" w:rsidP="0057331F">
      <w:pPr>
        <w:pStyle w:val="Seznamsodrkami"/>
      </w:pPr>
    </w:p>
    <w:p w:rsidR="0057331F" w:rsidRPr="009A0366" w:rsidRDefault="0057331F" w:rsidP="0057331F">
      <w:pPr>
        <w:pStyle w:val="Nadpis3"/>
      </w:pPr>
      <w:bookmarkStart w:id="103" w:name="_Toc352328384"/>
      <w:bookmarkStart w:id="104" w:name="_Toc351464412"/>
      <w:r w:rsidRPr="009A0366">
        <w:t>Souhrn plánovaného využití technické pomoci, včetně aktivit na posílení administrativní kapacity odpovědných subjektů a p</w:t>
      </w:r>
      <w:r>
        <w:t>říjemců v dané prioritní ose</w:t>
      </w:r>
      <w:bookmarkEnd w:id="103"/>
      <w:r w:rsidRPr="009A0366">
        <w:t xml:space="preserve"> </w:t>
      </w:r>
      <w:bookmarkEnd w:id="104"/>
    </w:p>
    <w:p w:rsidR="00357531" w:rsidRPr="009A0366" w:rsidRDefault="00357531" w:rsidP="009A2305">
      <w:pPr>
        <w:overflowPunct/>
        <w:jc w:val="both"/>
        <w:textAlignment w:val="auto"/>
        <w:rPr>
          <w:b/>
          <w:bCs/>
          <w:sz w:val="24"/>
          <w:szCs w:val="24"/>
        </w:rPr>
      </w:pPr>
    </w:p>
    <w:p w:rsidR="00CB2B83" w:rsidRPr="009A0366" w:rsidRDefault="00CB2B83" w:rsidP="00B1484D">
      <w:pPr>
        <w:pStyle w:val="Nadpis2"/>
      </w:pPr>
      <w:bookmarkStart w:id="105" w:name="_Toc351464413"/>
      <w:bookmarkStart w:id="106" w:name="_Toc352328385"/>
      <w:r w:rsidRPr="00A3013F">
        <w:t xml:space="preserve">Prioritní osa 5 </w:t>
      </w:r>
      <w:r w:rsidR="003568A9">
        <w:t xml:space="preserve">- </w:t>
      </w:r>
      <w:r w:rsidRPr="00A3013F">
        <w:t>Technická pomoc</w:t>
      </w:r>
      <w:r w:rsidRPr="009A0366">
        <w:t xml:space="preserve"> </w:t>
      </w:r>
      <w:r w:rsidR="00112D3A" w:rsidRPr="009A0366">
        <w:t>(7.3B)</w:t>
      </w:r>
      <w:bookmarkEnd w:id="105"/>
      <w:bookmarkEnd w:id="106"/>
    </w:p>
    <w:p w:rsidR="00CF5E63" w:rsidRPr="009A0366" w:rsidRDefault="00CF5E63" w:rsidP="006A127B">
      <w:pPr>
        <w:pStyle w:val="Nadpis3"/>
      </w:pPr>
      <w:bookmarkStart w:id="107" w:name="_Toc351464414"/>
      <w:bookmarkStart w:id="108" w:name="_Toc352328386"/>
      <w:r w:rsidRPr="009A0366">
        <w:t>Specific</w:t>
      </w:r>
      <w:r w:rsidR="00112D3A" w:rsidRPr="009A0366">
        <w:t>ké cíle a očekávané výsledky (7.3B.1)</w:t>
      </w:r>
      <w:bookmarkEnd w:id="107"/>
      <w:bookmarkEnd w:id="108"/>
      <w:r w:rsidR="00112D3A" w:rsidRPr="009A0366">
        <w:t xml:space="preserve"> </w:t>
      </w:r>
    </w:p>
    <w:p w:rsidR="00CF5E63" w:rsidRPr="009A0366" w:rsidRDefault="00112D3A" w:rsidP="006A127B">
      <w:pPr>
        <w:pStyle w:val="Nadpis3"/>
      </w:pPr>
      <w:bookmarkStart w:id="109" w:name="_Toc351464415"/>
      <w:bookmarkStart w:id="110" w:name="_Toc352328387"/>
      <w:r w:rsidRPr="009A0366">
        <w:t xml:space="preserve">Seznam indikátorů (pouze pokud příspěvek EU na technickou pomoc přesáhne </w:t>
      </w:r>
      <w:smartTag w:uri="urn:schemas-microsoft-com:office:smarttags" w:element="metricconverter">
        <w:smartTagPr>
          <w:attr w:name="ProductID" w:val="15 mil"/>
        </w:smartTagPr>
        <w:r w:rsidR="00CF5E63" w:rsidRPr="009A0366">
          <w:t>15 mil</w:t>
        </w:r>
      </w:smartTag>
      <w:r w:rsidRPr="009A0366">
        <w:t>. EUR)</w:t>
      </w:r>
      <w:bookmarkEnd w:id="109"/>
      <w:bookmarkEnd w:id="110"/>
    </w:p>
    <w:p w:rsidR="00112D3A" w:rsidRPr="009A0366" w:rsidRDefault="00112D3A" w:rsidP="00821D0D">
      <w:pPr>
        <w:pStyle w:val="TextNOK"/>
        <w:spacing w:before="60" w:line="240" w:lineRule="auto"/>
        <w:rPr>
          <w:rFonts w:ascii="Times New Roman" w:hAnsi="Times New Roman"/>
          <w:b/>
          <w:sz w:val="24"/>
          <w:szCs w:val="24"/>
        </w:rPr>
      </w:pPr>
      <w:r w:rsidRPr="00DD04E7">
        <w:rPr>
          <w:rFonts w:ascii="Times New Roman" w:hAnsi="Times New Roman"/>
          <w:b/>
          <w:sz w:val="24"/>
          <w:szCs w:val="24"/>
        </w:rPr>
        <w:t xml:space="preserve">Tabulka </w:t>
      </w:r>
      <w:r w:rsidR="004B5801" w:rsidRPr="00DD04E7">
        <w:rPr>
          <w:rFonts w:ascii="Times New Roman" w:hAnsi="Times New Roman"/>
          <w:b/>
          <w:sz w:val="24"/>
          <w:szCs w:val="24"/>
        </w:rPr>
        <w:t>xx</w:t>
      </w:r>
      <w:r w:rsidRPr="00DD04E7">
        <w:rPr>
          <w:rFonts w:ascii="Times New Roman" w:hAnsi="Times New Roman"/>
          <w:b/>
          <w:sz w:val="24"/>
          <w:szCs w:val="24"/>
        </w:rPr>
        <w:t>: S</w:t>
      </w:r>
      <w:r w:rsidRPr="009A0366">
        <w:rPr>
          <w:rFonts w:ascii="Times New Roman" w:hAnsi="Times New Roman"/>
          <w:b/>
          <w:sz w:val="24"/>
          <w:szCs w:val="24"/>
        </w:rPr>
        <w:t>eznam</w:t>
      </w:r>
      <w:r w:rsidR="004B5801">
        <w:rPr>
          <w:rFonts w:ascii="Times New Roman" w:hAnsi="Times New Roman"/>
          <w:b/>
          <w:sz w:val="24"/>
          <w:szCs w:val="24"/>
        </w:rPr>
        <w:t xml:space="preserve"> </w:t>
      </w:r>
      <w:r w:rsidRPr="009A0366">
        <w:rPr>
          <w:rFonts w:ascii="Times New Roman" w:hAnsi="Times New Roman"/>
          <w:b/>
          <w:sz w:val="24"/>
          <w:szCs w:val="24"/>
        </w:rPr>
        <w:t xml:space="preserve">indikátorů programu </w:t>
      </w:r>
    </w:p>
    <w:tbl>
      <w:tblPr>
        <w:tblW w:w="10454"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903"/>
        <w:gridCol w:w="1045"/>
        <w:gridCol w:w="778"/>
        <w:gridCol w:w="871"/>
        <w:gridCol w:w="973"/>
        <w:gridCol w:w="1084"/>
        <w:gridCol w:w="939"/>
        <w:gridCol w:w="939"/>
        <w:gridCol w:w="1084"/>
        <w:gridCol w:w="932"/>
      </w:tblGrid>
      <w:tr w:rsidR="00112D3A" w:rsidRPr="009A0366" w:rsidTr="00641EA3">
        <w:tc>
          <w:tcPr>
            <w:tcW w:w="906" w:type="dxa"/>
            <w:vMerge w:val="restart"/>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Prioritní osa</w:t>
            </w:r>
          </w:p>
        </w:tc>
        <w:tc>
          <w:tcPr>
            <w:tcW w:w="903" w:type="dxa"/>
            <w:vMerge w:val="restart"/>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Specifický cíl</w:t>
            </w:r>
          </w:p>
        </w:tc>
        <w:tc>
          <w:tcPr>
            <w:tcW w:w="1045" w:type="dxa"/>
            <w:vMerge w:val="restart"/>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bCs/>
                <w:sz w:val="22"/>
              </w:rPr>
              <w:t>Cílová skupina / územní dimenze</w:t>
            </w:r>
          </w:p>
        </w:tc>
        <w:tc>
          <w:tcPr>
            <w:tcW w:w="3706" w:type="dxa"/>
            <w:gridSpan w:val="4"/>
            <w:shd w:val="clear" w:color="auto" w:fill="auto"/>
          </w:tcPr>
          <w:p w:rsidR="00112D3A" w:rsidRPr="009A0366" w:rsidRDefault="00112D3A" w:rsidP="009E62A8">
            <w:pPr>
              <w:pStyle w:val="TextNOK"/>
              <w:spacing w:before="60" w:after="60"/>
              <w:jc w:val="center"/>
              <w:rPr>
                <w:rFonts w:ascii="Times New Roman" w:hAnsi="Times New Roman"/>
                <w:b/>
                <w:sz w:val="22"/>
              </w:rPr>
            </w:pPr>
            <w:r w:rsidRPr="009A0366">
              <w:rPr>
                <w:rFonts w:ascii="Times New Roman" w:hAnsi="Times New Roman"/>
                <w:b/>
                <w:sz w:val="22"/>
              </w:rPr>
              <w:t>Indikátor (výstupu i výsledku)</w:t>
            </w:r>
          </w:p>
        </w:tc>
        <w:tc>
          <w:tcPr>
            <w:tcW w:w="939" w:type="dxa"/>
            <w:vMerge w:val="restart"/>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Výchozí hodnota</w:t>
            </w:r>
          </w:p>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(rok)</w:t>
            </w:r>
          </w:p>
        </w:tc>
        <w:tc>
          <w:tcPr>
            <w:tcW w:w="939" w:type="dxa"/>
            <w:vMerge w:val="restart"/>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Cílová hodnota (2022)</w:t>
            </w:r>
          </w:p>
        </w:tc>
        <w:tc>
          <w:tcPr>
            <w:tcW w:w="1084" w:type="dxa"/>
            <w:vMerge w:val="restart"/>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 xml:space="preserve">Zdroj dat, a frekvence sledování </w:t>
            </w:r>
          </w:p>
        </w:tc>
        <w:tc>
          <w:tcPr>
            <w:tcW w:w="932" w:type="dxa"/>
            <w:vMerge w:val="restart"/>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bCs/>
                <w:sz w:val="22"/>
              </w:rPr>
              <w:t>Odůvodnění, jakým způsobem byly hodnoty stanoveny</w:t>
            </w:r>
          </w:p>
        </w:tc>
      </w:tr>
      <w:tr w:rsidR="00112D3A" w:rsidRPr="009A0366" w:rsidTr="00641EA3">
        <w:tc>
          <w:tcPr>
            <w:tcW w:w="906" w:type="dxa"/>
            <w:vMerge/>
            <w:shd w:val="clear" w:color="auto" w:fill="auto"/>
          </w:tcPr>
          <w:p w:rsidR="00112D3A" w:rsidRPr="009A0366" w:rsidRDefault="00112D3A" w:rsidP="009E62A8">
            <w:pPr>
              <w:pStyle w:val="TextNOK"/>
              <w:spacing w:before="60" w:after="60"/>
              <w:rPr>
                <w:rFonts w:ascii="Times New Roman" w:hAnsi="Times New Roman"/>
                <w:b/>
                <w:sz w:val="22"/>
              </w:rPr>
            </w:pPr>
          </w:p>
        </w:tc>
        <w:tc>
          <w:tcPr>
            <w:tcW w:w="903" w:type="dxa"/>
            <w:vMerge/>
            <w:shd w:val="clear" w:color="auto" w:fill="auto"/>
          </w:tcPr>
          <w:p w:rsidR="00112D3A" w:rsidRPr="009A0366" w:rsidRDefault="00112D3A" w:rsidP="009E62A8">
            <w:pPr>
              <w:pStyle w:val="TextNOK"/>
              <w:spacing w:before="60" w:after="60"/>
              <w:rPr>
                <w:rFonts w:ascii="Times New Roman" w:hAnsi="Times New Roman"/>
                <w:b/>
                <w:sz w:val="22"/>
              </w:rPr>
            </w:pPr>
          </w:p>
        </w:tc>
        <w:tc>
          <w:tcPr>
            <w:tcW w:w="1045" w:type="dxa"/>
            <w:vMerge/>
            <w:shd w:val="clear" w:color="auto" w:fill="auto"/>
          </w:tcPr>
          <w:p w:rsidR="00112D3A" w:rsidRPr="009A0366" w:rsidRDefault="00112D3A" w:rsidP="009E62A8">
            <w:pPr>
              <w:pStyle w:val="TextNOK"/>
              <w:spacing w:before="60" w:after="60"/>
              <w:rPr>
                <w:rFonts w:ascii="Times New Roman" w:hAnsi="Times New Roman"/>
                <w:b/>
                <w:sz w:val="22"/>
              </w:rPr>
            </w:pPr>
          </w:p>
        </w:tc>
        <w:tc>
          <w:tcPr>
            <w:tcW w:w="778" w:type="dxa"/>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Kód NČI 2014+</w:t>
            </w:r>
          </w:p>
        </w:tc>
        <w:tc>
          <w:tcPr>
            <w:tcW w:w="871" w:type="dxa"/>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Název indikátoru</w:t>
            </w:r>
          </w:p>
        </w:tc>
        <w:tc>
          <w:tcPr>
            <w:tcW w:w="973" w:type="dxa"/>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Měrná jednotka</w:t>
            </w:r>
          </w:p>
        </w:tc>
        <w:tc>
          <w:tcPr>
            <w:tcW w:w="1084" w:type="dxa"/>
            <w:shd w:val="clear" w:color="auto" w:fill="auto"/>
          </w:tcPr>
          <w:p w:rsidR="00112D3A" w:rsidRPr="009A0366" w:rsidRDefault="00112D3A" w:rsidP="009E62A8">
            <w:pPr>
              <w:pStyle w:val="TextNOK"/>
              <w:spacing w:before="60" w:after="60"/>
              <w:rPr>
                <w:rFonts w:ascii="Times New Roman" w:hAnsi="Times New Roman"/>
                <w:b/>
                <w:sz w:val="22"/>
              </w:rPr>
            </w:pPr>
            <w:r w:rsidRPr="009A0366">
              <w:rPr>
                <w:rFonts w:ascii="Times New Roman" w:hAnsi="Times New Roman"/>
                <w:b/>
                <w:sz w:val="22"/>
              </w:rPr>
              <w:t>Typ indikátoru (výstup / výsledek)</w:t>
            </w:r>
          </w:p>
        </w:tc>
        <w:tc>
          <w:tcPr>
            <w:tcW w:w="939" w:type="dxa"/>
            <w:vMerge/>
            <w:shd w:val="clear" w:color="auto" w:fill="auto"/>
          </w:tcPr>
          <w:p w:rsidR="00112D3A" w:rsidRPr="009A0366" w:rsidRDefault="00112D3A" w:rsidP="009E62A8">
            <w:pPr>
              <w:pStyle w:val="TextNOK"/>
              <w:spacing w:before="60" w:after="60"/>
              <w:rPr>
                <w:rFonts w:ascii="Times New Roman" w:hAnsi="Times New Roman"/>
                <w:b/>
                <w:sz w:val="22"/>
              </w:rPr>
            </w:pPr>
          </w:p>
        </w:tc>
        <w:tc>
          <w:tcPr>
            <w:tcW w:w="939" w:type="dxa"/>
            <w:vMerge/>
            <w:shd w:val="clear" w:color="auto" w:fill="auto"/>
          </w:tcPr>
          <w:p w:rsidR="00112D3A" w:rsidRPr="009A0366" w:rsidRDefault="00112D3A" w:rsidP="009E62A8">
            <w:pPr>
              <w:pStyle w:val="TextNOK"/>
              <w:spacing w:before="60" w:after="60"/>
              <w:rPr>
                <w:rFonts w:ascii="Times New Roman" w:hAnsi="Times New Roman"/>
                <w:b/>
                <w:sz w:val="22"/>
              </w:rPr>
            </w:pPr>
          </w:p>
        </w:tc>
        <w:tc>
          <w:tcPr>
            <w:tcW w:w="1084" w:type="dxa"/>
            <w:vMerge/>
            <w:shd w:val="clear" w:color="auto" w:fill="auto"/>
          </w:tcPr>
          <w:p w:rsidR="00112D3A" w:rsidRPr="009A0366" w:rsidRDefault="00112D3A" w:rsidP="009E62A8">
            <w:pPr>
              <w:pStyle w:val="TextNOK"/>
              <w:spacing w:before="60" w:after="60"/>
              <w:rPr>
                <w:rFonts w:ascii="Times New Roman" w:hAnsi="Times New Roman"/>
                <w:b/>
                <w:sz w:val="22"/>
              </w:rPr>
            </w:pPr>
          </w:p>
        </w:tc>
        <w:tc>
          <w:tcPr>
            <w:tcW w:w="932" w:type="dxa"/>
            <w:vMerge/>
            <w:shd w:val="clear" w:color="auto" w:fill="auto"/>
          </w:tcPr>
          <w:p w:rsidR="00112D3A" w:rsidRPr="009A0366" w:rsidRDefault="00112D3A" w:rsidP="009E62A8">
            <w:pPr>
              <w:pStyle w:val="TextNOK"/>
              <w:spacing w:before="60" w:after="60"/>
              <w:rPr>
                <w:rFonts w:ascii="Times New Roman" w:hAnsi="Times New Roman"/>
                <w:b/>
                <w:sz w:val="22"/>
              </w:rPr>
            </w:pPr>
          </w:p>
        </w:tc>
      </w:tr>
      <w:tr w:rsidR="00112D3A" w:rsidRPr="009A0366" w:rsidTr="00641EA3">
        <w:tc>
          <w:tcPr>
            <w:tcW w:w="906"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903"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1045"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778"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871"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973"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1084"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939"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939"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1084" w:type="dxa"/>
            <w:shd w:val="clear" w:color="auto" w:fill="auto"/>
          </w:tcPr>
          <w:p w:rsidR="00112D3A" w:rsidRPr="009A0366" w:rsidRDefault="00112D3A" w:rsidP="009E62A8">
            <w:pPr>
              <w:pStyle w:val="TextNOK"/>
              <w:spacing w:before="60" w:after="60"/>
              <w:rPr>
                <w:rFonts w:ascii="Times New Roman" w:hAnsi="Times New Roman"/>
                <w:b/>
                <w:sz w:val="22"/>
              </w:rPr>
            </w:pPr>
          </w:p>
        </w:tc>
        <w:tc>
          <w:tcPr>
            <w:tcW w:w="932" w:type="dxa"/>
            <w:shd w:val="clear" w:color="auto" w:fill="auto"/>
          </w:tcPr>
          <w:p w:rsidR="00112D3A" w:rsidRPr="009A0366" w:rsidRDefault="00112D3A" w:rsidP="009E62A8">
            <w:pPr>
              <w:pStyle w:val="TextNOK"/>
              <w:spacing w:before="60" w:after="60"/>
              <w:rPr>
                <w:rFonts w:ascii="Times New Roman" w:hAnsi="Times New Roman"/>
                <w:b/>
                <w:sz w:val="22"/>
              </w:rPr>
            </w:pPr>
          </w:p>
        </w:tc>
      </w:tr>
    </w:tbl>
    <w:p w:rsidR="00112D3A" w:rsidRDefault="00112D3A" w:rsidP="00CF5E63">
      <w:pPr>
        <w:overflowPunct/>
        <w:jc w:val="both"/>
        <w:textAlignment w:val="auto"/>
        <w:rPr>
          <w:b/>
          <w:bCs/>
          <w:color w:val="FF0000"/>
          <w:sz w:val="24"/>
          <w:szCs w:val="24"/>
          <w:lang w:val="en-GB"/>
        </w:rPr>
      </w:pPr>
    </w:p>
    <w:p w:rsidR="00641EA3" w:rsidRDefault="00641EA3" w:rsidP="00CF5E63">
      <w:pPr>
        <w:overflowPunct/>
        <w:jc w:val="both"/>
        <w:textAlignment w:val="auto"/>
        <w:rPr>
          <w:b/>
          <w:bCs/>
          <w:color w:val="FF0000"/>
          <w:sz w:val="24"/>
          <w:szCs w:val="24"/>
          <w:lang w:val="en-GB"/>
        </w:rPr>
      </w:pPr>
    </w:p>
    <w:p w:rsidR="00641EA3" w:rsidRDefault="00641EA3" w:rsidP="00CF5E63">
      <w:pPr>
        <w:overflowPunct/>
        <w:jc w:val="both"/>
        <w:textAlignment w:val="auto"/>
        <w:rPr>
          <w:b/>
          <w:bCs/>
          <w:color w:val="FF0000"/>
          <w:sz w:val="24"/>
          <w:szCs w:val="24"/>
          <w:lang w:val="en-GB"/>
        </w:rPr>
      </w:pPr>
    </w:p>
    <w:p w:rsidR="00CF5E63" w:rsidRPr="009A0366" w:rsidRDefault="001F045D" w:rsidP="006A127B">
      <w:pPr>
        <w:pStyle w:val="Nadpis3"/>
      </w:pPr>
      <w:bookmarkStart w:id="111" w:name="_Toc351464416"/>
      <w:bookmarkStart w:id="112" w:name="_Toc352328388"/>
      <w:r w:rsidRPr="009A0366">
        <w:lastRenderedPageBreak/>
        <w:t>Popis podporovaných aktivit a jejich očekávaný příspěvek k naplnění specifických cílů (7.3B.3)</w:t>
      </w:r>
      <w:bookmarkEnd w:id="111"/>
      <w:bookmarkEnd w:id="112"/>
    </w:p>
    <w:p w:rsidR="00E92E3A" w:rsidRPr="007E646A" w:rsidRDefault="00E92E3A" w:rsidP="00CF5E63">
      <w:pPr>
        <w:overflowPunct/>
        <w:jc w:val="both"/>
        <w:textAlignment w:val="auto"/>
        <w:rPr>
          <w:b/>
          <w:bCs/>
          <w:iCs/>
          <w:color w:val="FF0000"/>
          <w:sz w:val="28"/>
          <w:szCs w:val="28"/>
        </w:rPr>
      </w:pPr>
    </w:p>
    <w:p w:rsidR="00CF5E63" w:rsidRPr="009A0366" w:rsidRDefault="00E92E3A" w:rsidP="006A127B">
      <w:pPr>
        <w:pStyle w:val="Nadpis4"/>
      </w:pPr>
      <w:bookmarkStart w:id="113" w:name="_Toc351464417"/>
      <w:r w:rsidRPr="009A0366">
        <w:t>Popis</w:t>
      </w:r>
      <w:r w:rsidR="00CF5E63" w:rsidRPr="009A0366">
        <w:t xml:space="preserve"> </w:t>
      </w:r>
      <w:r w:rsidRPr="009A0366">
        <w:t>podpořených aktivit a jejich očekávaný příspěvek ke specifickým cílům (7.3B.3.1)</w:t>
      </w:r>
      <w:bookmarkEnd w:id="113"/>
    </w:p>
    <w:p w:rsidR="00CF5E63" w:rsidRPr="009A0366" w:rsidRDefault="00CF5E63" w:rsidP="00CF5E63">
      <w:pPr>
        <w:overflowPunct/>
        <w:jc w:val="both"/>
        <w:textAlignment w:val="auto"/>
        <w:rPr>
          <w:bCs/>
          <w:color w:val="FF0000"/>
          <w:sz w:val="28"/>
          <w:szCs w:val="28"/>
          <w:lang w:val="en-GB"/>
        </w:rPr>
      </w:pPr>
    </w:p>
    <w:p w:rsidR="00CF5E63" w:rsidRPr="009A0366" w:rsidRDefault="00E92E3A" w:rsidP="006A127B">
      <w:pPr>
        <w:pStyle w:val="Nadpis4"/>
      </w:pPr>
      <w:bookmarkStart w:id="114" w:name="_Toc351464418"/>
      <w:r w:rsidRPr="009A0366">
        <w:t>Výstupové indikátory přispívající k dosažení výsledků  (7.3B.3.2)</w:t>
      </w:r>
      <w:bookmarkEnd w:id="114"/>
    </w:p>
    <w:p w:rsidR="00CF5E63" w:rsidRPr="009A0366" w:rsidRDefault="00CF5E63" w:rsidP="00CF5E63">
      <w:pPr>
        <w:overflowPunct/>
        <w:jc w:val="both"/>
        <w:textAlignment w:val="auto"/>
        <w:rPr>
          <w:b/>
          <w:bCs/>
          <w:color w:val="FF0000"/>
          <w:sz w:val="24"/>
          <w:szCs w:val="24"/>
          <w:lang w:val="en-GB"/>
        </w:rPr>
      </w:pPr>
    </w:p>
    <w:p w:rsidR="00E92E3A" w:rsidRPr="00DD04E7" w:rsidRDefault="00E92E3A" w:rsidP="00E92E3A">
      <w:pPr>
        <w:spacing w:after="120" w:line="288" w:lineRule="auto"/>
        <w:rPr>
          <w:rFonts w:asciiTheme="minorHAnsi" w:hAnsiTheme="minorHAnsi" w:cstheme="minorHAnsi"/>
          <w:sz w:val="24"/>
          <w:szCs w:val="24"/>
        </w:rPr>
      </w:pPr>
      <w:r w:rsidRPr="00E40039">
        <w:rPr>
          <w:rFonts w:asciiTheme="minorHAnsi" w:hAnsiTheme="minorHAnsi" w:cstheme="minorHAnsi"/>
          <w:sz w:val="24"/>
          <w:szCs w:val="24"/>
        </w:rPr>
        <w:t xml:space="preserve">Budou vyplněny pouze tabulky, které se týkají konkrétní řešené prioritní osy. Požadované údaje </w:t>
      </w:r>
      <w:r w:rsidRPr="00DD04E7">
        <w:rPr>
          <w:rFonts w:asciiTheme="minorHAnsi" w:hAnsiTheme="minorHAnsi" w:cstheme="minorHAnsi"/>
          <w:sz w:val="24"/>
          <w:szCs w:val="24"/>
        </w:rPr>
        <w:t>jsou součástí tab</w:t>
      </w:r>
      <w:r w:rsidR="004B5801" w:rsidRPr="00DD04E7">
        <w:rPr>
          <w:rFonts w:asciiTheme="minorHAnsi" w:hAnsiTheme="minorHAnsi" w:cstheme="minorHAnsi"/>
          <w:sz w:val="24"/>
          <w:szCs w:val="24"/>
        </w:rPr>
        <w:t xml:space="preserve">ulky xx. </w:t>
      </w:r>
    </w:p>
    <w:p w:rsidR="00CF5E63" w:rsidRPr="00DD04E7" w:rsidRDefault="002104FB" w:rsidP="00987B30">
      <w:pPr>
        <w:pStyle w:val="Nadpis3"/>
      </w:pPr>
      <w:bookmarkStart w:id="115" w:name="_Toc351464419"/>
      <w:bookmarkStart w:id="116" w:name="_Toc352328389"/>
      <w:r w:rsidRPr="00DD04E7">
        <w:t>K</w:t>
      </w:r>
      <w:r w:rsidR="00CF5E63" w:rsidRPr="00DD04E7">
        <w:t>ategorie</w:t>
      </w:r>
      <w:r w:rsidRPr="00DD04E7">
        <w:t xml:space="preserve"> i</w:t>
      </w:r>
      <w:r w:rsidR="00CF5E63" w:rsidRPr="00DD04E7">
        <w:t>nterven</w:t>
      </w:r>
      <w:r w:rsidRPr="00DD04E7">
        <w:t>cí (7.3B.4)</w:t>
      </w:r>
      <w:bookmarkEnd w:id="115"/>
      <w:bookmarkEnd w:id="116"/>
    </w:p>
    <w:p w:rsidR="002104FB" w:rsidRPr="00DD04E7" w:rsidRDefault="002104FB" w:rsidP="00821D0D">
      <w:pPr>
        <w:spacing w:after="120"/>
        <w:rPr>
          <w:b/>
          <w:sz w:val="24"/>
          <w:szCs w:val="24"/>
        </w:rPr>
      </w:pPr>
      <w:r w:rsidRPr="00DD04E7">
        <w:rPr>
          <w:b/>
          <w:sz w:val="24"/>
          <w:szCs w:val="24"/>
        </w:rPr>
        <w:t>Tabulka 13: Dimenze 1: Intervenční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2104FB" w:rsidRPr="00DD04E7">
        <w:tc>
          <w:tcPr>
            <w:tcW w:w="4640" w:type="dxa"/>
            <w:shd w:val="clear" w:color="auto" w:fill="auto"/>
          </w:tcPr>
          <w:p w:rsidR="002104FB" w:rsidRPr="00DD04E7" w:rsidRDefault="002104FB" w:rsidP="001419C6">
            <w:pPr>
              <w:spacing w:after="120" w:line="288" w:lineRule="auto"/>
              <w:rPr>
                <w:b/>
                <w:sz w:val="22"/>
                <w:szCs w:val="22"/>
              </w:rPr>
            </w:pPr>
            <w:r w:rsidRPr="00DD04E7">
              <w:rPr>
                <w:b/>
                <w:sz w:val="22"/>
                <w:szCs w:val="22"/>
              </w:rPr>
              <w:t>Kód</w:t>
            </w:r>
          </w:p>
        </w:tc>
        <w:tc>
          <w:tcPr>
            <w:tcW w:w="4640" w:type="dxa"/>
            <w:shd w:val="clear" w:color="auto" w:fill="auto"/>
          </w:tcPr>
          <w:p w:rsidR="002104FB" w:rsidRPr="00DD04E7" w:rsidRDefault="002104FB" w:rsidP="001419C6">
            <w:pPr>
              <w:spacing w:after="120" w:line="288" w:lineRule="auto"/>
              <w:rPr>
                <w:b/>
                <w:sz w:val="22"/>
                <w:szCs w:val="22"/>
              </w:rPr>
            </w:pPr>
            <w:r w:rsidRPr="00DD04E7">
              <w:rPr>
                <w:b/>
                <w:bCs/>
                <w:sz w:val="22"/>
                <w:szCs w:val="22"/>
              </w:rPr>
              <w:t>Příspěvek z EU: indikativní částka (EUR)</w:t>
            </w:r>
          </w:p>
        </w:tc>
      </w:tr>
      <w:tr w:rsidR="002104FB" w:rsidRPr="00DD04E7">
        <w:tc>
          <w:tcPr>
            <w:tcW w:w="4640" w:type="dxa"/>
            <w:shd w:val="clear" w:color="auto" w:fill="auto"/>
          </w:tcPr>
          <w:p w:rsidR="002104FB" w:rsidRPr="00DD04E7" w:rsidRDefault="002104FB" w:rsidP="001419C6">
            <w:pPr>
              <w:spacing w:after="120" w:line="288" w:lineRule="auto"/>
              <w:rPr>
                <w:sz w:val="22"/>
                <w:szCs w:val="22"/>
              </w:rPr>
            </w:pPr>
          </w:p>
        </w:tc>
        <w:tc>
          <w:tcPr>
            <w:tcW w:w="4640" w:type="dxa"/>
            <w:shd w:val="clear" w:color="auto" w:fill="auto"/>
          </w:tcPr>
          <w:p w:rsidR="002104FB" w:rsidRPr="00DD04E7" w:rsidRDefault="002104FB" w:rsidP="001419C6">
            <w:pPr>
              <w:spacing w:after="120" w:line="288" w:lineRule="auto"/>
              <w:rPr>
                <w:sz w:val="22"/>
                <w:szCs w:val="22"/>
              </w:rPr>
            </w:pPr>
          </w:p>
        </w:tc>
      </w:tr>
    </w:tbl>
    <w:p w:rsidR="002104FB" w:rsidRPr="00DD04E7" w:rsidRDefault="002104FB" w:rsidP="002104FB">
      <w:pPr>
        <w:pStyle w:val="TextNOK"/>
        <w:spacing w:before="60" w:after="60"/>
        <w:rPr>
          <w:rFonts w:ascii="Times New Roman" w:hAnsi="Times New Roman"/>
          <w:szCs w:val="20"/>
        </w:rPr>
      </w:pPr>
      <w:r w:rsidRPr="00DD04E7">
        <w:rPr>
          <w:rFonts w:ascii="Times New Roman" w:hAnsi="Times New Roman"/>
          <w:szCs w:val="20"/>
        </w:rPr>
        <w:t>Zdroj: Evropská komise</w:t>
      </w:r>
    </w:p>
    <w:p w:rsidR="002104FB" w:rsidRPr="00DD04E7" w:rsidRDefault="002104FB" w:rsidP="009A2305"/>
    <w:p w:rsidR="002104FB" w:rsidRPr="00DD04E7" w:rsidRDefault="002104FB" w:rsidP="00821D0D">
      <w:pPr>
        <w:spacing w:after="120"/>
        <w:rPr>
          <w:b/>
          <w:sz w:val="24"/>
          <w:szCs w:val="24"/>
        </w:rPr>
      </w:pPr>
      <w:r w:rsidRPr="00DD04E7">
        <w:rPr>
          <w:b/>
          <w:sz w:val="24"/>
          <w:szCs w:val="24"/>
        </w:rPr>
        <w:t xml:space="preserve">Tabulka </w:t>
      </w:r>
      <w:r w:rsidR="004B5801" w:rsidRPr="00DD04E7">
        <w:rPr>
          <w:b/>
          <w:sz w:val="24"/>
          <w:szCs w:val="24"/>
        </w:rPr>
        <w:t>xx</w:t>
      </w:r>
      <w:r w:rsidRPr="00DD04E7">
        <w:rPr>
          <w:b/>
          <w:sz w:val="24"/>
          <w:szCs w:val="24"/>
        </w:rPr>
        <w:t>: Dimenze 2: Forma financování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2104FB" w:rsidRPr="00DD04E7">
        <w:tc>
          <w:tcPr>
            <w:tcW w:w="4640" w:type="dxa"/>
            <w:shd w:val="clear" w:color="auto" w:fill="auto"/>
          </w:tcPr>
          <w:p w:rsidR="002104FB" w:rsidRPr="00DD04E7" w:rsidRDefault="002104FB" w:rsidP="001419C6">
            <w:pPr>
              <w:spacing w:after="120" w:line="288" w:lineRule="auto"/>
              <w:rPr>
                <w:b/>
                <w:sz w:val="22"/>
                <w:szCs w:val="22"/>
              </w:rPr>
            </w:pPr>
            <w:r w:rsidRPr="00DD04E7">
              <w:rPr>
                <w:b/>
                <w:sz w:val="22"/>
                <w:szCs w:val="22"/>
              </w:rPr>
              <w:t>Kód</w:t>
            </w:r>
          </w:p>
        </w:tc>
        <w:tc>
          <w:tcPr>
            <w:tcW w:w="4640" w:type="dxa"/>
            <w:shd w:val="clear" w:color="auto" w:fill="auto"/>
          </w:tcPr>
          <w:p w:rsidR="002104FB" w:rsidRPr="00DD04E7" w:rsidRDefault="002104FB" w:rsidP="001419C6">
            <w:pPr>
              <w:spacing w:after="120" w:line="288" w:lineRule="auto"/>
              <w:rPr>
                <w:b/>
                <w:sz w:val="22"/>
                <w:szCs w:val="22"/>
              </w:rPr>
            </w:pPr>
            <w:r w:rsidRPr="00DD04E7">
              <w:rPr>
                <w:b/>
                <w:bCs/>
                <w:sz w:val="22"/>
                <w:szCs w:val="22"/>
              </w:rPr>
              <w:t>Příspěvek z EU: indikativní částka (EUR)</w:t>
            </w:r>
          </w:p>
        </w:tc>
      </w:tr>
      <w:tr w:rsidR="002104FB" w:rsidRPr="00DD04E7">
        <w:tc>
          <w:tcPr>
            <w:tcW w:w="4640" w:type="dxa"/>
            <w:shd w:val="clear" w:color="auto" w:fill="auto"/>
          </w:tcPr>
          <w:p w:rsidR="002104FB" w:rsidRPr="00DD04E7" w:rsidRDefault="002104FB" w:rsidP="001419C6">
            <w:pPr>
              <w:spacing w:after="120" w:line="288" w:lineRule="auto"/>
              <w:rPr>
                <w:sz w:val="22"/>
                <w:szCs w:val="22"/>
              </w:rPr>
            </w:pPr>
          </w:p>
        </w:tc>
        <w:tc>
          <w:tcPr>
            <w:tcW w:w="4640" w:type="dxa"/>
            <w:shd w:val="clear" w:color="auto" w:fill="auto"/>
          </w:tcPr>
          <w:p w:rsidR="002104FB" w:rsidRPr="00DD04E7" w:rsidRDefault="002104FB" w:rsidP="001419C6">
            <w:pPr>
              <w:spacing w:after="120" w:line="288" w:lineRule="auto"/>
              <w:rPr>
                <w:sz w:val="22"/>
                <w:szCs w:val="22"/>
              </w:rPr>
            </w:pPr>
          </w:p>
        </w:tc>
      </w:tr>
    </w:tbl>
    <w:p w:rsidR="002104FB" w:rsidRPr="00DD04E7" w:rsidRDefault="002104FB" w:rsidP="002104FB">
      <w:pPr>
        <w:pStyle w:val="TextNOK"/>
        <w:spacing w:before="60" w:after="60"/>
        <w:rPr>
          <w:rFonts w:ascii="Times New Roman" w:hAnsi="Times New Roman"/>
          <w:szCs w:val="20"/>
        </w:rPr>
      </w:pPr>
      <w:r w:rsidRPr="00DD04E7">
        <w:rPr>
          <w:rFonts w:ascii="Times New Roman" w:hAnsi="Times New Roman"/>
          <w:szCs w:val="20"/>
        </w:rPr>
        <w:t>Zdroj: Evropská komise</w:t>
      </w:r>
    </w:p>
    <w:p w:rsidR="002104FB" w:rsidRPr="00DD04E7" w:rsidRDefault="002104FB" w:rsidP="009A2305"/>
    <w:p w:rsidR="002104FB" w:rsidRPr="00DD04E7" w:rsidRDefault="002104FB" w:rsidP="00821D0D">
      <w:pPr>
        <w:spacing w:after="120"/>
        <w:rPr>
          <w:b/>
          <w:sz w:val="24"/>
          <w:szCs w:val="24"/>
        </w:rPr>
      </w:pPr>
      <w:r w:rsidRPr="00DD04E7">
        <w:rPr>
          <w:b/>
          <w:sz w:val="24"/>
          <w:szCs w:val="24"/>
        </w:rPr>
        <w:t xml:space="preserve">Tabulka </w:t>
      </w:r>
      <w:r w:rsidR="004B5801" w:rsidRPr="00DD04E7">
        <w:rPr>
          <w:b/>
          <w:sz w:val="24"/>
          <w:szCs w:val="24"/>
        </w:rPr>
        <w:t>xx</w:t>
      </w:r>
      <w:r w:rsidRPr="00DD04E7">
        <w:rPr>
          <w:b/>
          <w:sz w:val="24"/>
          <w:szCs w:val="24"/>
        </w:rPr>
        <w:t>: Dimenze 3: Území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2104FB" w:rsidRPr="00AA5B29">
        <w:tc>
          <w:tcPr>
            <w:tcW w:w="4640" w:type="dxa"/>
            <w:shd w:val="clear" w:color="auto" w:fill="auto"/>
          </w:tcPr>
          <w:p w:rsidR="002104FB" w:rsidRPr="00DD04E7" w:rsidRDefault="002104FB" w:rsidP="001419C6">
            <w:pPr>
              <w:spacing w:after="120" w:line="288" w:lineRule="auto"/>
              <w:rPr>
                <w:b/>
                <w:sz w:val="22"/>
                <w:szCs w:val="22"/>
              </w:rPr>
            </w:pPr>
            <w:r w:rsidRPr="00DD04E7">
              <w:rPr>
                <w:b/>
                <w:sz w:val="22"/>
                <w:szCs w:val="22"/>
              </w:rPr>
              <w:t>Kód</w:t>
            </w:r>
          </w:p>
        </w:tc>
        <w:tc>
          <w:tcPr>
            <w:tcW w:w="4640" w:type="dxa"/>
            <w:shd w:val="clear" w:color="auto" w:fill="auto"/>
          </w:tcPr>
          <w:p w:rsidR="002104FB" w:rsidRPr="00AA5B29" w:rsidRDefault="002104FB" w:rsidP="001419C6">
            <w:pPr>
              <w:spacing w:after="120" w:line="288" w:lineRule="auto"/>
              <w:rPr>
                <w:b/>
                <w:sz w:val="22"/>
                <w:szCs w:val="22"/>
              </w:rPr>
            </w:pPr>
            <w:r w:rsidRPr="00DD04E7">
              <w:rPr>
                <w:b/>
                <w:bCs/>
                <w:sz w:val="22"/>
                <w:szCs w:val="22"/>
              </w:rPr>
              <w:t>Příspěvek z EU: indikativní částka (EUR)</w:t>
            </w:r>
          </w:p>
        </w:tc>
      </w:tr>
      <w:tr w:rsidR="002104FB" w:rsidRPr="00AA5B29">
        <w:tc>
          <w:tcPr>
            <w:tcW w:w="4640" w:type="dxa"/>
            <w:shd w:val="clear" w:color="auto" w:fill="auto"/>
          </w:tcPr>
          <w:p w:rsidR="002104FB" w:rsidRPr="00AA5B29" w:rsidRDefault="002104FB" w:rsidP="001419C6">
            <w:pPr>
              <w:spacing w:after="120" w:line="288" w:lineRule="auto"/>
              <w:rPr>
                <w:sz w:val="22"/>
                <w:szCs w:val="22"/>
              </w:rPr>
            </w:pPr>
          </w:p>
        </w:tc>
        <w:tc>
          <w:tcPr>
            <w:tcW w:w="4640" w:type="dxa"/>
            <w:shd w:val="clear" w:color="auto" w:fill="auto"/>
          </w:tcPr>
          <w:p w:rsidR="002104FB" w:rsidRPr="00AA5B29" w:rsidRDefault="002104FB" w:rsidP="001419C6">
            <w:pPr>
              <w:spacing w:after="120" w:line="288" w:lineRule="auto"/>
              <w:rPr>
                <w:sz w:val="22"/>
                <w:szCs w:val="22"/>
              </w:rPr>
            </w:pPr>
          </w:p>
        </w:tc>
      </w:tr>
    </w:tbl>
    <w:p w:rsidR="002104FB" w:rsidRDefault="002104FB" w:rsidP="004B5801">
      <w:pPr>
        <w:pStyle w:val="TextNOK"/>
        <w:spacing w:before="60" w:after="60"/>
        <w:rPr>
          <w:rFonts w:ascii="Times New Roman" w:hAnsi="Times New Roman"/>
          <w:szCs w:val="20"/>
        </w:rPr>
      </w:pPr>
      <w:r w:rsidRPr="00AA5B29">
        <w:rPr>
          <w:rFonts w:ascii="Times New Roman" w:hAnsi="Times New Roman"/>
          <w:szCs w:val="20"/>
        </w:rPr>
        <w:t>Zdroj: Evropská komise</w:t>
      </w:r>
    </w:p>
    <w:p w:rsidR="009E6172" w:rsidRPr="00987B30" w:rsidRDefault="009E6172" w:rsidP="00987B30">
      <w:pPr>
        <w:pStyle w:val="Nadpis1"/>
      </w:pPr>
      <w:bookmarkStart w:id="117" w:name="_Toc351464420"/>
      <w:bookmarkStart w:id="118" w:name="_Toc352328390"/>
      <w:r w:rsidRPr="00987B30">
        <w:lastRenderedPageBreak/>
        <w:t>Finanční plán</w:t>
      </w:r>
      <w:bookmarkEnd w:id="117"/>
      <w:bookmarkEnd w:id="118"/>
    </w:p>
    <w:p w:rsidR="00CB2B83" w:rsidRPr="004B5801" w:rsidRDefault="00CB2B83" w:rsidP="00CB2B83">
      <w:pPr>
        <w:overflowPunct/>
        <w:textAlignment w:val="auto"/>
        <w:rPr>
          <w:rFonts w:ascii="Calibri" w:hAnsi="Calibri" w:cs="Calibri"/>
          <w:bCs/>
          <w:i/>
          <w:color w:val="FF0000"/>
          <w:sz w:val="24"/>
          <w:szCs w:val="24"/>
        </w:rPr>
      </w:pPr>
      <w:r w:rsidRPr="004B5801">
        <w:rPr>
          <w:rFonts w:ascii="Calibri" w:hAnsi="Calibri" w:cs="Calibri"/>
          <w:i/>
          <w:color w:val="FF0000"/>
          <w:sz w:val="24"/>
          <w:szCs w:val="24"/>
        </w:rPr>
        <w:t xml:space="preserve">……………….....viz EK Draft template / </w:t>
      </w:r>
      <w:r w:rsidR="002F6CB3" w:rsidRPr="004B5801">
        <w:rPr>
          <w:rFonts w:ascii="Calibri" w:hAnsi="Calibri" w:cs="Calibri"/>
          <w:i/>
          <w:color w:val="FF0000"/>
          <w:sz w:val="24"/>
          <w:szCs w:val="24"/>
        </w:rPr>
        <w:t xml:space="preserve">verze </w:t>
      </w:r>
      <w:r w:rsidRPr="004B5801">
        <w:rPr>
          <w:rFonts w:ascii="Calibri" w:hAnsi="Calibri" w:cs="Calibri"/>
          <w:i/>
          <w:color w:val="FF0000"/>
          <w:sz w:val="24"/>
          <w:szCs w:val="24"/>
        </w:rPr>
        <w:t xml:space="preserve">leden 2013 </w:t>
      </w:r>
      <w:r w:rsidR="006C0BF1" w:rsidRPr="004B5801">
        <w:rPr>
          <w:rFonts w:ascii="Calibri" w:hAnsi="Calibri" w:cs="Calibri"/>
          <w:i/>
          <w:color w:val="FF0000"/>
          <w:sz w:val="24"/>
          <w:szCs w:val="24"/>
        </w:rPr>
        <w:t xml:space="preserve">(str. 20 – 24) a </w:t>
      </w:r>
      <w:r w:rsidR="002F6CB3" w:rsidRPr="004B5801">
        <w:rPr>
          <w:rFonts w:ascii="Calibri" w:hAnsi="Calibri" w:cs="Calibri"/>
          <w:i/>
          <w:color w:val="FF0000"/>
          <w:sz w:val="24"/>
          <w:szCs w:val="24"/>
        </w:rPr>
        <w:t xml:space="preserve">verze </w:t>
      </w:r>
      <w:r w:rsidR="006C0BF1" w:rsidRPr="004B5801">
        <w:rPr>
          <w:rFonts w:ascii="Calibri" w:hAnsi="Calibri" w:cs="Calibri"/>
          <w:i/>
          <w:color w:val="FF0000"/>
          <w:sz w:val="24"/>
          <w:szCs w:val="24"/>
        </w:rPr>
        <w:t>únor 2013 (str. 23 – 27)</w:t>
      </w:r>
      <w:r w:rsidR="002F6CB3" w:rsidRPr="004B5801">
        <w:rPr>
          <w:rFonts w:ascii="Calibri" w:hAnsi="Calibri" w:cs="Calibri"/>
          <w:i/>
          <w:color w:val="FF0000"/>
          <w:sz w:val="24"/>
          <w:szCs w:val="24"/>
        </w:rPr>
        <w:t xml:space="preserve"> </w:t>
      </w:r>
      <w:r w:rsidR="002F6CB3" w:rsidRPr="004B5801">
        <w:rPr>
          <w:rFonts w:ascii="Calibri" w:hAnsi="Calibri" w:cs="Calibri"/>
          <w:b/>
          <w:i/>
          <w:color w:val="FF0000"/>
          <w:sz w:val="24"/>
          <w:szCs w:val="24"/>
        </w:rPr>
        <w:t xml:space="preserve">/ </w:t>
      </w:r>
      <w:r w:rsidRPr="004B5801">
        <w:rPr>
          <w:rFonts w:ascii="Calibri" w:hAnsi="Calibri" w:cs="Calibri"/>
          <w:b/>
          <w:i/>
          <w:color w:val="FF0000"/>
          <w:sz w:val="24"/>
          <w:szCs w:val="24"/>
        </w:rPr>
        <w:t>s</w:t>
      </w:r>
      <w:r w:rsidR="006C0BF1" w:rsidRPr="004B5801">
        <w:rPr>
          <w:rFonts w:ascii="Calibri" w:hAnsi="Calibri" w:cs="Calibri"/>
          <w:b/>
          <w:i/>
          <w:color w:val="FF0000"/>
          <w:sz w:val="24"/>
          <w:szCs w:val="24"/>
        </w:rPr>
        <w:t xml:space="preserve">ekce </w:t>
      </w:r>
      <w:smartTag w:uri="urn:schemas-microsoft-com:office:smarttags" w:element="metricconverter">
        <w:smartTagPr>
          <w:attr w:name="ProductID" w:val="4 a"/>
        </w:smartTagPr>
        <w:r w:rsidR="006C0BF1" w:rsidRPr="004B5801">
          <w:rPr>
            <w:rFonts w:ascii="Calibri" w:hAnsi="Calibri" w:cs="Calibri"/>
            <w:b/>
            <w:i/>
            <w:color w:val="FF0000"/>
            <w:sz w:val="24"/>
            <w:szCs w:val="24"/>
          </w:rPr>
          <w:t>4</w:t>
        </w:r>
        <w:r w:rsidR="006C0BF1" w:rsidRPr="004B5801">
          <w:rPr>
            <w:rFonts w:ascii="Calibri" w:hAnsi="Calibri" w:cs="Calibri"/>
            <w:i/>
            <w:color w:val="FF0000"/>
            <w:sz w:val="24"/>
            <w:szCs w:val="24"/>
          </w:rPr>
          <w:t xml:space="preserve"> a</w:t>
        </w:r>
      </w:smartTag>
      <w:r w:rsidR="006C0BF1" w:rsidRPr="004B5801">
        <w:rPr>
          <w:rFonts w:ascii="Calibri" w:hAnsi="Calibri" w:cs="Calibri"/>
          <w:i/>
          <w:color w:val="FF0000"/>
          <w:sz w:val="24"/>
          <w:szCs w:val="24"/>
        </w:rPr>
        <w:t xml:space="preserve"> </w:t>
      </w:r>
      <w:r w:rsidRPr="004B5801">
        <w:rPr>
          <w:rFonts w:ascii="Calibri" w:hAnsi="Calibri" w:cs="Calibri"/>
          <w:i/>
          <w:color w:val="FF0000"/>
          <w:sz w:val="24"/>
          <w:szCs w:val="24"/>
        </w:rPr>
        <w:t>Metodika, verze 1.0</w:t>
      </w:r>
      <w:r w:rsidR="002F6CB3" w:rsidRPr="004B5801">
        <w:rPr>
          <w:rFonts w:ascii="Calibri" w:hAnsi="Calibri" w:cs="Calibri"/>
          <w:i/>
          <w:color w:val="FF0000"/>
          <w:sz w:val="24"/>
          <w:szCs w:val="24"/>
        </w:rPr>
        <w:t xml:space="preserve"> </w:t>
      </w:r>
      <w:r w:rsidRPr="004B5801">
        <w:rPr>
          <w:rFonts w:ascii="Calibri" w:hAnsi="Calibri" w:cs="Calibri"/>
          <w:i/>
          <w:color w:val="FF0000"/>
          <w:sz w:val="24"/>
          <w:szCs w:val="24"/>
        </w:rPr>
        <w:t>únor 2013</w:t>
      </w:r>
      <w:r w:rsidR="002F6CB3" w:rsidRPr="004B5801">
        <w:rPr>
          <w:rFonts w:ascii="Calibri" w:hAnsi="Calibri" w:cs="Calibri"/>
          <w:i/>
          <w:color w:val="FF0000"/>
          <w:sz w:val="24"/>
          <w:szCs w:val="24"/>
        </w:rPr>
        <w:t xml:space="preserve"> / </w:t>
      </w:r>
      <w:r w:rsidRPr="004B5801">
        <w:rPr>
          <w:rFonts w:ascii="Calibri" w:hAnsi="Calibri" w:cs="Calibri"/>
          <w:b/>
          <w:i/>
          <w:color w:val="FF0000"/>
          <w:sz w:val="24"/>
          <w:szCs w:val="24"/>
        </w:rPr>
        <w:t>kap. 7.4</w:t>
      </w:r>
      <w:r w:rsidR="002F6CB3" w:rsidRPr="004B5801">
        <w:rPr>
          <w:rFonts w:ascii="Calibri" w:hAnsi="Calibri" w:cs="Calibri"/>
          <w:i/>
          <w:color w:val="FF0000"/>
          <w:sz w:val="24"/>
          <w:szCs w:val="24"/>
        </w:rPr>
        <w:t xml:space="preserve"> / </w:t>
      </w:r>
      <w:r w:rsidRPr="004B5801">
        <w:rPr>
          <w:rFonts w:ascii="Calibri" w:hAnsi="Calibri" w:cs="Calibri"/>
          <w:i/>
          <w:color w:val="FF0000"/>
          <w:sz w:val="24"/>
          <w:szCs w:val="24"/>
        </w:rPr>
        <w:t>str. 94-98</w:t>
      </w:r>
    </w:p>
    <w:p w:rsidR="006C0BF1" w:rsidRPr="004B5801" w:rsidRDefault="006C0BF1" w:rsidP="006C0BF1">
      <w:pPr>
        <w:overflowPunct/>
        <w:jc w:val="both"/>
        <w:textAlignment w:val="auto"/>
        <w:rPr>
          <w:rFonts w:ascii="Calibri" w:hAnsi="Calibri" w:cs="Calibri"/>
          <w:bCs/>
          <w:color w:val="FF0000"/>
          <w:sz w:val="24"/>
          <w:szCs w:val="24"/>
        </w:rPr>
      </w:pPr>
    </w:p>
    <w:p w:rsidR="002D5206" w:rsidRPr="004B5801" w:rsidRDefault="002D5206" w:rsidP="006C0BF1">
      <w:pPr>
        <w:overflowPunct/>
        <w:jc w:val="both"/>
        <w:textAlignment w:val="auto"/>
        <w:rPr>
          <w:rFonts w:ascii="Calibri" w:hAnsi="Calibri" w:cs="Calibri"/>
          <w:bCs/>
          <w:color w:val="FF0000"/>
          <w:sz w:val="24"/>
          <w:szCs w:val="24"/>
        </w:rPr>
      </w:pPr>
      <w:r w:rsidRPr="004B5801">
        <w:rPr>
          <w:rFonts w:ascii="Calibri" w:hAnsi="Calibri" w:cs="Calibri"/>
          <w:bCs/>
          <w:color w:val="FF0000"/>
          <w:sz w:val="24"/>
          <w:szCs w:val="24"/>
        </w:rPr>
        <w:t xml:space="preserve">V této fázi tvorby operačního programu (březen 2013) není otázka finančního plánu řešena.  </w:t>
      </w:r>
    </w:p>
    <w:p w:rsidR="006C0BF1" w:rsidRPr="006C0BF1" w:rsidRDefault="006C0BF1" w:rsidP="006C0BF1">
      <w:pPr>
        <w:overflowPunct/>
        <w:jc w:val="both"/>
        <w:textAlignment w:val="auto"/>
        <w:rPr>
          <w:rFonts w:ascii="Calibri" w:hAnsi="Calibri" w:cs="Calibri"/>
          <w:b/>
          <w:bCs/>
          <w:color w:val="FF0000"/>
          <w:sz w:val="28"/>
          <w:szCs w:val="28"/>
        </w:rPr>
        <w:sectPr w:rsidR="006C0BF1" w:rsidRPr="006C0BF1" w:rsidSect="00F258CA">
          <w:headerReference w:type="default" r:id="rId37"/>
          <w:footerReference w:type="default" r:id="rId38"/>
          <w:pgSz w:w="11906" w:h="16838"/>
          <w:pgMar w:top="1418" w:right="1276" w:bottom="1276" w:left="1418" w:header="709" w:footer="709" w:gutter="0"/>
          <w:cols w:space="708"/>
          <w:docGrid w:linePitch="272"/>
        </w:sectPr>
      </w:pPr>
      <w:r>
        <w:rPr>
          <w:rFonts w:ascii="Calibri" w:hAnsi="Calibri" w:cs="Calibri"/>
          <w:bCs/>
          <w:color w:val="FF0000"/>
          <w:sz w:val="24"/>
          <w:szCs w:val="24"/>
        </w:rPr>
        <w:t xml:space="preserve"> </w:t>
      </w:r>
    </w:p>
    <w:p w:rsidR="00D97F09" w:rsidRPr="00AA5B29" w:rsidRDefault="005E3597" w:rsidP="00987B30">
      <w:pPr>
        <w:pStyle w:val="Nadpis2"/>
      </w:pPr>
      <w:bookmarkStart w:id="119" w:name="_Toc351464421"/>
      <w:bookmarkStart w:id="120" w:name="_Toc352328391"/>
      <w:r w:rsidRPr="00AA5B29">
        <w:lastRenderedPageBreak/>
        <w:t xml:space="preserve">Výše celkových finančních závazků pro jednotlivé roky programovacího období 2014 </w:t>
      </w:r>
      <w:r w:rsidR="00EE7713" w:rsidRPr="00AA5B29">
        <w:t>–</w:t>
      </w:r>
      <w:r w:rsidRPr="00AA5B29">
        <w:t xml:space="preserve"> 2020</w:t>
      </w:r>
      <w:r w:rsidR="00EE7713" w:rsidRPr="00AA5B29">
        <w:t xml:space="preserve"> (7.4.1)</w:t>
      </w:r>
      <w:bookmarkEnd w:id="119"/>
      <w:bookmarkEnd w:id="120"/>
    </w:p>
    <w:p w:rsidR="00A430E3" w:rsidRPr="00AA5B29" w:rsidRDefault="00A430E3" w:rsidP="005E3597">
      <w:pPr>
        <w:rPr>
          <w:bCs/>
          <w:color w:val="FF0000"/>
          <w:sz w:val="24"/>
          <w:szCs w:val="24"/>
        </w:rPr>
      </w:pPr>
    </w:p>
    <w:p w:rsidR="003520F2" w:rsidRPr="00DD04E7" w:rsidRDefault="00434475" w:rsidP="00B1484D">
      <w:pPr>
        <w:rPr>
          <w:b/>
          <w:sz w:val="24"/>
        </w:rPr>
      </w:pPr>
      <w:r w:rsidRPr="00DD04E7">
        <w:rPr>
          <w:b/>
          <w:sz w:val="24"/>
        </w:rPr>
        <w:t xml:space="preserve">Tabulka </w:t>
      </w:r>
      <w:r w:rsidR="004B5801" w:rsidRPr="00DD04E7">
        <w:rPr>
          <w:b/>
          <w:sz w:val="24"/>
        </w:rPr>
        <w:t>xx</w:t>
      </w:r>
      <w:r w:rsidRPr="00DD04E7">
        <w:rPr>
          <w:b/>
          <w:sz w:val="24"/>
        </w:rPr>
        <w:t>:</w:t>
      </w:r>
      <w:r w:rsidR="003520F2" w:rsidRPr="00DD04E7">
        <w:rPr>
          <w:b/>
          <w:sz w:val="24"/>
        </w:rPr>
        <w:t xml:space="preserve"> Výše celkových finančních závazků plánovaných podpor z v jednotlivých letech 2014 – 2010 (v EUR) </w:t>
      </w:r>
    </w:p>
    <w:p w:rsidR="005E3597" w:rsidRPr="00DD04E7" w:rsidRDefault="005E3597" w:rsidP="00821D0D">
      <w:pPr>
        <w:spacing w:after="120"/>
        <w:rPr>
          <w:color w:val="FF0000"/>
          <w:sz w:val="24"/>
          <w:szCs w:val="24"/>
        </w:rPr>
      </w:pPr>
      <w:r w:rsidRPr="00DD04E7">
        <w:rPr>
          <w:color w:val="FF0000"/>
          <w:sz w:val="24"/>
          <w:szCs w:val="24"/>
        </w:rPr>
        <w:t>(viz Table 17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838"/>
        <w:gridCol w:w="931"/>
        <w:gridCol w:w="837"/>
        <w:gridCol w:w="839"/>
        <w:gridCol w:w="837"/>
        <w:gridCol w:w="835"/>
        <w:gridCol w:w="837"/>
        <w:gridCol w:w="1354"/>
      </w:tblGrid>
      <w:tr w:rsidR="00B07512" w:rsidRPr="00DD04E7">
        <w:trPr>
          <w:jc w:val="center"/>
        </w:trPr>
        <w:tc>
          <w:tcPr>
            <w:tcW w:w="1124" w:type="pct"/>
            <w:shd w:val="clear" w:color="auto" w:fill="auto"/>
          </w:tcPr>
          <w:p w:rsidR="00C46CB7" w:rsidRPr="00DD04E7" w:rsidRDefault="00CD4E32" w:rsidP="0089457F">
            <w:pPr>
              <w:jc w:val="center"/>
              <w:rPr>
                <w:b/>
                <w:sz w:val="22"/>
                <w:szCs w:val="22"/>
              </w:rPr>
            </w:pPr>
            <w:r w:rsidRPr="00DD04E7">
              <w:rPr>
                <w:b/>
                <w:sz w:val="22"/>
                <w:szCs w:val="22"/>
              </w:rPr>
              <w:t>Kategorie regionu</w:t>
            </w:r>
          </w:p>
        </w:tc>
        <w:tc>
          <w:tcPr>
            <w:tcW w:w="444" w:type="pct"/>
            <w:shd w:val="clear" w:color="auto" w:fill="auto"/>
          </w:tcPr>
          <w:p w:rsidR="00C46CB7" w:rsidRPr="00DD04E7" w:rsidRDefault="00C46CB7" w:rsidP="0089457F">
            <w:pPr>
              <w:jc w:val="center"/>
              <w:rPr>
                <w:b/>
                <w:sz w:val="22"/>
                <w:szCs w:val="22"/>
              </w:rPr>
            </w:pPr>
            <w:r w:rsidRPr="00DD04E7">
              <w:rPr>
                <w:b/>
                <w:sz w:val="22"/>
                <w:szCs w:val="22"/>
              </w:rPr>
              <w:t>2014</w:t>
            </w:r>
          </w:p>
        </w:tc>
        <w:tc>
          <w:tcPr>
            <w:tcW w:w="493" w:type="pct"/>
            <w:shd w:val="clear" w:color="auto" w:fill="auto"/>
          </w:tcPr>
          <w:p w:rsidR="00C46CB7" w:rsidRPr="00DD04E7" w:rsidRDefault="00C46CB7" w:rsidP="0089457F">
            <w:pPr>
              <w:jc w:val="center"/>
              <w:rPr>
                <w:b/>
                <w:sz w:val="22"/>
                <w:szCs w:val="22"/>
              </w:rPr>
            </w:pPr>
            <w:r w:rsidRPr="00DD04E7">
              <w:rPr>
                <w:b/>
                <w:sz w:val="22"/>
                <w:szCs w:val="22"/>
              </w:rPr>
              <w:t>2015</w:t>
            </w:r>
          </w:p>
        </w:tc>
        <w:tc>
          <w:tcPr>
            <w:tcW w:w="444" w:type="pct"/>
            <w:shd w:val="clear" w:color="auto" w:fill="auto"/>
          </w:tcPr>
          <w:p w:rsidR="00C46CB7" w:rsidRPr="00DD04E7" w:rsidRDefault="00C46CB7" w:rsidP="0089457F">
            <w:pPr>
              <w:jc w:val="center"/>
              <w:rPr>
                <w:b/>
                <w:sz w:val="22"/>
                <w:szCs w:val="22"/>
              </w:rPr>
            </w:pPr>
            <w:r w:rsidRPr="00DD04E7">
              <w:rPr>
                <w:b/>
                <w:sz w:val="22"/>
                <w:szCs w:val="22"/>
              </w:rPr>
              <w:t>2016</w:t>
            </w:r>
          </w:p>
        </w:tc>
        <w:tc>
          <w:tcPr>
            <w:tcW w:w="445" w:type="pct"/>
            <w:shd w:val="clear" w:color="auto" w:fill="auto"/>
          </w:tcPr>
          <w:p w:rsidR="00C46CB7" w:rsidRPr="00DD04E7" w:rsidRDefault="00C46CB7" w:rsidP="0089457F">
            <w:pPr>
              <w:jc w:val="center"/>
              <w:rPr>
                <w:b/>
                <w:sz w:val="22"/>
                <w:szCs w:val="22"/>
              </w:rPr>
            </w:pPr>
            <w:r w:rsidRPr="00DD04E7">
              <w:rPr>
                <w:b/>
                <w:sz w:val="22"/>
                <w:szCs w:val="22"/>
              </w:rPr>
              <w:t>2017</w:t>
            </w:r>
          </w:p>
        </w:tc>
        <w:tc>
          <w:tcPr>
            <w:tcW w:w="444" w:type="pct"/>
            <w:shd w:val="clear" w:color="auto" w:fill="auto"/>
          </w:tcPr>
          <w:p w:rsidR="00C46CB7" w:rsidRPr="00DD04E7" w:rsidRDefault="00C46CB7" w:rsidP="0089457F">
            <w:pPr>
              <w:jc w:val="center"/>
              <w:rPr>
                <w:b/>
                <w:sz w:val="22"/>
                <w:szCs w:val="22"/>
              </w:rPr>
            </w:pPr>
            <w:r w:rsidRPr="00DD04E7">
              <w:rPr>
                <w:b/>
                <w:sz w:val="22"/>
                <w:szCs w:val="22"/>
              </w:rPr>
              <w:t>2018</w:t>
            </w:r>
          </w:p>
        </w:tc>
        <w:tc>
          <w:tcPr>
            <w:tcW w:w="443" w:type="pct"/>
            <w:shd w:val="clear" w:color="auto" w:fill="auto"/>
          </w:tcPr>
          <w:p w:rsidR="00C46CB7" w:rsidRPr="00DD04E7" w:rsidRDefault="00C46CB7" w:rsidP="0089457F">
            <w:pPr>
              <w:jc w:val="center"/>
              <w:rPr>
                <w:b/>
                <w:sz w:val="22"/>
                <w:szCs w:val="22"/>
              </w:rPr>
            </w:pPr>
            <w:r w:rsidRPr="00DD04E7">
              <w:rPr>
                <w:b/>
                <w:sz w:val="22"/>
                <w:szCs w:val="22"/>
              </w:rPr>
              <w:t>2019</w:t>
            </w:r>
          </w:p>
        </w:tc>
        <w:tc>
          <w:tcPr>
            <w:tcW w:w="444" w:type="pct"/>
            <w:shd w:val="clear" w:color="auto" w:fill="auto"/>
          </w:tcPr>
          <w:p w:rsidR="00C46CB7" w:rsidRPr="00DD04E7" w:rsidRDefault="00C46CB7" w:rsidP="0089457F">
            <w:pPr>
              <w:jc w:val="center"/>
              <w:rPr>
                <w:b/>
                <w:sz w:val="22"/>
                <w:szCs w:val="22"/>
              </w:rPr>
            </w:pPr>
            <w:r w:rsidRPr="00DD04E7">
              <w:rPr>
                <w:b/>
                <w:sz w:val="22"/>
                <w:szCs w:val="22"/>
              </w:rPr>
              <w:t>2020</w:t>
            </w:r>
          </w:p>
        </w:tc>
        <w:tc>
          <w:tcPr>
            <w:tcW w:w="718" w:type="pct"/>
            <w:shd w:val="clear" w:color="auto" w:fill="auto"/>
          </w:tcPr>
          <w:p w:rsidR="00C46CB7" w:rsidRPr="00DD04E7" w:rsidRDefault="00CD4E32" w:rsidP="0089457F">
            <w:pPr>
              <w:jc w:val="center"/>
              <w:rPr>
                <w:b/>
                <w:sz w:val="22"/>
                <w:szCs w:val="22"/>
              </w:rPr>
            </w:pPr>
            <w:r w:rsidRPr="00DD04E7">
              <w:rPr>
                <w:b/>
                <w:sz w:val="22"/>
                <w:szCs w:val="22"/>
              </w:rPr>
              <w:t>Celkem</w:t>
            </w:r>
          </w:p>
        </w:tc>
      </w:tr>
      <w:tr w:rsidR="00B07512" w:rsidRPr="00DD04E7">
        <w:trPr>
          <w:jc w:val="center"/>
        </w:trPr>
        <w:tc>
          <w:tcPr>
            <w:tcW w:w="1124" w:type="pct"/>
            <w:shd w:val="clear" w:color="auto" w:fill="auto"/>
          </w:tcPr>
          <w:p w:rsidR="00C46CB7" w:rsidRPr="00DD04E7" w:rsidRDefault="00C46CB7" w:rsidP="0089457F">
            <w:pPr>
              <w:jc w:val="center"/>
              <w:rPr>
                <w:b/>
                <w:sz w:val="22"/>
                <w:szCs w:val="22"/>
              </w:rPr>
            </w:pPr>
            <w:r w:rsidRPr="00DD04E7">
              <w:rPr>
                <w:b/>
                <w:sz w:val="22"/>
                <w:szCs w:val="22"/>
              </w:rPr>
              <w:t>ERDF</w:t>
            </w:r>
          </w:p>
          <w:p w:rsidR="00C46CB7" w:rsidRPr="00DD04E7" w:rsidRDefault="00CD4E32" w:rsidP="0089457F">
            <w:pPr>
              <w:jc w:val="center"/>
              <w:rPr>
                <w:b/>
                <w:sz w:val="22"/>
                <w:szCs w:val="22"/>
              </w:rPr>
            </w:pPr>
            <w:r w:rsidRPr="00DD04E7">
              <w:rPr>
                <w:b/>
                <w:sz w:val="22"/>
                <w:szCs w:val="22"/>
              </w:rPr>
              <w:t>V méně rozvinutých regionech</w:t>
            </w:r>
          </w:p>
        </w:tc>
        <w:tc>
          <w:tcPr>
            <w:tcW w:w="444" w:type="pct"/>
            <w:shd w:val="clear" w:color="auto" w:fill="auto"/>
          </w:tcPr>
          <w:p w:rsidR="00C46CB7" w:rsidRPr="00DD04E7" w:rsidRDefault="00C46CB7" w:rsidP="0089457F">
            <w:pPr>
              <w:jc w:val="center"/>
              <w:rPr>
                <w:sz w:val="24"/>
                <w:szCs w:val="24"/>
              </w:rPr>
            </w:pPr>
          </w:p>
        </w:tc>
        <w:tc>
          <w:tcPr>
            <w:tcW w:w="493"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445"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443"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718" w:type="pct"/>
            <w:shd w:val="clear" w:color="auto" w:fill="auto"/>
          </w:tcPr>
          <w:p w:rsidR="00C46CB7" w:rsidRPr="00DD04E7" w:rsidRDefault="00C46CB7" w:rsidP="0089457F">
            <w:pPr>
              <w:jc w:val="center"/>
              <w:rPr>
                <w:sz w:val="24"/>
                <w:szCs w:val="24"/>
              </w:rPr>
            </w:pPr>
          </w:p>
        </w:tc>
      </w:tr>
      <w:tr w:rsidR="00B07512" w:rsidRPr="00DD04E7">
        <w:trPr>
          <w:jc w:val="center"/>
        </w:trPr>
        <w:tc>
          <w:tcPr>
            <w:tcW w:w="1124" w:type="pct"/>
            <w:shd w:val="clear" w:color="auto" w:fill="auto"/>
          </w:tcPr>
          <w:p w:rsidR="00C46CB7" w:rsidRPr="00DD04E7" w:rsidRDefault="00C46CB7" w:rsidP="0089457F">
            <w:pPr>
              <w:jc w:val="center"/>
              <w:rPr>
                <w:b/>
                <w:sz w:val="22"/>
                <w:szCs w:val="22"/>
              </w:rPr>
            </w:pPr>
          </w:p>
        </w:tc>
        <w:tc>
          <w:tcPr>
            <w:tcW w:w="444" w:type="pct"/>
            <w:shd w:val="clear" w:color="auto" w:fill="auto"/>
          </w:tcPr>
          <w:p w:rsidR="00C46CB7" w:rsidRPr="00DD04E7" w:rsidRDefault="00C46CB7" w:rsidP="0089457F">
            <w:pPr>
              <w:jc w:val="center"/>
              <w:rPr>
                <w:sz w:val="24"/>
                <w:szCs w:val="24"/>
              </w:rPr>
            </w:pPr>
          </w:p>
        </w:tc>
        <w:tc>
          <w:tcPr>
            <w:tcW w:w="493"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445"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443"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718" w:type="pct"/>
            <w:shd w:val="clear" w:color="auto" w:fill="auto"/>
          </w:tcPr>
          <w:p w:rsidR="00C46CB7" w:rsidRPr="00DD04E7" w:rsidRDefault="00C46CB7" w:rsidP="0089457F">
            <w:pPr>
              <w:jc w:val="center"/>
              <w:rPr>
                <w:sz w:val="24"/>
                <w:szCs w:val="24"/>
              </w:rPr>
            </w:pPr>
          </w:p>
        </w:tc>
      </w:tr>
      <w:tr w:rsidR="00B07512" w:rsidRPr="00DD04E7">
        <w:trPr>
          <w:jc w:val="center"/>
        </w:trPr>
        <w:tc>
          <w:tcPr>
            <w:tcW w:w="1124" w:type="pct"/>
            <w:shd w:val="clear" w:color="auto" w:fill="auto"/>
          </w:tcPr>
          <w:p w:rsidR="00C46CB7" w:rsidRPr="00DD04E7" w:rsidRDefault="00C46CB7" w:rsidP="0089457F">
            <w:pPr>
              <w:jc w:val="center"/>
              <w:rPr>
                <w:b/>
                <w:sz w:val="22"/>
                <w:szCs w:val="22"/>
              </w:rPr>
            </w:pPr>
            <w:r w:rsidRPr="00DD04E7">
              <w:rPr>
                <w:b/>
                <w:sz w:val="22"/>
                <w:szCs w:val="22"/>
              </w:rPr>
              <w:t xml:space="preserve">ERDF </w:t>
            </w:r>
            <w:r w:rsidR="00CD4E32" w:rsidRPr="00DD04E7">
              <w:rPr>
                <w:b/>
                <w:sz w:val="22"/>
                <w:szCs w:val="22"/>
              </w:rPr>
              <w:t>Celkem</w:t>
            </w:r>
          </w:p>
        </w:tc>
        <w:tc>
          <w:tcPr>
            <w:tcW w:w="444" w:type="pct"/>
            <w:shd w:val="clear" w:color="auto" w:fill="auto"/>
          </w:tcPr>
          <w:p w:rsidR="00C46CB7" w:rsidRPr="00DD04E7" w:rsidRDefault="00C46CB7" w:rsidP="0089457F">
            <w:pPr>
              <w:jc w:val="center"/>
              <w:rPr>
                <w:sz w:val="24"/>
                <w:szCs w:val="24"/>
              </w:rPr>
            </w:pPr>
          </w:p>
        </w:tc>
        <w:tc>
          <w:tcPr>
            <w:tcW w:w="493"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445"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443" w:type="pct"/>
            <w:shd w:val="clear" w:color="auto" w:fill="auto"/>
          </w:tcPr>
          <w:p w:rsidR="00C46CB7" w:rsidRPr="00DD04E7" w:rsidRDefault="00C46CB7" w:rsidP="0089457F">
            <w:pPr>
              <w:jc w:val="center"/>
              <w:rPr>
                <w:sz w:val="24"/>
                <w:szCs w:val="24"/>
              </w:rPr>
            </w:pPr>
          </w:p>
        </w:tc>
        <w:tc>
          <w:tcPr>
            <w:tcW w:w="444" w:type="pct"/>
            <w:shd w:val="clear" w:color="auto" w:fill="auto"/>
          </w:tcPr>
          <w:p w:rsidR="00C46CB7" w:rsidRPr="00DD04E7" w:rsidRDefault="00C46CB7" w:rsidP="0089457F">
            <w:pPr>
              <w:jc w:val="center"/>
              <w:rPr>
                <w:sz w:val="24"/>
                <w:szCs w:val="24"/>
              </w:rPr>
            </w:pPr>
          </w:p>
        </w:tc>
        <w:tc>
          <w:tcPr>
            <w:tcW w:w="718" w:type="pct"/>
            <w:shd w:val="clear" w:color="auto" w:fill="auto"/>
          </w:tcPr>
          <w:p w:rsidR="00C46CB7" w:rsidRPr="00DD04E7" w:rsidRDefault="00C46CB7" w:rsidP="0089457F">
            <w:pPr>
              <w:jc w:val="center"/>
              <w:rPr>
                <w:sz w:val="24"/>
                <w:szCs w:val="24"/>
              </w:rPr>
            </w:pPr>
          </w:p>
        </w:tc>
      </w:tr>
    </w:tbl>
    <w:p w:rsidR="00D97F09" w:rsidRPr="00DD04E7" w:rsidRDefault="00D97F09" w:rsidP="0089457F">
      <w:pPr>
        <w:jc w:val="center"/>
        <w:rPr>
          <w:sz w:val="24"/>
          <w:szCs w:val="24"/>
        </w:rPr>
      </w:pPr>
    </w:p>
    <w:p w:rsidR="00C46CB7" w:rsidRPr="00DD04E7" w:rsidRDefault="00C46CB7" w:rsidP="00987B30">
      <w:pPr>
        <w:pStyle w:val="Nadpis3"/>
      </w:pPr>
      <w:bookmarkStart w:id="121" w:name="_Toc351464422"/>
      <w:bookmarkStart w:id="122" w:name="_Toc352328392"/>
      <w:r w:rsidRPr="00DD04E7">
        <w:t>Finan</w:t>
      </w:r>
      <w:r w:rsidR="00EE7713" w:rsidRPr="00DD04E7">
        <w:t xml:space="preserve">ční plán </w:t>
      </w:r>
      <w:r w:rsidRPr="00DD04E7">
        <w:t>opera</w:t>
      </w:r>
      <w:r w:rsidR="00EE7713" w:rsidRPr="00DD04E7">
        <w:t xml:space="preserve">čního </w:t>
      </w:r>
      <w:r w:rsidRPr="00DD04E7">
        <w:t>program</w:t>
      </w:r>
      <w:r w:rsidR="00EE7713" w:rsidRPr="00DD04E7">
        <w:t>u stanovující pro celé programovací období a každou prioritní osu celkovou výši finanční podpory z fondů a národního spolufinancování, včetně míry spolufinancování (7.4.2.A)</w:t>
      </w:r>
      <w:bookmarkEnd w:id="121"/>
      <w:bookmarkEnd w:id="122"/>
    </w:p>
    <w:p w:rsidR="0037051E" w:rsidRPr="00DD04E7" w:rsidRDefault="0037051E" w:rsidP="0089457F">
      <w:pPr>
        <w:overflowPunct/>
        <w:ind w:left="1410" w:hanging="1410"/>
        <w:jc w:val="center"/>
        <w:textAlignment w:val="auto"/>
        <w:rPr>
          <w:b/>
          <w:bCs/>
          <w:color w:val="FF0000"/>
          <w:sz w:val="24"/>
          <w:szCs w:val="24"/>
        </w:rPr>
      </w:pPr>
    </w:p>
    <w:p w:rsidR="00C46CB7" w:rsidRPr="00AA5B29" w:rsidRDefault="00C46CB7" w:rsidP="00EE7713">
      <w:pPr>
        <w:overflowPunct/>
        <w:textAlignment w:val="auto"/>
        <w:rPr>
          <w:b/>
          <w:bCs/>
          <w:sz w:val="24"/>
          <w:szCs w:val="24"/>
        </w:rPr>
      </w:pPr>
      <w:r w:rsidRPr="00DD04E7">
        <w:rPr>
          <w:b/>
          <w:bCs/>
          <w:sz w:val="24"/>
          <w:szCs w:val="24"/>
        </w:rPr>
        <w:t>Tab</w:t>
      </w:r>
      <w:r w:rsidR="00434475" w:rsidRPr="00DD04E7">
        <w:rPr>
          <w:b/>
          <w:bCs/>
          <w:sz w:val="24"/>
          <w:szCs w:val="24"/>
        </w:rPr>
        <w:t xml:space="preserve">ulka </w:t>
      </w:r>
      <w:r w:rsidR="004B5801" w:rsidRPr="00DD04E7">
        <w:rPr>
          <w:b/>
          <w:bCs/>
          <w:sz w:val="24"/>
          <w:szCs w:val="24"/>
        </w:rPr>
        <w:t>xx</w:t>
      </w:r>
      <w:r w:rsidR="00434475" w:rsidRPr="00DD04E7">
        <w:rPr>
          <w:b/>
          <w:bCs/>
          <w:sz w:val="24"/>
          <w:szCs w:val="24"/>
        </w:rPr>
        <w:t xml:space="preserve">: </w:t>
      </w:r>
      <w:r w:rsidR="00BF6B8C" w:rsidRPr="00DD04E7">
        <w:rPr>
          <w:b/>
          <w:bCs/>
          <w:sz w:val="24"/>
          <w:szCs w:val="24"/>
        </w:rPr>
        <w:t>Finanční pl</w:t>
      </w:r>
      <w:r w:rsidR="00434475" w:rsidRPr="00DD04E7">
        <w:rPr>
          <w:b/>
          <w:bCs/>
          <w:sz w:val="24"/>
          <w:szCs w:val="24"/>
        </w:rPr>
        <w:t>á</w:t>
      </w:r>
      <w:r w:rsidR="00BF6B8C" w:rsidRPr="00DD04E7">
        <w:rPr>
          <w:b/>
          <w:bCs/>
          <w:sz w:val="24"/>
          <w:szCs w:val="24"/>
        </w:rPr>
        <w:t>n operačního programu znázorňující pro celé programovací období částku finanč</w:t>
      </w:r>
      <w:r w:rsidR="00434475" w:rsidRPr="00DD04E7">
        <w:rPr>
          <w:b/>
          <w:bCs/>
          <w:sz w:val="24"/>
          <w:szCs w:val="24"/>
        </w:rPr>
        <w:t>n</w:t>
      </w:r>
      <w:r w:rsidR="00BF6B8C" w:rsidRPr="00DD04E7">
        <w:rPr>
          <w:b/>
          <w:bCs/>
          <w:sz w:val="24"/>
          <w:szCs w:val="24"/>
        </w:rPr>
        <w:t>ích alokací pro operační program, národní financování a míru spolufinancování dle</w:t>
      </w:r>
      <w:r w:rsidR="00BF6B8C" w:rsidRPr="00AA5B29">
        <w:rPr>
          <w:b/>
          <w:bCs/>
          <w:sz w:val="24"/>
          <w:szCs w:val="24"/>
        </w:rPr>
        <w:t xml:space="preserve"> prior</w:t>
      </w:r>
      <w:r w:rsidR="00434475" w:rsidRPr="00AA5B29">
        <w:rPr>
          <w:b/>
          <w:bCs/>
          <w:sz w:val="24"/>
          <w:szCs w:val="24"/>
        </w:rPr>
        <w:t xml:space="preserve">itních </w:t>
      </w:r>
      <w:r w:rsidR="00BF6B8C" w:rsidRPr="00AA5B29">
        <w:rPr>
          <w:b/>
          <w:bCs/>
          <w:sz w:val="24"/>
          <w:szCs w:val="24"/>
        </w:rPr>
        <w:t>os (v EUR)</w:t>
      </w:r>
    </w:p>
    <w:p w:rsidR="00EE7713" w:rsidRPr="002D5206" w:rsidRDefault="00EE7713" w:rsidP="00821D0D">
      <w:pPr>
        <w:overflowPunct/>
        <w:spacing w:after="120"/>
        <w:textAlignment w:val="auto"/>
        <w:rPr>
          <w:bCs/>
          <w:color w:val="FF0000"/>
          <w:sz w:val="24"/>
          <w:szCs w:val="24"/>
        </w:rPr>
      </w:pPr>
      <w:r w:rsidRPr="002D5206">
        <w:rPr>
          <w:bCs/>
          <w:color w:val="FF0000"/>
          <w:sz w:val="24"/>
          <w:szCs w:val="24"/>
        </w:rPr>
        <w:t xml:space="preserve">(viz Table </w:t>
      </w:r>
      <w:smartTag w:uri="urn:schemas-microsoft-com:office:smarttags" w:element="metricconverter">
        <w:smartTagPr>
          <w:attr w:name="ProductID" w:val="18 a"/>
        </w:smartTagPr>
        <w:r w:rsidRPr="002D5206">
          <w:rPr>
            <w:bCs/>
            <w:color w:val="FF0000"/>
            <w:sz w:val="24"/>
            <w:szCs w:val="24"/>
          </w:rPr>
          <w:t>18 a</w:t>
        </w:r>
      </w:smartTag>
      <w:r w:rsidRPr="002D5206">
        <w:rPr>
          <w:bCs/>
          <w:color w:val="FF0000"/>
          <w:sz w:val="24"/>
          <w:szCs w:val="24"/>
        </w:rPr>
        <w:t xml:space="preserve"> Template)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519"/>
        <w:gridCol w:w="805"/>
        <w:gridCol w:w="1118"/>
        <w:gridCol w:w="837"/>
        <w:gridCol w:w="1301"/>
        <w:gridCol w:w="560"/>
        <w:gridCol w:w="837"/>
        <w:gridCol w:w="837"/>
        <w:gridCol w:w="1211"/>
        <w:gridCol w:w="701"/>
      </w:tblGrid>
      <w:tr w:rsidR="00B07512" w:rsidRPr="00AA5B29">
        <w:trPr>
          <w:jc w:val="center"/>
        </w:trPr>
        <w:tc>
          <w:tcPr>
            <w:tcW w:w="372" w:type="pct"/>
            <w:shd w:val="clear" w:color="auto" w:fill="auto"/>
          </w:tcPr>
          <w:p w:rsidR="00506650" w:rsidRPr="00AA5B29" w:rsidRDefault="00CD4E32" w:rsidP="0089457F">
            <w:pPr>
              <w:overflowPunct/>
              <w:jc w:val="center"/>
              <w:textAlignment w:val="auto"/>
              <w:rPr>
                <w:b/>
                <w:sz w:val="22"/>
                <w:szCs w:val="22"/>
              </w:rPr>
            </w:pPr>
            <w:r w:rsidRPr="00AA5B29">
              <w:rPr>
                <w:b/>
                <w:sz w:val="22"/>
                <w:szCs w:val="22"/>
              </w:rPr>
              <w:t>Prioritní osa</w:t>
            </w:r>
          </w:p>
        </w:tc>
        <w:tc>
          <w:tcPr>
            <w:tcW w:w="275" w:type="pct"/>
            <w:shd w:val="clear" w:color="auto" w:fill="auto"/>
          </w:tcPr>
          <w:p w:rsidR="00506650" w:rsidRPr="00AA5B29" w:rsidRDefault="00CD4E32" w:rsidP="0089457F">
            <w:pPr>
              <w:overflowPunct/>
              <w:jc w:val="center"/>
              <w:textAlignment w:val="auto"/>
              <w:rPr>
                <w:b/>
                <w:sz w:val="22"/>
                <w:szCs w:val="22"/>
              </w:rPr>
            </w:pPr>
            <w:r w:rsidRPr="00AA5B29">
              <w:rPr>
                <w:b/>
                <w:sz w:val="22"/>
                <w:szCs w:val="22"/>
              </w:rPr>
              <w:t>Fond</w:t>
            </w:r>
          </w:p>
        </w:tc>
        <w:tc>
          <w:tcPr>
            <w:tcW w:w="427" w:type="pct"/>
            <w:shd w:val="clear" w:color="auto" w:fill="auto"/>
          </w:tcPr>
          <w:p w:rsidR="00506650" w:rsidRPr="00AA5B29" w:rsidRDefault="00CD4E32" w:rsidP="0089457F">
            <w:pPr>
              <w:overflowPunct/>
              <w:jc w:val="center"/>
              <w:textAlignment w:val="auto"/>
              <w:rPr>
                <w:b/>
                <w:sz w:val="22"/>
                <w:szCs w:val="22"/>
              </w:rPr>
            </w:pPr>
            <w:r w:rsidRPr="00AA5B29">
              <w:rPr>
                <w:b/>
                <w:sz w:val="22"/>
                <w:szCs w:val="22"/>
              </w:rPr>
              <w:t>Kategorie regionu</w:t>
            </w:r>
          </w:p>
        </w:tc>
        <w:tc>
          <w:tcPr>
            <w:tcW w:w="593" w:type="pct"/>
            <w:shd w:val="clear" w:color="auto" w:fill="auto"/>
          </w:tcPr>
          <w:p w:rsidR="00506650" w:rsidRPr="00AA5B29" w:rsidRDefault="00CD4E32" w:rsidP="0089457F">
            <w:pPr>
              <w:overflowPunct/>
              <w:jc w:val="center"/>
              <w:textAlignment w:val="auto"/>
              <w:rPr>
                <w:b/>
                <w:sz w:val="22"/>
                <w:szCs w:val="22"/>
              </w:rPr>
            </w:pPr>
            <w:r w:rsidRPr="00AA5B29">
              <w:rPr>
                <w:b/>
                <w:sz w:val="22"/>
                <w:szCs w:val="22"/>
              </w:rPr>
              <w:t>Základ pro výpočet příspěvku Unie (Celkové způsobilé výdaje nebo způsobilé veřejné výdaje)</w:t>
            </w:r>
          </w:p>
        </w:tc>
        <w:tc>
          <w:tcPr>
            <w:tcW w:w="444" w:type="pct"/>
            <w:shd w:val="clear" w:color="auto" w:fill="auto"/>
          </w:tcPr>
          <w:p w:rsidR="00506650" w:rsidRPr="00AA5B29" w:rsidRDefault="00BF6B8C" w:rsidP="0089457F">
            <w:pPr>
              <w:overflowPunct/>
              <w:jc w:val="center"/>
              <w:textAlignment w:val="auto"/>
              <w:rPr>
                <w:b/>
                <w:sz w:val="22"/>
                <w:szCs w:val="22"/>
              </w:rPr>
            </w:pPr>
            <w:r w:rsidRPr="00AA5B29">
              <w:rPr>
                <w:b/>
                <w:sz w:val="22"/>
                <w:szCs w:val="22"/>
              </w:rPr>
              <w:t>Příspěvek Unie</w:t>
            </w:r>
          </w:p>
        </w:tc>
        <w:tc>
          <w:tcPr>
            <w:tcW w:w="690" w:type="pct"/>
            <w:shd w:val="clear" w:color="auto" w:fill="auto"/>
          </w:tcPr>
          <w:p w:rsidR="00506650" w:rsidRPr="00AA5B29" w:rsidRDefault="00BF6B8C" w:rsidP="0089457F">
            <w:pPr>
              <w:overflowPunct/>
              <w:jc w:val="center"/>
              <w:textAlignment w:val="auto"/>
              <w:rPr>
                <w:b/>
                <w:sz w:val="22"/>
                <w:szCs w:val="22"/>
              </w:rPr>
            </w:pPr>
            <w:r w:rsidRPr="00AA5B29">
              <w:rPr>
                <w:b/>
                <w:sz w:val="22"/>
                <w:szCs w:val="22"/>
              </w:rPr>
              <w:t>Národní spolufinancování</w:t>
            </w:r>
          </w:p>
        </w:tc>
        <w:tc>
          <w:tcPr>
            <w:tcW w:w="741" w:type="pct"/>
            <w:gridSpan w:val="2"/>
            <w:shd w:val="clear" w:color="auto" w:fill="auto"/>
          </w:tcPr>
          <w:p w:rsidR="00506650" w:rsidRPr="00AA5B29" w:rsidRDefault="00BF6B8C" w:rsidP="0089457F">
            <w:pPr>
              <w:overflowPunct/>
              <w:jc w:val="center"/>
              <w:textAlignment w:val="auto"/>
              <w:rPr>
                <w:b/>
                <w:sz w:val="22"/>
                <w:szCs w:val="22"/>
              </w:rPr>
            </w:pPr>
            <w:r w:rsidRPr="00AA5B29">
              <w:rPr>
                <w:b/>
                <w:sz w:val="22"/>
                <w:szCs w:val="22"/>
              </w:rPr>
              <w:t>Orientační rozdělení národního spolufina</w:t>
            </w:r>
            <w:r w:rsidR="00434475" w:rsidRPr="00AA5B29">
              <w:rPr>
                <w:b/>
                <w:sz w:val="22"/>
                <w:szCs w:val="22"/>
              </w:rPr>
              <w:t>n</w:t>
            </w:r>
            <w:r w:rsidRPr="00AA5B29">
              <w:rPr>
                <w:b/>
                <w:sz w:val="22"/>
                <w:szCs w:val="22"/>
              </w:rPr>
              <w:t>cování</w:t>
            </w:r>
          </w:p>
        </w:tc>
        <w:tc>
          <w:tcPr>
            <w:tcW w:w="444" w:type="pct"/>
            <w:shd w:val="clear" w:color="auto" w:fill="auto"/>
          </w:tcPr>
          <w:p w:rsidR="00506650" w:rsidRPr="00AA5B29" w:rsidRDefault="00BF6B8C" w:rsidP="0089457F">
            <w:pPr>
              <w:overflowPunct/>
              <w:jc w:val="center"/>
              <w:textAlignment w:val="auto"/>
              <w:rPr>
                <w:b/>
                <w:sz w:val="22"/>
                <w:szCs w:val="22"/>
              </w:rPr>
            </w:pPr>
            <w:r w:rsidRPr="00AA5B29">
              <w:rPr>
                <w:b/>
                <w:sz w:val="22"/>
                <w:szCs w:val="22"/>
              </w:rPr>
              <w:t>Celkový příspěvek</w:t>
            </w:r>
          </w:p>
        </w:tc>
        <w:tc>
          <w:tcPr>
            <w:tcW w:w="642" w:type="pct"/>
            <w:shd w:val="clear" w:color="auto" w:fill="auto"/>
          </w:tcPr>
          <w:p w:rsidR="00506650" w:rsidRPr="00AA5B29" w:rsidRDefault="00BF6B8C" w:rsidP="0089457F">
            <w:pPr>
              <w:overflowPunct/>
              <w:jc w:val="center"/>
              <w:textAlignment w:val="auto"/>
              <w:rPr>
                <w:b/>
                <w:sz w:val="22"/>
                <w:szCs w:val="22"/>
              </w:rPr>
            </w:pPr>
            <w:r w:rsidRPr="00AA5B29">
              <w:rPr>
                <w:b/>
                <w:sz w:val="22"/>
                <w:szCs w:val="22"/>
              </w:rPr>
              <w:t>Míra spolufinancování</w:t>
            </w:r>
          </w:p>
        </w:tc>
        <w:tc>
          <w:tcPr>
            <w:tcW w:w="372" w:type="pct"/>
            <w:shd w:val="clear" w:color="auto" w:fill="auto"/>
          </w:tcPr>
          <w:p w:rsidR="00506650" w:rsidRPr="00AA5B29" w:rsidRDefault="00BF6B8C" w:rsidP="0089457F">
            <w:pPr>
              <w:overflowPunct/>
              <w:jc w:val="center"/>
              <w:textAlignment w:val="auto"/>
              <w:rPr>
                <w:b/>
                <w:sz w:val="22"/>
                <w:szCs w:val="22"/>
              </w:rPr>
            </w:pPr>
            <w:r w:rsidRPr="00AA5B29">
              <w:rPr>
                <w:b/>
                <w:sz w:val="22"/>
                <w:szCs w:val="22"/>
              </w:rPr>
              <w:t>Pro</w:t>
            </w:r>
            <w:r w:rsidR="003B6929" w:rsidRPr="00AA5B29">
              <w:rPr>
                <w:b/>
                <w:sz w:val="22"/>
                <w:szCs w:val="22"/>
              </w:rPr>
              <w:t xml:space="preserve"> info</w:t>
            </w:r>
          </w:p>
        </w:tc>
      </w:tr>
      <w:tr w:rsidR="00B07512" w:rsidRPr="00AA5B29">
        <w:trPr>
          <w:jc w:val="center"/>
        </w:trPr>
        <w:tc>
          <w:tcPr>
            <w:tcW w:w="372" w:type="pct"/>
            <w:shd w:val="clear" w:color="auto" w:fill="auto"/>
          </w:tcPr>
          <w:p w:rsidR="00BF6B8C" w:rsidRPr="00AA5B29" w:rsidRDefault="00BF6B8C" w:rsidP="0089457F">
            <w:pPr>
              <w:overflowPunct/>
              <w:jc w:val="center"/>
              <w:textAlignment w:val="auto"/>
              <w:rPr>
                <w:sz w:val="22"/>
                <w:szCs w:val="22"/>
                <w:lang w:val="en-GB"/>
              </w:rPr>
            </w:pPr>
          </w:p>
        </w:tc>
        <w:tc>
          <w:tcPr>
            <w:tcW w:w="275" w:type="pct"/>
            <w:shd w:val="clear" w:color="auto" w:fill="auto"/>
          </w:tcPr>
          <w:p w:rsidR="00BF6B8C" w:rsidRPr="00AA5B29" w:rsidRDefault="00BF6B8C" w:rsidP="0089457F">
            <w:pPr>
              <w:overflowPunct/>
              <w:jc w:val="center"/>
              <w:textAlignment w:val="auto"/>
              <w:rPr>
                <w:sz w:val="22"/>
                <w:szCs w:val="22"/>
                <w:lang w:val="en-GB"/>
              </w:rPr>
            </w:pPr>
          </w:p>
        </w:tc>
        <w:tc>
          <w:tcPr>
            <w:tcW w:w="427" w:type="pct"/>
            <w:shd w:val="clear" w:color="auto" w:fill="auto"/>
          </w:tcPr>
          <w:p w:rsidR="00BF6B8C" w:rsidRPr="00AA5B29" w:rsidRDefault="00BF6B8C" w:rsidP="0089457F">
            <w:pPr>
              <w:overflowPunct/>
              <w:jc w:val="center"/>
              <w:textAlignment w:val="auto"/>
              <w:rPr>
                <w:sz w:val="22"/>
                <w:szCs w:val="22"/>
                <w:lang w:val="en-GB"/>
              </w:rPr>
            </w:pPr>
          </w:p>
        </w:tc>
        <w:tc>
          <w:tcPr>
            <w:tcW w:w="593" w:type="pct"/>
            <w:shd w:val="clear" w:color="auto" w:fill="auto"/>
          </w:tcPr>
          <w:p w:rsidR="00BF6B8C" w:rsidRPr="00AA5B29" w:rsidRDefault="00BF6B8C" w:rsidP="0089457F">
            <w:pPr>
              <w:overflowPunct/>
              <w:jc w:val="center"/>
              <w:textAlignment w:val="auto"/>
              <w:rPr>
                <w:sz w:val="22"/>
                <w:szCs w:val="22"/>
                <w:lang w:val="en-GB"/>
              </w:rPr>
            </w:pPr>
          </w:p>
        </w:tc>
        <w:tc>
          <w:tcPr>
            <w:tcW w:w="444" w:type="pct"/>
            <w:shd w:val="clear" w:color="auto" w:fill="auto"/>
          </w:tcPr>
          <w:p w:rsidR="00BF6B8C" w:rsidRPr="00AA5B29" w:rsidRDefault="00BF6B8C" w:rsidP="0089457F">
            <w:pPr>
              <w:overflowPunct/>
              <w:jc w:val="center"/>
              <w:textAlignment w:val="auto"/>
              <w:rPr>
                <w:sz w:val="22"/>
                <w:szCs w:val="22"/>
                <w:lang w:val="en-GB"/>
              </w:rPr>
            </w:pPr>
            <w:r w:rsidRPr="00AA5B29">
              <w:rPr>
                <w:sz w:val="22"/>
                <w:szCs w:val="22"/>
                <w:lang w:val="en-GB"/>
              </w:rPr>
              <w:t>(a)</w:t>
            </w:r>
          </w:p>
        </w:tc>
        <w:tc>
          <w:tcPr>
            <w:tcW w:w="690" w:type="pct"/>
            <w:shd w:val="clear" w:color="auto" w:fill="auto"/>
          </w:tcPr>
          <w:p w:rsidR="00BF6B8C" w:rsidRPr="00AA5B29" w:rsidRDefault="00BF6B8C" w:rsidP="0089457F">
            <w:pPr>
              <w:overflowPunct/>
              <w:jc w:val="center"/>
              <w:textAlignment w:val="auto"/>
              <w:rPr>
                <w:sz w:val="22"/>
                <w:szCs w:val="22"/>
                <w:lang w:val="en-GB"/>
              </w:rPr>
            </w:pPr>
            <w:r w:rsidRPr="00AA5B29">
              <w:rPr>
                <w:sz w:val="22"/>
                <w:szCs w:val="22"/>
                <w:lang w:val="en-GB"/>
              </w:rPr>
              <w:t>(b)=(c)+(d)</w:t>
            </w:r>
          </w:p>
        </w:tc>
        <w:tc>
          <w:tcPr>
            <w:tcW w:w="741" w:type="pct"/>
            <w:gridSpan w:val="2"/>
            <w:shd w:val="clear" w:color="auto" w:fill="auto"/>
          </w:tcPr>
          <w:p w:rsidR="00BF6B8C" w:rsidRPr="00AA5B29" w:rsidRDefault="00BF6B8C" w:rsidP="0089457F">
            <w:pPr>
              <w:overflowPunct/>
              <w:jc w:val="center"/>
              <w:textAlignment w:val="auto"/>
              <w:rPr>
                <w:sz w:val="22"/>
                <w:szCs w:val="22"/>
                <w:lang w:val="en-GB"/>
              </w:rPr>
            </w:pPr>
          </w:p>
        </w:tc>
        <w:tc>
          <w:tcPr>
            <w:tcW w:w="444" w:type="pct"/>
            <w:shd w:val="clear" w:color="auto" w:fill="auto"/>
          </w:tcPr>
          <w:p w:rsidR="00BF6B8C" w:rsidRPr="00AA5B29" w:rsidRDefault="00BF6B8C" w:rsidP="0089457F">
            <w:pPr>
              <w:overflowPunct/>
              <w:jc w:val="center"/>
              <w:textAlignment w:val="auto"/>
              <w:rPr>
                <w:sz w:val="22"/>
                <w:szCs w:val="22"/>
                <w:lang w:val="en-GB"/>
              </w:rPr>
            </w:pPr>
            <w:r w:rsidRPr="00AA5B29">
              <w:rPr>
                <w:sz w:val="22"/>
                <w:szCs w:val="22"/>
                <w:lang w:val="en-GB"/>
              </w:rPr>
              <w:t>(e)=(a)+(b)</w:t>
            </w:r>
          </w:p>
        </w:tc>
        <w:tc>
          <w:tcPr>
            <w:tcW w:w="642" w:type="pct"/>
            <w:shd w:val="clear" w:color="auto" w:fill="auto"/>
          </w:tcPr>
          <w:p w:rsidR="00BF6B8C" w:rsidRPr="00AA5B29" w:rsidRDefault="00BF6B8C" w:rsidP="0089457F">
            <w:pPr>
              <w:overflowPunct/>
              <w:jc w:val="center"/>
              <w:textAlignment w:val="auto"/>
              <w:rPr>
                <w:sz w:val="22"/>
                <w:szCs w:val="22"/>
                <w:lang w:val="en-GB"/>
              </w:rPr>
            </w:pPr>
            <w:r w:rsidRPr="00AA5B29">
              <w:rPr>
                <w:sz w:val="22"/>
                <w:szCs w:val="22"/>
                <w:lang w:val="en-GB"/>
              </w:rPr>
              <w:t>(f)=(a)/(e)</w:t>
            </w:r>
          </w:p>
        </w:tc>
        <w:tc>
          <w:tcPr>
            <w:tcW w:w="372" w:type="pct"/>
            <w:shd w:val="clear" w:color="auto" w:fill="auto"/>
          </w:tcPr>
          <w:p w:rsidR="00BF6B8C" w:rsidRPr="00AA5B29" w:rsidRDefault="00BF6B8C" w:rsidP="0089457F">
            <w:pPr>
              <w:overflowPunct/>
              <w:jc w:val="center"/>
              <w:textAlignment w:val="auto"/>
              <w:rPr>
                <w:sz w:val="22"/>
                <w:szCs w:val="22"/>
                <w:lang w:val="en-GB"/>
              </w:rPr>
            </w:pPr>
          </w:p>
        </w:tc>
      </w:tr>
      <w:tr w:rsidR="00B07512" w:rsidRPr="00AA5B29">
        <w:trPr>
          <w:jc w:val="center"/>
        </w:trPr>
        <w:tc>
          <w:tcPr>
            <w:tcW w:w="372" w:type="pct"/>
            <w:shd w:val="clear" w:color="auto" w:fill="auto"/>
          </w:tcPr>
          <w:p w:rsidR="00506650" w:rsidRPr="00AA5B29" w:rsidRDefault="00506650" w:rsidP="0089457F">
            <w:pPr>
              <w:overflowPunct/>
              <w:jc w:val="center"/>
              <w:textAlignment w:val="auto"/>
              <w:rPr>
                <w:sz w:val="22"/>
                <w:szCs w:val="22"/>
                <w:lang w:val="en-GB"/>
              </w:rPr>
            </w:pPr>
          </w:p>
        </w:tc>
        <w:tc>
          <w:tcPr>
            <w:tcW w:w="275" w:type="pct"/>
            <w:shd w:val="clear" w:color="auto" w:fill="auto"/>
          </w:tcPr>
          <w:p w:rsidR="00506650" w:rsidRPr="00AA5B29" w:rsidRDefault="00506650" w:rsidP="0089457F">
            <w:pPr>
              <w:overflowPunct/>
              <w:jc w:val="center"/>
              <w:textAlignment w:val="auto"/>
              <w:rPr>
                <w:sz w:val="22"/>
                <w:szCs w:val="22"/>
                <w:lang w:val="en-GB"/>
              </w:rPr>
            </w:pPr>
          </w:p>
        </w:tc>
        <w:tc>
          <w:tcPr>
            <w:tcW w:w="427" w:type="pct"/>
            <w:shd w:val="clear" w:color="auto" w:fill="auto"/>
          </w:tcPr>
          <w:p w:rsidR="00506650" w:rsidRPr="00AA5B29" w:rsidRDefault="00506650" w:rsidP="0089457F">
            <w:pPr>
              <w:overflowPunct/>
              <w:jc w:val="center"/>
              <w:textAlignment w:val="auto"/>
              <w:rPr>
                <w:sz w:val="22"/>
                <w:szCs w:val="22"/>
                <w:lang w:val="en-GB"/>
              </w:rPr>
            </w:pPr>
          </w:p>
        </w:tc>
        <w:tc>
          <w:tcPr>
            <w:tcW w:w="593" w:type="pct"/>
            <w:shd w:val="clear" w:color="auto" w:fill="auto"/>
          </w:tcPr>
          <w:p w:rsidR="00506650" w:rsidRPr="00AA5B29" w:rsidRDefault="00506650" w:rsidP="0089457F">
            <w:pPr>
              <w:overflowPunct/>
              <w:jc w:val="center"/>
              <w:textAlignment w:val="auto"/>
              <w:rPr>
                <w:sz w:val="22"/>
                <w:szCs w:val="22"/>
                <w:lang w:val="en-GB"/>
              </w:rPr>
            </w:pPr>
          </w:p>
        </w:tc>
        <w:tc>
          <w:tcPr>
            <w:tcW w:w="444" w:type="pct"/>
            <w:shd w:val="clear" w:color="auto" w:fill="auto"/>
          </w:tcPr>
          <w:p w:rsidR="00506650" w:rsidRPr="00AA5B29" w:rsidRDefault="00506650" w:rsidP="0089457F">
            <w:pPr>
              <w:overflowPunct/>
              <w:jc w:val="center"/>
              <w:textAlignment w:val="auto"/>
              <w:rPr>
                <w:sz w:val="22"/>
                <w:szCs w:val="22"/>
                <w:lang w:val="en-GB"/>
              </w:rPr>
            </w:pPr>
          </w:p>
        </w:tc>
        <w:tc>
          <w:tcPr>
            <w:tcW w:w="690" w:type="pct"/>
            <w:shd w:val="clear" w:color="auto" w:fill="auto"/>
          </w:tcPr>
          <w:p w:rsidR="00506650" w:rsidRPr="00AA5B29" w:rsidRDefault="00506650" w:rsidP="0089457F">
            <w:pPr>
              <w:overflowPunct/>
              <w:jc w:val="center"/>
              <w:textAlignment w:val="auto"/>
              <w:rPr>
                <w:sz w:val="22"/>
                <w:szCs w:val="22"/>
                <w:lang w:val="en-GB"/>
              </w:rPr>
            </w:pPr>
          </w:p>
        </w:tc>
        <w:tc>
          <w:tcPr>
            <w:tcW w:w="297" w:type="pct"/>
            <w:shd w:val="clear" w:color="auto" w:fill="auto"/>
          </w:tcPr>
          <w:p w:rsidR="00BF6B8C" w:rsidRPr="00AA5B29" w:rsidRDefault="00BF6B8C" w:rsidP="0089457F">
            <w:pPr>
              <w:overflowPunct/>
              <w:jc w:val="center"/>
              <w:textAlignment w:val="auto"/>
              <w:rPr>
                <w:sz w:val="22"/>
                <w:szCs w:val="22"/>
                <w:lang w:val="en-GB"/>
              </w:rPr>
            </w:pPr>
            <w:r w:rsidRPr="00AA5B29">
              <w:rPr>
                <w:sz w:val="22"/>
                <w:szCs w:val="22"/>
                <w:lang w:val="en-GB"/>
              </w:rPr>
              <w:t>Národní veřejné zdroje</w:t>
            </w:r>
          </w:p>
          <w:p w:rsidR="00506650" w:rsidRPr="00AA5B29" w:rsidRDefault="00506650" w:rsidP="0089457F">
            <w:pPr>
              <w:overflowPunct/>
              <w:jc w:val="center"/>
              <w:textAlignment w:val="auto"/>
              <w:rPr>
                <w:sz w:val="22"/>
                <w:szCs w:val="22"/>
                <w:lang w:val="en-GB"/>
              </w:rPr>
            </w:pPr>
            <w:r w:rsidRPr="00AA5B29">
              <w:rPr>
                <w:sz w:val="22"/>
                <w:szCs w:val="22"/>
                <w:lang w:val="en-GB"/>
              </w:rPr>
              <w:t>(c)</w:t>
            </w:r>
          </w:p>
        </w:tc>
        <w:tc>
          <w:tcPr>
            <w:tcW w:w="444" w:type="pct"/>
            <w:shd w:val="clear" w:color="auto" w:fill="auto"/>
          </w:tcPr>
          <w:p w:rsidR="00EE7713" w:rsidRPr="00AA5B29" w:rsidRDefault="00BF6B8C" w:rsidP="0089457F">
            <w:pPr>
              <w:overflowPunct/>
              <w:jc w:val="center"/>
              <w:textAlignment w:val="auto"/>
              <w:rPr>
                <w:sz w:val="22"/>
                <w:szCs w:val="22"/>
                <w:lang w:val="en-GB"/>
              </w:rPr>
            </w:pPr>
            <w:r w:rsidRPr="00AA5B29">
              <w:rPr>
                <w:sz w:val="22"/>
                <w:szCs w:val="22"/>
                <w:lang w:val="en-GB"/>
              </w:rPr>
              <w:t xml:space="preserve">Národní soukromé zdroje </w:t>
            </w:r>
          </w:p>
          <w:p w:rsidR="00506650" w:rsidRPr="00AA5B29" w:rsidRDefault="00506650" w:rsidP="0089457F">
            <w:pPr>
              <w:overflowPunct/>
              <w:jc w:val="center"/>
              <w:textAlignment w:val="auto"/>
              <w:rPr>
                <w:sz w:val="22"/>
                <w:szCs w:val="22"/>
                <w:lang w:val="en-GB"/>
              </w:rPr>
            </w:pPr>
            <w:r w:rsidRPr="00AA5B29">
              <w:rPr>
                <w:sz w:val="22"/>
                <w:szCs w:val="22"/>
                <w:lang w:val="en-GB"/>
              </w:rPr>
              <w:t>(d)</w:t>
            </w:r>
          </w:p>
        </w:tc>
        <w:tc>
          <w:tcPr>
            <w:tcW w:w="444" w:type="pct"/>
            <w:shd w:val="clear" w:color="auto" w:fill="auto"/>
          </w:tcPr>
          <w:p w:rsidR="00506650" w:rsidRPr="00AA5B29" w:rsidRDefault="00506650" w:rsidP="0089457F">
            <w:pPr>
              <w:overflowPunct/>
              <w:jc w:val="center"/>
              <w:textAlignment w:val="auto"/>
              <w:rPr>
                <w:sz w:val="22"/>
                <w:szCs w:val="22"/>
                <w:lang w:val="en-GB"/>
              </w:rPr>
            </w:pPr>
          </w:p>
        </w:tc>
        <w:tc>
          <w:tcPr>
            <w:tcW w:w="642" w:type="pct"/>
            <w:shd w:val="clear" w:color="auto" w:fill="auto"/>
          </w:tcPr>
          <w:p w:rsidR="00506650" w:rsidRPr="00AA5B29" w:rsidRDefault="00506650" w:rsidP="0089457F">
            <w:pPr>
              <w:overflowPunct/>
              <w:jc w:val="center"/>
              <w:textAlignment w:val="auto"/>
              <w:rPr>
                <w:sz w:val="22"/>
                <w:szCs w:val="22"/>
                <w:lang w:val="en-GB"/>
              </w:rPr>
            </w:pPr>
          </w:p>
        </w:tc>
        <w:tc>
          <w:tcPr>
            <w:tcW w:w="372" w:type="pct"/>
            <w:shd w:val="clear" w:color="auto" w:fill="auto"/>
          </w:tcPr>
          <w:p w:rsidR="00506650" w:rsidRPr="00AA5B29" w:rsidRDefault="00BF6B8C" w:rsidP="0089457F">
            <w:pPr>
              <w:overflowPunct/>
              <w:jc w:val="center"/>
              <w:textAlignment w:val="auto"/>
              <w:rPr>
                <w:sz w:val="22"/>
                <w:szCs w:val="22"/>
                <w:lang w:val="en-GB"/>
              </w:rPr>
            </w:pPr>
            <w:r w:rsidRPr="00AA5B29">
              <w:rPr>
                <w:sz w:val="22"/>
                <w:szCs w:val="22"/>
                <w:lang w:val="en-GB"/>
              </w:rPr>
              <w:t>Příspěvky EIB</w:t>
            </w:r>
          </w:p>
        </w:tc>
      </w:tr>
      <w:tr w:rsidR="00B07512" w:rsidRPr="00AA5B29">
        <w:trPr>
          <w:jc w:val="center"/>
        </w:trPr>
        <w:tc>
          <w:tcPr>
            <w:tcW w:w="372" w:type="pct"/>
            <w:shd w:val="clear" w:color="auto" w:fill="auto"/>
          </w:tcPr>
          <w:p w:rsidR="00506650" w:rsidRPr="00AA5B29" w:rsidRDefault="00506650" w:rsidP="0089457F">
            <w:pPr>
              <w:overflowPunct/>
              <w:jc w:val="center"/>
              <w:textAlignment w:val="auto"/>
              <w:rPr>
                <w:sz w:val="22"/>
                <w:szCs w:val="22"/>
                <w:lang w:val="en-GB"/>
              </w:rPr>
            </w:pPr>
            <w:r w:rsidRPr="00AA5B29">
              <w:rPr>
                <w:sz w:val="22"/>
                <w:szCs w:val="22"/>
                <w:lang w:val="en-GB"/>
              </w:rPr>
              <w:t>Prior</w:t>
            </w:r>
            <w:r w:rsidRPr="00AA5B29">
              <w:rPr>
                <w:sz w:val="22"/>
                <w:szCs w:val="22"/>
                <w:lang w:val="en-GB"/>
              </w:rPr>
              <w:lastRenderedPageBreak/>
              <w:t>ity axis 1</w:t>
            </w:r>
          </w:p>
        </w:tc>
        <w:tc>
          <w:tcPr>
            <w:tcW w:w="275" w:type="pct"/>
            <w:shd w:val="clear" w:color="auto" w:fill="auto"/>
          </w:tcPr>
          <w:p w:rsidR="00506650" w:rsidRPr="00AA5B29" w:rsidRDefault="00506650" w:rsidP="0089457F">
            <w:pPr>
              <w:overflowPunct/>
              <w:jc w:val="center"/>
              <w:textAlignment w:val="auto"/>
              <w:rPr>
                <w:sz w:val="22"/>
                <w:szCs w:val="22"/>
                <w:lang w:val="en-GB"/>
              </w:rPr>
            </w:pPr>
            <w:r w:rsidRPr="00AA5B29">
              <w:rPr>
                <w:sz w:val="22"/>
                <w:szCs w:val="22"/>
                <w:lang w:val="en-GB"/>
              </w:rPr>
              <w:lastRenderedPageBreak/>
              <w:t>ER</w:t>
            </w:r>
            <w:r w:rsidRPr="00AA5B29">
              <w:rPr>
                <w:sz w:val="22"/>
                <w:szCs w:val="22"/>
                <w:lang w:val="en-GB"/>
              </w:rPr>
              <w:lastRenderedPageBreak/>
              <w:t>DF</w:t>
            </w:r>
          </w:p>
        </w:tc>
        <w:tc>
          <w:tcPr>
            <w:tcW w:w="427" w:type="pct"/>
            <w:shd w:val="clear" w:color="auto" w:fill="auto"/>
          </w:tcPr>
          <w:p w:rsidR="00506650" w:rsidRPr="00AA5B29" w:rsidRDefault="00506650" w:rsidP="0089457F">
            <w:pPr>
              <w:overflowPunct/>
              <w:jc w:val="center"/>
              <w:textAlignment w:val="auto"/>
              <w:rPr>
                <w:sz w:val="22"/>
                <w:szCs w:val="22"/>
                <w:lang w:val="en-GB"/>
              </w:rPr>
            </w:pPr>
          </w:p>
        </w:tc>
        <w:tc>
          <w:tcPr>
            <w:tcW w:w="593" w:type="pct"/>
            <w:shd w:val="clear" w:color="auto" w:fill="auto"/>
          </w:tcPr>
          <w:p w:rsidR="00506650" w:rsidRPr="00AA5B29" w:rsidRDefault="00506650" w:rsidP="0089457F">
            <w:pPr>
              <w:overflowPunct/>
              <w:jc w:val="center"/>
              <w:textAlignment w:val="auto"/>
              <w:rPr>
                <w:sz w:val="22"/>
                <w:szCs w:val="22"/>
                <w:lang w:val="en-GB"/>
              </w:rPr>
            </w:pPr>
          </w:p>
        </w:tc>
        <w:tc>
          <w:tcPr>
            <w:tcW w:w="444" w:type="pct"/>
            <w:shd w:val="clear" w:color="auto" w:fill="auto"/>
          </w:tcPr>
          <w:p w:rsidR="00506650" w:rsidRPr="00AA5B29" w:rsidRDefault="00506650" w:rsidP="0089457F">
            <w:pPr>
              <w:overflowPunct/>
              <w:jc w:val="center"/>
              <w:textAlignment w:val="auto"/>
              <w:rPr>
                <w:sz w:val="22"/>
                <w:szCs w:val="22"/>
                <w:lang w:val="en-GB"/>
              </w:rPr>
            </w:pPr>
          </w:p>
        </w:tc>
        <w:tc>
          <w:tcPr>
            <w:tcW w:w="690" w:type="pct"/>
            <w:shd w:val="clear" w:color="auto" w:fill="auto"/>
          </w:tcPr>
          <w:p w:rsidR="00506650" w:rsidRPr="00AA5B29" w:rsidRDefault="00506650" w:rsidP="0089457F">
            <w:pPr>
              <w:overflowPunct/>
              <w:jc w:val="center"/>
              <w:textAlignment w:val="auto"/>
              <w:rPr>
                <w:sz w:val="22"/>
                <w:szCs w:val="22"/>
                <w:lang w:val="en-GB"/>
              </w:rPr>
            </w:pPr>
          </w:p>
        </w:tc>
        <w:tc>
          <w:tcPr>
            <w:tcW w:w="297" w:type="pct"/>
            <w:shd w:val="clear" w:color="auto" w:fill="auto"/>
          </w:tcPr>
          <w:p w:rsidR="00506650" w:rsidRPr="00AA5B29" w:rsidRDefault="00506650" w:rsidP="0089457F">
            <w:pPr>
              <w:overflowPunct/>
              <w:jc w:val="center"/>
              <w:textAlignment w:val="auto"/>
              <w:rPr>
                <w:sz w:val="22"/>
                <w:szCs w:val="22"/>
                <w:lang w:val="en-GB"/>
              </w:rPr>
            </w:pPr>
          </w:p>
        </w:tc>
        <w:tc>
          <w:tcPr>
            <w:tcW w:w="444" w:type="pct"/>
            <w:shd w:val="clear" w:color="auto" w:fill="auto"/>
          </w:tcPr>
          <w:p w:rsidR="00506650" w:rsidRPr="00AA5B29" w:rsidRDefault="00506650" w:rsidP="0089457F">
            <w:pPr>
              <w:overflowPunct/>
              <w:jc w:val="center"/>
              <w:textAlignment w:val="auto"/>
              <w:rPr>
                <w:sz w:val="22"/>
                <w:szCs w:val="22"/>
                <w:lang w:val="en-GB"/>
              </w:rPr>
            </w:pPr>
          </w:p>
        </w:tc>
        <w:tc>
          <w:tcPr>
            <w:tcW w:w="444" w:type="pct"/>
            <w:shd w:val="clear" w:color="auto" w:fill="auto"/>
          </w:tcPr>
          <w:p w:rsidR="00506650" w:rsidRPr="00AA5B29" w:rsidRDefault="00506650" w:rsidP="0089457F">
            <w:pPr>
              <w:overflowPunct/>
              <w:jc w:val="center"/>
              <w:textAlignment w:val="auto"/>
              <w:rPr>
                <w:sz w:val="22"/>
                <w:szCs w:val="22"/>
                <w:lang w:val="en-GB"/>
              </w:rPr>
            </w:pPr>
          </w:p>
        </w:tc>
        <w:tc>
          <w:tcPr>
            <w:tcW w:w="642" w:type="pct"/>
            <w:shd w:val="clear" w:color="auto" w:fill="auto"/>
          </w:tcPr>
          <w:p w:rsidR="00506650" w:rsidRPr="00AA5B29" w:rsidRDefault="00506650" w:rsidP="0089457F">
            <w:pPr>
              <w:overflowPunct/>
              <w:jc w:val="center"/>
              <w:textAlignment w:val="auto"/>
              <w:rPr>
                <w:sz w:val="22"/>
                <w:szCs w:val="22"/>
                <w:lang w:val="en-GB"/>
              </w:rPr>
            </w:pPr>
          </w:p>
        </w:tc>
        <w:tc>
          <w:tcPr>
            <w:tcW w:w="372" w:type="pct"/>
            <w:shd w:val="clear" w:color="auto" w:fill="auto"/>
          </w:tcPr>
          <w:p w:rsidR="00506650" w:rsidRPr="00AA5B29" w:rsidRDefault="00506650" w:rsidP="0089457F">
            <w:pPr>
              <w:overflowPunct/>
              <w:jc w:val="center"/>
              <w:textAlignment w:val="auto"/>
              <w:rPr>
                <w:sz w:val="22"/>
                <w:szCs w:val="22"/>
                <w:lang w:val="en-GB"/>
              </w:rPr>
            </w:pPr>
          </w:p>
        </w:tc>
      </w:tr>
    </w:tbl>
    <w:p w:rsidR="0037051E" w:rsidRPr="00A815D1" w:rsidRDefault="0037051E" w:rsidP="0089457F">
      <w:pPr>
        <w:overflowPunct/>
        <w:jc w:val="center"/>
        <w:textAlignment w:val="auto"/>
        <w:rPr>
          <w:rFonts w:ascii="Calibri" w:hAnsi="Calibri" w:cs="Calibri"/>
          <w:color w:val="FF0000"/>
          <w:sz w:val="24"/>
          <w:szCs w:val="24"/>
          <w:lang w:val="en-GB"/>
        </w:rPr>
      </w:pPr>
    </w:p>
    <w:p w:rsidR="00154A8F" w:rsidRPr="00AA5B29" w:rsidRDefault="00EE7713" w:rsidP="00987B30">
      <w:pPr>
        <w:pStyle w:val="Nadpis3"/>
      </w:pPr>
      <w:bookmarkStart w:id="123" w:name="_Toc351464423"/>
      <w:bookmarkStart w:id="124" w:name="_Toc352328393"/>
      <w:r w:rsidRPr="00AA5B29">
        <w:t xml:space="preserve">Rozdělení finančního </w:t>
      </w:r>
      <w:r w:rsidR="006E4E18" w:rsidRPr="00AA5B29">
        <w:t>pl</w:t>
      </w:r>
      <w:r w:rsidRPr="00AA5B29">
        <w:t xml:space="preserve">ánu </w:t>
      </w:r>
      <w:r w:rsidR="006E4E18" w:rsidRPr="00AA5B29">
        <w:t>opera</w:t>
      </w:r>
      <w:r w:rsidRPr="00AA5B29">
        <w:t xml:space="preserve">čního </w:t>
      </w:r>
      <w:r w:rsidR="006E4E18" w:rsidRPr="00AA5B29">
        <w:t>program</w:t>
      </w:r>
      <w:r w:rsidRPr="00AA5B29">
        <w:t xml:space="preserve">u podle </w:t>
      </w:r>
      <w:r w:rsidR="006E4E18" w:rsidRPr="00AA5B29">
        <w:t>priorit</w:t>
      </w:r>
      <w:r w:rsidRPr="00AA5B29">
        <w:t xml:space="preserve">ních os, fondu a </w:t>
      </w:r>
      <w:r w:rsidR="006E4E18" w:rsidRPr="00AA5B29">
        <w:t>tematic</w:t>
      </w:r>
      <w:r w:rsidRPr="00AA5B29">
        <w:t>kých cílů (7.4.2.B)</w:t>
      </w:r>
      <w:bookmarkEnd w:id="123"/>
      <w:bookmarkEnd w:id="124"/>
      <w:r w:rsidRPr="00AA5B29">
        <w:t xml:space="preserve"> </w:t>
      </w:r>
    </w:p>
    <w:p w:rsidR="00DA2CA9" w:rsidRPr="00AA5B29" w:rsidRDefault="00DA2CA9" w:rsidP="0089457F">
      <w:pPr>
        <w:overflowPunct/>
        <w:ind w:left="1410" w:hanging="1410"/>
        <w:jc w:val="center"/>
        <w:textAlignment w:val="auto"/>
        <w:rPr>
          <w:b/>
          <w:bCs/>
          <w:color w:val="FF0000"/>
          <w:sz w:val="28"/>
          <w:szCs w:val="28"/>
          <w:lang w:val="en-US"/>
        </w:rPr>
      </w:pPr>
    </w:p>
    <w:p w:rsidR="00DA2CA9" w:rsidRPr="00AA5B29" w:rsidRDefault="00DA2CA9" w:rsidP="00AA5B29">
      <w:pPr>
        <w:overflowPunct/>
        <w:jc w:val="both"/>
        <w:textAlignment w:val="auto"/>
        <w:rPr>
          <w:b/>
          <w:sz w:val="24"/>
          <w:szCs w:val="24"/>
        </w:rPr>
      </w:pPr>
      <w:r w:rsidRPr="00DD04E7">
        <w:rPr>
          <w:b/>
          <w:sz w:val="24"/>
          <w:szCs w:val="24"/>
        </w:rPr>
        <w:t>Tab</w:t>
      </w:r>
      <w:r w:rsidR="00434475" w:rsidRPr="00DD04E7">
        <w:rPr>
          <w:b/>
          <w:sz w:val="24"/>
          <w:szCs w:val="24"/>
        </w:rPr>
        <w:t xml:space="preserve">ulka </w:t>
      </w:r>
      <w:r w:rsidR="004B5801" w:rsidRPr="00DD04E7">
        <w:rPr>
          <w:b/>
          <w:sz w:val="24"/>
          <w:szCs w:val="24"/>
        </w:rPr>
        <w:t>xx</w:t>
      </w:r>
      <w:r w:rsidR="00434475" w:rsidRPr="00DD04E7">
        <w:rPr>
          <w:b/>
          <w:sz w:val="24"/>
          <w:szCs w:val="24"/>
        </w:rPr>
        <w:t>:</w:t>
      </w:r>
      <w:r w:rsidR="00434475" w:rsidRPr="00DD04E7">
        <w:rPr>
          <w:b/>
          <w:color w:val="FF0000"/>
          <w:sz w:val="24"/>
          <w:szCs w:val="24"/>
        </w:rPr>
        <w:t xml:space="preserve"> </w:t>
      </w:r>
      <w:r w:rsidR="00BF6B8C" w:rsidRPr="00DD04E7">
        <w:rPr>
          <w:b/>
          <w:sz w:val="24"/>
          <w:szCs w:val="24"/>
        </w:rPr>
        <w:t>Rozdělení finanč</w:t>
      </w:r>
      <w:r w:rsidR="00BF6B8C" w:rsidRPr="00AA5B29">
        <w:rPr>
          <w:b/>
          <w:sz w:val="24"/>
          <w:szCs w:val="24"/>
        </w:rPr>
        <w:t>ního plánu operačního program dle priori</w:t>
      </w:r>
      <w:r w:rsidR="00434475" w:rsidRPr="00AA5B29">
        <w:rPr>
          <w:b/>
          <w:sz w:val="24"/>
          <w:szCs w:val="24"/>
        </w:rPr>
        <w:t>t</w:t>
      </w:r>
      <w:r w:rsidR="00BF6B8C" w:rsidRPr="00AA5B29">
        <w:rPr>
          <w:b/>
          <w:sz w:val="24"/>
          <w:szCs w:val="24"/>
        </w:rPr>
        <w:t>ních os a relevantních tematických cílů</w:t>
      </w:r>
    </w:p>
    <w:p w:rsidR="0071595D" w:rsidRPr="002D5206" w:rsidRDefault="0071595D" w:rsidP="00821D0D">
      <w:pPr>
        <w:overflowPunct/>
        <w:spacing w:after="120"/>
        <w:jc w:val="both"/>
        <w:textAlignment w:val="auto"/>
        <w:rPr>
          <w:color w:val="FF0000"/>
          <w:sz w:val="24"/>
          <w:szCs w:val="24"/>
        </w:rPr>
      </w:pPr>
      <w:r w:rsidRPr="002D5206">
        <w:rPr>
          <w:color w:val="FF0000"/>
          <w:sz w:val="24"/>
          <w:szCs w:val="24"/>
        </w:rPr>
        <w:t>(viz Table 18 b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715"/>
        <w:gridCol w:w="1145"/>
        <w:gridCol w:w="2293"/>
        <w:gridCol w:w="1177"/>
        <w:gridCol w:w="1818"/>
        <w:gridCol w:w="1133"/>
      </w:tblGrid>
      <w:tr w:rsidR="00DA2CA9" w:rsidRPr="00AA5B29">
        <w:trPr>
          <w:jc w:val="center"/>
        </w:trPr>
        <w:tc>
          <w:tcPr>
            <w:tcW w:w="676"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Prioritní osa</w:t>
            </w:r>
          </w:p>
        </w:tc>
        <w:tc>
          <w:tcPr>
            <w:tcW w:w="447"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Fond</w:t>
            </w:r>
          </w:p>
        </w:tc>
        <w:tc>
          <w:tcPr>
            <w:tcW w:w="543"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Kategorie regionu</w:t>
            </w:r>
          </w:p>
        </w:tc>
        <w:tc>
          <w:tcPr>
            <w:tcW w:w="1283"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Tematický cíl</w:t>
            </w:r>
          </w:p>
        </w:tc>
        <w:tc>
          <w:tcPr>
            <w:tcW w:w="691"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Podpora Unie</w:t>
            </w:r>
          </w:p>
        </w:tc>
        <w:tc>
          <w:tcPr>
            <w:tcW w:w="740"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Národní spolufinancování</w:t>
            </w:r>
          </w:p>
        </w:tc>
        <w:tc>
          <w:tcPr>
            <w:tcW w:w="619"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Celkový příspěvek</w:t>
            </w:r>
          </w:p>
        </w:tc>
      </w:tr>
      <w:tr w:rsidR="00DA2CA9" w:rsidRPr="00AA5B29">
        <w:trPr>
          <w:jc w:val="center"/>
        </w:trPr>
        <w:tc>
          <w:tcPr>
            <w:tcW w:w="676"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Prioritní osa 1</w:t>
            </w:r>
          </w:p>
        </w:tc>
        <w:tc>
          <w:tcPr>
            <w:tcW w:w="447" w:type="pct"/>
            <w:shd w:val="clear" w:color="auto" w:fill="auto"/>
          </w:tcPr>
          <w:p w:rsidR="00DA2CA9" w:rsidRPr="00AA5B29" w:rsidRDefault="00DA2CA9" w:rsidP="0089457F">
            <w:pPr>
              <w:overflowPunct/>
              <w:jc w:val="center"/>
              <w:textAlignment w:val="auto"/>
              <w:rPr>
                <w:sz w:val="22"/>
                <w:szCs w:val="22"/>
                <w:lang w:val="en-US"/>
              </w:rPr>
            </w:pPr>
          </w:p>
        </w:tc>
        <w:tc>
          <w:tcPr>
            <w:tcW w:w="543" w:type="pct"/>
            <w:shd w:val="clear" w:color="auto" w:fill="auto"/>
          </w:tcPr>
          <w:p w:rsidR="00DA2CA9" w:rsidRPr="00AA5B29" w:rsidRDefault="00DA2CA9" w:rsidP="0089457F">
            <w:pPr>
              <w:overflowPunct/>
              <w:jc w:val="center"/>
              <w:textAlignment w:val="auto"/>
              <w:rPr>
                <w:sz w:val="22"/>
                <w:szCs w:val="22"/>
                <w:lang w:val="en-US"/>
              </w:rPr>
            </w:pPr>
          </w:p>
        </w:tc>
        <w:tc>
          <w:tcPr>
            <w:tcW w:w="1283" w:type="pct"/>
            <w:shd w:val="clear" w:color="auto" w:fill="auto"/>
          </w:tcPr>
          <w:p w:rsidR="00DA2CA9" w:rsidRPr="00AA5B29" w:rsidRDefault="00DA2CA9" w:rsidP="0089457F">
            <w:pPr>
              <w:overflowPunct/>
              <w:jc w:val="center"/>
              <w:textAlignment w:val="auto"/>
              <w:rPr>
                <w:sz w:val="22"/>
                <w:szCs w:val="22"/>
                <w:lang w:val="en-US"/>
              </w:rPr>
            </w:pPr>
          </w:p>
        </w:tc>
        <w:tc>
          <w:tcPr>
            <w:tcW w:w="691" w:type="pct"/>
            <w:shd w:val="clear" w:color="auto" w:fill="auto"/>
          </w:tcPr>
          <w:p w:rsidR="00DA2CA9" w:rsidRPr="00AA5B29" w:rsidRDefault="00DA2CA9" w:rsidP="0089457F">
            <w:pPr>
              <w:overflowPunct/>
              <w:jc w:val="center"/>
              <w:textAlignment w:val="auto"/>
              <w:rPr>
                <w:sz w:val="22"/>
                <w:szCs w:val="22"/>
                <w:lang w:val="en-US"/>
              </w:rPr>
            </w:pPr>
          </w:p>
        </w:tc>
        <w:tc>
          <w:tcPr>
            <w:tcW w:w="740" w:type="pct"/>
            <w:shd w:val="clear" w:color="auto" w:fill="auto"/>
          </w:tcPr>
          <w:p w:rsidR="00DA2CA9" w:rsidRPr="00AA5B29" w:rsidRDefault="00DA2CA9" w:rsidP="0089457F">
            <w:pPr>
              <w:overflowPunct/>
              <w:jc w:val="center"/>
              <w:textAlignment w:val="auto"/>
              <w:rPr>
                <w:sz w:val="22"/>
                <w:szCs w:val="22"/>
                <w:lang w:val="en-US"/>
              </w:rPr>
            </w:pPr>
          </w:p>
        </w:tc>
        <w:tc>
          <w:tcPr>
            <w:tcW w:w="619" w:type="pct"/>
            <w:shd w:val="clear" w:color="auto" w:fill="auto"/>
          </w:tcPr>
          <w:p w:rsidR="00DA2CA9" w:rsidRPr="00AA5B29" w:rsidRDefault="00DA2CA9" w:rsidP="0089457F">
            <w:pPr>
              <w:overflowPunct/>
              <w:jc w:val="center"/>
              <w:textAlignment w:val="auto"/>
              <w:rPr>
                <w:sz w:val="22"/>
                <w:szCs w:val="22"/>
                <w:lang w:val="en-US"/>
              </w:rPr>
            </w:pPr>
          </w:p>
        </w:tc>
      </w:tr>
      <w:tr w:rsidR="00DA2CA9" w:rsidRPr="00AA5B29">
        <w:trPr>
          <w:jc w:val="center"/>
        </w:trPr>
        <w:tc>
          <w:tcPr>
            <w:tcW w:w="676" w:type="pct"/>
            <w:shd w:val="clear" w:color="auto" w:fill="auto"/>
          </w:tcPr>
          <w:p w:rsidR="00DA2CA9" w:rsidRPr="00AA5B29" w:rsidRDefault="00DA2CA9" w:rsidP="0089457F">
            <w:pPr>
              <w:overflowPunct/>
              <w:jc w:val="center"/>
              <w:textAlignment w:val="auto"/>
              <w:rPr>
                <w:b/>
                <w:sz w:val="22"/>
                <w:szCs w:val="22"/>
                <w:lang w:val="en-US"/>
              </w:rPr>
            </w:pPr>
          </w:p>
        </w:tc>
        <w:tc>
          <w:tcPr>
            <w:tcW w:w="447" w:type="pct"/>
            <w:shd w:val="clear" w:color="auto" w:fill="auto"/>
          </w:tcPr>
          <w:p w:rsidR="00DA2CA9" w:rsidRPr="00AA5B29" w:rsidRDefault="00DA2CA9" w:rsidP="0089457F">
            <w:pPr>
              <w:overflowPunct/>
              <w:jc w:val="center"/>
              <w:textAlignment w:val="auto"/>
              <w:rPr>
                <w:sz w:val="22"/>
                <w:szCs w:val="22"/>
                <w:lang w:val="en-US"/>
              </w:rPr>
            </w:pPr>
          </w:p>
        </w:tc>
        <w:tc>
          <w:tcPr>
            <w:tcW w:w="543" w:type="pct"/>
            <w:shd w:val="clear" w:color="auto" w:fill="auto"/>
          </w:tcPr>
          <w:p w:rsidR="00DA2CA9" w:rsidRPr="00AA5B29" w:rsidRDefault="00DA2CA9" w:rsidP="0089457F">
            <w:pPr>
              <w:overflowPunct/>
              <w:jc w:val="center"/>
              <w:textAlignment w:val="auto"/>
              <w:rPr>
                <w:sz w:val="22"/>
                <w:szCs w:val="22"/>
                <w:lang w:val="en-US"/>
              </w:rPr>
            </w:pPr>
          </w:p>
        </w:tc>
        <w:tc>
          <w:tcPr>
            <w:tcW w:w="1283" w:type="pct"/>
            <w:shd w:val="clear" w:color="auto" w:fill="auto"/>
          </w:tcPr>
          <w:p w:rsidR="00DA2CA9" w:rsidRPr="00AA5B29" w:rsidRDefault="00DA2CA9" w:rsidP="0089457F">
            <w:pPr>
              <w:overflowPunct/>
              <w:jc w:val="center"/>
              <w:textAlignment w:val="auto"/>
              <w:rPr>
                <w:sz w:val="22"/>
                <w:szCs w:val="22"/>
                <w:lang w:val="en-US"/>
              </w:rPr>
            </w:pPr>
          </w:p>
        </w:tc>
        <w:tc>
          <w:tcPr>
            <w:tcW w:w="691" w:type="pct"/>
            <w:shd w:val="clear" w:color="auto" w:fill="auto"/>
          </w:tcPr>
          <w:p w:rsidR="00DA2CA9" w:rsidRPr="00AA5B29" w:rsidRDefault="00DA2CA9" w:rsidP="0089457F">
            <w:pPr>
              <w:overflowPunct/>
              <w:jc w:val="center"/>
              <w:textAlignment w:val="auto"/>
              <w:rPr>
                <w:sz w:val="22"/>
                <w:szCs w:val="22"/>
                <w:lang w:val="en-US"/>
              </w:rPr>
            </w:pPr>
          </w:p>
        </w:tc>
        <w:tc>
          <w:tcPr>
            <w:tcW w:w="740" w:type="pct"/>
            <w:shd w:val="clear" w:color="auto" w:fill="auto"/>
          </w:tcPr>
          <w:p w:rsidR="00DA2CA9" w:rsidRPr="00AA5B29" w:rsidRDefault="00DA2CA9" w:rsidP="0089457F">
            <w:pPr>
              <w:overflowPunct/>
              <w:jc w:val="center"/>
              <w:textAlignment w:val="auto"/>
              <w:rPr>
                <w:sz w:val="22"/>
                <w:szCs w:val="22"/>
                <w:lang w:val="en-US"/>
              </w:rPr>
            </w:pPr>
          </w:p>
        </w:tc>
        <w:tc>
          <w:tcPr>
            <w:tcW w:w="619" w:type="pct"/>
            <w:shd w:val="clear" w:color="auto" w:fill="auto"/>
          </w:tcPr>
          <w:p w:rsidR="00DA2CA9" w:rsidRPr="00AA5B29" w:rsidRDefault="00DA2CA9" w:rsidP="0089457F">
            <w:pPr>
              <w:overflowPunct/>
              <w:jc w:val="center"/>
              <w:textAlignment w:val="auto"/>
              <w:rPr>
                <w:sz w:val="22"/>
                <w:szCs w:val="22"/>
                <w:lang w:val="en-US"/>
              </w:rPr>
            </w:pPr>
          </w:p>
        </w:tc>
      </w:tr>
      <w:tr w:rsidR="00DA2CA9" w:rsidRPr="00AA5B29">
        <w:trPr>
          <w:jc w:val="center"/>
        </w:trPr>
        <w:tc>
          <w:tcPr>
            <w:tcW w:w="676"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Prioritní osa 2</w:t>
            </w:r>
          </w:p>
        </w:tc>
        <w:tc>
          <w:tcPr>
            <w:tcW w:w="447" w:type="pct"/>
            <w:shd w:val="clear" w:color="auto" w:fill="auto"/>
          </w:tcPr>
          <w:p w:rsidR="00DA2CA9" w:rsidRPr="00AA5B29" w:rsidRDefault="00DA2CA9" w:rsidP="0089457F">
            <w:pPr>
              <w:overflowPunct/>
              <w:jc w:val="center"/>
              <w:textAlignment w:val="auto"/>
              <w:rPr>
                <w:sz w:val="22"/>
                <w:szCs w:val="22"/>
                <w:lang w:val="en-US"/>
              </w:rPr>
            </w:pPr>
          </w:p>
        </w:tc>
        <w:tc>
          <w:tcPr>
            <w:tcW w:w="543" w:type="pct"/>
            <w:shd w:val="clear" w:color="auto" w:fill="auto"/>
          </w:tcPr>
          <w:p w:rsidR="00DA2CA9" w:rsidRPr="00AA5B29" w:rsidRDefault="00DA2CA9" w:rsidP="0089457F">
            <w:pPr>
              <w:overflowPunct/>
              <w:jc w:val="center"/>
              <w:textAlignment w:val="auto"/>
              <w:rPr>
                <w:sz w:val="22"/>
                <w:szCs w:val="22"/>
                <w:lang w:val="en-US"/>
              </w:rPr>
            </w:pPr>
          </w:p>
        </w:tc>
        <w:tc>
          <w:tcPr>
            <w:tcW w:w="1283" w:type="pct"/>
            <w:shd w:val="clear" w:color="auto" w:fill="auto"/>
          </w:tcPr>
          <w:p w:rsidR="00DA2CA9" w:rsidRPr="00AA5B29" w:rsidRDefault="00DA2CA9" w:rsidP="0089457F">
            <w:pPr>
              <w:overflowPunct/>
              <w:jc w:val="center"/>
              <w:textAlignment w:val="auto"/>
              <w:rPr>
                <w:sz w:val="22"/>
                <w:szCs w:val="22"/>
                <w:lang w:val="en-US"/>
              </w:rPr>
            </w:pPr>
          </w:p>
        </w:tc>
        <w:tc>
          <w:tcPr>
            <w:tcW w:w="691" w:type="pct"/>
            <w:shd w:val="clear" w:color="auto" w:fill="auto"/>
          </w:tcPr>
          <w:p w:rsidR="00DA2CA9" w:rsidRPr="00AA5B29" w:rsidRDefault="00DA2CA9" w:rsidP="0089457F">
            <w:pPr>
              <w:overflowPunct/>
              <w:jc w:val="center"/>
              <w:textAlignment w:val="auto"/>
              <w:rPr>
                <w:sz w:val="22"/>
                <w:szCs w:val="22"/>
                <w:lang w:val="en-US"/>
              </w:rPr>
            </w:pPr>
          </w:p>
        </w:tc>
        <w:tc>
          <w:tcPr>
            <w:tcW w:w="740" w:type="pct"/>
            <w:shd w:val="clear" w:color="auto" w:fill="auto"/>
          </w:tcPr>
          <w:p w:rsidR="00DA2CA9" w:rsidRPr="00AA5B29" w:rsidRDefault="00DA2CA9" w:rsidP="0089457F">
            <w:pPr>
              <w:overflowPunct/>
              <w:jc w:val="center"/>
              <w:textAlignment w:val="auto"/>
              <w:rPr>
                <w:sz w:val="22"/>
                <w:szCs w:val="22"/>
                <w:lang w:val="en-US"/>
              </w:rPr>
            </w:pPr>
          </w:p>
        </w:tc>
        <w:tc>
          <w:tcPr>
            <w:tcW w:w="619" w:type="pct"/>
            <w:shd w:val="clear" w:color="auto" w:fill="auto"/>
          </w:tcPr>
          <w:p w:rsidR="00DA2CA9" w:rsidRPr="00AA5B29" w:rsidRDefault="00DA2CA9" w:rsidP="0089457F">
            <w:pPr>
              <w:overflowPunct/>
              <w:jc w:val="center"/>
              <w:textAlignment w:val="auto"/>
              <w:rPr>
                <w:sz w:val="22"/>
                <w:szCs w:val="22"/>
                <w:lang w:val="en-US"/>
              </w:rPr>
            </w:pPr>
          </w:p>
        </w:tc>
      </w:tr>
      <w:tr w:rsidR="00DA2CA9" w:rsidRPr="00AA5B29">
        <w:trPr>
          <w:jc w:val="center"/>
        </w:trPr>
        <w:tc>
          <w:tcPr>
            <w:tcW w:w="676" w:type="pct"/>
            <w:shd w:val="clear" w:color="auto" w:fill="auto"/>
          </w:tcPr>
          <w:p w:rsidR="00DA2CA9" w:rsidRPr="00AA5B29" w:rsidRDefault="00BF6B8C" w:rsidP="0089457F">
            <w:pPr>
              <w:overflowPunct/>
              <w:jc w:val="center"/>
              <w:textAlignment w:val="auto"/>
              <w:rPr>
                <w:b/>
                <w:sz w:val="22"/>
                <w:szCs w:val="22"/>
                <w:lang w:val="en-US"/>
              </w:rPr>
            </w:pPr>
            <w:r w:rsidRPr="00AA5B29">
              <w:rPr>
                <w:b/>
                <w:sz w:val="22"/>
                <w:szCs w:val="22"/>
                <w:lang w:val="en-US"/>
              </w:rPr>
              <w:t>Celkem:</w:t>
            </w:r>
          </w:p>
        </w:tc>
        <w:tc>
          <w:tcPr>
            <w:tcW w:w="447" w:type="pct"/>
            <w:shd w:val="clear" w:color="auto" w:fill="auto"/>
          </w:tcPr>
          <w:p w:rsidR="00DA2CA9" w:rsidRPr="00AA5B29" w:rsidRDefault="00DA2CA9" w:rsidP="0089457F">
            <w:pPr>
              <w:overflowPunct/>
              <w:jc w:val="center"/>
              <w:textAlignment w:val="auto"/>
              <w:rPr>
                <w:sz w:val="22"/>
                <w:szCs w:val="22"/>
                <w:lang w:val="en-US"/>
              </w:rPr>
            </w:pPr>
          </w:p>
        </w:tc>
        <w:tc>
          <w:tcPr>
            <w:tcW w:w="543" w:type="pct"/>
            <w:shd w:val="clear" w:color="auto" w:fill="auto"/>
          </w:tcPr>
          <w:p w:rsidR="00DA2CA9" w:rsidRPr="00AA5B29" w:rsidRDefault="00DA2CA9" w:rsidP="0089457F">
            <w:pPr>
              <w:overflowPunct/>
              <w:jc w:val="center"/>
              <w:textAlignment w:val="auto"/>
              <w:rPr>
                <w:sz w:val="22"/>
                <w:szCs w:val="22"/>
                <w:lang w:val="en-US"/>
              </w:rPr>
            </w:pPr>
          </w:p>
        </w:tc>
        <w:tc>
          <w:tcPr>
            <w:tcW w:w="1283" w:type="pct"/>
            <w:shd w:val="clear" w:color="auto" w:fill="auto"/>
          </w:tcPr>
          <w:p w:rsidR="00DA2CA9" w:rsidRPr="00AA5B29" w:rsidRDefault="00DA2CA9" w:rsidP="0089457F">
            <w:pPr>
              <w:overflowPunct/>
              <w:jc w:val="center"/>
              <w:textAlignment w:val="auto"/>
              <w:rPr>
                <w:sz w:val="22"/>
                <w:szCs w:val="22"/>
                <w:lang w:val="en-US"/>
              </w:rPr>
            </w:pPr>
          </w:p>
        </w:tc>
        <w:tc>
          <w:tcPr>
            <w:tcW w:w="691" w:type="pct"/>
            <w:shd w:val="clear" w:color="auto" w:fill="auto"/>
          </w:tcPr>
          <w:p w:rsidR="00DA2CA9" w:rsidRPr="00AA5B29" w:rsidRDefault="00DA2CA9" w:rsidP="0089457F">
            <w:pPr>
              <w:overflowPunct/>
              <w:jc w:val="center"/>
              <w:textAlignment w:val="auto"/>
              <w:rPr>
                <w:sz w:val="22"/>
                <w:szCs w:val="22"/>
                <w:lang w:val="en-US"/>
              </w:rPr>
            </w:pPr>
          </w:p>
        </w:tc>
        <w:tc>
          <w:tcPr>
            <w:tcW w:w="740" w:type="pct"/>
            <w:shd w:val="clear" w:color="auto" w:fill="auto"/>
          </w:tcPr>
          <w:p w:rsidR="00DA2CA9" w:rsidRPr="00AA5B29" w:rsidRDefault="00DA2CA9" w:rsidP="0089457F">
            <w:pPr>
              <w:overflowPunct/>
              <w:jc w:val="center"/>
              <w:textAlignment w:val="auto"/>
              <w:rPr>
                <w:sz w:val="22"/>
                <w:szCs w:val="22"/>
                <w:lang w:val="en-US"/>
              </w:rPr>
            </w:pPr>
          </w:p>
        </w:tc>
        <w:tc>
          <w:tcPr>
            <w:tcW w:w="619" w:type="pct"/>
            <w:shd w:val="clear" w:color="auto" w:fill="auto"/>
          </w:tcPr>
          <w:p w:rsidR="00DA2CA9" w:rsidRPr="00AA5B29" w:rsidRDefault="00DA2CA9" w:rsidP="0089457F">
            <w:pPr>
              <w:overflowPunct/>
              <w:jc w:val="center"/>
              <w:textAlignment w:val="auto"/>
              <w:rPr>
                <w:sz w:val="22"/>
                <w:szCs w:val="22"/>
                <w:lang w:val="en-US"/>
              </w:rPr>
            </w:pPr>
          </w:p>
        </w:tc>
      </w:tr>
    </w:tbl>
    <w:p w:rsidR="00DA2CA9" w:rsidRPr="0071595D" w:rsidRDefault="00DA2CA9" w:rsidP="0089457F">
      <w:pPr>
        <w:overflowPunct/>
        <w:jc w:val="center"/>
        <w:textAlignment w:val="auto"/>
        <w:rPr>
          <w:rFonts w:ascii="Calibri" w:hAnsi="Calibri" w:cs="Calibri"/>
          <w:color w:val="FF0000"/>
          <w:sz w:val="22"/>
          <w:szCs w:val="22"/>
          <w:lang w:val="en-US"/>
        </w:rPr>
      </w:pPr>
    </w:p>
    <w:p w:rsidR="00821D0D" w:rsidRDefault="0071595D" w:rsidP="00821D0D">
      <w:pPr>
        <w:rPr>
          <w:b/>
          <w:sz w:val="24"/>
          <w:szCs w:val="24"/>
        </w:rPr>
      </w:pPr>
      <w:r w:rsidRPr="00DD04E7">
        <w:rPr>
          <w:b/>
          <w:sz w:val="24"/>
          <w:szCs w:val="24"/>
        </w:rPr>
        <w:t xml:space="preserve">Tabulka </w:t>
      </w:r>
      <w:r w:rsidR="004B5801" w:rsidRPr="00DD04E7">
        <w:rPr>
          <w:b/>
          <w:sz w:val="24"/>
          <w:szCs w:val="24"/>
        </w:rPr>
        <w:t>xx</w:t>
      </w:r>
      <w:r w:rsidRPr="00DD04E7">
        <w:rPr>
          <w:b/>
          <w:sz w:val="24"/>
          <w:szCs w:val="24"/>
        </w:rPr>
        <w:t>:</w:t>
      </w:r>
      <w:r w:rsidRPr="00AA5B29">
        <w:rPr>
          <w:b/>
          <w:sz w:val="24"/>
          <w:szCs w:val="24"/>
        </w:rPr>
        <w:t xml:space="preserve"> Orientační částky podpory využité na opatření zaměřená na klimatické změny (čl. 24 odst. 5 návrhu obecného nařízení) </w:t>
      </w:r>
      <w:r w:rsidR="00DD04E7">
        <w:rPr>
          <w:b/>
          <w:sz w:val="24"/>
          <w:szCs w:val="24"/>
        </w:rPr>
        <w:t xml:space="preserve">     </w:t>
      </w:r>
      <w:r w:rsidR="00DD04E7" w:rsidRPr="00DD04E7">
        <w:rPr>
          <w:color w:val="FF0000"/>
          <w:sz w:val="24"/>
          <w:szCs w:val="24"/>
        </w:rPr>
        <w:t xml:space="preserve">Otázka, </w:t>
      </w:r>
      <w:r w:rsidR="00DD04E7">
        <w:rPr>
          <w:color w:val="FF0000"/>
          <w:sz w:val="24"/>
          <w:szCs w:val="24"/>
        </w:rPr>
        <w:t>do jaké míry bude</w:t>
      </w:r>
      <w:r w:rsidR="00DD04E7" w:rsidRPr="00DD04E7">
        <w:rPr>
          <w:color w:val="FF0000"/>
          <w:sz w:val="24"/>
          <w:szCs w:val="24"/>
        </w:rPr>
        <w:t xml:space="preserve"> relevantní k OP PIK?</w:t>
      </w:r>
    </w:p>
    <w:p w:rsidR="0071595D" w:rsidRPr="004B5801" w:rsidRDefault="0071595D" w:rsidP="00821D0D">
      <w:pPr>
        <w:spacing w:after="120"/>
        <w:rPr>
          <w:color w:val="FF0000"/>
          <w:sz w:val="24"/>
          <w:szCs w:val="24"/>
        </w:rPr>
      </w:pPr>
      <w:r w:rsidRPr="004B5801">
        <w:rPr>
          <w:color w:val="FF0000"/>
          <w:sz w:val="24"/>
          <w:szCs w:val="24"/>
        </w:rPr>
        <w:t>(v</w:t>
      </w:r>
      <w:r w:rsidRPr="00DD04E7">
        <w:rPr>
          <w:color w:val="FF0000"/>
          <w:sz w:val="24"/>
          <w:szCs w:val="24"/>
        </w:rPr>
        <w:t>iz Table 19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3043"/>
        <w:gridCol w:w="3293"/>
      </w:tblGrid>
      <w:tr w:rsidR="0071595D" w:rsidRPr="00AA5B29">
        <w:tc>
          <w:tcPr>
            <w:tcW w:w="4786" w:type="dxa"/>
            <w:shd w:val="clear" w:color="auto" w:fill="auto"/>
          </w:tcPr>
          <w:p w:rsidR="0071595D" w:rsidRPr="00AA5B29" w:rsidRDefault="0071595D" w:rsidP="001419C6">
            <w:pPr>
              <w:spacing w:after="120" w:line="288" w:lineRule="auto"/>
              <w:jc w:val="center"/>
              <w:rPr>
                <w:b/>
                <w:sz w:val="22"/>
                <w:szCs w:val="22"/>
              </w:rPr>
            </w:pPr>
            <w:r w:rsidRPr="00AA5B29">
              <w:rPr>
                <w:b/>
                <w:sz w:val="22"/>
                <w:szCs w:val="22"/>
              </w:rPr>
              <w:t>Prioritní osa</w:t>
            </w:r>
          </w:p>
        </w:tc>
        <w:tc>
          <w:tcPr>
            <w:tcW w:w="4536" w:type="dxa"/>
            <w:shd w:val="clear" w:color="auto" w:fill="auto"/>
          </w:tcPr>
          <w:p w:rsidR="0071595D" w:rsidRPr="00AA5B29" w:rsidRDefault="0071595D" w:rsidP="001419C6">
            <w:pPr>
              <w:spacing w:after="120" w:line="288" w:lineRule="auto"/>
              <w:jc w:val="center"/>
              <w:rPr>
                <w:b/>
                <w:sz w:val="22"/>
                <w:szCs w:val="22"/>
              </w:rPr>
            </w:pPr>
            <w:r w:rsidRPr="00AA5B29">
              <w:rPr>
                <w:b/>
                <w:sz w:val="22"/>
                <w:szCs w:val="22"/>
              </w:rPr>
              <w:t>Orientační částka podpory určená na opatření zaměřená na klimatické změny</w:t>
            </w:r>
          </w:p>
        </w:tc>
        <w:tc>
          <w:tcPr>
            <w:tcW w:w="4961" w:type="dxa"/>
            <w:shd w:val="clear" w:color="auto" w:fill="auto"/>
          </w:tcPr>
          <w:p w:rsidR="0071595D" w:rsidRPr="00AA5B29" w:rsidRDefault="0071595D" w:rsidP="001419C6">
            <w:pPr>
              <w:spacing w:after="120" w:line="288" w:lineRule="auto"/>
              <w:jc w:val="center"/>
              <w:rPr>
                <w:b/>
                <w:sz w:val="22"/>
                <w:szCs w:val="22"/>
              </w:rPr>
            </w:pPr>
            <w:r w:rsidRPr="00AA5B29">
              <w:rPr>
                <w:b/>
                <w:sz w:val="22"/>
                <w:szCs w:val="22"/>
              </w:rPr>
              <w:t>Podíl na celkové alokaci fondu v rámci operačního programu (v %)</w:t>
            </w:r>
          </w:p>
        </w:tc>
      </w:tr>
      <w:tr w:rsidR="0071595D" w:rsidRPr="00AA5B29">
        <w:tc>
          <w:tcPr>
            <w:tcW w:w="4786" w:type="dxa"/>
            <w:shd w:val="clear" w:color="auto" w:fill="auto"/>
          </w:tcPr>
          <w:p w:rsidR="0071595D" w:rsidRPr="00AA5B29" w:rsidRDefault="0071595D" w:rsidP="001419C6">
            <w:pPr>
              <w:spacing w:after="120" w:line="288" w:lineRule="auto"/>
              <w:jc w:val="center"/>
              <w:rPr>
                <w:sz w:val="22"/>
                <w:szCs w:val="22"/>
              </w:rPr>
            </w:pPr>
            <w:r w:rsidRPr="00AA5B29">
              <w:rPr>
                <w:sz w:val="22"/>
                <w:szCs w:val="22"/>
              </w:rPr>
              <w:t>1.</w:t>
            </w:r>
          </w:p>
        </w:tc>
        <w:tc>
          <w:tcPr>
            <w:tcW w:w="4536" w:type="dxa"/>
            <w:shd w:val="clear" w:color="auto" w:fill="auto"/>
          </w:tcPr>
          <w:p w:rsidR="0071595D" w:rsidRPr="00AA5B29" w:rsidRDefault="0071595D" w:rsidP="001419C6">
            <w:pPr>
              <w:spacing w:after="120" w:line="288" w:lineRule="auto"/>
              <w:jc w:val="center"/>
              <w:rPr>
                <w:sz w:val="22"/>
                <w:szCs w:val="22"/>
              </w:rPr>
            </w:pPr>
          </w:p>
        </w:tc>
        <w:tc>
          <w:tcPr>
            <w:tcW w:w="4961" w:type="dxa"/>
            <w:shd w:val="clear" w:color="auto" w:fill="auto"/>
          </w:tcPr>
          <w:p w:rsidR="0071595D" w:rsidRPr="00AA5B29" w:rsidRDefault="0071595D" w:rsidP="001419C6">
            <w:pPr>
              <w:spacing w:after="120" w:line="288" w:lineRule="auto"/>
              <w:jc w:val="center"/>
              <w:rPr>
                <w:sz w:val="22"/>
                <w:szCs w:val="22"/>
              </w:rPr>
            </w:pPr>
          </w:p>
        </w:tc>
      </w:tr>
      <w:tr w:rsidR="0071595D" w:rsidRPr="00AA5B29">
        <w:tc>
          <w:tcPr>
            <w:tcW w:w="4786" w:type="dxa"/>
            <w:shd w:val="clear" w:color="auto" w:fill="auto"/>
          </w:tcPr>
          <w:p w:rsidR="0071595D" w:rsidRPr="00AA5B29" w:rsidRDefault="0071595D" w:rsidP="001419C6">
            <w:pPr>
              <w:spacing w:after="120" w:line="288" w:lineRule="auto"/>
              <w:jc w:val="center"/>
              <w:rPr>
                <w:sz w:val="22"/>
                <w:szCs w:val="22"/>
              </w:rPr>
            </w:pPr>
            <w:r w:rsidRPr="00AA5B29">
              <w:rPr>
                <w:sz w:val="22"/>
                <w:szCs w:val="22"/>
              </w:rPr>
              <w:t>Celkem</w:t>
            </w:r>
          </w:p>
        </w:tc>
        <w:tc>
          <w:tcPr>
            <w:tcW w:w="4536" w:type="dxa"/>
            <w:shd w:val="clear" w:color="auto" w:fill="auto"/>
          </w:tcPr>
          <w:p w:rsidR="0071595D" w:rsidRPr="00AA5B29" w:rsidRDefault="0071595D" w:rsidP="001419C6">
            <w:pPr>
              <w:spacing w:after="120" w:line="288" w:lineRule="auto"/>
              <w:jc w:val="center"/>
              <w:rPr>
                <w:sz w:val="22"/>
                <w:szCs w:val="22"/>
              </w:rPr>
            </w:pPr>
          </w:p>
        </w:tc>
        <w:tc>
          <w:tcPr>
            <w:tcW w:w="4961" w:type="dxa"/>
            <w:shd w:val="clear" w:color="auto" w:fill="auto"/>
          </w:tcPr>
          <w:p w:rsidR="0071595D" w:rsidRPr="00AA5B29" w:rsidRDefault="0071595D" w:rsidP="001419C6">
            <w:pPr>
              <w:spacing w:after="120" w:line="288" w:lineRule="auto"/>
              <w:jc w:val="center"/>
              <w:rPr>
                <w:sz w:val="22"/>
                <w:szCs w:val="22"/>
              </w:rPr>
            </w:pPr>
          </w:p>
        </w:tc>
      </w:tr>
    </w:tbl>
    <w:p w:rsidR="0071595D" w:rsidRPr="00AA5B29" w:rsidRDefault="0071595D" w:rsidP="0071595D">
      <w:pPr>
        <w:spacing w:after="200" w:line="276" w:lineRule="auto"/>
      </w:pPr>
      <w:r w:rsidRPr="00AA5B29">
        <w:t>Zdroj: Ev</w:t>
      </w:r>
      <w:r w:rsidR="002D5206">
        <w:t xml:space="preserve">ropská </w:t>
      </w:r>
      <w:r w:rsidRPr="00AA5B29">
        <w:t>komise</w:t>
      </w:r>
    </w:p>
    <w:p w:rsidR="009E6172" w:rsidRPr="00987B30" w:rsidRDefault="009E6172" w:rsidP="00987B30">
      <w:pPr>
        <w:pStyle w:val="Nadpis1"/>
      </w:pPr>
      <w:bookmarkStart w:id="125" w:name="_Toc351464424"/>
      <w:bookmarkStart w:id="126" w:name="_Toc352328394"/>
      <w:r w:rsidRPr="00987B30">
        <w:lastRenderedPageBreak/>
        <w:t>Příspěvek k integrovanému přístupu pro územní rozvoj</w:t>
      </w:r>
      <w:bookmarkEnd w:id="125"/>
      <w:bookmarkEnd w:id="126"/>
    </w:p>
    <w:p w:rsidR="00B434A8" w:rsidRPr="00FE69DD" w:rsidRDefault="00B434A8" w:rsidP="00B434A8">
      <w:pPr>
        <w:overflowPunct/>
        <w:jc w:val="both"/>
        <w:textAlignment w:val="auto"/>
        <w:rPr>
          <w:rFonts w:ascii="Calibri" w:hAnsi="Calibri" w:cs="Calibri"/>
          <w:b/>
          <w:bCs/>
          <w:color w:val="FF0000"/>
          <w:sz w:val="24"/>
          <w:szCs w:val="24"/>
        </w:rPr>
      </w:pPr>
    </w:p>
    <w:p w:rsidR="0047425B" w:rsidRDefault="0047425B" w:rsidP="0047425B">
      <w:pPr>
        <w:overflowPunct/>
        <w:jc w:val="both"/>
        <w:textAlignment w:val="auto"/>
        <w:rPr>
          <w:rFonts w:ascii="Calibri" w:hAnsi="Calibri" w:cs="Calibri"/>
          <w:i/>
          <w:color w:val="FF0000"/>
          <w:sz w:val="24"/>
          <w:szCs w:val="24"/>
        </w:rPr>
      </w:pPr>
      <w:r w:rsidRPr="004B5801">
        <w:rPr>
          <w:rFonts w:ascii="Calibri" w:hAnsi="Calibri" w:cs="Calibri"/>
          <w:i/>
          <w:color w:val="FF0000"/>
          <w:sz w:val="24"/>
          <w:szCs w:val="24"/>
        </w:rPr>
        <w:t xml:space="preserve">…………………viz EK Draft template / verze leden 2013 (str. 25 – 29) a verze únor 2013 (str. 28 – 31) / </w:t>
      </w:r>
      <w:r w:rsidRPr="004B5801">
        <w:rPr>
          <w:rFonts w:ascii="Calibri" w:hAnsi="Calibri" w:cs="Calibri"/>
          <w:b/>
          <w:i/>
          <w:color w:val="FF0000"/>
          <w:sz w:val="24"/>
          <w:szCs w:val="24"/>
        </w:rPr>
        <w:t xml:space="preserve">sekce </w:t>
      </w:r>
      <w:smartTag w:uri="urn:schemas-microsoft-com:office:smarttags" w:element="metricconverter">
        <w:smartTagPr>
          <w:attr w:name="ProductID" w:val="5 a"/>
        </w:smartTagPr>
        <w:r w:rsidRPr="004B5801">
          <w:rPr>
            <w:rFonts w:ascii="Calibri" w:hAnsi="Calibri" w:cs="Calibri"/>
            <w:b/>
            <w:i/>
            <w:color w:val="FF0000"/>
            <w:sz w:val="24"/>
            <w:szCs w:val="24"/>
          </w:rPr>
          <w:t>5</w:t>
        </w:r>
        <w:r w:rsidRPr="004B5801">
          <w:rPr>
            <w:rFonts w:ascii="Calibri" w:hAnsi="Calibri" w:cs="Calibri"/>
            <w:i/>
            <w:color w:val="FF0000"/>
            <w:sz w:val="24"/>
            <w:szCs w:val="24"/>
          </w:rPr>
          <w:t xml:space="preserve"> a</w:t>
        </w:r>
      </w:smartTag>
      <w:r w:rsidRPr="004B5801">
        <w:rPr>
          <w:rFonts w:ascii="Calibri" w:hAnsi="Calibri" w:cs="Calibri"/>
          <w:i/>
          <w:color w:val="FF0000"/>
          <w:sz w:val="24"/>
          <w:szCs w:val="24"/>
        </w:rPr>
        <w:t xml:space="preserve"> Metodika, verze 1.0 únor 2013 / </w:t>
      </w:r>
      <w:r w:rsidRPr="004B5801">
        <w:rPr>
          <w:rFonts w:ascii="Calibri" w:hAnsi="Calibri" w:cs="Calibri"/>
          <w:b/>
          <w:i/>
          <w:color w:val="FF0000"/>
          <w:sz w:val="24"/>
          <w:szCs w:val="24"/>
        </w:rPr>
        <w:t xml:space="preserve">kap. 7.5 </w:t>
      </w:r>
      <w:r w:rsidRPr="004B5801">
        <w:rPr>
          <w:rFonts w:ascii="Calibri" w:hAnsi="Calibri" w:cs="Calibri"/>
          <w:i/>
          <w:color w:val="FF0000"/>
          <w:sz w:val="24"/>
          <w:szCs w:val="24"/>
        </w:rPr>
        <w:t>/ str. 99-102</w:t>
      </w:r>
    </w:p>
    <w:p w:rsidR="0047425B" w:rsidRDefault="0047425B" w:rsidP="0047425B">
      <w:pPr>
        <w:overflowPunct/>
        <w:jc w:val="both"/>
        <w:textAlignment w:val="auto"/>
        <w:rPr>
          <w:rFonts w:ascii="Calibri" w:hAnsi="Calibri" w:cs="Calibri"/>
          <w:color w:val="FF0000"/>
          <w:sz w:val="24"/>
          <w:szCs w:val="24"/>
        </w:rPr>
      </w:pPr>
    </w:p>
    <w:p w:rsidR="0047425B" w:rsidRPr="006914C6" w:rsidRDefault="0047425B" w:rsidP="0047425B">
      <w:pPr>
        <w:overflowPunct/>
        <w:jc w:val="both"/>
        <w:textAlignment w:val="auto"/>
        <w:rPr>
          <w:rFonts w:ascii="Calibri" w:hAnsi="Calibri" w:cs="Calibri"/>
          <w:color w:val="FF0000"/>
          <w:sz w:val="24"/>
          <w:szCs w:val="24"/>
        </w:rPr>
      </w:pPr>
      <w:r>
        <w:rPr>
          <w:rFonts w:ascii="Calibri" w:hAnsi="Calibri" w:cs="Calibri"/>
          <w:color w:val="FF0000"/>
          <w:sz w:val="24"/>
          <w:szCs w:val="24"/>
        </w:rPr>
        <w:t>Téma územní dimenze j</w:t>
      </w:r>
      <w:r w:rsidRPr="006914C6">
        <w:rPr>
          <w:rFonts w:ascii="Calibri" w:hAnsi="Calibri" w:cs="Calibri"/>
          <w:color w:val="FF0000"/>
          <w:sz w:val="24"/>
          <w:szCs w:val="24"/>
        </w:rPr>
        <w:t xml:space="preserve">e řešeno v kontextu Strategie regionálního rozvoje ČR 2014 – </w:t>
      </w:r>
      <w:smartTag w:uri="urn:schemas-microsoft-com:office:smarttags" w:element="metricconverter">
        <w:smartTagPr>
          <w:attr w:name="ProductID" w:val="2020 a"/>
        </w:smartTagPr>
        <w:r w:rsidRPr="006914C6">
          <w:rPr>
            <w:rFonts w:ascii="Calibri" w:hAnsi="Calibri" w:cs="Calibri"/>
            <w:color w:val="FF0000"/>
            <w:sz w:val="24"/>
            <w:szCs w:val="24"/>
          </w:rPr>
          <w:t>2020 a</w:t>
        </w:r>
      </w:smartTag>
      <w:r w:rsidRPr="006914C6">
        <w:rPr>
          <w:rFonts w:ascii="Calibri" w:hAnsi="Calibri" w:cs="Calibri"/>
          <w:color w:val="FF0000"/>
          <w:sz w:val="24"/>
          <w:szCs w:val="24"/>
        </w:rPr>
        <w:t xml:space="preserve"> za využití materiálu PS IPÚD „</w:t>
      </w:r>
      <w:r>
        <w:rPr>
          <w:rFonts w:ascii="Calibri" w:hAnsi="Calibri" w:cs="Calibri"/>
          <w:color w:val="FF0000"/>
          <w:sz w:val="24"/>
          <w:szCs w:val="24"/>
        </w:rPr>
        <w:t>Ú</w:t>
      </w:r>
      <w:r w:rsidRPr="006914C6">
        <w:rPr>
          <w:rFonts w:ascii="Calibri" w:hAnsi="Calibri" w:cs="Calibri"/>
          <w:color w:val="FF0000"/>
          <w:sz w:val="24"/>
          <w:szCs w:val="24"/>
        </w:rPr>
        <w:t>zemní a urbánní dimenze programového období 2014 – 2020</w:t>
      </w:r>
      <w:r>
        <w:rPr>
          <w:rFonts w:ascii="Calibri" w:hAnsi="Calibri" w:cs="Calibri"/>
          <w:color w:val="FF0000"/>
          <w:sz w:val="24"/>
          <w:szCs w:val="24"/>
        </w:rPr>
        <w:t xml:space="preserve">. Z hlediska přístupů k řešení územní dimenze v OP PIK jsou zatím zvažovány přístup územní a tematický. Možnost řešení integrovaných přístupů bude řešena v další fázi přípravy operačního programu. </w:t>
      </w:r>
    </w:p>
    <w:p w:rsidR="0047425B" w:rsidRPr="004B5801" w:rsidRDefault="0047425B" w:rsidP="0047425B">
      <w:pPr>
        <w:overflowPunct/>
        <w:jc w:val="both"/>
        <w:textAlignment w:val="auto"/>
        <w:rPr>
          <w:rFonts w:ascii="Calibri" w:hAnsi="Calibri" w:cs="Calibri"/>
          <w:sz w:val="24"/>
          <w:szCs w:val="24"/>
        </w:rPr>
      </w:pP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Lisabonská smlouva rozšířila záběr politiky hospodářské a sociální soudržnosti o územní rozměr (územní soudržnost). Tato s</w:t>
      </w:r>
      <w:r w:rsidRPr="00DD04E7">
        <w:rPr>
          <w:rFonts w:ascii="Calibri" w:hAnsi="Calibri" w:cs="Calibri"/>
          <w:sz w:val="24"/>
          <w:szCs w:val="24"/>
        </w:rPr>
        <w:t>kutečnost je obsažena v návrhu nařízení pro Evropské strukturální a investiční fondy, a to jak z</w:t>
      </w:r>
      <w:r w:rsidRPr="007A6C38">
        <w:rPr>
          <w:rFonts w:ascii="Calibri" w:hAnsi="Calibri" w:cs="Calibri"/>
          <w:sz w:val="24"/>
          <w:szCs w:val="24"/>
        </w:rPr>
        <w:t xml:space="preserve"> hlediska strategického zaměření programů na období 2014 – 2020, tak z hlediska jejich implementace. </w:t>
      </w: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Územní rozměr intervencí pro období kohezní politiky 2014 – 2020 vychází rovněž z priorit daných Územní agendou EU 2020. Ta vymezuje priority územního rozvoje EU v budoucím programovém období a dává doporučení pro realizaci integrovaného rozvoje území. Jejím cílem je rovněž nasměrování politiky soudržnosti jako průřezové rozvojové politiky EU.</w:t>
      </w:r>
    </w:p>
    <w:p w:rsidR="0047425B" w:rsidRPr="006D4DC9"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 xml:space="preserve">Územní dimenze v operačním programu představuje zohlednění typu území, kdy je specifická podpora vycházející z místních potřeb zaměřena na konkrétní území s cílem zajistit jejich udržitelnou konkurenceschopnost vhodnou mobilizací </w:t>
      </w:r>
      <w:r>
        <w:rPr>
          <w:rFonts w:ascii="Calibri" w:hAnsi="Calibri" w:cs="Calibri"/>
          <w:sz w:val="24"/>
          <w:szCs w:val="24"/>
        </w:rPr>
        <w:t xml:space="preserve">a podporou </w:t>
      </w:r>
      <w:r w:rsidRPr="007A6C38">
        <w:rPr>
          <w:rFonts w:ascii="Calibri" w:hAnsi="Calibri" w:cs="Calibri"/>
          <w:sz w:val="24"/>
          <w:szCs w:val="24"/>
        </w:rPr>
        <w:t>jeho potenciálu při využití vnějších zdrojů, které představují krom</w:t>
      </w:r>
      <w:r>
        <w:rPr>
          <w:rFonts w:ascii="Calibri" w:hAnsi="Calibri" w:cs="Calibri"/>
          <w:sz w:val="24"/>
          <w:szCs w:val="24"/>
        </w:rPr>
        <w:t>ě</w:t>
      </w:r>
      <w:r w:rsidRPr="007A6C38">
        <w:rPr>
          <w:rFonts w:ascii="Calibri" w:hAnsi="Calibri" w:cs="Calibri"/>
          <w:sz w:val="24"/>
          <w:szCs w:val="24"/>
        </w:rPr>
        <w:t xml:space="preserve"> jiného evropské fondy. Nejde tedy o plošné zaměření </w:t>
      </w:r>
      <w:r>
        <w:rPr>
          <w:rFonts w:ascii="Calibri" w:hAnsi="Calibri" w:cs="Calibri"/>
          <w:sz w:val="24"/>
          <w:szCs w:val="24"/>
        </w:rPr>
        <w:t xml:space="preserve">operačního </w:t>
      </w:r>
      <w:r w:rsidRPr="007A6C38">
        <w:rPr>
          <w:rFonts w:ascii="Calibri" w:hAnsi="Calibri" w:cs="Calibri"/>
          <w:sz w:val="24"/>
          <w:szCs w:val="24"/>
        </w:rPr>
        <w:t xml:space="preserve">programu, nýbrž o zohlednění specifických regionálních potřeb či regionálních rozdílů, při zapojení aktérů a jejich spolurozhodovacích pravomocí, míry subsidiarity nebo diferencovaně dle vymezených území. </w:t>
      </w:r>
      <w:r>
        <w:rPr>
          <w:rFonts w:ascii="Calibri" w:hAnsi="Calibri" w:cs="Calibri"/>
          <w:sz w:val="24"/>
          <w:szCs w:val="24"/>
        </w:rPr>
        <w:t>Řešení ú</w:t>
      </w:r>
      <w:r w:rsidRPr="006D4DC9">
        <w:rPr>
          <w:rFonts w:ascii="Calibri" w:hAnsi="Calibri" w:cs="Calibri"/>
          <w:sz w:val="24"/>
          <w:szCs w:val="24"/>
        </w:rPr>
        <w:t>zemní</w:t>
      </w:r>
      <w:r>
        <w:rPr>
          <w:rFonts w:ascii="Calibri" w:hAnsi="Calibri" w:cs="Calibri"/>
          <w:sz w:val="24"/>
          <w:szCs w:val="24"/>
        </w:rPr>
        <w:t>ho</w:t>
      </w:r>
      <w:r w:rsidRPr="006D4DC9">
        <w:rPr>
          <w:rFonts w:ascii="Calibri" w:hAnsi="Calibri" w:cs="Calibri"/>
          <w:sz w:val="24"/>
          <w:szCs w:val="24"/>
        </w:rPr>
        <w:t xml:space="preserve"> rozměr</w:t>
      </w:r>
      <w:r>
        <w:rPr>
          <w:rFonts w:ascii="Calibri" w:hAnsi="Calibri" w:cs="Calibri"/>
          <w:sz w:val="24"/>
          <w:szCs w:val="24"/>
        </w:rPr>
        <w:t>u</w:t>
      </w:r>
      <w:r w:rsidRPr="006D4DC9">
        <w:rPr>
          <w:rFonts w:ascii="Calibri" w:hAnsi="Calibri" w:cs="Calibri"/>
          <w:sz w:val="24"/>
          <w:szCs w:val="24"/>
        </w:rPr>
        <w:t xml:space="preserve"> intervencí </w:t>
      </w:r>
      <w:r>
        <w:rPr>
          <w:rFonts w:ascii="Calibri" w:hAnsi="Calibri" w:cs="Calibri"/>
          <w:sz w:val="24"/>
          <w:szCs w:val="24"/>
        </w:rPr>
        <w:t xml:space="preserve">spolufinancovaných z evropských </w:t>
      </w:r>
      <w:r w:rsidRPr="006D4DC9">
        <w:rPr>
          <w:rFonts w:ascii="Calibri" w:hAnsi="Calibri" w:cs="Calibri"/>
          <w:sz w:val="24"/>
          <w:szCs w:val="24"/>
        </w:rPr>
        <w:t xml:space="preserve">strukturálních a investičních fondů </w:t>
      </w:r>
      <w:r>
        <w:rPr>
          <w:rFonts w:ascii="Calibri" w:hAnsi="Calibri" w:cs="Calibri"/>
          <w:sz w:val="24"/>
          <w:szCs w:val="24"/>
        </w:rPr>
        <w:t xml:space="preserve">znamená vedle způsobu jeho zohlednění v programech rovněž zvolení </w:t>
      </w:r>
      <w:r w:rsidRPr="006D4DC9">
        <w:rPr>
          <w:rFonts w:ascii="Calibri" w:hAnsi="Calibri" w:cs="Calibri"/>
          <w:sz w:val="24"/>
          <w:szCs w:val="24"/>
        </w:rPr>
        <w:t>způsob</w:t>
      </w:r>
      <w:r>
        <w:rPr>
          <w:rFonts w:ascii="Calibri" w:hAnsi="Calibri" w:cs="Calibri"/>
          <w:sz w:val="24"/>
          <w:szCs w:val="24"/>
        </w:rPr>
        <w:t xml:space="preserve">u sledování a hodnocení </w:t>
      </w:r>
      <w:r w:rsidRPr="006D4DC9">
        <w:rPr>
          <w:rFonts w:ascii="Calibri" w:hAnsi="Calibri" w:cs="Calibri"/>
          <w:sz w:val="24"/>
          <w:szCs w:val="24"/>
        </w:rPr>
        <w:t xml:space="preserve">územní dimenze v průběhu </w:t>
      </w:r>
      <w:r>
        <w:rPr>
          <w:rFonts w:ascii="Calibri" w:hAnsi="Calibri" w:cs="Calibri"/>
          <w:sz w:val="24"/>
          <w:szCs w:val="24"/>
        </w:rPr>
        <w:t xml:space="preserve">vlastní </w:t>
      </w:r>
      <w:r w:rsidRPr="006D4DC9">
        <w:rPr>
          <w:rFonts w:ascii="Calibri" w:hAnsi="Calibri" w:cs="Calibri"/>
          <w:sz w:val="24"/>
          <w:szCs w:val="24"/>
        </w:rPr>
        <w:t>realizace programů</w:t>
      </w:r>
      <w:r>
        <w:rPr>
          <w:rFonts w:ascii="Calibri" w:hAnsi="Calibri" w:cs="Calibri"/>
          <w:sz w:val="24"/>
          <w:szCs w:val="24"/>
        </w:rPr>
        <w:t xml:space="preserve">. </w:t>
      </w: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 xml:space="preserve">Důležitým východiskem pro úvahy o zaměření územní dimenze evropských strukturálních a investičních fondů je </w:t>
      </w:r>
      <w:r w:rsidRPr="007A6C38">
        <w:rPr>
          <w:rFonts w:ascii="Calibri" w:hAnsi="Calibri" w:cs="Calibri"/>
          <w:b/>
          <w:sz w:val="24"/>
          <w:szCs w:val="24"/>
        </w:rPr>
        <w:t>Strategie regioná</w:t>
      </w:r>
      <w:r w:rsidRPr="00DD04E7">
        <w:rPr>
          <w:rFonts w:ascii="Calibri" w:hAnsi="Calibri" w:cs="Calibri"/>
          <w:b/>
          <w:sz w:val="24"/>
          <w:szCs w:val="24"/>
        </w:rPr>
        <w:t>lního rozvoje ČR 2014-2020</w:t>
      </w:r>
      <w:r w:rsidRPr="00DD04E7">
        <w:rPr>
          <w:rFonts w:ascii="Calibri" w:hAnsi="Calibri" w:cs="Calibri"/>
          <w:sz w:val="24"/>
          <w:szCs w:val="24"/>
        </w:rPr>
        <w:t xml:space="preserve"> (SRR, přijatá vládou ČR v ...... 2013), která definuje přístup k regionalizaci České republiky dle rozvojového potenciálu území, postup ke stanovení typů území a naznač</w:t>
      </w:r>
      <w:r w:rsidRPr="007A6C38">
        <w:rPr>
          <w:rFonts w:ascii="Calibri" w:hAnsi="Calibri" w:cs="Calibri"/>
          <w:sz w:val="24"/>
          <w:szCs w:val="24"/>
        </w:rPr>
        <w:t>uje obsah intervencí směřujících k rozvoji daného typu území.</w:t>
      </w: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 xml:space="preserve">SRR definuje ve vztahu k řešení územní dimenze v operačním programu následující tři přístupy: přístup </w:t>
      </w:r>
      <w:r w:rsidRPr="007A6C38">
        <w:rPr>
          <w:rFonts w:ascii="Calibri" w:hAnsi="Calibri" w:cs="Calibri"/>
          <w:b/>
          <w:sz w:val="24"/>
          <w:szCs w:val="24"/>
        </w:rPr>
        <w:t>územní</w:t>
      </w:r>
      <w:r w:rsidRPr="007A6C38">
        <w:rPr>
          <w:rFonts w:ascii="Calibri" w:hAnsi="Calibri" w:cs="Calibri"/>
          <w:sz w:val="24"/>
          <w:szCs w:val="24"/>
        </w:rPr>
        <w:t xml:space="preserve">, přístup </w:t>
      </w:r>
      <w:r w:rsidRPr="007A6C38">
        <w:rPr>
          <w:rFonts w:ascii="Calibri" w:hAnsi="Calibri" w:cs="Calibri"/>
          <w:b/>
          <w:sz w:val="24"/>
          <w:szCs w:val="24"/>
        </w:rPr>
        <w:t>tematický</w:t>
      </w:r>
      <w:r w:rsidRPr="007A6C38">
        <w:rPr>
          <w:rFonts w:ascii="Calibri" w:hAnsi="Calibri" w:cs="Calibri"/>
          <w:sz w:val="24"/>
          <w:szCs w:val="24"/>
        </w:rPr>
        <w:t xml:space="preserve"> a přístup </w:t>
      </w:r>
      <w:r w:rsidRPr="007A6C38">
        <w:rPr>
          <w:rFonts w:ascii="Calibri" w:hAnsi="Calibri" w:cs="Calibri"/>
          <w:b/>
          <w:sz w:val="24"/>
          <w:szCs w:val="24"/>
        </w:rPr>
        <w:t>integrovaný</w:t>
      </w:r>
      <w:r w:rsidRPr="007A6C38">
        <w:rPr>
          <w:rFonts w:ascii="Calibri" w:hAnsi="Calibri" w:cs="Calibri"/>
          <w:sz w:val="24"/>
          <w:szCs w:val="24"/>
        </w:rPr>
        <w:t xml:space="preserve">. </w:t>
      </w: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 xml:space="preserve">Základem pro členění území ČR do jednotlivých typů území s ohledem na jejich rozvojový potenciál je typologie území definovaná v SRR, která vymezuje následující základní typy charakterizované různými socio-ekonomickými ukazateli: </w:t>
      </w:r>
      <w:r w:rsidRPr="007A6C38">
        <w:rPr>
          <w:rFonts w:ascii="Calibri" w:hAnsi="Calibri" w:cs="Calibri"/>
          <w:b/>
          <w:sz w:val="24"/>
          <w:szCs w:val="24"/>
        </w:rPr>
        <w:t>rozvojová</w:t>
      </w:r>
      <w:r w:rsidRPr="007A6C38">
        <w:rPr>
          <w:rFonts w:ascii="Calibri" w:hAnsi="Calibri" w:cs="Calibri"/>
          <w:sz w:val="24"/>
          <w:szCs w:val="24"/>
        </w:rPr>
        <w:t xml:space="preserve"> území (metropolitní oblasti, sídelní aglomerace, regionální centra a jejich zázemí), </w:t>
      </w:r>
      <w:r w:rsidRPr="007A6C38">
        <w:rPr>
          <w:rFonts w:ascii="Calibri" w:hAnsi="Calibri" w:cs="Calibri"/>
          <w:b/>
          <w:sz w:val="24"/>
          <w:szCs w:val="24"/>
        </w:rPr>
        <w:t>stabilizovaná</w:t>
      </w:r>
      <w:r w:rsidRPr="007A6C38">
        <w:rPr>
          <w:rFonts w:ascii="Calibri" w:hAnsi="Calibri" w:cs="Calibri"/>
          <w:sz w:val="24"/>
          <w:szCs w:val="24"/>
        </w:rPr>
        <w:t xml:space="preserve"> území a </w:t>
      </w:r>
      <w:r w:rsidRPr="007A6C38">
        <w:rPr>
          <w:rFonts w:ascii="Calibri" w:hAnsi="Calibri" w:cs="Calibri"/>
          <w:b/>
          <w:sz w:val="24"/>
          <w:szCs w:val="24"/>
        </w:rPr>
        <w:t xml:space="preserve">periferní </w:t>
      </w:r>
      <w:r w:rsidRPr="007A6C38">
        <w:rPr>
          <w:rFonts w:ascii="Calibri" w:hAnsi="Calibri" w:cs="Calibri"/>
          <w:sz w:val="24"/>
          <w:szCs w:val="24"/>
        </w:rPr>
        <w:t xml:space="preserve">území. Pro uplatnění principu územní dimenze v operačním programu je tedy potřeba zvolit vhodné územní zacílení, společně s volbou relevantního tematického či integrovaného </w:t>
      </w:r>
      <w:r w:rsidRPr="007A6C38">
        <w:rPr>
          <w:rFonts w:ascii="Calibri" w:hAnsi="Calibri" w:cs="Calibri"/>
          <w:sz w:val="24"/>
          <w:szCs w:val="24"/>
        </w:rPr>
        <w:lastRenderedPageBreak/>
        <w:t>přístupu pro vybrané území a řešení jeho potřeb.</w:t>
      </w:r>
      <w:r>
        <w:rPr>
          <w:rFonts w:ascii="Calibri" w:hAnsi="Calibri" w:cs="Calibri"/>
          <w:sz w:val="24"/>
          <w:szCs w:val="24"/>
        </w:rPr>
        <w:t xml:space="preserve"> </w:t>
      </w:r>
      <w:r w:rsidRPr="0093222C">
        <w:rPr>
          <w:rFonts w:ascii="Calibri" w:hAnsi="Calibri" w:cs="Calibri"/>
          <w:sz w:val="24"/>
          <w:szCs w:val="24"/>
        </w:rPr>
        <w:t>Mohou být samozřejmě definovány prioritní osy / intervence s čistě plošným zaměřením, kde není územní řešení účelné.</w:t>
      </w:r>
      <w:r w:rsidRPr="007A6C38">
        <w:rPr>
          <w:rFonts w:ascii="Calibri" w:hAnsi="Calibri" w:cs="Calibri"/>
          <w:sz w:val="24"/>
          <w:szCs w:val="24"/>
        </w:rPr>
        <w:t xml:space="preserve"> </w:t>
      </w:r>
    </w:p>
    <w:p w:rsidR="0047425B" w:rsidRPr="007A6C38" w:rsidRDefault="0047425B" w:rsidP="0047425B">
      <w:pPr>
        <w:overflowPunct/>
        <w:spacing w:after="120"/>
        <w:jc w:val="both"/>
        <w:textAlignment w:val="auto"/>
        <w:rPr>
          <w:rFonts w:ascii="Calibri" w:hAnsi="Calibri" w:cs="Calibri"/>
          <w:sz w:val="24"/>
          <w:szCs w:val="24"/>
        </w:rPr>
      </w:pPr>
      <w:r w:rsidRPr="00E82D76">
        <w:rPr>
          <w:rFonts w:ascii="Calibri" w:hAnsi="Calibri" w:cs="Calibri"/>
          <w:b/>
          <w:sz w:val="24"/>
          <w:szCs w:val="24"/>
        </w:rPr>
        <w:t>Tematický přístup</w:t>
      </w:r>
      <w:r w:rsidRPr="007A6C38">
        <w:rPr>
          <w:rFonts w:ascii="Calibri" w:hAnsi="Calibri" w:cs="Calibri"/>
          <w:sz w:val="24"/>
          <w:szCs w:val="24"/>
        </w:rPr>
        <w:t xml:space="preserve"> definuje, jakým způsobem jsou jednotlivá témata (typy intervencí) v programu zacílena na konkrétní území. </w:t>
      </w:r>
      <w:r>
        <w:rPr>
          <w:rFonts w:ascii="Calibri" w:hAnsi="Calibri" w:cs="Calibri"/>
          <w:sz w:val="24"/>
          <w:szCs w:val="24"/>
        </w:rPr>
        <w:t>Vzhl</w:t>
      </w:r>
      <w:r w:rsidRPr="007A6C38">
        <w:rPr>
          <w:rFonts w:ascii="Calibri" w:hAnsi="Calibri" w:cs="Calibri"/>
          <w:sz w:val="24"/>
          <w:szCs w:val="24"/>
        </w:rPr>
        <w:t xml:space="preserve">edem k charakteru zaměření OP Podnikání a inovace pro konkurenceschopnost lze tematický přístup uplatnit v tomto operačním programu následovně: </w:t>
      </w: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1. Definováním konkrétní prioritní osy, investiční priority a popisu (obsahového zaměření) podporovaných intervencí (opatření), ve kterých bude aplikován územní přístup, tj. realizace intervencí (projektů) pouze ve vybraných typech území.</w:t>
      </w: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 xml:space="preserve">2. Definováním konkrétní prioritní osy, investiční priority a popisu (obsahového zaměření) podporovaných intervencí (opatření), ve kterých bude aplikován územní přístup částečně, tj. realizace intervencí (projektů) určitým dopředu stanoveným procentním podílem či odlišnou intenzitou podpory pro vybrané typy území na celkové alokaci pro příslušnou prioritní osu. </w:t>
      </w:r>
    </w:p>
    <w:p w:rsidR="0047425B" w:rsidRPr="007A6C38" w:rsidRDefault="0047425B" w:rsidP="0047425B">
      <w:pPr>
        <w:overflowPunct/>
        <w:spacing w:after="120"/>
        <w:jc w:val="both"/>
        <w:textAlignment w:val="auto"/>
        <w:rPr>
          <w:rFonts w:ascii="Calibri" w:hAnsi="Calibri" w:cs="Calibri"/>
          <w:sz w:val="24"/>
          <w:szCs w:val="24"/>
        </w:rPr>
      </w:pPr>
      <w:r w:rsidRPr="007A6C38">
        <w:rPr>
          <w:rFonts w:ascii="Calibri" w:hAnsi="Calibri" w:cs="Calibri"/>
          <w:sz w:val="24"/>
          <w:szCs w:val="24"/>
        </w:rPr>
        <w:t>3. Modifikací hodnotících či kvalitativních kritérií, např. formou specifikace územní dimenze jako jednoho z hodnotících kritérií pro výběr konkrétních projektů, případě stanovením kvalitativních kritérií pro výběr projektů, případně další specifikace požadavků pro podmínky a postavení např. regionálních aktérů.</w:t>
      </w:r>
    </w:p>
    <w:p w:rsidR="0047425B" w:rsidRPr="0093222C" w:rsidRDefault="0047425B" w:rsidP="0047425B">
      <w:pPr>
        <w:overflowPunct/>
        <w:jc w:val="both"/>
        <w:textAlignment w:val="auto"/>
        <w:rPr>
          <w:rFonts w:ascii="Calibri" w:hAnsi="Calibri" w:cs="Calibri"/>
          <w:sz w:val="24"/>
          <w:szCs w:val="24"/>
        </w:rPr>
      </w:pPr>
      <w:r w:rsidRPr="0093222C">
        <w:rPr>
          <w:rFonts w:ascii="Calibri" w:hAnsi="Calibri" w:cs="Calibri"/>
          <w:sz w:val="24"/>
          <w:szCs w:val="24"/>
        </w:rPr>
        <w:t xml:space="preserve">4. Zastoupením regionálních aktérů mezi hlavní cílové skupiny nebo mezi příjemce podpory, včetně jejich zastoupení v Monitorovacím výboru OP PIK. </w:t>
      </w:r>
    </w:p>
    <w:p w:rsidR="0047425B" w:rsidRPr="0093222C" w:rsidRDefault="0047425B" w:rsidP="0047425B">
      <w:pPr>
        <w:overflowPunct/>
        <w:jc w:val="both"/>
        <w:textAlignment w:val="auto"/>
        <w:rPr>
          <w:rFonts w:ascii="Calibri" w:hAnsi="Calibri" w:cs="Calibri"/>
          <w:sz w:val="24"/>
          <w:szCs w:val="24"/>
        </w:rPr>
      </w:pPr>
    </w:p>
    <w:p w:rsidR="0047425B" w:rsidRPr="0093222C" w:rsidRDefault="0047425B" w:rsidP="0047425B">
      <w:pPr>
        <w:overflowPunct/>
        <w:jc w:val="both"/>
        <w:textAlignment w:val="auto"/>
        <w:rPr>
          <w:rFonts w:ascii="Calibri" w:hAnsi="Calibri" w:cs="Calibri"/>
          <w:sz w:val="24"/>
          <w:szCs w:val="24"/>
        </w:rPr>
      </w:pPr>
      <w:r w:rsidRPr="0093222C">
        <w:rPr>
          <w:rFonts w:ascii="Calibri" w:hAnsi="Calibri" w:cs="Calibri"/>
          <w:sz w:val="24"/>
          <w:szCs w:val="24"/>
        </w:rPr>
        <w:t xml:space="preserve">OP PIK je členěn na čtyři prioritní osy: </w:t>
      </w:r>
    </w:p>
    <w:p w:rsidR="0047425B" w:rsidRPr="0093222C" w:rsidRDefault="0047425B" w:rsidP="0047425B">
      <w:pPr>
        <w:overflowPunct/>
        <w:jc w:val="both"/>
        <w:textAlignment w:val="auto"/>
        <w:rPr>
          <w:rFonts w:ascii="Calibri" w:hAnsi="Calibri" w:cs="Calibri"/>
          <w:sz w:val="24"/>
          <w:szCs w:val="24"/>
        </w:rPr>
      </w:pPr>
      <w:r w:rsidRPr="0093222C">
        <w:rPr>
          <w:rFonts w:ascii="Calibri" w:hAnsi="Calibri" w:cs="Calibri"/>
          <w:sz w:val="24"/>
          <w:szCs w:val="24"/>
        </w:rPr>
        <w:t>PO 1</w:t>
      </w:r>
      <w:r w:rsidRPr="0093222C">
        <w:rPr>
          <w:rFonts w:ascii="Calibri" w:hAnsi="Calibri" w:cs="Calibri"/>
          <w:sz w:val="24"/>
          <w:szCs w:val="24"/>
        </w:rPr>
        <w:tab/>
        <w:t>„Rozvoj podnikání založený na podpoře výzkumu, vývoje a inovací“</w:t>
      </w:r>
    </w:p>
    <w:p w:rsidR="0047425B" w:rsidRPr="0093222C" w:rsidRDefault="0047425B" w:rsidP="0047425B">
      <w:pPr>
        <w:overflowPunct/>
        <w:ind w:left="705" w:hanging="705"/>
        <w:jc w:val="both"/>
        <w:textAlignment w:val="auto"/>
        <w:rPr>
          <w:rFonts w:ascii="Calibri" w:hAnsi="Calibri" w:cs="Calibri"/>
          <w:sz w:val="24"/>
          <w:szCs w:val="24"/>
        </w:rPr>
      </w:pPr>
      <w:r w:rsidRPr="0093222C">
        <w:rPr>
          <w:rFonts w:ascii="Calibri" w:hAnsi="Calibri" w:cs="Calibri"/>
          <w:sz w:val="24"/>
          <w:szCs w:val="24"/>
        </w:rPr>
        <w:t>PO 2</w:t>
      </w:r>
      <w:r w:rsidRPr="0093222C">
        <w:rPr>
          <w:rFonts w:ascii="Calibri" w:hAnsi="Calibri" w:cs="Calibri"/>
          <w:sz w:val="24"/>
          <w:szCs w:val="24"/>
        </w:rPr>
        <w:tab/>
        <w:t>„Rozvoj infrastruktury a služeb podporujících podnikání ve znalostní ekonomice a internacionalizace podnikání“</w:t>
      </w:r>
    </w:p>
    <w:p w:rsidR="0047425B" w:rsidRPr="0093222C" w:rsidRDefault="0047425B" w:rsidP="0047425B">
      <w:pPr>
        <w:overflowPunct/>
        <w:jc w:val="both"/>
        <w:textAlignment w:val="auto"/>
        <w:rPr>
          <w:rFonts w:ascii="Calibri" w:hAnsi="Calibri" w:cs="Calibri"/>
          <w:sz w:val="24"/>
          <w:szCs w:val="24"/>
        </w:rPr>
      </w:pPr>
      <w:r w:rsidRPr="0093222C">
        <w:rPr>
          <w:rFonts w:ascii="Calibri" w:hAnsi="Calibri" w:cs="Calibri"/>
          <w:sz w:val="24"/>
          <w:szCs w:val="24"/>
        </w:rPr>
        <w:t xml:space="preserve">PO 3 </w:t>
      </w:r>
      <w:r w:rsidRPr="0093222C">
        <w:rPr>
          <w:rFonts w:ascii="Calibri" w:hAnsi="Calibri" w:cs="Calibri"/>
          <w:sz w:val="24"/>
          <w:szCs w:val="24"/>
        </w:rPr>
        <w:tab/>
        <w:t>„Udržitelné hospodaření s energií a rozvoj inovací v energetice“</w:t>
      </w:r>
    </w:p>
    <w:p w:rsidR="0047425B" w:rsidRPr="0093222C" w:rsidRDefault="0047425B" w:rsidP="0047425B">
      <w:pPr>
        <w:overflowPunct/>
        <w:jc w:val="both"/>
        <w:textAlignment w:val="auto"/>
        <w:rPr>
          <w:rFonts w:ascii="Calibri" w:hAnsi="Calibri" w:cs="Calibri"/>
          <w:sz w:val="24"/>
          <w:szCs w:val="24"/>
        </w:rPr>
      </w:pPr>
      <w:r w:rsidRPr="0093222C">
        <w:rPr>
          <w:rFonts w:ascii="Calibri" w:hAnsi="Calibri" w:cs="Calibri"/>
          <w:sz w:val="24"/>
          <w:szCs w:val="24"/>
        </w:rPr>
        <w:t xml:space="preserve">PO 4 </w:t>
      </w:r>
      <w:r w:rsidRPr="0093222C">
        <w:rPr>
          <w:rFonts w:ascii="Calibri" w:hAnsi="Calibri" w:cs="Calibri"/>
          <w:sz w:val="24"/>
          <w:szCs w:val="24"/>
        </w:rPr>
        <w:tab/>
        <w:t>„Rozvoj vysokorychlostních přístupových sítí k internetu a podpora moderních ICT“</w:t>
      </w:r>
    </w:p>
    <w:p w:rsidR="0047425B" w:rsidRPr="0093222C" w:rsidRDefault="0047425B" w:rsidP="0047425B">
      <w:pPr>
        <w:overflowPunct/>
        <w:jc w:val="both"/>
        <w:textAlignment w:val="auto"/>
        <w:rPr>
          <w:rFonts w:ascii="Calibri" w:hAnsi="Calibri" w:cs="Calibri"/>
          <w:sz w:val="24"/>
          <w:szCs w:val="24"/>
        </w:rPr>
      </w:pPr>
      <w:r w:rsidRPr="0093222C">
        <w:rPr>
          <w:rFonts w:ascii="Calibri" w:hAnsi="Calibri" w:cs="Calibri"/>
          <w:sz w:val="24"/>
          <w:szCs w:val="24"/>
        </w:rPr>
        <w:t xml:space="preserve">  </w:t>
      </w:r>
    </w:p>
    <w:p w:rsidR="0047425B" w:rsidRPr="00783AC5" w:rsidRDefault="0047425B" w:rsidP="0047425B">
      <w:pPr>
        <w:overflowPunct/>
        <w:jc w:val="both"/>
        <w:textAlignment w:val="auto"/>
        <w:rPr>
          <w:rFonts w:ascii="Calibri" w:hAnsi="Calibri" w:cs="Calibri"/>
          <w:sz w:val="24"/>
          <w:szCs w:val="24"/>
        </w:rPr>
      </w:pPr>
      <w:r w:rsidRPr="0093222C">
        <w:rPr>
          <w:rFonts w:ascii="Calibri" w:hAnsi="Calibri" w:cs="Calibri"/>
          <w:sz w:val="24"/>
          <w:szCs w:val="24"/>
        </w:rPr>
        <w:t>Z pohledu zaměření prioritních os OP PIK se jeví, že princip územní dimenze se v menší či větší míře uplatní ve všech těchto prioritních os</w:t>
      </w:r>
      <w:r w:rsidRPr="00783AC5">
        <w:rPr>
          <w:rFonts w:ascii="Calibri" w:hAnsi="Calibri" w:cs="Calibri"/>
          <w:sz w:val="24"/>
          <w:szCs w:val="24"/>
        </w:rPr>
        <w:t>ách. Otázkou je volba vhodného přístupu k řešení územní dimenze</w:t>
      </w:r>
      <w:r>
        <w:rPr>
          <w:rFonts w:ascii="Calibri" w:hAnsi="Calibri" w:cs="Calibri"/>
          <w:sz w:val="24"/>
          <w:szCs w:val="24"/>
        </w:rPr>
        <w:t xml:space="preserve">. Z přihlédnutím k typologii území dle SRR ČR 2014 – 2020 lze identifikovat u OP PIK silné vazby zejména na rozvojové oblasti a střední vazby na stabilizovaná a periferní území a státem podporované regiony.  </w:t>
      </w:r>
    </w:p>
    <w:p w:rsidR="0047425B" w:rsidRDefault="0047425B" w:rsidP="0047425B">
      <w:pPr>
        <w:overflowPunct/>
        <w:jc w:val="both"/>
        <w:textAlignment w:val="auto"/>
        <w:rPr>
          <w:rFonts w:ascii="Calibri" w:hAnsi="Calibri" w:cs="Calibri"/>
          <w:sz w:val="24"/>
          <w:szCs w:val="24"/>
        </w:rPr>
      </w:pPr>
    </w:p>
    <w:p w:rsidR="0047425B" w:rsidRPr="00ED2E6B" w:rsidRDefault="0047425B" w:rsidP="0047425B">
      <w:pPr>
        <w:overflowPunct/>
        <w:jc w:val="both"/>
        <w:textAlignment w:val="auto"/>
        <w:rPr>
          <w:rFonts w:ascii="Calibri" w:hAnsi="Calibri" w:cs="Calibri"/>
          <w:sz w:val="24"/>
          <w:szCs w:val="24"/>
        </w:rPr>
      </w:pPr>
      <w:r w:rsidRPr="003A4C02">
        <w:rPr>
          <w:rFonts w:ascii="Calibri" w:hAnsi="Calibri" w:cs="Calibri"/>
          <w:sz w:val="24"/>
          <w:szCs w:val="24"/>
          <w:u w:val="single"/>
        </w:rPr>
        <w:t>Prioritní osa 1:</w:t>
      </w:r>
      <w:r w:rsidRPr="003A4C02">
        <w:rPr>
          <w:rFonts w:ascii="Calibri" w:hAnsi="Calibri" w:cs="Calibri"/>
          <w:sz w:val="24"/>
          <w:szCs w:val="24"/>
        </w:rPr>
        <w:t xml:space="preserve"> U intervencí cílených na inovativní podnikatelský sektor, a to jak v tradičních, tak nově se rozvíjejících odvětvích v duchu inteligentní specializace, je potřeba zohlednit rozvojový potenciál regionů, předpokládá se tedy uplatnění územního principu</w:t>
      </w:r>
      <w:r>
        <w:rPr>
          <w:rFonts w:ascii="Calibri" w:hAnsi="Calibri" w:cs="Calibri"/>
          <w:sz w:val="24"/>
          <w:szCs w:val="24"/>
        </w:rPr>
        <w:t xml:space="preserve">, tj. </w:t>
      </w:r>
      <w:r w:rsidRPr="003A4C02">
        <w:rPr>
          <w:rFonts w:ascii="Calibri" w:hAnsi="Calibri" w:cs="Calibri"/>
          <w:sz w:val="24"/>
          <w:szCs w:val="24"/>
        </w:rPr>
        <w:t xml:space="preserve">intervence v rámci </w:t>
      </w:r>
      <w:r>
        <w:rPr>
          <w:rFonts w:ascii="Calibri" w:hAnsi="Calibri" w:cs="Calibri"/>
          <w:sz w:val="24"/>
          <w:szCs w:val="24"/>
        </w:rPr>
        <w:t>OP PIK vztahující se k </w:t>
      </w:r>
      <w:r w:rsidRPr="003A4C02">
        <w:rPr>
          <w:rFonts w:ascii="Calibri" w:hAnsi="Calibri" w:cs="Calibri"/>
          <w:sz w:val="24"/>
          <w:szCs w:val="24"/>
        </w:rPr>
        <w:t>tematické</w:t>
      </w:r>
      <w:r>
        <w:rPr>
          <w:rFonts w:ascii="Calibri" w:hAnsi="Calibri" w:cs="Calibri"/>
          <w:sz w:val="24"/>
          <w:szCs w:val="24"/>
        </w:rPr>
        <w:t xml:space="preserve">mu </w:t>
      </w:r>
      <w:r w:rsidRPr="003A4C02">
        <w:rPr>
          <w:rFonts w:ascii="Calibri" w:hAnsi="Calibri" w:cs="Calibri"/>
          <w:sz w:val="24"/>
          <w:szCs w:val="24"/>
        </w:rPr>
        <w:t>cíl</w:t>
      </w:r>
      <w:r>
        <w:rPr>
          <w:rFonts w:ascii="Calibri" w:hAnsi="Calibri" w:cs="Calibri"/>
          <w:sz w:val="24"/>
          <w:szCs w:val="24"/>
        </w:rPr>
        <w:t>i</w:t>
      </w:r>
      <w:r w:rsidRPr="003A4C02">
        <w:rPr>
          <w:rFonts w:ascii="Calibri" w:hAnsi="Calibri" w:cs="Calibri"/>
          <w:sz w:val="24"/>
          <w:szCs w:val="24"/>
        </w:rPr>
        <w:t xml:space="preserve"> </w:t>
      </w:r>
      <w:r>
        <w:rPr>
          <w:rFonts w:ascii="Calibri" w:hAnsi="Calibri" w:cs="Calibri"/>
          <w:sz w:val="24"/>
          <w:szCs w:val="24"/>
        </w:rPr>
        <w:t xml:space="preserve">1 </w:t>
      </w:r>
      <w:r w:rsidRPr="003A4C02">
        <w:rPr>
          <w:rFonts w:ascii="Calibri" w:hAnsi="Calibri" w:cs="Calibri"/>
          <w:sz w:val="24"/>
          <w:szCs w:val="24"/>
        </w:rPr>
        <w:t xml:space="preserve">„posílení výzkumu, technologického rozvoje a inovací“ </w:t>
      </w:r>
      <w:r>
        <w:rPr>
          <w:rFonts w:ascii="Calibri" w:hAnsi="Calibri" w:cs="Calibri"/>
          <w:sz w:val="24"/>
          <w:szCs w:val="24"/>
        </w:rPr>
        <w:t xml:space="preserve">směrovat </w:t>
      </w:r>
      <w:r w:rsidRPr="003A4C02">
        <w:rPr>
          <w:rFonts w:ascii="Calibri" w:hAnsi="Calibri" w:cs="Calibri"/>
          <w:sz w:val="24"/>
          <w:szCs w:val="24"/>
        </w:rPr>
        <w:t xml:space="preserve">zejména </w:t>
      </w:r>
      <w:r>
        <w:rPr>
          <w:rFonts w:ascii="Calibri" w:hAnsi="Calibri" w:cs="Calibri"/>
          <w:sz w:val="24"/>
          <w:szCs w:val="24"/>
        </w:rPr>
        <w:t xml:space="preserve">do </w:t>
      </w:r>
      <w:r w:rsidRPr="003A4C02">
        <w:rPr>
          <w:rFonts w:ascii="Calibri" w:hAnsi="Calibri" w:cs="Calibri"/>
          <w:sz w:val="24"/>
          <w:szCs w:val="24"/>
        </w:rPr>
        <w:t>rozvojových oblast</w:t>
      </w:r>
      <w:r>
        <w:rPr>
          <w:rFonts w:ascii="Calibri" w:hAnsi="Calibri" w:cs="Calibri"/>
          <w:sz w:val="24"/>
          <w:szCs w:val="24"/>
        </w:rPr>
        <w:t xml:space="preserve">í, do pólů růstu s dostatečnou kapacitou zdrojů. Územní dimenzi v této prioritní ose lze také zajistit regionálně odlišnou kombinací uznatelných nákladů a odlišnou mírou podpory (např. rozlišením inovací nových pro firmu v jiných než rozvojových oblastech a inovací nových pro trh v rozvojových oblastech). U </w:t>
      </w:r>
      <w:r w:rsidRPr="003A4C02">
        <w:rPr>
          <w:rFonts w:ascii="Calibri" w:hAnsi="Calibri" w:cs="Calibri"/>
          <w:sz w:val="24"/>
          <w:szCs w:val="24"/>
        </w:rPr>
        <w:t xml:space="preserve">intervencí ve směru posilování spolupráce sektoru VaVaI a podnikatelského sektoru se předpokládá uplatnění územního principu (území s předpoklady pozitivních dopadů </w:t>
      </w:r>
      <w:r w:rsidRPr="003A4C02">
        <w:rPr>
          <w:rFonts w:ascii="Calibri" w:hAnsi="Calibri" w:cs="Calibri"/>
          <w:sz w:val="24"/>
          <w:szCs w:val="24"/>
        </w:rPr>
        <w:lastRenderedPageBreak/>
        <w:t xml:space="preserve">takovýchto intervencí). Je potřeba vycházet z konceptu inteligentní specializace, který zdůrazňuje spolupráci subjektů VaVaI a podnikové sféry v regionech, a v těch odvětvích, </w:t>
      </w:r>
      <w:r w:rsidRPr="000D566A">
        <w:rPr>
          <w:rFonts w:ascii="Calibri" w:hAnsi="Calibri" w:cs="Calibri"/>
          <w:sz w:val="24"/>
          <w:szCs w:val="24"/>
        </w:rPr>
        <w:t xml:space="preserve">v rámci kterých region disponuje vhodnými předpoklady pro tvorbu a transfer inovací (využití a udržitelnost stávající inovační infrastruktury a podpora </w:t>
      </w:r>
      <w:r w:rsidRPr="00ED2E6B">
        <w:rPr>
          <w:rFonts w:ascii="Calibri" w:hAnsi="Calibri" w:cs="Calibri"/>
          <w:sz w:val="24"/>
          <w:szCs w:val="24"/>
        </w:rPr>
        <w:t>odvětvových inovačních klastrů)</w:t>
      </w:r>
      <w:r>
        <w:rPr>
          <w:rFonts w:ascii="Calibri" w:hAnsi="Calibri" w:cs="Calibri"/>
          <w:sz w:val="24"/>
          <w:szCs w:val="24"/>
        </w:rPr>
        <w:t xml:space="preserve">, v regionech s možnostmi propojení poptávky podnikatelů s nabídkou VaV institucí. </w:t>
      </w:r>
      <w:r w:rsidRPr="00ED2E6B">
        <w:rPr>
          <w:rFonts w:ascii="Calibri" w:hAnsi="Calibri" w:cs="Calibri"/>
          <w:sz w:val="24"/>
          <w:szCs w:val="24"/>
        </w:rPr>
        <w:t xml:space="preserve">   </w:t>
      </w:r>
    </w:p>
    <w:p w:rsidR="0047425B" w:rsidRPr="00ED2E6B" w:rsidRDefault="0047425B" w:rsidP="0047425B">
      <w:pPr>
        <w:overflowPunct/>
        <w:jc w:val="both"/>
        <w:textAlignment w:val="auto"/>
        <w:rPr>
          <w:rFonts w:ascii="Calibri" w:hAnsi="Calibri" w:cs="Calibri"/>
          <w:sz w:val="24"/>
          <w:szCs w:val="24"/>
        </w:rPr>
      </w:pPr>
    </w:p>
    <w:p w:rsidR="0047425B" w:rsidRPr="00ED2E6B" w:rsidRDefault="0047425B" w:rsidP="0047425B">
      <w:pPr>
        <w:overflowPunct/>
        <w:jc w:val="both"/>
        <w:textAlignment w:val="auto"/>
        <w:rPr>
          <w:rFonts w:ascii="Calibri" w:hAnsi="Calibri" w:cs="Calibri"/>
          <w:sz w:val="24"/>
          <w:szCs w:val="24"/>
        </w:rPr>
      </w:pPr>
      <w:r w:rsidRPr="00ED2E6B">
        <w:rPr>
          <w:rFonts w:ascii="Calibri" w:hAnsi="Calibri" w:cs="Calibri"/>
          <w:sz w:val="24"/>
          <w:szCs w:val="24"/>
          <w:u w:val="single"/>
        </w:rPr>
        <w:t>Prioritní osa 2:</w:t>
      </w:r>
      <w:r w:rsidRPr="00407FEA">
        <w:rPr>
          <w:rFonts w:ascii="Calibri" w:hAnsi="Calibri" w:cs="Calibri"/>
          <w:sz w:val="24"/>
          <w:szCs w:val="24"/>
        </w:rPr>
        <w:t xml:space="preserve"> </w:t>
      </w:r>
      <w:r w:rsidRPr="00ED2E6B">
        <w:rPr>
          <w:rFonts w:ascii="Calibri" w:hAnsi="Calibri" w:cs="Calibri"/>
          <w:sz w:val="24"/>
          <w:szCs w:val="24"/>
        </w:rPr>
        <w:t xml:space="preserve">U intervencí zaměřených na zvyšování podnikatelské aktivity </w:t>
      </w:r>
      <w:r>
        <w:rPr>
          <w:rFonts w:ascii="Calibri" w:hAnsi="Calibri" w:cs="Calibri"/>
          <w:sz w:val="24"/>
          <w:szCs w:val="24"/>
        </w:rPr>
        <w:t xml:space="preserve">a konkurenceschopnosti malých a středních podniků </w:t>
      </w:r>
      <w:r w:rsidRPr="00ED2E6B">
        <w:rPr>
          <w:rFonts w:ascii="Calibri" w:hAnsi="Calibri" w:cs="Calibri"/>
          <w:sz w:val="24"/>
          <w:szCs w:val="24"/>
        </w:rPr>
        <w:t>se předpokládá uplatnění územního principu</w:t>
      </w:r>
      <w:r>
        <w:rPr>
          <w:rFonts w:ascii="Calibri" w:hAnsi="Calibri" w:cs="Calibri"/>
          <w:sz w:val="24"/>
          <w:szCs w:val="24"/>
        </w:rPr>
        <w:t xml:space="preserve">; </w:t>
      </w:r>
      <w:r w:rsidRPr="00ED2E6B">
        <w:rPr>
          <w:rFonts w:ascii="Calibri" w:hAnsi="Calibri" w:cs="Calibri"/>
          <w:sz w:val="24"/>
          <w:szCs w:val="24"/>
        </w:rPr>
        <w:t>podpora MSP a začínajících podnikatelů ve strukturálně postižených, ale i dalších zaostávajících regionech</w:t>
      </w:r>
      <w:r>
        <w:rPr>
          <w:rFonts w:ascii="Calibri" w:hAnsi="Calibri" w:cs="Calibri"/>
          <w:sz w:val="24"/>
          <w:szCs w:val="24"/>
        </w:rPr>
        <w:t xml:space="preserve"> (státem podporované regiony)</w:t>
      </w:r>
      <w:r w:rsidRPr="00ED2E6B">
        <w:rPr>
          <w:rFonts w:ascii="Calibri" w:hAnsi="Calibri" w:cs="Calibri"/>
          <w:sz w:val="24"/>
          <w:szCs w:val="24"/>
        </w:rPr>
        <w:t>, např. formou bonifikace projektů</w:t>
      </w:r>
      <w:r>
        <w:rPr>
          <w:rFonts w:ascii="Calibri" w:hAnsi="Calibri" w:cs="Calibri"/>
          <w:sz w:val="24"/>
          <w:szCs w:val="24"/>
        </w:rPr>
        <w:t xml:space="preserve">. </w:t>
      </w:r>
      <w:r w:rsidRPr="00ED2E6B">
        <w:rPr>
          <w:rFonts w:ascii="Calibri" w:hAnsi="Calibri" w:cs="Calibri"/>
          <w:sz w:val="24"/>
          <w:szCs w:val="24"/>
        </w:rPr>
        <w:t xml:space="preserve">  </w:t>
      </w:r>
    </w:p>
    <w:p w:rsidR="0047425B" w:rsidRPr="00ED2E6B" w:rsidRDefault="0047425B" w:rsidP="0047425B">
      <w:pPr>
        <w:overflowPunct/>
        <w:jc w:val="both"/>
        <w:textAlignment w:val="auto"/>
        <w:rPr>
          <w:rFonts w:ascii="Calibri" w:hAnsi="Calibri" w:cs="Calibri"/>
          <w:sz w:val="24"/>
          <w:szCs w:val="24"/>
        </w:rPr>
      </w:pPr>
    </w:p>
    <w:p w:rsidR="0047425B" w:rsidRPr="002C5C80" w:rsidRDefault="0047425B" w:rsidP="0047425B">
      <w:pPr>
        <w:overflowPunct/>
        <w:jc w:val="both"/>
        <w:textAlignment w:val="auto"/>
        <w:rPr>
          <w:rFonts w:ascii="Calibri" w:hAnsi="Calibri" w:cs="Calibri"/>
          <w:sz w:val="24"/>
          <w:szCs w:val="24"/>
        </w:rPr>
      </w:pPr>
      <w:r w:rsidRPr="00ED2E6B">
        <w:rPr>
          <w:rFonts w:ascii="Calibri" w:hAnsi="Calibri" w:cs="Calibri"/>
          <w:sz w:val="24"/>
          <w:szCs w:val="24"/>
          <w:u w:val="single"/>
        </w:rPr>
        <w:t>Prioritní osa 3:</w:t>
      </w:r>
      <w:r w:rsidRPr="00ED2E6B">
        <w:rPr>
          <w:rFonts w:ascii="Calibri" w:hAnsi="Calibri" w:cs="Calibri"/>
          <w:sz w:val="24"/>
          <w:szCs w:val="24"/>
        </w:rPr>
        <w:t xml:space="preserve">  Intervence této prioritní osy budou realizovány především z úrovně národní s dopady do území (energetické sítě). Územní rozměr je možno vysledovat u obnovitelných zdrojů energie (biomasa, bioplyn), kde se dá předpokládat, že projekty budou realizovány </w:t>
      </w:r>
      <w:r w:rsidRPr="002C5C80">
        <w:rPr>
          <w:rFonts w:ascii="Calibri" w:hAnsi="Calibri" w:cs="Calibri"/>
          <w:sz w:val="24"/>
          <w:szCs w:val="24"/>
        </w:rPr>
        <w:t xml:space="preserve">hlavně ve venkovských oblastech, navíc s možností synergických efektů projektů OP PIK s projekty PRV (např. bioplynové stanice a následné využití užitečného tepla). </w:t>
      </w:r>
    </w:p>
    <w:p w:rsidR="0047425B" w:rsidRPr="002C5C80" w:rsidRDefault="0047425B" w:rsidP="0047425B">
      <w:pPr>
        <w:overflowPunct/>
        <w:jc w:val="both"/>
        <w:textAlignment w:val="auto"/>
        <w:rPr>
          <w:rFonts w:ascii="Calibri" w:hAnsi="Calibri" w:cs="Calibri"/>
          <w:sz w:val="24"/>
          <w:szCs w:val="24"/>
        </w:rPr>
      </w:pPr>
    </w:p>
    <w:p w:rsidR="009222E7" w:rsidRPr="004B5801" w:rsidRDefault="0047425B" w:rsidP="0047425B">
      <w:pPr>
        <w:overflowPunct/>
        <w:jc w:val="both"/>
        <w:textAlignment w:val="auto"/>
        <w:rPr>
          <w:rFonts w:ascii="Calibri" w:hAnsi="Calibri" w:cs="Calibri"/>
          <w:bCs/>
          <w:i/>
          <w:color w:val="FF0000"/>
          <w:sz w:val="24"/>
          <w:szCs w:val="24"/>
        </w:rPr>
      </w:pPr>
      <w:r w:rsidRPr="002C5C80">
        <w:rPr>
          <w:rFonts w:ascii="Calibri" w:hAnsi="Calibri" w:cs="Calibri"/>
          <w:sz w:val="24"/>
          <w:szCs w:val="24"/>
          <w:u w:val="single"/>
        </w:rPr>
        <w:t>Prioritní osa 4</w:t>
      </w:r>
      <w:r w:rsidRPr="002C5C80">
        <w:rPr>
          <w:rFonts w:ascii="Calibri" w:hAnsi="Calibri" w:cs="Calibri"/>
          <w:sz w:val="24"/>
          <w:szCs w:val="24"/>
        </w:rPr>
        <w:t>: Územní dimenzi v oblasti řešení vysokorychlostních přístupových sítí k internetu je potřeba vidět z pohledu dopadu na obce (obslužnost, tj. garantovaná dostupnost služeb pro občany menších obcí) a podnikatele (obslužnost podnikatelů na regionální mikroúrovni, dopad na podnikatelský sektor v regionech a menších obcích).</w:t>
      </w:r>
    </w:p>
    <w:p w:rsidR="006C0BF1" w:rsidRPr="00A11BD1" w:rsidRDefault="006C0BF1" w:rsidP="00B434A8">
      <w:pPr>
        <w:overflowPunct/>
        <w:jc w:val="both"/>
        <w:textAlignment w:val="auto"/>
        <w:rPr>
          <w:rFonts w:ascii="Calibri" w:hAnsi="Calibri" w:cs="Calibri"/>
          <w:color w:val="FF0000"/>
          <w:sz w:val="24"/>
          <w:szCs w:val="24"/>
        </w:rPr>
      </w:pPr>
    </w:p>
    <w:p w:rsidR="00AA5B29" w:rsidRPr="00DD04E7" w:rsidRDefault="002F6CB3" w:rsidP="002F6CB3">
      <w:pPr>
        <w:pStyle w:val="Nadpis2"/>
      </w:pPr>
      <w:bookmarkStart w:id="127" w:name="_Toc349295322"/>
      <w:bookmarkStart w:id="128" w:name="_Toc351464425"/>
      <w:bookmarkStart w:id="129" w:name="_Toc352328395"/>
      <w:r w:rsidRPr="002F6CB3">
        <w:t>Plánovaný přístup ke komunitně vedenému místnímu rozvoji a principy identifikace území pro jeho implementaci</w:t>
      </w:r>
      <w:bookmarkEnd w:id="127"/>
      <w:r w:rsidRPr="002F6CB3">
        <w:t xml:space="preserve"> </w:t>
      </w:r>
      <w:r w:rsidR="00C52CB9">
        <w:t>(7.5.1)</w:t>
      </w:r>
      <w:bookmarkEnd w:id="128"/>
      <w:bookmarkEnd w:id="129"/>
    </w:p>
    <w:p w:rsidR="002F6CB3" w:rsidRDefault="002F6CB3" w:rsidP="002F6CB3">
      <w:pPr>
        <w:pStyle w:val="Nadpis2"/>
      </w:pPr>
      <w:bookmarkStart w:id="130" w:name="_Toc349295323"/>
      <w:bookmarkStart w:id="131" w:name="_Toc351464426"/>
      <w:bookmarkStart w:id="132" w:name="_Toc352328396"/>
      <w:r>
        <w:t>P</w:t>
      </w:r>
      <w:r w:rsidRPr="002F6CB3">
        <w:t>lánovaný přístup k udržitelnému integrovanému rozvoji měst</w:t>
      </w:r>
      <w:bookmarkEnd w:id="130"/>
      <w:r>
        <w:t xml:space="preserve"> (pokud je relevantní)</w:t>
      </w:r>
      <w:r w:rsidRPr="002F6CB3">
        <w:t xml:space="preserve"> </w:t>
      </w:r>
      <w:r w:rsidR="00C52CB9">
        <w:t>(7.5.2)</w:t>
      </w:r>
      <w:bookmarkEnd w:id="131"/>
      <w:bookmarkEnd w:id="132"/>
    </w:p>
    <w:p w:rsidR="002F6CB3" w:rsidRPr="00DD04E7" w:rsidRDefault="002F6CB3" w:rsidP="00B434A8">
      <w:pPr>
        <w:pStyle w:val="Nadpis2"/>
      </w:pPr>
      <w:bookmarkStart w:id="133" w:name="_Toc349295324"/>
      <w:bookmarkStart w:id="134" w:name="_Toc351464427"/>
      <w:bookmarkStart w:id="135" w:name="_Toc352328397"/>
      <w:r w:rsidRPr="002F6CB3">
        <w:t>Případné využití integrované územní investice (ITI) (jak je vymezena v článku 99 návrhu obecného nařízení) nad rámec rozvoje měst realizovaného podle článku 7 odst. 2 návrhu  specifického nařízení k EFRR a indikativní rozdělení zdrojů na úrovni  jednotlivých prioritních os</w:t>
      </w:r>
      <w:bookmarkEnd w:id="133"/>
      <w:r w:rsidRPr="002F6CB3">
        <w:t xml:space="preserve"> </w:t>
      </w:r>
      <w:r w:rsidR="00C52CB9">
        <w:t>(7.5.3)</w:t>
      </w:r>
      <w:bookmarkEnd w:id="134"/>
      <w:bookmarkEnd w:id="135"/>
    </w:p>
    <w:p w:rsidR="00AA5B29" w:rsidRPr="002F6CB3" w:rsidRDefault="002F6CB3" w:rsidP="00AA5B29">
      <w:pPr>
        <w:overflowPunct/>
        <w:jc w:val="both"/>
        <w:textAlignment w:val="auto"/>
        <w:rPr>
          <w:sz w:val="24"/>
          <w:szCs w:val="24"/>
        </w:rPr>
      </w:pPr>
      <w:r w:rsidRPr="002F6CB3">
        <w:rPr>
          <w:sz w:val="24"/>
          <w:szCs w:val="24"/>
        </w:rPr>
        <w:t>M</w:t>
      </w:r>
      <w:r w:rsidR="00AA5B29" w:rsidRPr="002F6CB3">
        <w:rPr>
          <w:sz w:val="24"/>
          <w:szCs w:val="24"/>
        </w:rPr>
        <w:t>etodi</w:t>
      </w:r>
      <w:r w:rsidRPr="002F6CB3">
        <w:rPr>
          <w:sz w:val="24"/>
          <w:szCs w:val="24"/>
        </w:rPr>
        <w:t xml:space="preserve">ka uvádí ještě tyto </w:t>
      </w:r>
      <w:r w:rsidR="00AA5B29" w:rsidRPr="002F6CB3">
        <w:rPr>
          <w:sz w:val="24"/>
          <w:szCs w:val="24"/>
        </w:rPr>
        <w:t>kapitoly</w:t>
      </w:r>
      <w:r w:rsidRPr="002F6CB3">
        <w:rPr>
          <w:sz w:val="24"/>
          <w:szCs w:val="24"/>
        </w:rPr>
        <w:t>:</w:t>
      </w:r>
    </w:p>
    <w:p w:rsidR="00AA5B29" w:rsidRPr="002F6CB3" w:rsidRDefault="00AA5B29" w:rsidP="00AA5B29">
      <w:pPr>
        <w:overflowPunct/>
        <w:jc w:val="both"/>
        <w:textAlignment w:val="auto"/>
        <w:rPr>
          <w:sz w:val="24"/>
          <w:szCs w:val="24"/>
        </w:rPr>
      </w:pPr>
    </w:p>
    <w:p w:rsidR="005362CD" w:rsidRPr="005362CD" w:rsidRDefault="005362CD" w:rsidP="005362CD">
      <w:pPr>
        <w:rPr>
          <w:rFonts w:asciiTheme="minorHAnsi" w:hAnsiTheme="minorHAnsi" w:cstheme="minorHAnsi"/>
          <w:sz w:val="24"/>
        </w:rPr>
      </w:pPr>
      <w:r w:rsidRPr="005362CD">
        <w:rPr>
          <w:rFonts w:asciiTheme="minorHAnsi" w:hAnsiTheme="minorHAnsi" w:cstheme="minorHAnsi"/>
          <w:sz w:val="24"/>
        </w:rPr>
        <w:t>- Zvláštní potřeby zeměpisných oblastí nejvíce postižených chudobou nebo cílových skupin, jimž nejvíce hrozí diskriminace nebo sociální vyloučení</w:t>
      </w:r>
    </w:p>
    <w:p w:rsidR="00AA5B29" w:rsidRPr="005362CD" w:rsidRDefault="005362CD" w:rsidP="005362CD">
      <w:pPr>
        <w:rPr>
          <w:rFonts w:asciiTheme="minorHAnsi" w:hAnsiTheme="minorHAnsi" w:cstheme="minorHAnsi"/>
          <w:sz w:val="24"/>
        </w:rPr>
      </w:pPr>
      <w:r w:rsidRPr="005362CD">
        <w:rPr>
          <w:rFonts w:asciiTheme="minorHAnsi" w:hAnsiTheme="minorHAnsi" w:cstheme="minorHAnsi"/>
          <w:sz w:val="24"/>
        </w:rPr>
        <w:t>- Zvláštní potřeby zeměpisných oblastí, které jsou postiženy vážnými nebo stálými přírodními nebo demografickými problémy</w:t>
      </w:r>
    </w:p>
    <w:p w:rsidR="00AA5B29" w:rsidRPr="00AA5B29" w:rsidRDefault="00AA5B29" w:rsidP="00AA5B29">
      <w:pPr>
        <w:overflowPunct/>
        <w:jc w:val="both"/>
        <w:textAlignment w:val="auto"/>
        <w:rPr>
          <w:sz w:val="24"/>
          <w:szCs w:val="24"/>
        </w:rPr>
      </w:pPr>
    </w:p>
    <w:p w:rsidR="009E6172" w:rsidRPr="00851D6E" w:rsidRDefault="00851D6E" w:rsidP="00851D6E">
      <w:pPr>
        <w:pStyle w:val="Nadpis1"/>
      </w:pPr>
      <w:bookmarkStart w:id="136" w:name="_Toc351464430"/>
      <w:bookmarkStart w:id="137" w:name="_Toc352328398"/>
      <w:r w:rsidRPr="00851D6E">
        <w:lastRenderedPageBreak/>
        <w:t>Úřady a orgány zodpovědné za řízení, kontrolu a audit a role partnerů</w:t>
      </w:r>
      <w:bookmarkEnd w:id="136"/>
      <w:bookmarkEnd w:id="137"/>
    </w:p>
    <w:p w:rsidR="00722F74" w:rsidRDefault="00722F74" w:rsidP="00722F74">
      <w:pPr>
        <w:jc w:val="both"/>
        <w:rPr>
          <w:rFonts w:ascii="Calibri" w:hAnsi="Calibri" w:cs="Calibri"/>
          <w:sz w:val="28"/>
          <w:szCs w:val="28"/>
        </w:rPr>
      </w:pPr>
    </w:p>
    <w:p w:rsidR="006A127B" w:rsidRPr="00D732FC" w:rsidRDefault="006A127B" w:rsidP="00D732FC">
      <w:pPr>
        <w:pStyle w:val="bezmezer1"/>
        <w:rPr>
          <w:rFonts w:asciiTheme="minorHAnsi" w:hAnsiTheme="minorHAnsi" w:cstheme="minorHAnsi"/>
          <w:color w:val="FF0000"/>
        </w:rPr>
      </w:pPr>
      <w:bookmarkStart w:id="138" w:name="_Toc351464431"/>
      <w:r w:rsidRPr="00D732FC">
        <w:rPr>
          <w:rFonts w:asciiTheme="minorHAnsi" w:hAnsiTheme="minorHAnsi" w:cstheme="minorHAnsi"/>
          <w:color w:val="FF0000"/>
        </w:rPr>
        <w:t>……viz EK Draft template / verze leden 2013 (str. 33 – 34) a verze únor 2013 (str. 35 – 36) / sekce 8 a Metodika, verze 1.0 únor 2013, / kap. 7.8 / str. 106-107</w:t>
      </w:r>
      <w:bookmarkEnd w:id="138"/>
    </w:p>
    <w:p w:rsidR="00D732FC" w:rsidRDefault="00D732FC" w:rsidP="00D732FC">
      <w:pPr>
        <w:pStyle w:val="bezmezer1"/>
        <w:rPr>
          <w:rFonts w:asciiTheme="minorHAnsi" w:hAnsiTheme="minorHAnsi" w:cstheme="minorHAnsi"/>
          <w:color w:val="FF0000"/>
        </w:rPr>
      </w:pPr>
      <w:bookmarkStart w:id="139" w:name="_Toc351464432"/>
    </w:p>
    <w:p w:rsidR="00A448F1" w:rsidRDefault="00A448F1" w:rsidP="00D732FC">
      <w:pPr>
        <w:pStyle w:val="bezmezer1"/>
        <w:rPr>
          <w:rFonts w:asciiTheme="minorHAnsi" w:hAnsiTheme="minorHAnsi" w:cstheme="minorHAnsi"/>
          <w:color w:val="FF0000"/>
        </w:rPr>
      </w:pPr>
      <w:r w:rsidRPr="00A448F1">
        <w:rPr>
          <w:rFonts w:asciiTheme="minorHAnsi" w:hAnsiTheme="minorHAnsi" w:cstheme="minorHAnsi"/>
          <w:color w:val="FF0000"/>
        </w:rPr>
        <w:t>Bude řešeno v další fázi tvorby operačního programu.</w:t>
      </w:r>
    </w:p>
    <w:p w:rsidR="006A127B" w:rsidRPr="00851D6E" w:rsidRDefault="006A127B" w:rsidP="00851D6E">
      <w:pPr>
        <w:pStyle w:val="Nadpis2"/>
      </w:pPr>
      <w:bookmarkStart w:id="140" w:name="_Toc351464433"/>
      <w:bookmarkStart w:id="141" w:name="_Toc352328399"/>
      <w:bookmarkEnd w:id="139"/>
      <w:r w:rsidRPr="00851D6E">
        <w:t>Úřady a orgány odpovědné za řízení, kontrolu a audit</w:t>
      </w:r>
      <w:bookmarkEnd w:id="140"/>
      <w:bookmarkEnd w:id="141"/>
    </w:p>
    <w:p w:rsidR="006A127B" w:rsidRPr="006A127B" w:rsidRDefault="006A127B" w:rsidP="0026132C">
      <w:pPr>
        <w:spacing w:after="120"/>
        <w:jc w:val="both"/>
        <w:rPr>
          <w:rFonts w:asciiTheme="minorHAnsi" w:hAnsiTheme="minorHAnsi" w:cstheme="minorHAnsi"/>
          <w:sz w:val="24"/>
        </w:rPr>
      </w:pPr>
      <w:r w:rsidRPr="006A127B">
        <w:rPr>
          <w:rFonts w:asciiTheme="minorHAnsi" w:hAnsiTheme="minorHAnsi" w:cstheme="minorHAnsi"/>
          <w:sz w:val="24"/>
        </w:rPr>
        <w:t xml:space="preserve">Na základě čl. </w:t>
      </w:r>
      <w:r w:rsidRPr="00DD04E7">
        <w:rPr>
          <w:rFonts w:asciiTheme="minorHAnsi" w:hAnsiTheme="minorHAnsi" w:cstheme="minorHAnsi"/>
          <w:sz w:val="24"/>
        </w:rPr>
        <w:t>87, odst. 2, písm. h) návrhu obecného nařízení tato kapitola definuje implementační systém OP PIK. Veškeré řídicí a implementační činnosti jsou nastaveny tak, aby byly vykonávány maximálně efektivně a při zachování pri</w:t>
      </w:r>
      <w:r w:rsidRPr="006A127B">
        <w:rPr>
          <w:rFonts w:asciiTheme="minorHAnsi" w:hAnsiTheme="minorHAnsi" w:cstheme="minorHAnsi"/>
          <w:sz w:val="24"/>
        </w:rPr>
        <w:t>ncipu subsidiarity.</w:t>
      </w:r>
    </w:p>
    <w:p w:rsidR="006A127B" w:rsidRPr="006A127B" w:rsidRDefault="006A127B" w:rsidP="0026132C">
      <w:pPr>
        <w:spacing w:after="120"/>
        <w:jc w:val="both"/>
        <w:rPr>
          <w:rFonts w:asciiTheme="minorHAnsi" w:hAnsiTheme="minorHAnsi" w:cstheme="minorHAnsi"/>
          <w:sz w:val="24"/>
        </w:rPr>
      </w:pPr>
      <w:r w:rsidRPr="006A127B">
        <w:rPr>
          <w:rFonts w:asciiTheme="minorHAnsi" w:hAnsiTheme="minorHAnsi" w:cstheme="minorHAnsi"/>
          <w:sz w:val="24"/>
        </w:rPr>
        <w:t xml:space="preserve">Implementace Operačního programu probíhá v několika rovinách. Za správné a efektivní řízení Operačního programu Podnikání a inovace pro konkurenceschopnost je odpovědný Řídicí orgán pod dohledem Monitorovacího výboru. Monitorovací výbor vykonává dohled nad realizací programu a monitoruje využívání všech prostředků v rámci programu. Řídicí orgán může delegovat část svých činností či pravomocí na Zprostředkující subjekty. </w:t>
      </w:r>
    </w:p>
    <w:p w:rsidR="006A127B" w:rsidRPr="00DD04E7" w:rsidRDefault="006A127B" w:rsidP="004B5801">
      <w:pPr>
        <w:spacing w:after="120"/>
        <w:jc w:val="both"/>
        <w:rPr>
          <w:rFonts w:asciiTheme="minorHAnsi" w:hAnsiTheme="minorHAnsi" w:cstheme="minorHAnsi"/>
          <w:color w:val="FF0000"/>
          <w:sz w:val="24"/>
          <w:szCs w:val="24"/>
        </w:rPr>
      </w:pPr>
      <w:r w:rsidRPr="0026132C">
        <w:rPr>
          <w:rFonts w:asciiTheme="minorHAnsi" w:hAnsiTheme="minorHAnsi" w:cstheme="minorHAnsi"/>
          <w:sz w:val="24"/>
        </w:rPr>
        <w:t>Platební a certifikační orgán (PCO)</w:t>
      </w:r>
      <w:r w:rsidR="0026132C">
        <w:rPr>
          <w:rFonts w:asciiTheme="minorHAnsi" w:hAnsiTheme="minorHAnsi" w:cstheme="minorHAnsi"/>
          <w:sz w:val="24"/>
        </w:rPr>
        <w:t>:</w:t>
      </w:r>
      <w:r w:rsidR="0026132C" w:rsidRPr="0026132C">
        <w:rPr>
          <w:rFonts w:asciiTheme="minorHAnsi" w:hAnsiTheme="minorHAnsi" w:cstheme="minorHAnsi"/>
          <w:sz w:val="24"/>
        </w:rPr>
        <w:t xml:space="preserve"> </w:t>
      </w:r>
      <w:r w:rsidR="00DD04E7">
        <w:rPr>
          <w:rFonts w:asciiTheme="minorHAnsi" w:hAnsiTheme="minorHAnsi" w:cstheme="minorHAnsi"/>
          <w:sz w:val="24"/>
        </w:rPr>
        <w:t xml:space="preserve">                      </w:t>
      </w:r>
      <w:r w:rsidR="00DD04E7" w:rsidRPr="00DD04E7">
        <w:rPr>
          <w:rFonts w:asciiTheme="minorHAnsi" w:hAnsiTheme="minorHAnsi" w:cstheme="minorHAnsi"/>
          <w:color w:val="FF0000"/>
          <w:sz w:val="24"/>
          <w:szCs w:val="24"/>
        </w:rPr>
        <w:t>Bude řešeno v návaznosti na legislativu.</w:t>
      </w:r>
    </w:p>
    <w:p w:rsidR="006A127B" w:rsidRPr="0026132C" w:rsidRDefault="006A127B" w:rsidP="004B5801">
      <w:pPr>
        <w:jc w:val="both"/>
        <w:rPr>
          <w:rFonts w:asciiTheme="minorHAnsi" w:hAnsiTheme="minorHAnsi" w:cstheme="minorHAnsi"/>
          <w:sz w:val="24"/>
        </w:rPr>
      </w:pPr>
      <w:r w:rsidRPr="0026132C">
        <w:rPr>
          <w:rFonts w:asciiTheme="minorHAnsi" w:hAnsiTheme="minorHAnsi" w:cstheme="minorHAnsi"/>
          <w:sz w:val="24"/>
        </w:rPr>
        <w:t>Součástí implementační struktury OP PIK jsou:</w:t>
      </w:r>
    </w:p>
    <w:p w:rsidR="006A127B" w:rsidRPr="0026132C" w:rsidRDefault="006A127B" w:rsidP="004B5801">
      <w:pPr>
        <w:pStyle w:val="Odstavecseseznamem"/>
        <w:numPr>
          <w:ilvl w:val="0"/>
          <w:numId w:val="22"/>
        </w:numPr>
        <w:spacing w:after="160"/>
        <w:jc w:val="both"/>
        <w:rPr>
          <w:rFonts w:asciiTheme="minorHAnsi" w:hAnsiTheme="minorHAnsi" w:cstheme="minorHAnsi"/>
          <w:sz w:val="24"/>
        </w:rPr>
      </w:pPr>
      <w:r w:rsidRPr="0026132C">
        <w:rPr>
          <w:rFonts w:asciiTheme="minorHAnsi" w:hAnsiTheme="minorHAnsi" w:cstheme="minorHAnsi"/>
          <w:sz w:val="24"/>
        </w:rPr>
        <w:t>Národní orgán pro koordinaci - MMR – NOK</w:t>
      </w:r>
    </w:p>
    <w:p w:rsidR="006A127B" w:rsidRPr="0026132C" w:rsidRDefault="006A127B" w:rsidP="004B5801">
      <w:pPr>
        <w:pStyle w:val="Odstavecseseznamem"/>
        <w:numPr>
          <w:ilvl w:val="0"/>
          <w:numId w:val="22"/>
        </w:numPr>
        <w:spacing w:after="160"/>
        <w:jc w:val="both"/>
        <w:rPr>
          <w:rFonts w:asciiTheme="minorHAnsi" w:hAnsiTheme="minorHAnsi" w:cstheme="minorHAnsi"/>
          <w:sz w:val="24"/>
        </w:rPr>
      </w:pPr>
      <w:r w:rsidRPr="0026132C">
        <w:rPr>
          <w:rFonts w:asciiTheme="minorHAnsi" w:hAnsiTheme="minorHAnsi" w:cstheme="minorHAnsi"/>
          <w:sz w:val="24"/>
        </w:rPr>
        <w:t>Řídicí orgán - Ministerstvo průmyslu a obchodu</w:t>
      </w:r>
    </w:p>
    <w:p w:rsidR="006A127B" w:rsidRPr="0026132C" w:rsidRDefault="006A127B" w:rsidP="004B5801">
      <w:pPr>
        <w:pStyle w:val="Odstavecseseznamem"/>
        <w:numPr>
          <w:ilvl w:val="0"/>
          <w:numId w:val="22"/>
        </w:numPr>
        <w:spacing w:after="160"/>
        <w:jc w:val="both"/>
        <w:rPr>
          <w:rFonts w:asciiTheme="minorHAnsi" w:hAnsiTheme="minorHAnsi" w:cstheme="minorHAnsi"/>
          <w:sz w:val="24"/>
        </w:rPr>
      </w:pPr>
      <w:r w:rsidRPr="0026132C">
        <w:rPr>
          <w:rFonts w:asciiTheme="minorHAnsi" w:hAnsiTheme="minorHAnsi" w:cstheme="minorHAnsi"/>
          <w:sz w:val="24"/>
        </w:rPr>
        <w:t>Platební a certifikační orgán – Národní fond Ministerstva financí ČR</w:t>
      </w:r>
    </w:p>
    <w:p w:rsidR="006A127B" w:rsidRPr="0026132C" w:rsidRDefault="006A127B" w:rsidP="004B5801">
      <w:pPr>
        <w:pStyle w:val="Odstavecseseznamem"/>
        <w:numPr>
          <w:ilvl w:val="0"/>
          <w:numId w:val="22"/>
        </w:numPr>
        <w:spacing w:after="160"/>
        <w:jc w:val="both"/>
        <w:rPr>
          <w:rFonts w:asciiTheme="minorHAnsi" w:hAnsiTheme="minorHAnsi" w:cstheme="minorHAnsi"/>
          <w:sz w:val="24"/>
        </w:rPr>
      </w:pPr>
      <w:r w:rsidRPr="0026132C">
        <w:rPr>
          <w:rFonts w:asciiTheme="minorHAnsi" w:hAnsiTheme="minorHAnsi" w:cstheme="minorHAnsi"/>
          <w:sz w:val="24"/>
        </w:rPr>
        <w:t>Auditní orgán – Centrální harmonizační jednotka Ministerstva financí ČR</w:t>
      </w:r>
    </w:p>
    <w:p w:rsidR="006A127B" w:rsidRPr="00E45000" w:rsidRDefault="006A127B" w:rsidP="006A127B">
      <w:pPr>
        <w:spacing w:after="120" w:line="288" w:lineRule="auto"/>
        <w:rPr>
          <w:szCs w:val="22"/>
        </w:rPr>
      </w:pPr>
    </w:p>
    <w:p w:rsidR="006A127B" w:rsidRPr="006D18A2" w:rsidRDefault="006A127B" w:rsidP="006A127B">
      <w:pPr>
        <w:rPr>
          <w:b/>
          <w:sz w:val="24"/>
          <w:szCs w:val="24"/>
        </w:rPr>
      </w:pPr>
      <w:r w:rsidRPr="00DD04E7">
        <w:rPr>
          <w:b/>
          <w:sz w:val="24"/>
          <w:szCs w:val="24"/>
        </w:rPr>
        <w:t>Tabulka xx: Přehle</w:t>
      </w:r>
      <w:r w:rsidRPr="006D18A2">
        <w:rPr>
          <w:b/>
          <w:sz w:val="24"/>
          <w:szCs w:val="24"/>
        </w:rPr>
        <w:t xml:space="preserve">d kontaktních údajů jednotlivých orgánů </w:t>
      </w:r>
    </w:p>
    <w:p w:rsidR="006A127B" w:rsidRPr="00A448F1" w:rsidRDefault="006A127B" w:rsidP="006A127B">
      <w:pPr>
        <w:spacing w:after="120"/>
        <w:rPr>
          <w:color w:val="FF0000"/>
          <w:sz w:val="24"/>
          <w:szCs w:val="24"/>
        </w:rPr>
      </w:pPr>
      <w:r w:rsidRPr="00A448F1">
        <w:rPr>
          <w:color w:val="FF0000"/>
          <w:sz w:val="24"/>
          <w:szCs w:val="24"/>
        </w:rPr>
        <w:t>(viz Table 24 Template 01/2013 nebo 23 Template 02/2013)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5"/>
        <w:gridCol w:w="1614"/>
        <w:gridCol w:w="1701"/>
        <w:gridCol w:w="1655"/>
        <w:gridCol w:w="1087"/>
        <w:gridCol w:w="1674"/>
      </w:tblGrid>
      <w:tr w:rsidR="006A127B" w:rsidRPr="00851D6E" w:rsidTr="006A127B">
        <w:tc>
          <w:tcPr>
            <w:tcW w:w="1807"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Úřad/Orgán</w:t>
            </w:r>
          </w:p>
        </w:tc>
        <w:tc>
          <w:tcPr>
            <w:tcW w:w="1560"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Název úřadu/orgánu</w:t>
            </w:r>
          </w:p>
        </w:tc>
        <w:tc>
          <w:tcPr>
            <w:tcW w:w="1701"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Vedení úřadu (odpovědná osoba)/orgánu</w:t>
            </w:r>
          </w:p>
        </w:tc>
        <w:tc>
          <w:tcPr>
            <w:tcW w:w="1701"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Adresa</w:t>
            </w:r>
          </w:p>
        </w:tc>
        <w:tc>
          <w:tcPr>
            <w:tcW w:w="1134"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Telefon</w:t>
            </w:r>
          </w:p>
        </w:tc>
        <w:tc>
          <w:tcPr>
            <w:tcW w:w="1195"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e-mailová adresa</w:t>
            </w:r>
          </w:p>
        </w:tc>
      </w:tr>
      <w:tr w:rsidR="006A127B" w:rsidRPr="00851D6E" w:rsidTr="006A127B">
        <w:tc>
          <w:tcPr>
            <w:tcW w:w="1807"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Řídící orgán</w:t>
            </w:r>
          </w:p>
        </w:tc>
        <w:tc>
          <w:tcPr>
            <w:tcW w:w="1560"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Ministerstvo průmyslu a obchodu</w:t>
            </w: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Na Františku 32, 110 15 Praha 1</w:t>
            </w:r>
          </w:p>
        </w:tc>
        <w:tc>
          <w:tcPr>
            <w:tcW w:w="1134"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rPr>
              <w:t>+420 224 851 111</w:t>
            </w:r>
          </w:p>
        </w:tc>
        <w:tc>
          <w:tcPr>
            <w:tcW w:w="1195"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posta@mpo.cz</w:t>
            </w:r>
          </w:p>
        </w:tc>
      </w:tr>
      <w:tr w:rsidR="006A127B" w:rsidRPr="00851D6E" w:rsidTr="006A127B">
        <w:tc>
          <w:tcPr>
            <w:tcW w:w="1807"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Národní orgán pro koordinaci</w:t>
            </w:r>
          </w:p>
        </w:tc>
        <w:tc>
          <w:tcPr>
            <w:tcW w:w="1560"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Ministerstvo pro místní rozvoj</w:t>
            </w: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Staroměstské nám. 6, 110 15 Praha 1</w:t>
            </w:r>
          </w:p>
        </w:tc>
        <w:tc>
          <w:tcPr>
            <w:tcW w:w="1134"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195"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r>
      <w:tr w:rsidR="006A127B" w:rsidRPr="00851D6E" w:rsidTr="006A127B">
        <w:tc>
          <w:tcPr>
            <w:tcW w:w="1807"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t>Certifikační orgán</w:t>
            </w:r>
          </w:p>
        </w:tc>
        <w:tc>
          <w:tcPr>
            <w:tcW w:w="1560"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Ministerstvo financí</w:t>
            </w: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 xml:space="preserve">Letenská 15, 118 10 Praha </w:t>
            </w:r>
            <w:r w:rsidRPr="00851D6E">
              <w:rPr>
                <w:rFonts w:asciiTheme="minorHAnsi" w:hAnsiTheme="minorHAnsi" w:cstheme="minorHAnsi"/>
                <w:sz w:val="24"/>
                <w:szCs w:val="22"/>
              </w:rPr>
              <w:lastRenderedPageBreak/>
              <w:t>1</w:t>
            </w:r>
          </w:p>
        </w:tc>
        <w:tc>
          <w:tcPr>
            <w:tcW w:w="1134"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195"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r>
      <w:tr w:rsidR="006A127B" w:rsidRPr="00851D6E" w:rsidTr="006A127B">
        <w:tc>
          <w:tcPr>
            <w:tcW w:w="1807" w:type="dxa"/>
          </w:tcPr>
          <w:p w:rsidR="006A127B" w:rsidRPr="00851D6E" w:rsidRDefault="006A127B" w:rsidP="006A127B">
            <w:pPr>
              <w:suppressAutoHyphens/>
              <w:spacing w:before="60" w:after="60"/>
              <w:rPr>
                <w:rFonts w:asciiTheme="minorHAnsi" w:hAnsiTheme="minorHAnsi" w:cstheme="minorHAnsi"/>
                <w:b/>
                <w:sz w:val="24"/>
                <w:szCs w:val="22"/>
              </w:rPr>
            </w:pPr>
            <w:r w:rsidRPr="00851D6E">
              <w:rPr>
                <w:rFonts w:asciiTheme="minorHAnsi" w:hAnsiTheme="minorHAnsi" w:cstheme="minorHAnsi"/>
                <w:b/>
                <w:sz w:val="24"/>
                <w:szCs w:val="22"/>
              </w:rPr>
              <w:lastRenderedPageBreak/>
              <w:t>Auditní orgán</w:t>
            </w:r>
          </w:p>
        </w:tc>
        <w:tc>
          <w:tcPr>
            <w:tcW w:w="1560"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Ministerstvo financí</w:t>
            </w: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Letenská 15, 118 10 Praha 1</w:t>
            </w:r>
          </w:p>
        </w:tc>
        <w:tc>
          <w:tcPr>
            <w:tcW w:w="1134"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195"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r>
      <w:tr w:rsidR="006A127B" w:rsidRPr="00851D6E" w:rsidTr="006A127B">
        <w:tc>
          <w:tcPr>
            <w:tcW w:w="1807" w:type="dxa"/>
          </w:tcPr>
          <w:p w:rsidR="006A127B" w:rsidRPr="00851D6E" w:rsidRDefault="006A127B" w:rsidP="006A127B">
            <w:pPr>
              <w:suppressAutoHyphens/>
              <w:spacing w:before="60" w:after="60"/>
              <w:rPr>
                <w:rFonts w:asciiTheme="minorHAnsi" w:hAnsiTheme="minorHAnsi" w:cstheme="minorHAnsi"/>
                <w:b/>
                <w:bCs/>
                <w:sz w:val="24"/>
                <w:szCs w:val="22"/>
              </w:rPr>
            </w:pPr>
            <w:r w:rsidRPr="00851D6E">
              <w:rPr>
                <w:rFonts w:asciiTheme="minorHAnsi" w:hAnsiTheme="minorHAnsi" w:cstheme="minorHAnsi"/>
                <w:b/>
                <w:sz w:val="24"/>
                <w:szCs w:val="22"/>
              </w:rPr>
              <w:t>Orgán, který obdrží platby od Komise</w:t>
            </w:r>
          </w:p>
        </w:tc>
        <w:tc>
          <w:tcPr>
            <w:tcW w:w="1560"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Ministerstvo financí</w:t>
            </w: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701" w:type="dxa"/>
          </w:tcPr>
          <w:p w:rsidR="006A127B" w:rsidRPr="00851D6E" w:rsidRDefault="006A127B" w:rsidP="006A127B">
            <w:pPr>
              <w:suppressAutoHyphens/>
              <w:spacing w:before="60" w:after="60" w:line="288" w:lineRule="auto"/>
              <w:rPr>
                <w:rFonts w:asciiTheme="minorHAnsi" w:hAnsiTheme="minorHAnsi" w:cstheme="minorHAnsi"/>
                <w:sz w:val="24"/>
                <w:szCs w:val="22"/>
              </w:rPr>
            </w:pPr>
            <w:r w:rsidRPr="00851D6E">
              <w:rPr>
                <w:rFonts w:asciiTheme="minorHAnsi" w:hAnsiTheme="minorHAnsi" w:cstheme="minorHAnsi"/>
                <w:sz w:val="24"/>
                <w:szCs w:val="22"/>
              </w:rPr>
              <w:t>Letenská 15, 118 10 Praha 1</w:t>
            </w:r>
          </w:p>
        </w:tc>
        <w:tc>
          <w:tcPr>
            <w:tcW w:w="1134"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c>
          <w:tcPr>
            <w:tcW w:w="1195" w:type="dxa"/>
          </w:tcPr>
          <w:p w:rsidR="006A127B" w:rsidRPr="00851D6E" w:rsidRDefault="006A127B" w:rsidP="006A127B">
            <w:pPr>
              <w:suppressAutoHyphens/>
              <w:spacing w:before="60" w:after="60" w:line="288" w:lineRule="auto"/>
              <w:rPr>
                <w:rFonts w:asciiTheme="minorHAnsi" w:hAnsiTheme="minorHAnsi" w:cstheme="minorHAnsi"/>
                <w:sz w:val="24"/>
                <w:szCs w:val="22"/>
              </w:rPr>
            </w:pPr>
          </w:p>
        </w:tc>
      </w:tr>
    </w:tbl>
    <w:p w:rsidR="006A127B" w:rsidRPr="00851D6E" w:rsidRDefault="006A127B" w:rsidP="006A127B">
      <w:pPr>
        <w:pStyle w:val="TextNOK"/>
        <w:rPr>
          <w:rFonts w:asciiTheme="minorHAnsi" w:hAnsiTheme="minorHAnsi" w:cstheme="minorHAnsi"/>
          <w:sz w:val="24"/>
          <w:szCs w:val="24"/>
        </w:rPr>
      </w:pPr>
    </w:p>
    <w:p w:rsidR="006A127B" w:rsidRPr="00851D6E" w:rsidRDefault="006A127B" w:rsidP="006A127B">
      <w:pPr>
        <w:jc w:val="both"/>
        <w:rPr>
          <w:rFonts w:asciiTheme="minorHAnsi" w:hAnsiTheme="minorHAnsi" w:cstheme="minorHAnsi"/>
          <w:b/>
          <w:sz w:val="24"/>
          <w:szCs w:val="24"/>
        </w:rPr>
      </w:pPr>
      <w:r w:rsidRPr="00851D6E">
        <w:rPr>
          <w:rFonts w:asciiTheme="minorHAnsi" w:hAnsiTheme="minorHAnsi" w:cstheme="minorHAnsi"/>
          <w:b/>
          <w:sz w:val="24"/>
          <w:szCs w:val="24"/>
        </w:rPr>
        <w:t xml:space="preserve">Řídicí orgán </w:t>
      </w:r>
    </w:p>
    <w:p w:rsidR="006A127B" w:rsidRPr="00DD04E7" w:rsidRDefault="0026132C" w:rsidP="0026132C">
      <w:pPr>
        <w:spacing w:after="120"/>
        <w:jc w:val="both"/>
        <w:rPr>
          <w:rFonts w:asciiTheme="minorHAnsi" w:hAnsiTheme="minorHAnsi" w:cstheme="minorHAnsi"/>
          <w:sz w:val="24"/>
          <w:szCs w:val="24"/>
        </w:rPr>
      </w:pPr>
      <w:r w:rsidRPr="0026132C">
        <w:rPr>
          <w:rFonts w:asciiTheme="minorHAnsi" w:hAnsiTheme="minorHAnsi" w:cstheme="minorHAnsi"/>
          <w:sz w:val="24"/>
          <w:szCs w:val="24"/>
        </w:rPr>
        <w:t xml:space="preserve">Řídicí orgán je zřizován v souladu s </w:t>
      </w:r>
      <w:r w:rsidRPr="00DD04E7">
        <w:rPr>
          <w:rFonts w:asciiTheme="minorHAnsi" w:hAnsiTheme="minorHAnsi" w:cstheme="minorHAnsi"/>
          <w:sz w:val="24"/>
          <w:szCs w:val="24"/>
        </w:rPr>
        <w:t xml:space="preserve">čl. 113 obecného nařízení. </w:t>
      </w:r>
      <w:r w:rsidR="006A127B" w:rsidRPr="00DD04E7">
        <w:rPr>
          <w:rFonts w:asciiTheme="minorHAnsi" w:hAnsiTheme="minorHAnsi" w:cstheme="minorHAnsi"/>
          <w:sz w:val="24"/>
          <w:szCs w:val="24"/>
        </w:rPr>
        <w:t xml:space="preserve">Řídicí orgán nese nejvyšší odpovědnost za realizaci operačního programu. Pro každý operační program je určen jeden řídicí orgán, který sleduje, zda jsou dodržovány zásady operačních programů a zda je pomoc z fondů EU poskytovaná správně a efektivně. </w:t>
      </w:r>
    </w:p>
    <w:p w:rsidR="006A127B" w:rsidRPr="00DD04E7" w:rsidRDefault="006A127B" w:rsidP="0026132C">
      <w:pPr>
        <w:spacing w:after="120"/>
        <w:jc w:val="both"/>
        <w:rPr>
          <w:rFonts w:asciiTheme="minorHAnsi" w:hAnsiTheme="minorHAnsi" w:cstheme="minorHAnsi"/>
          <w:b/>
          <w:sz w:val="24"/>
          <w:szCs w:val="24"/>
        </w:rPr>
      </w:pPr>
      <w:r w:rsidRPr="00DD04E7">
        <w:rPr>
          <w:rFonts w:asciiTheme="minorHAnsi" w:hAnsiTheme="minorHAnsi" w:cstheme="minorHAnsi"/>
          <w:b/>
          <w:sz w:val="24"/>
          <w:szCs w:val="24"/>
        </w:rPr>
        <w:t xml:space="preserve">Výkon funkce Řídicího orgánu Operačního programu Podnikání a inovace pro konkurenceschopnost zajišťuje v souladu s usnesením vlády č. 867/2012 ze dne 28. listopadu 2012 Ministerstvo průmyslu a obchodu. </w:t>
      </w:r>
    </w:p>
    <w:p w:rsidR="0026132C" w:rsidRPr="00DD04E7" w:rsidRDefault="006A127B" w:rsidP="0026132C">
      <w:pPr>
        <w:spacing w:after="120"/>
      </w:pPr>
      <w:r w:rsidRPr="00DD04E7">
        <w:rPr>
          <w:rFonts w:asciiTheme="minorHAnsi" w:hAnsiTheme="minorHAnsi" w:cstheme="minorHAnsi"/>
          <w:sz w:val="24"/>
          <w:szCs w:val="24"/>
        </w:rPr>
        <w:t>Řídící orgán zodpovídá za řízení operačního programu v souladu se zásadou řádného finančního řízení. Řídicí orgán jedná nediskriminačně a transparentně, zároveň podporuje rovnost žen a mužů a respektuje zásadu udržitelného rozvoje. Řídicí orgán deleguje některé činnosti na další subjekty nebo přebírá výstupy jejich činnosti.</w:t>
      </w:r>
      <w:r w:rsidR="0026132C" w:rsidRPr="00DD04E7">
        <w:t xml:space="preserve"> </w:t>
      </w:r>
    </w:p>
    <w:p w:rsidR="0026132C" w:rsidRPr="00DD04E7" w:rsidRDefault="0026132C" w:rsidP="004B5801">
      <w:pPr>
        <w:spacing w:after="120"/>
        <w:rPr>
          <w:rFonts w:asciiTheme="minorHAnsi" w:hAnsiTheme="minorHAnsi" w:cstheme="minorHAnsi"/>
          <w:sz w:val="24"/>
          <w:szCs w:val="24"/>
        </w:rPr>
      </w:pPr>
      <w:r w:rsidRPr="00DD04E7">
        <w:rPr>
          <w:rFonts w:asciiTheme="minorHAnsi" w:hAnsiTheme="minorHAnsi" w:cstheme="minorHAnsi"/>
          <w:sz w:val="24"/>
          <w:szCs w:val="24"/>
        </w:rPr>
        <w:t>Na základě čl. 114 obecného nařízení zabezpečuje řídicí orgán zejména následující činnosti:</w:t>
      </w:r>
    </w:p>
    <w:p w:rsidR="006A127B" w:rsidRPr="00DD04E7" w:rsidRDefault="006A127B" w:rsidP="004B5801">
      <w:pPr>
        <w:pStyle w:val="Odstavecseseznamem"/>
        <w:numPr>
          <w:ilvl w:val="0"/>
          <w:numId w:val="23"/>
        </w:numPr>
        <w:spacing w:after="160"/>
        <w:jc w:val="both"/>
        <w:rPr>
          <w:rFonts w:asciiTheme="minorHAnsi" w:hAnsiTheme="minorHAnsi" w:cstheme="minorHAnsi"/>
          <w:sz w:val="24"/>
          <w:szCs w:val="24"/>
        </w:rPr>
      </w:pPr>
      <w:r w:rsidRPr="00DD04E7">
        <w:rPr>
          <w:rFonts w:asciiTheme="minorHAnsi" w:hAnsiTheme="minorHAnsi" w:cstheme="minorHAnsi"/>
          <w:sz w:val="24"/>
          <w:szCs w:val="24"/>
        </w:rPr>
        <w:t>odpovídá za přípravu, projednání OP PIK a jeho předložení Evropské komisi; zabezpečuje soulad cílů a prioritních os OP PIK s ostatními operačními programy, Společným strategickým rámcem, Dohodou o partnerství, zajistí vypracování předběžného ex-ante hodnocení operačního programu a posouzení jeho vlivu na životní prostředí;</w:t>
      </w:r>
    </w:p>
    <w:p w:rsidR="006A127B" w:rsidRPr="00851D6E" w:rsidRDefault="006A127B" w:rsidP="004B5801">
      <w:pPr>
        <w:pStyle w:val="Odstavecseseznamem"/>
        <w:numPr>
          <w:ilvl w:val="0"/>
          <w:numId w:val="23"/>
        </w:numPr>
        <w:spacing w:after="160"/>
        <w:jc w:val="both"/>
        <w:rPr>
          <w:rFonts w:asciiTheme="minorHAnsi" w:hAnsiTheme="minorHAnsi" w:cstheme="minorHAnsi"/>
          <w:sz w:val="24"/>
          <w:szCs w:val="24"/>
        </w:rPr>
      </w:pPr>
      <w:r w:rsidRPr="00DD04E7">
        <w:rPr>
          <w:rFonts w:asciiTheme="minorHAnsi" w:hAnsiTheme="minorHAnsi" w:cstheme="minorHAnsi"/>
          <w:sz w:val="24"/>
          <w:szCs w:val="24"/>
        </w:rPr>
        <w:t>podporuje činnost monitorovacího výboru a poskytuje mu informace, které výbor potřebuje k plnění svých úkolů, zejména údaje týkající se pokroku operačního programu v dosahování cílů, finanční údaje a údaj</w:t>
      </w:r>
      <w:r w:rsidRPr="00851D6E">
        <w:rPr>
          <w:rFonts w:asciiTheme="minorHAnsi" w:hAnsiTheme="minorHAnsi" w:cstheme="minorHAnsi"/>
          <w:sz w:val="24"/>
          <w:szCs w:val="24"/>
        </w:rPr>
        <w:t>e týkající se ukazatelů a milníků;</w:t>
      </w:r>
    </w:p>
    <w:p w:rsidR="006A127B" w:rsidRPr="00851D6E" w:rsidRDefault="006A127B" w:rsidP="004B5801">
      <w:pPr>
        <w:pStyle w:val="Odstavecseseznamem"/>
        <w:numPr>
          <w:ilvl w:val="0"/>
          <w:numId w:val="23"/>
        </w:numPr>
        <w:spacing w:after="160"/>
        <w:jc w:val="both"/>
        <w:rPr>
          <w:rFonts w:asciiTheme="minorHAnsi" w:hAnsiTheme="minorHAnsi" w:cstheme="minorHAnsi"/>
          <w:sz w:val="24"/>
          <w:szCs w:val="24"/>
        </w:rPr>
      </w:pPr>
      <w:r w:rsidRPr="00851D6E">
        <w:rPr>
          <w:rFonts w:asciiTheme="minorHAnsi" w:hAnsiTheme="minorHAnsi" w:cstheme="minorHAnsi"/>
          <w:sz w:val="24"/>
          <w:szCs w:val="24"/>
        </w:rPr>
        <w:t>vypracovává výroční a závěrečné zprávy o provádění a po schválení monitorovacím výborem je předkládá Komisi;</w:t>
      </w:r>
    </w:p>
    <w:p w:rsidR="006A127B" w:rsidRPr="00851D6E" w:rsidRDefault="006A127B" w:rsidP="004B5801">
      <w:pPr>
        <w:pStyle w:val="Odstavecseseznamem"/>
        <w:numPr>
          <w:ilvl w:val="0"/>
          <w:numId w:val="23"/>
        </w:numPr>
        <w:spacing w:after="160"/>
        <w:jc w:val="both"/>
        <w:rPr>
          <w:rFonts w:asciiTheme="minorHAnsi" w:hAnsiTheme="minorHAnsi" w:cstheme="minorHAnsi"/>
          <w:sz w:val="24"/>
          <w:szCs w:val="24"/>
        </w:rPr>
      </w:pPr>
      <w:r w:rsidRPr="00851D6E">
        <w:rPr>
          <w:rFonts w:asciiTheme="minorHAnsi" w:hAnsiTheme="minorHAnsi" w:cstheme="minorHAnsi"/>
          <w:sz w:val="24"/>
          <w:szCs w:val="24"/>
        </w:rPr>
        <w:t>zpřístupňuje zprostředkujícím subjektům a příjemcům informace, které jsou důležité pro plnění jejich úkolů, respektive pro provádění operací;</w:t>
      </w:r>
    </w:p>
    <w:p w:rsidR="006A127B" w:rsidRPr="00851D6E" w:rsidRDefault="006A127B" w:rsidP="004B5801">
      <w:pPr>
        <w:pStyle w:val="Odstavecseseznamem"/>
        <w:numPr>
          <w:ilvl w:val="0"/>
          <w:numId w:val="23"/>
        </w:numPr>
        <w:spacing w:after="160"/>
        <w:jc w:val="both"/>
        <w:rPr>
          <w:rFonts w:asciiTheme="minorHAnsi" w:hAnsiTheme="minorHAnsi" w:cstheme="minorHAnsi"/>
          <w:sz w:val="24"/>
          <w:szCs w:val="24"/>
        </w:rPr>
      </w:pPr>
      <w:r w:rsidRPr="00851D6E">
        <w:rPr>
          <w:rFonts w:asciiTheme="minorHAnsi" w:hAnsiTheme="minorHAnsi" w:cstheme="minorHAnsi"/>
          <w:sz w:val="24"/>
          <w:szCs w:val="24"/>
        </w:rPr>
        <w:t>zřizuje systém pro zaznamenávání a uchovávání počítačových údajů o každé operaci, které jsou nezbytné pro monitorování, hodnocení, finanční řízení, ověřování a audit, případně včetně údajů o jednotlivých účastnících operací;</w:t>
      </w:r>
    </w:p>
    <w:p w:rsidR="006A127B" w:rsidRPr="00851D6E" w:rsidRDefault="006A127B" w:rsidP="004B5801">
      <w:pPr>
        <w:pStyle w:val="Odstavecseseznamem"/>
        <w:numPr>
          <w:ilvl w:val="0"/>
          <w:numId w:val="23"/>
        </w:numPr>
        <w:spacing w:after="160"/>
        <w:jc w:val="both"/>
        <w:rPr>
          <w:rFonts w:asciiTheme="minorHAnsi" w:hAnsiTheme="minorHAnsi" w:cstheme="minorHAnsi"/>
          <w:sz w:val="24"/>
          <w:szCs w:val="24"/>
        </w:rPr>
      </w:pPr>
      <w:r w:rsidRPr="00851D6E">
        <w:rPr>
          <w:rFonts w:asciiTheme="minorHAnsi" w:hAnsiTheme="minorHAnsi" w:cstheme="minorHAnsi"/>
          <w:sz w:val="24"/>
          <w:szCs w:val="24"/>
        </w:rPr>
        <w:t>zajišťuje, aby údaje uvedené v písmeni d) byly shromažďovány, zadávány a ukládány v systému;</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zajišťuje, aby vybraná operace spadala do působnosti dotčeného fondu nebo fondů a do kategorie zásahu určené v prioritní ose nebo osách operačního programu;</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lastRenderedPageBreak/>
        <w:t>poskytne příjemci dokument, který stanoví podmínky podpory pro každou operaci, včetně zvláštních požadavků týkajících se produktů nebo služeb, jež mají být dodány v rámci operace, plánu financování a lhůty pro provedení;</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se před schválením operace přesvědčí, že příjemce má správní, finanční a provozní způsobilost ke splnění podmínek stanovených v písmeni h);</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se přesvědčí, že pokud operace začala před podáním žádosti o financování řídícímu orgánu, byly dodrženy unijní a vnitrostátní předpisy vztahující se na danou operaci;</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zajistí, aby žadatel po přemístění výrobní činnosti v rámci Unie neobdržel podporu z fondů, pokud s ním bylo nebo mělo být vedeno řízení o zpětném získání vyplacených částek podle článku 61;</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určí kategorie zásahů, kterým se mají připisovat výdaje operace.</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ověřuje, že spolufinancované produkty a služby byly dodány a že výdaje, jež příjemci vykázali, také skutečně zaplatili, a že je dodržen soulad s platnými unijními a vnitrostátními právními předpisy, operačním programem a podmínkami podpory operace;</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zajišťuje, aby příjemci zapojení do provádění operací hrazených na základě skutečně vynaložených způsobilých nákladů vedli buď oddělený účetní systém, nebo používali vhodný účetní kód pro všechny transakce související s operací;</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zavádí účinná a přiměřená opatření proti podvodům s přihlédnutím ke zjištěným rizikům;</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stanoví postupy k zajištění toho, aby všechny doklady týkající se výdajů a auditů, jež jsou nezbytné pro zajištění odpovídající auditní stopy, byly uchovávány v souladu s požadavky čl. 62 písm. g);</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vypracovává prohlášení řídícího subjektu o věrohodnosti fungování systému řízení a kontroly, zákonnosti a správnosti uskutečněných transakcí a dodržování zásady řádného finančního řízení, spolu se zprávou o výsledcích provedených kontrol řízení, o případných nedostatcích zjištěných v systému řízení a kontroly a o veškerých přijatých nápravných opatřeních.</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provádí správní ověření každé žádosti o úhradu předložené příjemcem,</w:t>
      </w:r>
    </w:p>
    <w:p w:rsidR="006A127B" w:rsidRPr="00851D6E" w:rsidRDefault="006A127B" w:rsidP="004B5801">
      <w:pPr>
        <w:pStyle w:val="Odstavecseseznamem"/>
        <w:numPr>
          <w:ilvl w:val="0"/>
          <w:numId w:val="23"/>
        </w:numPr>
        <w:spacing w:after="160"/>
        <w:ind w:left="714" w:hanging="357"/>
        <w:jc w:val="both"/>
        <w:rPr>
          <w:rFonts w:asciiTheme="minorHAnsi" w:hAnsiTheme="minorHAnsi" w:cstheme="minorHAnsi"/>
          <w:sz w:val="24"/>
          <w:szCs w:val="24"/>
        </w:rPr>
      </w:pPr>
      <w:r w:rsidRPr="00851D6E">
        <w:rPr>
          <w:rFonts w:asciiTheme="minorHAnsi" w:hAnsiTheme="minorHAnsi" w:cstheme="minorHAnsi"/>
          <w:sz w:val="24"/>
          <w:szCs w:val="24"/>
        </w:rPr>
        <w:t>provádí ověření operací na místě.</w:t>
      </w:r>
    </w:p>
    <w:p w:rsidR="006A127B" w:rsidRPr="00851D6E" w:rsidRDefault="006A127B" w:rsidP="006A127B">
      <w:pPr>
        <w:jc w:val="both"/>
        <w:rPr>
          <w:rFonts w:asciiTheme="minorHAnsi" w:hAnsiTheme="minorHAnsi" w:cstheme="minorHAnsi"/>
          <w:sz w:val="24"/>
          <w:szCs w:val="24"/>
        </w:rPr>
      </w:pPr>
    </w:p>
    <w:p w:rsidR="006A127B" w:rsidRPr="00851D6E" w:rsidRDefault="006A127B" w:rsidP="006A127B">
      <w:pPr>
        <w:jc w:val="both"/>
        <w:rPr>
          <w:rFonts w:asciiTheme="minorHAnsi" w:hAnsiTheme="minorHAnsi" w:cstheme="minorHAnsi"/>
          <w:b/>
          <w:sz w:val="24"/>
          <w:szCs w:val="24"/>
        </w:rPr>
      </w:pPr>
      <w:r w:rsidRPr="00851D6E">
        <w:rPr>
          <w:rFonts w:asciiTheme="minorHAnsi" w:hAnsiTheme="minorHAnsi" w:cstheme="minorHAnsi"/>
          <w:b/>
          <w:sz w:val="24"/>
          <w:szCs w:val="24"/>
        </w:rPr>
        <w:t>Monitorovací výbor</w:t>
      </w:r>
    </w:p>
    <w:p w:rsidR="006A127B" w:rsidRPr="00DD04E7" w:rsidRDefault="006A127B" w:rsidP="006A127B">
      <w:pPr>
        <w:jc w:val="both"/>
        <w:rPr>
          <w:rFonts w:asciiTheme="minorHAnsi" w:hAnsiTheme="minorHAnsi" w:cstheme="minorHAnsi"/>
          <w:sz w:val="24"/>
          <w:szCs w:val="24"/>
        </w:rPr>
      </w:pPr>
      <w:r w:rsidRPr="00851D6E">
        <w:rPr>
          <w:rFonts w:asciiTheme="minorHAnsi" w:hAnsiTheme="minorHAnsi" w:cstheme="minorHAnsi"/>
          <w:sz w:val="24"/>
          <w:szCs w:val="24"/>
        </w:rPr>
        <w:t>Monitorovací výbor je zřizován v soulad</w:t>
      </w:r>
      <w:r w:rsidRPr="00DD04E7">
        <w:rPr>
          <w:rFonts w:asciiTheme="minorHAnsi" w:hAnsiTheme="minorHAnsi" w:cstheme="minorHAnsi"/>
          <w:sz w:val="24"/>
          <w:szCs w:val="24"/>
        </w:rPr>
        <w:t xml:space="preserve">u s čl. 43 obecného nařízení. Úkolem monitorovacího výboru je monitorovat programu s cílem přezkoumání jeho provádění a pokroku směrem k dosažení cílů programu. </w:t>
      </w:r>
    </w:p>
    <w:p w:rsidR="006A127B" w:rsidRPr="00DD04E7" w:rsidRDefault="006A127B" w:rsidP="00A448F1">
      <w:pPr>
        <w:spacing w:after="120"/>
        <w:jc w:val="both"/>
        <w:rPr>
          <w:rFonts w:asciiTheme="minorHAnsi" w:hAnsiTheme="minorHAnsi" w:cstheme="minorHAnsi"/>
          <w:sz w:val="24"/>
          <w:szCs w:val="24"/>
        </w:rPr>
      </w:pPr>
      <w:r w:rsidRPr="00DD04E7">
        <w:rPr>
          <w:rFonts w:asciiTheme="minorHAnsi" w:hAnsiTheme="minorHAnsi" w:cstheme="minorHAnsi"/>
          <w:sz w:val="24"/>
          <w:szCs w:val="24"/>
        </w:rPr>
        <w:t xml:space="preserve">Monitorovací výbor se skládá ze zástupců řídícího orgánu a zprostředkujících subjektů a zástupců partnerů (odbory ministerstev, partnerská ministerstva, kraje, obce, nestátní neziskové organizace apod.). Každý člen monitorovacího výboru má hlasovací právo. Komise se účastní činnosti monitorovacího výboru jako poradce. Monitorovacímu výboru předsedá zástupce členského státu nebo řídícího orgánu. Výběr řádných členů monitorovacího výboru musí být prováděn transparentně a na základě principu partnerství. </w:t>
      </w:r>
    </w:p>
    <w:p w:rsidR="006A127B" w:rsidRPr="00DD04E7" w:rsidRDefault="006A127B" w:rsidP="004B5801">
      <w:pPr>
        <w:jc w:val="both"/>
        <w:rPr>
          <w:rFonts w:asciiTheme="minorHAnsi" w:hAnsiTheme="minorHAnsi" w:cstheme="minorHAnsi"/>
          <w:sz w:val="24"/>
          <w:szCs w:val="24"/>
        </w:rPr>
      </w:pPr>
      <w:r w:rsidRPr="00DD04E7">
        <w:rPr>
          <w:rFonts w:asciiTheme="minorHAnsi" w:hAnsiTheme="minorHAnsi" w:cstheme="minorHAnsi"/>
          <w:sz w:val="24"/>
          <w:szCs w:val="24"/>
        </w:rPr>
        <w:t>Funkce monitorovacího výboru jsou popsány v čl. 43 a čl. 100 obecného nařízení:</w:t>
      </w:r>
    </w:p>
    <w:p w:rsidR="006A127B" w:rsidRPr="00851D6E" w:rsidRDefault="006A127B" w:rsidP="004B5801">
      <w:pPr>
        <w:pStyle w:val="Odstavecseseznamem"/>
        <w:numPr>
          <w:ilvl w:val="0"/>
          <w:numId w:val="24"/>
        </w:numPr>
        <w:spacing w:after="160"/>
        <w:jc w:val="both"/>
        <w:rPr>
          <w:rFonts w:asciiTheme="minorHAnsi" w:hAnsiTheme="minorHAnsi" w:cstheme="minorHAnsi"/>
          <w:sz w:val="24"/>
          <w:szCs w:val="24"/>
        </w:rPr>
      </w:pPr>
      <w:r w:rsidRPr="00DD04E7">
        <w:rPr>
          <w:rFonts w:asciiTheme="minorHAnsi" w:hAnsiTheme="minorHAnsi" w:cstheme="minorHAnsi"/>
          <w:sz w:val="24"/>
          <w:szCs w:val="24"/>
        </w:rPr>
        <w:t>Monitorovací výbor se schází nejméně jednou za rok a posuzuje p</w:t>
      </w:r>
      <w:r w:rsidRPr="00851D6E">
        <w:rPr>
          <w:rFonts w:asciiTheme="minorHAnsi" w:hAnsiTheme="minorHAnsi" w:cstheme="minorHAnsi"/>
          <w:sz w:val="24"/>
          <w:szCs w:val="24"/>
        </w:rPr>
        <w:t xml:space="preserve">rovádění programu a pokrok směrem k dosažení jeho cílů. Přitom zohledňuje finanční údaje, společné </w:t>
      </w:r>
      <w:r w:rsidRPr="00851D6E">
        <w:rPr>
          <w:rFonts w:asciiTheme="minorHAnsi" w:hAnsiTheme="minorHAnsi" w:cstheme="minorHAnsi"/>
          <w:sz w:val="24"/>
          <w:szCs w:val="24"/>
        </w:rPr>
        <w:lastRenderedPageBreak/>
        <w:t>ukazatele a ukazatele specifické pro jednotlivé programy, včetně změn ukazatelů výsledků, pokrok k dosažení vyčíslených cílových hodnot a milníky vymezené ve výkonnostním rámci.</w:t>
      </w:r>
    </w:p>
    <w:p w:rsidR="006A127B" w:rsidRPr="00851D6E" w:rsidRDefault="006A127B" w:rsidP="004B5801">
      <w:pPr>
        <w:pStyle w:val="Odstavecseseznamem"/>
        <w:numPr>
          <w:ilvl w:val="0"/>
          <w:numId w:val="24"/>
        </w:numPr>
        <w:spacing w:after="160"/>
        <w:jc w:val="both"/>
        <w:rPr>
          <w:rFonts w:asciiTheme="minorHAnsi" w:hAnsiTheme="minorHAnsi" w:cstheme="minorHAnsi"/>
          <w:sz w:val="24"/>
          <w:szCs w:val="24"/>
        </w:rPr>
      </w:pPr>
      <w:r w:rsidRPr="00851D6E">
        <w:rPr>
          <w:rFonts w:asciiTheme="minorHAnsi" w:hAnsiTheme="minorHAnsi" w:cstheme="minorHAnsi"/>
          <w:sz w:val="24"/>
          <w:szCs w:val="24"/>
        </w:rPr>
        <w:t>Monitorovací výbor se podrobně zabývá všemi aspekty, které ovlivňují výkonnost programu.</w:t>
      </w:r>
    </w:p>
    <w:p w:rsidR="006A127B" w:rsidRPr="00851D6E" w:rsidRDefault="006A127B" w:rsidP="004B5801">
      <w:pPr>
        <w:pStyle w:val="Odstavecseseznamem"/>
        <w:numPr>
          <w:ilvl w:val="0"/>
          <w:numId w:val="24"/>
        </w:numPr>
        <w:spacing w:after="160"/>
        <w:jc w:val="both"/>
        <w:rPr>
          <w:rFonts w:asciiTheme="minorHAnsi" w:hAnsiTheme="minorHAnsi" w:cstheme="minorHAnsi"/>
          <w:sz w:val="24"/>
          <w:szCs w:val="24"/>
        </w:rPr>
      </w:pPr>
      <w:r w:rsidRPr="00851D6E">
        <w:rPr>
          <w:rFonts w:asciiTheme="minorHAnsi" w:hAnsiTheme="minorHAnsi" w:cstheme="minorHAnsi"/>
          <w:sz w:val="24"/>
          <w:szCs w:val="24"/>
        </w:rPr>
        <w:t>Monitorovací výbor je konzultován v otázce změn programu navrhovaných řídícím orgánem a vydává k těmto změnám své stanovisko.</w:t>
      </w:r>
    </w:p>
    <w:p w:rsidR="006A127B" w:rsidRPr="00851D6E" w:rsidRDefault="006A127B" w:rsidP="004B5801">
      <w:pPr>
        <w:pStyle w:val="Odstavecseseznamem"/>
        <w:numPr>
          <w:ilvl w:val="0"/>
          <w:numId w:val="24"/>
        </w:numPr>
        <w:spacing w:after="160"/>
        <w:jc w:val="both"/>
        <w:rPr>
          <w:rFonts w:asciiTheme="minorHAnsi" w:hAnsiTheme="minorHAnsi" w:cstheme="minorHAnsi"/>
          <w:sz w:val="24"/>
          <w:szCs w:val="24"/>
        </w:rPr>
      </w:pPr>
      <w:r w:rsidRPr="00851D6E">
        <w:rPr>
          <w:rFonts w:asciiTheme="minorHAnsi" w:hAnsiTheme="minorHAnsi" w:cstheme="minorHAnsi"/>
          <w:sz w:val="24"/>
          <w:szCs w:val="24"/>
        </w:rPr>
        <w:t>Monitorovací výbor může řídícímu orgánu poskytnout doporučení ohledně provádění programu a jeho hodnocení. Monitoruje opatření přijatá na základě jeho doporučení.</w:t>
      </w:r>
    </w:p>
    <w:p w:rsidR="006A127B" w:rsidRPr="00851D6E" w:rsidRDefault="006A127B" w:rsidP="004B5801">
      <w:pPr>
        <w:jc w:val="both"/>
        <w:rPr>
          <w:rFonts w:asciiTheme="minorHAnsi" w:hAnsiTheme="minorHAnsi" w:cstheme="minorHAnsi"/>
          <w:sz w:val="24"/>
          <w:szCs w:val="24"/>
        </w:rPr>
      </w:pPr>
      <w:r w:rsidRPr="00851D6E">
        <w:rPr>
          <w:rFonts w:asciiTheme="minorHAnsi" w:hAnsiTheme="minorHAnsi" w:cstheme="minorHAnsi"/>
          <w:sz w:val="24"/>
          <w:szCs w:val="24"/>
        </w:rPr>
        <w:t>Monitorovací výbor prověřuje:</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veškeré otázky, které nepříznivě ovlivňují výkonnost operačního programu;</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pokrok při provádění plánu hodnocení a opatření přijatá v návaznosti na závěry hodnocení;</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provádění komunikační strategie;</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provádění velkých projektů;</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provádění společných akčních plánů;</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opatření na podporu rovnosti mezi muži a ženami, rovných příležitostí a zákazu diskriminace, včetně přístupnosti pro osoby se zdravotním postižením;</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opatření na podporu udržitelného rozvoje;</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opatření v rámci operačního programu týkající se plnění předběžných</w:t>
      </w:r>
    </w:p>
    <w:p w:rsidR="006A127B" w:rsidRPr="00851D6E" w:rsidRDefault="006A127B" w:rsidP="004B5801">
      <w:pPr>
        <w:pStyle w:val="Odstavecseseznamem"/>
        <w:numPr>
          <w:ilvl w:val="0"/>
          <w:numId w:val="25"/>
        </w:numPr>
        <w:spacing w:after="160"/>
        <w:jc w:val="both"/>
        <w:rPr>
          <w:rFonts w:asciiTheme="minorHAnsi" w:hAnsiTheme="minorHAnsi" w:cstheme="minorHAnsi"/>
          <w:sz w:val="24"/>
          <w:szCs w:val="24"/>
        </w:rPr>
      </w:pPr>
      <w:r w:rsidRPr="00851D6E">
        <w:rPr>
          <w:rFonts w:asciiTheme="minorHAnsi" w:hAnsiTheme="minorHAnsi" w:cstheme="minorHAnsi"/>
          <w:sz w:val="24"/>
          <w:szCs w:val="24"/>
        </w:rPr>
        <w:t>finanční nástroje.</w:t>
      </w:r>
    </w:p>
    <w:p w:rsidR="006A127B" w:rsidRPr="00851D6E" w:rsidRDefault="006A127B" w:rsidP="004B5801">
      <w:pPr>
        <w:jc w:val="both"/>
        <w:rPr>
          <w:rFonts w:asciiTheme="minorHAnsi" w:hAnsiTheme="minorHAnsi" w:cstheme="minorHAnsi"/>
          <w:sz w:val="24"/>
          <w:szCs w:val="24"/>
        </w:rPr>
      </w:pPr>
      <w:r w:rsidRPr="00851D6E">
        <w:rPr>
          <w:rFonts w:asciiTheme="minorHAnsi" w:hAnsiTheme="minorHAnsi" w:cstheme="minorHAnsi"/>
          <w:sz w:val="24"/>
          <w:szCs w:val="24"/>
        </w:rPr>
        <w:t>Monitorovací výbor prověřuje a schvaluje:</w:t>
      </w:r>
    </w:p>
    <w:p w:rsidR="006A127B" w:rsidRPr="00851D6E" w:rsidRDefault="006A127B" w:rsidP="004B5801">
      <w:pPr>
        <w:pStyle w:val="Odstavecseseznamem"/>
        <w:numPr>
          <w:ilvl w:val="0"/>
          <w:numId w:val="26"/>
        </w:numPr>
        <w:spacing w:after="160"/>
        <w:jc w:val="both"/>
        <w:rPr>
          <w:rFonts w:asciiTheme="minorHAnsi" w:hAnsiTheme="minorHAnsi" w:cstheme="minorHAnsi"/>
          <w:sz w:val="24"/>
          <w:szCs w:val="24"/>
        </w:rPr>
      </w:pPr>
      <w:r w:rsidRPr="00851D6E">
        <w:rPr>
          <w:rFonts w:asciiTheme="minorHAnsi" w:hAnsiTheme="minorHAnsi" w:cstheme="minorHAnsi"/>
          <w:sz w:val="24"/>
          <w:szCs w:val="24"/>
        </w:rPr>
        <w:t>metodiku a kritéria výběru operací;</w:t>
      </w:r>
    </w:p>
    <w:p w:rsidR="006A127B" w:rsidRPr="00851D6E" w:rsidRDefault="006A127B" w:rsidP="004B5801">
      <w:pPr>
        <w:pStyle w:val="Odstavecseseznamem"/>
        <w:numPr>
          <w:ilvl w:val="0"/>
          <w:numId w:val="26"/>
        </w:numPr>
        <w:spacing w:after="160"/>
        <w:jc w:val="both"/>
        <w:rPr>
          <w:rFonts w:asciiTheme="minorHAnsi" w:hAnsiTheme="minorHAnsi" w:cstheme="minorHAnsi"/>
          <w:sz w:val="24"/>
          <w:szCs w:val="24"/>
        </w:rPr>
      </w:pPr>
      <w:r w:rsidRPr="00851D6E">
        <w:rPr>
          <w:rFonts w:asciiTheme="minorHAnsi" w:hAnsiTheme="minorHAnsi" w:cstheme="minorHAnsi"/>
          <w:sz w:val="24"/>
          <w:szCs w:val="24"/>
        </w:rPr>
        <w:t>výroční a závěrečné zprávy o provádění;</w:t>
      </w:r>
    </w:p>
    <w:p w:rsidR="006A127B" w:rsidRPr="00851D6E" w:rsidRDefault="006A127B" w:rsidP="004B5801">
      <w:pPr>
        <w:pStyle w:val="Odstavecseseznamem"/>
        <w:numPr>
          <w:ilvl w:val="0"/>
          <w:numId w:val="26"/>
        </w:numPr>
        <w:spacing w:after="160"/>
        <w:jc w:val="both"/>
        <w:rPr>
          <w:rFonts w:asciiTheme="minorHAnsi" w:hAnsiTheme="minorHAnsi" w:cstheme="minorHAnsi"/>
          <w:sz w:val="24"/>
          <w:szCs w:val="24"/>
        </w:rPr>
      </w:pPr>
      <w:r w:rsidRPr="00851D6E">
        <w:rPr>
          <w:rFonts w:asciiTheme="minorHAnsi" w:hAnsiTheme="minorHAnsi" w:cstheme="minorHAnsi"/>
          <w:sz w:val="24"/>
          <w:szCs w:val="24"/>
        </w:rPr>
        <w:t>plán hodnocení pro operační program a případné změny tohoto plánu;</w:t>
      </w:r>
    </w:p>
    <w:p w:rsidR="006A127B" w:rsidRPr="00851D6E" w:rsidRDefault="006A127B" w:rsidP="004B5801">
      <w:pPr>
        <w:pStyle w:val="Odstavecseseznamem"/>
        <w:numPr>
          <w:ilvl w:val="0"/>
          <w:numId w:val="26"/>
        </w:numPr>
        <w:spacing w:after="160"/>
        <w:jc w:val="both"/>
        <w:rPr>
          <w:rFonts w:asciiTheme="minorHAnsi" w:hAnsiTheme="minorHAnsi" w:cstheme="minorHAnsi"/>
          <w:sz w:val="24"/>
          <w:szCs w:val="24"/>
        </w:rPr>
      </w:pPr>
      <w:r w:rsidRPr="00851D6E">
        <w:rPr>
          <w:rFonts w:asciiTheme="minorHAnsi" w:hAnsiTheme="minorHAnsi" w:cstheme="minorHAnsi"/>
          <w:sz w:val="24"/>
          <w:szCs w:val="24"/>
        </w:rPr>
        <w:t>komunikační strategii pro operační program a případné změny této strategie;</w:t>
      </w:r>
    </w:p>
    <w:p w:rsidR="006A127B" w:rsidRPr="00851D6E" w:rsidRDefault="006A127B" w:rsidP="004B5801">
      <w:pPr>
        <w:pStyle w:val="Odstavecseseznamem"/>
        <w:numPr>
          <w:ilvl w:val="0"/>
          <w:numId w:val="26"/>
        </w:numPr>
        <w:spacing w:after="160"/>
        <w:jc w:val="both"/>
        <w:rPr>
          <w:rFonts w:asciiTheme="minorHAnsi" w:hAnsiTheme="minorHAnsi" w:cstheme="minorHAnsi"/>
          <w:sz w:val="24"/>
          <w:szCs w:val="24"/>
        </w:rPr>
      </w:pPr>
      <w:r w:rsidRPr="00851D6E">
        <w:rPr>
          <w:rFonts w:asciiTheme="minorHAnsi" w:hAnsiTheme="minorHAnsi" w:cstheme="minorHAnsi"/>
          <w:sz w:val="24"/>
          <w:szCs w:val="24"/>
        </w:rPr>
        <w:t>jakýkoli návrh řídícího orgánu na případnou změnu operačního programu.</w:t>
      </w:r>
    </w:p>
    <w:p w:rsidR="006A127B" w:rsidRPr="00851D6E" w:rsidRDefault="006A127B" w:rsidP="004D277D">
      <w:pPr>
        <w:jc w:val="both"/>
        <w:rPr>
          <w:rFonts w:asciiTheme="minorHAnsi" w:hAnsiTheme="minorHAnsi" w:cstheme="minorHAnsi"/>
          <w:b/>
          <w:sz w:val="24"/>
          <w:szCs w:val="24"/>
        </w:rPr>
      </w:pPr>
      <w:r w:rsidRPr="00851D6E">
        <w:rPr>
          <w:rFonts w:asciiTheme="minorHAnsi" w:hAnsiTheme="minorHAnsi" w:cstheme="minorHAnsi"/>
          <w:b/>
          <w:sz w:val="24"/>
          <w:szCs w:val="24"/>
        </w:rPr>
        <w:t>Zprostředkující subjekt</w:t>
      </w:r>
    </w:p>
    <w:p w:rsidR="006A127B" w:rsidRPr="00851D6E" w:rsidRDefault="006A127B" w:rsidP="004D277D">
      <w:pPr>
        <w:spacing w:after="120"/>
        <w:jc w:val="both"/>
        <w:rPr>
          <w:rFonts w:asciiTheme="minorHAnsi" w:hAnsiTheme="minorHAnsi" w:cstheme="minorHAnsi"/>
          <w:sz w:val="24"/>
          <w:szCs w:val="24"/>
        </w:rPr>
      </w:pPr>
      <w:r w:rsidRPr="00851D6E">
        <w:rPr>
          <w:rFonts w:asciiTheme="minorHAnsi" w:hAnsiTheme="minorHAnsi" w:cstheme="minorHAnsi"/>
          <w:sz w:val="24"/>
          <w:szCs w:val="24"/>
        </w:rPr>
        <w:t xml:space="preserve">Zprostředkující subjekt je veřejný nebo soukromý subjekt, který jedná v odpovědnosti Řídících orgánů nebo provádí jejich jménem činnosti týkající se konečných příjemců. V praxi se stává partnerem předkladatelů projektových žádostí v rámci konkrétního operačního programu (zejména při komunikaci ohledně výběru a následné realizace projektu). Řídicí orgán OP PIK deleguje výkony některých činností v rámci implementace v některých oblastech podpory na zprostředkující subjekty. Tato skutečnost nemá vliv na celkovou odpovědnost Řídicího orgánu na řízení a implementaci operačního programu. Konkrétní rozdělení činností mezi Řídicím orgánem a zprostředkujícími subjekty bude závazně písemně upraveno dohodou nebo jednostranným opatřením a navazujícími dokumenty. Zprostředkující subjekt musí mít plně funkční systém vnitřní kontroly. </w:t>
      </w:r>
    </w:p>
    <w:p w:rsidR="006A127B" w:rsidRPr="00851D6E" w:rsidRDefault="006A127B" w:rsidP="004D277D">
      <w:pPr>
        <w:spacing w:after="120"/>
        <w:jc w:val="both"/>
        <w:rPr>
          <w:rFonts w:asciiTheme="minorHAnsi" w:hAnsiTheme="minorHAnsi" w:cstheme="minorHAnsi"/>
          <w:sz w:val="24"/>
          <w:szCs w:val="24"/>
        </w:rPr>
      </w:pPr>
      <w:r w:rsidRPr="00851D6E">
        <w:rPr>
          <w:rFonts w:asciiTheme="minorHAnsi" w:hAnsiTheme="minorHAnsi" w:cstheme="minorHAnsi"/>
          <w:sz w:val="24"/>
          <w:szCs w:val="24"/>
        </w:rPr>
        <w:t>Zprostředkujícím subjektem v implementační struktuře OP PIK je agentura pro podporu podnikání a investic CzechInvest.</w:t>
      </w:r>
    </w:p>
    <w:p w:rsidR="006A127B" w:rsidRPr="00851D6E" w:rsidRDefault="006A127B" w:rsidP="004D277D">
      <w:pPr>
        <w:jc w:val="both"/>
        <w:rPr>
          <w:rFonts w:asciiTheme="minorHAnsi" w:hAnsiTheme="minorHAnsi" w:cstheme="minorHAnsi"/>
          <w:sz w:val="24"/>
          <w:szCs w:val="24"/>
        </w:rPr>
      </w:pPr>
      <w:r w:rsidRPr="00851D6E">
        <w:rPr>
          <w:rFonts w:asciiTheme="minorHAnsi" w:hAnsiTheme="minorHAnsi" w:cstheme="minorHAnsi"/>
          <w:sz w:val="24"/>
          <w:szCs w:val="24"/>
        </w:rPr>
        <w:t xml:space="preserve">V případě, že to povede k efektivnějšímu systému implementace programu, mohou být implementační ustanovení popsaná v této kapitole upravena, při respektování příslušné evropské legislativy a národní legislativy. </w:t>
      </w:r>
    </w:p>
    <w:p w:rsidR="006A127B" w:rsidRDefault="006A127B" w:rsidP="006A127B">
      <w:pPr>
        <w:jc w:val="both"/>
        <w:rPr>
          <w:sz w:val="28"/>
          <w:szCs w:val="28"/>
        </w:rPr>
      </w:pPr>
    </w:p>
    <w:p w:rsidR="00A448F1" w:rsidRPr="00A448F1" w:rsidRDefault="00A448F1" w:rsidP="006A127B">
      <w:pPr>
        <w:jc w:val="both"/>
        <w:rPr>
          <w:rFonts w:asciiTheme="minorHAnsi" w:hAnsiTheme="minorHAnsi" w:cstheme="minorHAnsi"/>
          <w:color w:val="FF0000"/>
          <w:sz w:val="24"/>
          <w:szCs w:val="24"/>
        </w:rPr>
      </w:pPr>
      <w:r w:rsidRPr="00A448F1">
        <w:rPr>
          <w:rFonts w:asciiTheme="minorHAnsi" w:hAnsiTheme="minorHAnsi" w:cstheme="minorHAnsi"/>
          <w:color w:val="FF0000"/>
          <w:sz w:val="24"/>
          <w:szCs w:val="24"/>
        </w:rPr>
        <w:t>Bude zpracováváno v návaznosti na projednávání příslušné legislativy.</w:t>
      </w:r>
    </w:p>
    <w:p w:rsidR="006A127B" w:rsidRPr="00E45000" w:rsidRDefault="006A127B" w:rsidP="004B5801">
      <w:pPr>
        <w:pStyle w:val="Nadpis2"/>
        <w:spacing w:line="240" w:lineRule="auto"/>
      </w:pPr>
      <w:bookmarkStart w:id="142" w:name="_Toc352328400"/>
      <w:bookmarkStart w:id="143" w:name="_Toc351464434"/>
      <w:r w:rsidRPr="00E45000">
        <w:t>Zapojení partnerů</w:t>
      </w:r>
      <w:bookmarkEnd w:id="142"/>
      <w:r w:rsidRPr="00E45000">
        <w:t xml:space="preserve"> </w:t>
      </w:r>
      <w:bookmarkEnd w:id="143"/>
    </w:p>
    <w:p w:rsidR="006A127B" w:rsidRPr="00A448F1" w:rsidRDefault="00A448F1" w:rsidP="004B5801">
      <w:pPr>
        <w:ind w:left="705" w:hanging="705"/>
        <w:jc w:val="both"/>
        <w:rPr>
          <w:rFonts w:asciiTheme="minorHAnsi" w:hAnsiTheme="minorHAnsi" w:cstheme="minorHAnsi"/>
          <w:color w:val="FF0000"/>
          <w:sz w:val="24"/>
          <w:szCs w:val="24"/>
        </w:rPr>
      </w:pPr>
      <w:r w:rsidRPr="00A448F1">
        <w:rPr>
          <w:rFonts w:asciiTheme="minorHAnsi" w:hAnsiTheme="minorHAnsi" w:cstheme="minorHAnsi"/>
          <w:color w:val="FF0000"/>
          <w:sz w:val="24"/>
          <w:szCs w:val="24"/>
        </w:rPr>
        <w:t>V této fázi přípravy OP PIK není řešeno.</w:t>
      </w:r>
    </w:p>
    <w:p w:rsidR="006A127B" w:rsidRPr="00E45000" w:rsidRDefault="006A127B" w:rsidP="004B5801">
      <w:pPr>
        <w:pStyle w:val="Nadpis3"/>
        <w:spacing w:line="240" w:lineRule="auto"/>
      </w:pPr>
      <w:bookmarkStart w:id="144" w:name="_Toc351464435"/>
      <w:bookmarkStart w:id="145" w:name="_Toc352328401"/>
      <w:r w:rsidRPr="00E45000">
        <w:t>Role partnerů při implementaci, monitoringu</w:t>
      </w:r>
      <w:r w:rsidR="00851D6E">
        <w:t xml:space="preserve"> a evaluaci operačního programu</w:t>
      </w:r>
      <w:bookmarkEnd w:id="144"/>
      <w:bookmarkEnd w:id="145"/>
    </w:p>
    <w:p w:rsidR="006A127B" w:rsidRDefault="006A127B" w:rsidP="004B5801">
      <w:pPr>
        <w:jc w:val="both"/>
        <w:rPr>
          <w:b/>
          <w:iCs/>
          <w:sz w:val="24"/>
          <w:szCs w:val="24"/>
        </w:rPr>
      </w:pPr>
    </w:p>
    <w:p w:rsidR="006A127B" w:rsidRPr="00E45000" w:rsidRDefault="006A127B" w:rsidP="004B5801">
      <w:pPr>
        <w:pStyle w:val="Nadpis3"/>
        <w:spacing w:line="240" w:lineRule="auto"/>
      </w:pPr>
      <w:bookmarkStart w:id="146" w:name="_Toc351464436"/>
      <w:bookmarkStart w:id="147" w:name="_Toc352328402"/>
      <w:r w:rsidRPr="00E45000">
        <w:t>Pro ESF: Globální granty (článek 6 (1) specifického nařízení k ESF)</w:t>
      </w:r>
      <w:bookmarkEnd w:id="146"/>
      <w:bookmarkEnd w:id="147"/>
    </w:p>
    <w:p w:rsidR="006A127B" w:rsidRDefault="006A127B" w:rsidP="004B5801">
      <w:pPr>
        <w:spacing w:before="60" w:after="60"/>
        <w:ind w:left="705" w:hanging="705"/>
        <w:rPr>
          <w:b/>
          <w:iCs/>
          <w:sz w:val="24"/>
          <w:szCs w:val="24"/>
        </w:rPr>
      </w:pPr>
    </w:p>
    <w:p w:rsidR="006A127B" w:rsidRPr="00851D6E" w:rsidRDefault="006A127B" w:rsidP="004B5801">
      <w:pPr>
        <w:pStyle w:val="Nadpis3"/>
        <w:spacing w:line="240" w:lineRule="auto"/>
      </w:pPr>
      <w:bookmarkStart w:id="148" w:name="_Toc351464437"/>
      <w:bookmarkStart w:id="149" w:name="_Toc352328403"/>
      <w:r w:rsidRPr="00851D6E">
        <w:t>Pro ESF, pokud je relevantní: Vyčlenění prostředků na budování administrativní kapacity</w:t>
      </w:r>
      <w:bookmarkEnd w:id="148"/>
      <w:bookmarkEnd w:id="149"/>
    </w:p>
    <w:p w:rsidR="006A127B" w:rsidRDefault="006A127B" w:rsidP="004B5801">
      <w:pPr>
        <w:jc w:val="both"/>
        <w:rPr>
          <w:szCs w:val="22"/>
        </w:rPr>
      </w:pPr>
    </w:p>
    <w:p w:rsidR="006A127B" w:rsidRPr="00FB3B08" w:rsidRDefault="006A127B" w:rsidP="006A127B">
      <w:pPr>
        <w:jc w:val="both"/>
        <w:rPr>
          <w:szCs w:val="22"/>
        </w:rPr>
      </w:pPr>
    </w:p>
    <w:p w:rsidR="006A127B" w:rsidRPr="004731D0" w:rsidRDefault="006A127B" w:rsidP="00722F74">
      <w:pPr>
        <w:jc w:val="both"/>
        <w:rPr>
          <w:rFonts w:ascii="Calibri" w:hAnsi="Calibri" w:cs="Calibri"/>
          <w:sz w:val="28"/>
          <w:szCs w:val="28"/>
        </w:rPr>
      </w:pPr>
    </w:p>
    <w:p w:rsidR="009E6172" w:rsidRPr="00851D6E" w:rsidRDefault="009E6172" w:rsidP="00851D6E">
      <w:pPr>
        <w:pStyle w:val="Nadpis1"/>
      </w:pPr>
      <w:bookmarkStart w:id="150" w:name="_Toc351464438"/>
      <w:bookmarkStart w:id="151" w:name="_Toc352328404"/>
      <w:r w:rsidRPr="00851D6E">
        <w:lastRenderedPageBreak/>
        <w:t>Mechanismus k zajištění koordinace</w:t>
      </w:r>
      <w:bookmarkEnd w:id="150"/>
      <w:bookmarkEnd w:id="151"/>
    </w:p>
    <w:p w:rsidR="00722F74" w:rsidRPr="004731D0" w:rsidRDefault="00722F74" w:rsidP="00C5386D">
      <w:pPr>
        <w:jc w:val="both"/>
        <w:rPr>
          <w:rFonts w:ascii="Calibri" w:hAnsi="Calibri" w:cs="Calibri"/>
          <w:sz w:val="28"/>
          <w:szCs w:val="28"/>
        </w:rPr>
      </w:pPr>
    </w:p>
    <w:p w:rsidR="009222E7" w:rsidRPr="004B5801" w:rsidRDefault="00722F74" w:rsidP="009222E7">
      <w:pPr>
        <w:overflowPunct/>
        <w:textAlignment w:val="auto"/>
        <w:rPr>
          <w:rFonts w:ascii="Calibri" w:hAnsi="Calibri" w:cs="Calibri"/>
          <w:bCs/>
          <w:i/>
          <w:color w:val="FF0000"/>
          <w:sz w:val="24"/>
          <w:szCs w:val="24"/>
        </w:rPr>
      </w:pPr>
      <w:r w:rsidRPr="004B5801">
        <w:rPr>
          <w:rFonts w:ascii="Calibri" w:hAnsi="Calibri" w:cs="Calibri"/>
          <w:i/>
          <w:color w:val="FF0000"/>
          <w:sz w:val="24"/>
          <w:szCs w:val="24"/>
        </w:rPr>
        <w:t>…</w:t>
      </w:r>
      <w:r w:rsidR="00A87F9B" w:rsidRPr="004B5801">
        <w:rPr>
          <w:rFonts w:ascii="Calibri" w:hAnsi="Calibri" w:cs="Calibri"/>
          <w:i/>
          <w:color w:val="FF0000"/>
          <w:sz w:val="24"/>
          <w:szCs w:val="24"/>
        </w:rPr>
        <w:t>………</w:t>
      </w:r>
      <w:r w:rsidRPr="004B5801">
        <w:rPr>
          <w:rFonts w:ascii="Calibri" w:hAnsi="Calibri" w:cs="Calibri"/>
          <w:i/>
          <w:color w:val="FF0000"/>
          <w:sz w:val="24"/>
          <w:szCs w:val="24"/>
        </w:rPr>
        <w:t xml:space="preserve">……viz EK Draft template / </w:t>
      </w:r>
      <w:r w:rsidR="00A87F9B" w:rsidRPr="004B5801">
        <w:rPr>
          <w:rFonts w:ascii="Calibri" w:hAnsi="Calibri" w:cs="Calibri"/>
          <w:i/>
          <w:color w:val="FF0000"/>
          <w:sz w:val="24"/>
          <w:szCs w:val="24"/>
        </w:rPr>
        <w:t xml:space="preserve">verze </w:t>
      </w:r>
      <w:r w:rsidRPr="004B5801">
        <w:rPr>
          <w:rFonts w:ascii="Calibri" w:hAnsi="Calibri" w:cs="Calibri"/>
          <w:i/>
          <w:color w:val="FF0000"/>
          <w:sz w:val="24"/>
          <w:szCs w:val="24"/>
        </w:rPr>
        <w:t>leden 2013</w:t>
      </w:r>
      <w:r w:rsidR="00A87F9B" w:rsidRPr="004B5801">
        <w:rPr>
          <w:rFonts w:ascii="Calibri" w:hAnsi="Calibri" w:cs="Calibri"/>
          <w:i/>
          <w:color w:val="FF0000"/>
          <w:sz w:val="24"/>
          <w:szCs w:val="24"/>
        </w:rPr>
        <w:t xml:space="preserve"> (str. 35) a verze únor 2013 (str. 37) </w:t>
      </w:r>
      <w:r w:rsidR="00A87F9B" w:rsidRPr="004B5801">
        <w:rPr>
          <w:rFonts w:ascii="Calibri" w:hAnsi="Calibri" w:cs="Calibri"/>
          <w:b/>
          <w:i/>
          <w:color w:val="FF0000"/>
          <w:sz w:val="24"/>
          <w:szCs w:val="24"/>
        </w:rPr>
        <w:t xml:space="preserve">/ </w:t>
      </w:r>
      <w:r w:rsidRPr="004B5801">
        <w:rPr>
          <w:rFonts w:ascii="Calibri" w:hAnsi="Calibri" w:cs="Calibri"/>
          <w:b/>
          <w:i/>
          <w:color w:val="FF0000"/>
          <w:sz w:val="24"/>
          <w:szCs w:val="24"/>
        </w:rPr>
        <w:t xml:space="preserve">sekce </w:t>
      </w:r>
      <w:smartTag w:uri="urn:schemas-microsoft-com:office:smarttags" w:element="metricconverter">
        <w:smartTagPr>
          <w:attr w:name="ProductID" w:val="9 a"/>
        </w:smartTagPr>
        <w:r w:rsidR="00C5386D" w:rsidRPr="004B5801">
          <w:rPr>
            <w:rFonts w:ascii="Calibri" w:hAnsi="Calibri" w:cs="Calibri"/>
            <w:b/>
            <w:i/>
            <w:color w:val="FF0000"/>
            <w:sz w:val="24"/>
            <w:szCs w:val="24"/>
          </w:rPr>
          <w:t>9</w:t>
        </w:r>
        <w:r w:rsidR="00A87F9B" w:rsidRPr="004B5801">
          <w:rPr>
            <w:rFonts w:ascii="Calibri" w:hAnsi="Calibri" w:cs="Calibri"/>
            <w:i/>
            <w:color w:val="FF0000"/>
            <w:sz w:val="24"/>
            <w:szCs w:val="24"/>
          </w:rPr>
          <w:t xml:space="preserve"> a</w:t>
        </w:r>
      </w:smartTag>
      <w:r w:rsidR="00A87F9B" w:rsidRPr="004B5801">
        <w:rPr>
          <w:rFonts w:ascii="Calibri" w:hAnsi="Calibri" w:cs="Calibri"/>
          <w:i/>
          <w:color w:val="FF0000"/>
          <w:sz w:val="24"/>
          <w:szCs w:val="24"/>
        </w:rPr>
        <w:t xml:space="preserve"> </w:t>
      </w:r>
      <w:r w:rsidR="009222E7" w:rsidRPr="004B5801">
        <w:rPr>
          <w:rFonts w:ascii="Calibri" w:hAnsi="Calibri" w:cs="Calibri"/>
          <w:i/>
          <w:color w:val="FF0000"/>
          <w:sz w:val="24"/>
          <w:szCs w:val="24"/>
        </w:rPr>
        <w:t>Metodika, verze 1.0</w:t>
      </w:r>
      <w:r w:rsidR="00A87F9B" w:rsidRPr="004B5801">
        <w:rPr>
          <w:rFonts w:ascii="Calibri" w:hAnsi="Calibri" w:cs="Calibri"/>
          <w:i/>
          <w:color w:val="FF0000"/>
          <w:sz w:val="24"/>
          <w:szCs w:val="24"/>
        </w:rPr>
        <w:t xml:space="preserve"> </w:t>
      </w:r>
      <w:r w:rsidR="009222E7" w:rsidRPr="004B5801">
        <w:rPr>
          <w:rFonts w:ascii="Calibri" w:hAnsi="Calibri" w:cs="Calibri"/>
          <w:i/>
          <w:color w:val="FF0000"/>
          <w:sz w:val="24"/>
          <w:szCs w:val="24"/>
        </w:rPr>
        <w:t>únor 2013</w:t>
      </w:r>
      <w:r w:rsidR="00A87F9B" w:rsidRPr="004B5801">
        <w:rPr>
          <w:rFonts w:ascii="Calibri" w:hAnsi="Calibri" w:cs="Calibri"/>
          <w:i/>
          <w:color w:val="FF0000"/>
          <w:sz w:val="24"/>
          <w:szCs w:val="24"/>
        </w:rPr>
        <w:t xml:space="preserve"> / </w:t>
      </w:r>
      <w:r w:rsidR="009222E7" w:rsidRPr="004B5801">
        <w:rPr>
          <w:rFonts w:ascii="Calibri" w:hAnsi="Calibri" w:cs="Calibri"/>
          <w:b/>
          <w:i/>
          <w:color w:val="FF0000"/>
          <w:sz w:val="24"/>
          <w:szCs w:val="24"/>
        </w:rPr>
        <w:t>kap. 7.</w:t>
      </w:r>
      <w:r w:rsidR="0008119B" w:rsidRPr="004B5801">
        <w:rPr>
          <w:rFonts w:ascii="Calibri" w:hAnsi="Calibri" w:cs="Calibri"/>
          <w:b/>
          <w:i/>
          <w:color w:val="FF0000"/>
          <w:sz w:val="24"/>
          <w:szCs w:val="24"/>
        </w:rPr>
        <w:t>9</w:t>
      </w:r>
      <w:r w:rsidR="00A87F9B" w:rsidRPr="004B5801">
        <w:rPr>
          <w:rFonts w:ascii="Calibri" w:hAnsi="Calibri" w:cs="Calibri"/>
          <w:i/>
          <w:color w:val="FF0000"/>
          <w:sz w:val="24"/>
          <w:szCs w:val="24"/>
        </w:rPr>
        <w:t xml:space="preserve"> / </w:t>
      </w:r>
      <w:r w:rsidR="009222E7" w:rsidRPr="004B5801">
        <w:rPr>
          <w:rFonts w:ascii="Calibri" w:hAnsi="Calibri" w:cs="Calibri"/>
          <w:i/>
          <w:color w:val="FF0000"/>
          <w:sz w:val="24"/>
          <w:szCs w:val="24"/>
        </w:rPr>
        <w:t>str. 10</w:t>
      </w:r>
      <w:r w:rsidR="0008119B" w:rsidRPr="004B5801">
        <w:rPr>
          <w:rFonts w:ascii="Calibri" w:hAnsi="Calibri" w:cs="Calibri"/>
          <w:i/>
          <w:color w:val="FF0000"/>
          <w:sz w:val="24"/>
          <w:szCs w:val="24"/>
        </w:rPr>
        <w:t>8</w:t>
      </w:r>
    </w:p>
    <w:p w:rsidR="00722F74" w:rsidRPr="004B5801" w:rsidRDefault="00722F74" w:rsidP="00722F74">
      <w:pPr>
        <w:overflowPunct/>
        <w:jc w:val="both"/>
        <w:textAlignment w:val="auto"/>
        <w:rPr>
          <w:rFonts w:ascii="Calibri" w:hAnsi="Calibri" w:cs="Calibri"/>
          <w:sz w:val="24"/>
          <w:szCs w:val="24"/>
        </w:rPr>
      </w:pPr>
    </w:p>
    <w:p w:rsidR="00722F74" w:rsidRDefault="00A448F1" w:rsidP="00CF0F84">
      <w:pPr>
        <w:jc w:val="both"/>
        <w:rPr>
          <w:rFonts w:ascii="Calibri" w:hAnsi="Calibri" w:cs="Calibri"/>
          <w:color w:val="FF0000"/>
          <w:sz w:val="24"/>
          <w:szCs w:val="24"/>
        </w:rPr>
      </w:pPr>
      <w:r w:rsidRPr="004B5801">
        <w:rPr>
          <w:rFonts w:ascii="Calibri" w:hAnsi="Calibri" w:cs="Calibri"/>
          <w:color w:val="FF0000"/>
          <w:sz w:val="24"/>
          <w:szCs w:val="24"/>
        </w:rPr>
        <w:t>Bude řešeno v další fázi tvorby operačního programu</w:t>
      </w:r>
    </w:p>
    <w:p w:rsidR="00F03112" w:rsidRDefault="00F03112" w:rsidP="00CF0F84">
      <w:pPr>
        <w:jc w:val="both"/>
        <w:rPr>
          <w:rFonts w:ascii="Calibri" w:hAnsi="Calibri" w:cs="Calibri"/>
          <w:color w:val="FF0000"/>
          <w:sz w:val="24"/>
          <w:szCs w:val="24"/>
        </w:rPr>
      </w:pPr>
    </w:p>
    <w:p w:rsidR="00F03112" w:rsidRDefault="00F03112" w:rsidP="00F03112">
      <w:pPr>
        <w:pStyle w:val="Nadpis2"/>
      </w:pPr>
      <w:bookmarkStart w:id="152" w:name="_Toc352328405"/>
      <w:r w:rsidRPr="00F03112">
        <w:t>Hraniční oblasti</w:t>
      </w:r>
      <w:bookmarkEnd w:id="152"/>
    </w:p>
    <w:p w:rsidR="00476967" w:rsidRPr="00285DCF" w:rsidRDefault="00476967" w:rsidP="00F03112">
      <w:pPr>
        <w:pStyle w:val="normln0"/>
        <w:rPr>
          <w:rFonts w:asciiTheme="minorHAnsi" w:hAnsiTheme="minorHAnsi" w:cstheme="minorHAnsi"/>
          <w:color w:val="FF0000"/>
        </w:rPr>
      </w:pPr>
      <w:r w:rsidRPr="00285DCF">
        <w:rPr>
          <w:rFonts w:asciiTheme="minorHAnsi" w:hAnsiTheme="minorHAnsi" w:cstheme="minorHAnsi"/>
          <w:color w:val="FF0000"/>
        </w:rPr>
        <w:t>K řešení problematiky hraničních oblastí přistoupi</w:t>
      </w:r>
      <w:r w:rsidR="00AD1D90" w:rsidRPr="00285DCF">
        <w:rPr>
          <w:rFonts w:asciiTheme="minorHAnsi" w:hAnsiTheme="minorHAnsi" w:cstheme="minorHAnsi"/>
          <w:color w:val="FF0000"/>
        </w:rPr>
        <w:t>lo MPO</w:t>
      </w:r>
      <w:r w:rsidRPr="00285DCF">
        <w:rPr>
          <w:rFonts w:asciiTheme="minorHAnsi" w:hAnsiTheme="minorHAnsi" w:cstheme="minorHAnsi"/>
          <w:color w:val="FF0000"/>
        </w:rPr>
        <w:t xml:space="preserve"> ještě před přijetím usnesení vlády č. 867 </w:t>
      </w:r>
      <w:r w:rsidR="009721E9" w:rsidRPr="00285DCF">
        <w:rPr>
          <w:rFonts w:asciiTheme="minorHAnsi" w:hAnsiTheme="minorHAnsi" w:cstheme="minorHAnsi"/>
          <w:color w:val="FF0000"/>
        </w:rPr>
        <w:t>ze dne 28. 11. 2012, které mj. schválilo vymezení</w:t>
      </w:r>
      <w:r w:rsidRPr="00285DCF">
        <w:rPr>
          <w:rFonts w:asciiTheme="minorHAnsi" w:hAnsiTheme="minorHAnsi" w:cstheme="minorHAnsi"/>
          <w:color w:val="FF0000"/>
        </w:rPr>
        <w:t xml:space="preserve"> </w:t>
      </w:r>
      <w:r w:rsidR="009721E9" w:rsidRPr="00285DCF">
        <w:rPr>
          <w:rFonts w:asciiTheme="minorHAnsi" w:hAnsiTheme="minorHAnsi" w:cstheme="minorHAnsi"/>
          <w:color w:val="FF0000"/>
        </w:rPr>
        <w:t>programů spolufinancovaných z fondů Společného strategického rámce pro programové období let 2014 až 2020 v podmínkách České republiky</w:t>
      </w:r>
      <w:r w:rsidRPr="00285DCF">
        <w:rPr>
          <w:rFonts w:asciiTheme="minorHAnsi" w:hAnsiTheme="minorHAnsi" w:cstheme="minorHAnsi"/>
          <w:color w:val="FF0000"/>
        </w:rPr>
        <w:t>.</w:t>
      </w:r>
      <w:r w:rsidR="00BB0427" w:rsidRPr="00285DCF">
        <w:rPr>
          <w:rFonts w:asciiTheme="minorHAnsi" w:hAnsiTheme="minorHAnsi" w:cstheme="minorHAnsi"/>
          <w:color w:val="FF0000"/>
        </w:rPr>
        <w:t xml:space="preserve"> Za tímto účelem proběhlo již v roce 2012 několik meziresortních bilaterálních jednání, z nichž vyplynuly závěry o podobě řešení konkrétních hraničních oblastí, které byly v další fázi přípravy operačních programů dále </w:t>
      </w:r>
      <w:r w:rsidR="00AD1D90" w:rsidRPr="00285DCF">
        <w:rPr>
          <w:rFonts w:asciiTheme="minorHAnsi" w:hAnsiTheme="minorHAnsi" w:cstheme="minorHAnsi"/>
          <w:color w:val="FF0000"/>
        </w:rPr>
        <w:t>upřesňovány</w:t>
      </w:r>
      <w:r w:rsidR="00BB0427" w:rsidRPr="00285DCF">
        <w:rPr>
          <w:rFonts w:asciiTheme="minorHAnsi" w:hAnsiTheme="minorHAnsi" w:cstheme="minorHAnsi"/>
          <w:color w:val="FF0000"/>
        </w:rPr>
        <w:t>.</w:t>
      </w:r>
    </w:p>
    <w:p w:rsidR="00F8206A" w:rsidRPr="00285DCF" w:rsidRDefault="00BB0427" w:rsidP="00F03112">
      <w:pPr>
        <w:pStyle w:val="normln0"/>
        <w:rPr>
          <w:rFonts w:asciiTheme="minorHAnsi" w:hAnsiTheme="minorHAnsi" w:cstheme="minorHAnsi"/>
          <w:color w:val="FF0000"/>
        </w:rPr>
      </w:pPr>
      <w:r w:rsidRPr="00285DCF">
        <w:rPr>
          <w:rFonts w:asciiTheme="minorHAnsi" w:hAnsiTheme="minorHAnsi" w:cstheme="minorHAnsi"/>
          <w:color w:val="FF0000"/>
        </w:rPr>
        <w:t>K otázce hraničních oblastí se v roce 2013 uskutečnilo jednání k problematice IKT infrastruktury se zástupci Ministerstva pro místní rozvoj a Ministerstva vnitra (25. 2. 2013), k zemědělské problematice se zástupci Ministerstva zemědělství (21. 3. 2013) a problematice energetiky se zástupci Ministerstva životního prostředí (27. 3. 2013). Závěry z těchto jednání a další identifikované hraniční oblasti shrnuje</w:t>
      </w:r>
      <w:r w:rsidR="00365E60" w:rsidRPr="00285DCF">
        <w:rPr>
          <w:rFonts w:asciiTheme="minorHAnsi" w:hAnsiTheme="minorHAnsi" w:cstheme="minorHAnsi"/>
          <w:color w:val="FF0000"/>
        </w:rPr>
        <w:t xml:space="preserve"> </w:t>
      </w:r>
      <w:r w:rsidR="00F8206A" w:rsidRPr="00285DCF">
        <w:rPr>
          <w:rFonts w:asciiTheme="minorHAnsi" w:hAnsiTheme="minorHAnsi" w:cstheme="minorHAnsi"/>
          <w:color w:val="FF0000"/>
        </w:rPr>
        <w:t xml:space="preserve">níže </w:t>
      </w:r>
      <w:r w:rsidR="00365E60" w:rsidRPr="00285DCF">
        <w:rPr>
          <w:rFonts w:asciiTheme="minorHAnsi" w:hAnsiTheme="minorHAnsi" w:cstheme="minorHAnsi"/>
          <w:color w:val="FF0000"/>
        </w:rPr>
        <w:t>karta hraničních oblast</w:t>
      </w:r>
      <w:r w:rsidR="00F8206A" w:rsidRPr="00285DCF">
        <w:rPr>
          <w:rFonts w:asciiTheme="minorHAnsi" w:hAnsiTheme="minorHAnsi" w:cstheme="minorHAnsi"/>
          <w:color w:val="FF0000"/>
        </w:rPr>
        <w:t>í.</w:t>
      </w:r>
    </w:p>
    <w:p w:rsidR="00BB0427" w:rsidRPr="00285DCF" w:rsidRDefault="00365E60" w:rsidP="00F03112">
      <w:pPr>
        <w:pStyle w:val="normln0"/>
        <w:rPr>
          <w:rFonts w:asciiTheme="minorHAnsi" w:hAnsiTheme="minorHAnsi" w:cs="Arial"/>
          <w:color w:val="FF0000"/>
        </w:rPr>
      </w:pPr>
      <w:r w:rsidRPr="00285DCF">
        <w:rPr>
          <w:rFonts w:asciiTheme="minorHAnsi" w:hAnsiTheme="minorHAnsi" w:cstheme="minorHAnsi"/>
          <w:color w:val="FF0000"/>
        </w:rPr>
        <w:t xml:space="preserve">Rovněž je plánováno jednání se zástupci Ministerstva práce a sociálních věcí </w:t>
      </w:r>
      <w:r w:rsidR="005275B9" w:rsidRPr="00285DCF">
        <w:rPr>
          <w:rFonts w:asciiTheme="minorHAnsi" w:hAnsiTheme="minorHAnsi" w:cstheme="minorHAnsi"/>
          <w:color w:val="FF0000"/>
        </w:rPr>
        <w:t xml:space="preserve">(MPSV) </w:t>
      </w:r>
      <w:r w:rsidR="001636E5" w:rsidRPr="00285DCF">
        <w:rPr>
          <w:rFonts w:asciiTheme="minorHAnsi" w:hAnsiTheme="minorHAnsi" w:cstheme="minorHAnsi"/>
          <w:color w:val="FF0000"/>
        </w:rPr>
        <w:t xml:space="preserve">za účasti Ministerstva školství, mládeže a tělovýchovy (MŠMT) </w:t>
      </w:r>
      <w:r w:rsidRPr="00285DCF">
        <w:rPr>
          <w:rFonts w:asciiTheme="minorHAnsi" w:hAnsiTheme="minorHAnsi" w:cstheme="minorHAnsi"/>
          <w:color w:val="FF0000"/>
        </w:rPr>
        <w:t>k otázce odborného vzdělávání</w:t>
      </w:r>
      <w:r w:rsidR="005275B9" w:rsidRPr="00285DCF">
        <w:rPr>
          <w:rFonts w:asciiTheme="minorHAnsi" w:hAnsiTheme="minorHAnsi" w:cstheme="minorHAnsi"/>
          <w:color w:val="FF0000"/>
        </w:rPr>
        <w:t xml:space="preserve"> a</w:t>
      </w:r>
      <w:r w:rsidR="001636E5" w:rsidRPr="00285DCF">
        <w:rPr>
          <w:rFonts w:asciiTheme="minorHAnsi" w:hAnsiTheme="minorHAnsi" w:cstheme="minorHAnsi"/>
          <w:color w:val="FF0000"/>
        </w:rPr>
        <w:t xml:space="preserve"> dále</w:t>
      </w:r>
      <w:r w:rsidR="005275B9" w:rsidRPr="00285DCF">
        <w:rPr>
          <w:rFonts w:asciiTheme="minorHAnsi" w:hAnsiTheme="minorHAnsi" w:cstheme="minorHAnsi"/>
          <w:color w:val="FF0000"/>
        </w:rPr>
        <w:t xml:space="preserve"> jednání se zástupci MŠMT k otázkám týkající</w:t>
      </w:r>
      <w:r w:rsidR="001636E5" w:rsidRPr="00285DCF">
        <w:rPr>
          <w:rFonts w:asciiTheme="minorHAnsi" w:hAnsiTheme="minorHAnsi" w:cstheme="minorHAnsi"/>
          <w:color w:val="FF0000"/>
        </w:rPr>
        <w:t>ch</w:t>
      </w:r>
      <w:r w:rsidR="005275B9" w:rsidRPr="00285DCF">
        <w:rPr>
          <w:rFonts w:asciiTheme="minorHAnsi" w:hAnsiTheme="minorHAnsi" w:cstheme="minorHAnsi"/>
          <w:color w:val="FF0000"/>
        </w:rPr>
        <w:t xml:space="preserve"> se vědy, výzkumu a inovací (k</w:t>
      </w:r>
      <w:r w:rsidR="005275B9" w:rsidRPr="00285DCF">
        <w:rPr>
          <w:rFonts w:asciiTheme="minorHAnsi" w:hAnsiTheme="minorHAnsi" w:cs="Arial"/>
          <w:color w:val="FF0000"/>
        </w:rPr>
        <w:t xml:space="preserve"> této problematice </w:t>
      </w:r>
      <w:r w:rsidR="00CA009B" w:rsidRPr="00285DCF">
        <w:rPr>
          <w:rFonts w:asciiTheme="minorHAnsi" w:hAnsiTheme="minorHAnsi" w:cs="Arial"/>
          <w:color w:val="FF0000"/>
        </w:rPr>
        <w:t xml:space="preserve">již </w:t>
      </w:r>
      <w:r w:rsidR="005275B9" w:rsidRPr="00285DCF">
        <w:rPr>
          <w:rFonts w:asciiTheme="minorHAnsi" w:hAnsiTheme="minorHAnsi" w:cs="Arial"/>
          <w:color w:val="FF0000"/>
        </w:rPr>
        <w:t xml:space="preserve">proběhlo několik jednání MPO se zástupci Technologické ČR a </w:t>
      </w:r>
      <w:r w:rsidR="005275B9" w:rsidRPr="00285DCF">
        <w:rPr>
          <w:rFonts w:asciiTheme="minorHAnsi" w:hAnsiTheme="minorHAnsi"/>
          <w:color w:val="FF0000"/>
        </w:rPr>
        <w:t>Jihomoravského inovačního centra</w:t>
      </w:r>
      <w:r w:rsidR="005275B9" w:rsidRPr="00285DCF">
        <w:rPr>
          <w:rFonts w:asciiTheme="minorHAnsi" w:hAnsiTheme="minorHAnsi" w:cs="Arial"/>
          <w:color w:val="FF0000"/>
        </w:rPr>
        <w:t>)</w:t>
      </w:r>
      <w:r w:rsidRPr="00285DCF">
        <w:rPr>
          <w:rFonts w:asciiTheme="minorHAnsi" w:hAnsiTheme="minorHAnsi" w:cs="Arial"/>
          <w:color w:val="FF0000"/>
        </w:rPr>
        <w:t>.</w:t>
      </w:r>
    </w:p>
    <w:p w:rsidR="00F03112" w:rsidRDefault="00F03112" w:rsidP="00F03112">
      <w:pPr>
        <w:pStyle w:val="normln0"/>
        <w:rPr>
          <w:rFonts w:asciiTheme="minorHAnsi" w:hAnsiTheme="minorHAnsi" w:cstheme="minorHAnsi"/>
          <w:b/>
        </w:rPr>
      </w:pPr>
    </w:p>
    <w:p w:rsidR="00476967" w:rsidRDefault="00476967" w:rsidP="00F03112">
      <w:pPr>
        <w:pStyle w:val="normln0"/>
        <w:rPr>
          <w:rFonts w:asciiTheme="minorHAnsi" w:hAnsiTheme="minorHAnsi" w:cstheme="minorHAnsi"/>
          <w:b/>
        </w:rPr>
        <w:sectPr w:rsidR="00476967" w:rsidSect="00F258CA">
          <w:pgSz w:w="11906" w:h="16838"/>
          <w:pgMar w:top="1418" w:right="1276" w:bottom="1276" w:left="1418" w:header="709" w:footer="709" w:gutter="0"/>
          <w:cols w:space="708"/>
          <w:docGrid w:linePitch="272"/>
        </w:sectPr>
      </w:pPr>
    </w:p>
    <w:p w:rsidR="00F03112" w:rsidRDefault="00F8206A" w:rsidP="00F03112">
      <w:pPr>
        <w:pStyle w:val="normln0"/>
        <w:rPr>
          <w:rFonts w:asciiTheme="minorHAnsi" w:hAnsiTheme="minorHAnsi" w:cstheme="minorHAnsi"/>
          <w:b/>
        </w:rPr>
      </w:pPr>
      <w:r>
        <w:rPr>
          <w:rFonts w:asciiTheme="minorHAnsi" w:hAnsiTheme="minorHAnsi" w:cstheme="minorHAnsi"/>
          <w:b/>
        </w:rPr>
        <w:lastRenderedPageBreak/>
        <w:t xml:space="preserve">Tabulka xx: </w:t>
      </w:r>
      <w:r w:rsidR="00F03112">
        <w:rPr>
          <w:rFonts w:asciiTheme="minorHAnsi" w:hAnsiTheme="minorHAnsi" w:cstheme="minorHAnsi"/>
          <w:b/>
        </w:rPr>
        <w:t>Karta hraničních oblastí</w:t>
      </w:r>
    </w:p>
    <w:tbl>
      <w:tblPr>
        <w:tblW w:w="28878" w:type="dxa"/>
        <w:tblLayout w:type="fixed"/>
        <w:tblCellMar>
          <w:left w:w="70" w:type="dxa"/>
          <w:right w:w="70" w:type="dxa"/>
        </w:tblCellMar>
        <w:tblLook w:val="04A0"/>
      </w:tblPr>
      <w:tblGrid>
        <w:gridCol w:w="1172"/>
        <w:gridCol w:w="1265"/>
        <w:gridCol w:w="993"/>
        <w:gridCol w:w="1275"/>
        <w:gridCol w:w="843"/>
        <w:gridCol w:w="983"/>
        <w:gridCol w:w="2853"/>
        <w:gridCol w:w="850"/>
        <w:gridCol w:w="1686"/>
        <w:gridCol w:w="2283"/>
        <w:gridCol w:w="160"/>
        <w:gridCol w:w="2903"/>
        <w:gridCol w:w="2903"/>
        <w:gridCol w:w="2903"/>
        <w:gridCol w:w="2903"/>
        <w:gridCol w:w="2903"/>
      </w:tblGrid>
      <w:tr w:rsidR="00F03112" w:rsidRPr="003F6CEE" w:rsidTr="00D71ECB">
        <w:trPr>
          <w:gridAfter w:val="6"/>
          <w:wAfter w:w="14675" w:type="dxa"/>
          <w:trHeight w:val="315"/>
          <w:tblHeader/>
        </w:trPr>
        <w:tc>
          <w:tcPr>
            <w:tcW w:w="14203" w:type="dxa"/>
            <w:gridSpan w:val="10"/>
            <w:tcBorders>
              <w:top w:val="single" w:sz="4" w:space="0" w:color="auto"/>
              <w:left w:val="single" w:sz="4" w:space="0" w:color="auto"/>
              <w:bottom w:val="single" w:sz="4" w:space="0" w:color="000000"/>
              <w:right w:val="single" w:sz="4" w:space="0" w:color="auto"/>
            </w:tcBorders>
            <w:shd w:val="clear" w:color="auto" w:fill="365F91" w:themeFill="accent1" w:themeFillShade="BF"/>
            <w:tcMar>
              <w:left w:w="28" w:type="dxa"/>
              <w:right w:w="28" w:type="dxa"/>
            </w:tcMar>
            <w:vAlign w:val="center"/>
            <w:hideMark/>
          </w:tcPr>
          <w:p w:rsidR="00F03112" w:rsidRPr="00F03112" w:rsidRDefault="00F03112" w:rsidP="00F03112">
            <w:pPr>
              <w:rPr>
                <w:rFonts w:asciiTheme="minorHAnsi" w:hAnsiTheme="minorHAnsi" w:cs="Arial"/>
                <w:b/>
                <w:bCs/>
                <w:color w:val="FFFFFF" w:themeColor="background1"/>
                <w:sz w:val="24"/>
                <w:szCs w:val="24"/>
              </w:rPr>
            </w:pPr>
            <w:r w:rsidRPr="00F03112">
              <w:rPr>
                <w:rFonts w:asciiTheme="minorHAnsi" w:hAnsiTheme="minorHAnsi" w:cs="Arial"/>
                <w:b/>
                <w:bCs/>
                <w:color w:val="FFFFFF" w:themeColor="background1"/>
                <w:sz w:val="24"/>
                <w:szCs w:val="24"/>
              </w:rPr>
              <w:t>Název programu: OP PIK</w:t>
            </w:r>
          </w:p>
        </w:tc>
      </w:tr>
      <w:tr w:rsidR="00F03112" w:rsidRPr="00ED5BE0" w:rsidTr="00D71ECB">
        <w:trPr>
          <w:gridAfter w:val="6"/>
          <w:wAfter w:w="14675" w:type="dxa"/>
          <w:trHeight w:val="92"/>
          <w:tblHeader/>
        </w:trPr>
        <w:tc>
          <w:tcPr>
            <w:tcW w:w="14203" w:type="dxa"/>
            <w:gridSpan w:val="10"/>
            <w:tcBorders>
              <w:top w:val="single" w:sz="4" w:space="0" w:color="auto"/>
              <w:left w:val="single" w:sz="4" w:space="0" w:color="auto"/>
              <w:bottom w:val="single" w:sz="4" w:space="0" w:color="000000"/>
              <w:right w:val="single" w:sz="4" w:space="0" w:color="auto"/>
            </w:tcBorders>
            <w:shd w:val="clear" w:color="auto" w:fill="FFFFFF" w:themeFill="background1"/>
            <w:tcMar>
              <w:left w:w="28" w:type="dxa"/>
              <w:right w:w="28" w:type="dxa"/>
            </w:tcMar>
            <w:vAlign w:val="center"/>
            <w:hideMark/>
          </w:tcPr>
          <w:p w:rsidR="00F03112" w:rsidRPr="0096437D" w:rsidRDefault="00F03112" w:rsidP="00F03112">
            <w:pPr>
              <w:jc w:val="center"/>
              <w:rPr>
                <w:rFonts w:asciiTheme="minorHAnsi" w:hAnsiTheme="minorHAnsi" w:cs="Arial"/>
                <w:b/>
                <w:bCs/>
                <w:color w:val="000000"/>
                <w:sz w:val="8"/>
                <w:szCs w:val="8"/>
              </w:rPr>
            </w:pPr>
          </w:p>
        </w:tc>
      </w:tr>
      <w:tr w:rsidR="00F03112" w:rsidRPr="00ED5BE0" w:rsidTr="00D71ECB">
        <w:trPr>
          <w:gridAfter w:val="6"/>
          <w:wAfter w:w="14675" w:type="dxa"/>
          <w:trHeight w:val="315"/>
          <w:tblHeader/>
        </w:trPr>
        <w:tc>
          <w:tcPr>
            <w:tcW w:w="1172" w:type="dxa"/>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tcMar>
              <w:left w:w="28" w:type="dxa"/>
              <w:right w:w="28" w:type="dxa"/>
            </w:tcMar>
            <w:vAlign w:val="center"/>
            <w:hideMark/>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Hraniční oblast</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tcMar>
              <w:left w:w="28" w:type="dxa"/>
              <w:right w:w="28" w:type="dxa"/>
            </w:tcMar>
            <w:vAlign w:val="center"/>
            <w:hideMark/>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Specifikace problematiky</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tcMar>
              <w:left w:w="28" w:type="dxa"/>
              <w:right w:w="28" w:type="dxa"/>
            </w:tcMar>
            <w:vAlign w:val="center"/>
            <w:hideMark/>
          </w:tcPr>
          <w:p w:rsidR="00F03112" w:rsidRPr="009470BE" w:rsidRDefault="00F03112" w:rsidP="00334B73">
            <w:pPr>
              <w:jc w:val="center"/>
              <w:rPr>
                <w:rFonts w:asciiTheme="minorHAnsi" w:hAnsiTheme="minorHAnsi" w:cs="Arial"/>
                <w:b/>
                <w:bCs/>
                <w:color w:val="000000"/>
              </w:rPr>
            </w:pPr>
            <w:r w:rsidRPr="009470BE">
              <w:rPr>
                <w:rFonts w:asciiTheme="minorHAnsi" w:hAnsiTheme="minorHAnsi" w:cs="Arial"/>
                <w:b/>
                <w:bCs/>
                <w:color w:val="000000"/>
              </w:rPr>
              <w:t>Typ HO</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tcMar>
              <w:left w:w="28" w:type="dxa"/>
              <w:right w:w="28" w:type="dxa"/>
            </w:tcMar>
            <w:vAlign w:val="center"/>
            <w:hideMark/>
          </w:tcPr>
          <w:p w:rsidR="00F03112" w:rsidRPr="009470BE" w:rsidRDefault="00F03112" w:rsidP="00334B73">
            <w:pPr>
              <w:jc w:val="center"/>
              <w:rPr>
                <w:rFonts w:asciiTheme="minorHAnsi" w:hAnsiTheme="minorHAnsi" w:cs="Arial"/>
                <w:b/>
                <w:bCs/>
                <w:color w:val="000000"/>
              </w:rPr>
            </w:pPr>
            <w:r w:rsidRPr="009470BE">
              <w:rPr>
                <w:rFonts w:asciiTheme="minorHAnsi" w:hAnsiTheme="minorHAnsi" w:cs="Arial"/>
                <w:b/>
                <w:bCs/>
                <w:color w:val="000000"/>
              </w:rPr>
              <w:t>Kompetence</w:t>
            </w:r>
          </w:p>
        </w:tc>
        <w:tc>
          <w:tcPr>
            <w:tcW w:w="843" w:type="dxa"/>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tcMar>
              <w:left w:w="28" w:type="dxa"/>
              <w:right w:w="28" w:type="dxa"/>
            </w:tcMar>
            <w:vAlign w:val="center"/>
            <w:hideMark/>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Dotčené subjekty</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tcMar>
              <w:left w:w="28" w:type="dxa"/>
              <w:right w:w="28" w:type="dxa"/>
            </w:tcMar>
            <w:vAlign w:val="center"/>
            <w:hideMark/>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Vazba na další programy (prioritní osy/Priority Unie)</w:t>
            </w:r>
          </w:p>
        </w:tc>
        <w:tc>
          <w:tcPr>
            <w:tcW w:w="2853" w:type="dxa"/>
            <w:vMerge w:val="restart"/>
            <w:tcBorders>
              <w:top w:val="single" w:sz="4" w:space="0" w:color="auto"/>
              <w:left w:val="single" w:sz="4" w:space="0" w:color="auto"/>
              <w:right w:val="single" w:sz="4" w:space="0" w:color="auto"/>
            </w:tcBorders>
            <w:shd w:val="clear" w:color="auto" w:fill="95B3D7" w:themeFill="accent1" w:themeFillTint="99"/>
            <w:tcMar>
              <w:left w:w="28" w:type="dxa"/>
              <w:right w:w="28" w:type="dxa"/>
            </w:tcMar>
            <w:vAlign w:val="center"/>
            <w:hideMark/>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Návrh na řešení (věcně)</w:t>
            </w:r>
          </w:p>
        </w:tc>
        <w:tc>
          <w:tcPr>
            <w:tcW w:w="253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Návrh na řešení (implementačně)</w:t>
            </w:r>
          </w:p>
        </w:tc>
        <w:tc>
          <w:tcPr>
            <w:tcW w:w="2283" w:type="dxa"/>
            <w:vMerge w:val="restart"/>
            <w:tcBorders>
              <w:top w:val="single" w:sz="4" w:space="0" w:color="auto"/>
              <w:left w:val="single" w:sz="4" w:space="0" w:color="auto"/>
              <w:right w:val="single" w:sz="4" w:space="0" w:color="auto"/>
            </w:tcBorders>
            <w:shd w:val="clear" w:color="auto" w:fill="95B3D7" w:themeFill="accent1" w:themeFillTint="99"/>
            <w:vAlign w:val="center"/>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Komentář</w:t>
            </w:r>
          </w:p>
        </w:tc>
      </w:tr>
      <w:tr w:rsidR="00F03112" w:rsidRPr="00ED5BE0" w:rsidTr="00D71ECB">
        <w:trPr>
          <w:gridAfter w:val="6"/>
          <w:wAfter w:w="14675" w:type="dxa"/>
          <w:trHeight w:val="276"/>
          <w:tblHeader/>
        </w:trPr>
        <w:tc>
          <w:tcPr>
            <w:tcW w:w="117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hideMark/>
          </w:tcPr>
          <w:p w:rsidR="00F03112" w:rsidRPr="009470BE" w:rsidRDefault="00F03112" w:rsidP="00F03112">
            <w:pPr>
              <w:rPr>
                <w:rFonts w:asciiTheme="minorHAnsi" w:hAnsiTheme="minorHAnsi" w:cs="Arial"/>
                <w:b/>
                <w:bCs/>
                <w:color w:val="000000"/>
              </w:rPr>
            </w:pPr>
          </w:p>
        </w:tc>
        <w:tc>
          <w:tcPr>
            <w:tcW w:w="126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hideMark/>
          </w:tcPr>
          <w:p w:rsidR="00F03112" w:rsidRPr="009470BE" w:rsidRDefault="00F03112" w:rsidP="00F03112">
            <w:pPr>
              <w:rPr>
                <w:rFonts w:asciiTheme="minorHAnsi" w:hAnsiTheme="minorHAnsi" w:cs="Arial"/>
                <w:b/>
                <w:bCs/>
                <w:color w:val="000000"/>
              </w:rPr>
            </w:pPr>
          </w:p>
        </w:tc>
        <w:tc>
          <w:tcPr>
            <w:tcW w:w="99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hideMark/>
          </w:tcPr>
          <w:p w:rsidR="00F03112" w:rsidRPr="009470BE" w:rsidRDefault="00F03112" w:rsidP="00334B73">
            <w:pPr>
              <w:jc w:val="center"/>
              <w:rPr>
                <w:rFonts w:asciiTheme="minorHAnsi" w:hAnsiTheme="minorHAnsi" w:cs="Arial"/>
                <w:b/>
                <w:bCs/>
                <w:color w:val="000000"/>
              </w:rPr>
            </w:pPr>
          </w:p>
        </w:tc>
        <w:tc>
          <w:tcPr>
            <w:tcW w:w="127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hideMark/>
          </w:tcPr>
          <w:p w:rsidR="00F03112" w:rsidRPr="009470BE" w:rsidRDefault="00F03112" w:rsidP="00334B73">
            <w:pPr>
              <w:jc w:val="center"/>
              <w:rPr>
                <w:rFonts w:asciiTheme="minorHAnsi" w:hAnsiTheme="minorHAnsi" w:cs="Arial"/>
                <w:b/>
                <w:bCs/>
                <w:color w:val="000000"/>
              </w:rPr>
            </w:pPr>
          </w:p>
        </w:tc>
        <w:tc>
          <w:tcPr>
            <w:tcW w:w="84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hideMark/>
          </w:tcPr>
          <w:p w:rsidR="00F03112" w:rsidRPr="009470BE" w:rsidRDefault="00F03112" w:rsidP="00F03112">
            <w:pPr>
              <w:rPr>
                <w:rFonts w:asciiTheme="minorHAnsi" w:hAnsiTheme="minorHAnsi" w:cs="Arial"/>
                <w:b/>
                <w:bCs/>
                <w:color w:val="000000"/>
              </w:rPr>
            </w:pPr>
          </w:p>
        </w:tc>
        <w:tc>
          <w:tcPr>
            <w:tcW w:w="98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hideMark/>
          </w:tcPr>
          <w:p w:rsidR="00F03112" w:rsidRPr="009470BE" w:rsidRDefault="00F03112" w:rsidP="00F03112">
            <w:pPr>
              <w:rPr>
                <w:rFonts w:asciiTheme="minorHAnsi" w:hAnsiTheme="minorHAnsi" w:cs="Arial"/>
                <w:b/>
                <w:bCs/>
                <w:color w:val="000000"/>
              </w:rPr>
            </w:pPr>
          </w:p>
        </w:tc>
        <w:tc>
          <w:tcPr>
            <w:tcW w:w="2853" w:type="dxa"/>
            <w:vMerge/>
            <w:tcBorders>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hideMark/>
          </w:tcPr>
          <w:p w:rsidR="00F03112" w:rsidRPr="009470BE" w:rsidRDefault="00F03112" w:rsidP="00F03112">
            <w:pPr>
              <w:rPr>
                <w:rFonts w:asciiTheme="minorHAnsi" w:hAnsiTheme="minorHAnsi" w:cs="Arial"/>
                <w:b/>
                <w:bCs/>
                <w:color w:val="00000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Prioritní osa / priorita Unie</w:t>
            </w:r>
          </w:p>
        </w:tc>
        <w:tc>
          <w:tcPr>
            <w:tcW w:w="16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03112" w:rsidRPr="009470BE" w:rsidRDefault="00F03112" w:rsidP="00F03112">
            <w:pPr>
              <w:jc w:val="center"/>
              <w:rPr>
                <w:rFonts w:asciiTheme="minorHAnsi" w:hAnsiTheme="minorHAnsi" w:cs="Arial"/>
                <w:b/>
                <w:bCs/>
                <w:color w:val="000000"/>
              </w:rPr>
            </w:pPr>
            <w:r w:rsidRPr="009470BE">
              <w:rPr>
                <w:rFonts w:asciiTheme="minorHAnsi" w:hAnsiTheme="minorHAnsi" w:cs="Arial"/>
                <w:b/>
                <w:bCs/>
                <w:color w:val="000000"/>
              </w:rPr>
              <w:t>Způsob / nástroj</w:t>
            </w:r>
          </w:p>
        </w:tc>
        <w:tc>
          <w:tcPr>
            <w:tcW w:w="2283" w:type="dxa"/>
            <w:vMerge/>
            <w:tcBorders>
              <w:left w:val="single" w:sz="4" w:space="0" w:color="auto"/>
              <w:bottom w:val="single" w:sz="4" w:space="0" w:color="auto"/>
              <w:right w:val="single" w:sz="4" w:space="0" w:color="auto"/>
            </w:tcBorders>
            <w:shd w:val="clear" w:color="auto" w:fill="DBE5F1" w:themeFill="accent1" w:themeFillTint="33"/>
            <w:vAlign w:val="center"/>
          </w:tcPr>
          <w:p w:rsidR="00F03112" w:rsidRPr="009470BE" w:rsidRDefault="00F03112" w:rsidP="00F03112">
            <w:pPr>
              <w:jc w:val="center"/>
              <w:rPr>
                <w:rFonts w:asciiTheme="minorHAnsi" w:hAnsiTheme="minorHAnsi" w:cs="Arial"/>
                <w:b/>
                <w:bCs/>
                <w:color w:val="000000"/>
              </w:rPr>
            </w:pPr>
          </w:p>
        </w:tc>
      </w:tr>
      <w:tr w:rsidR="008813D4"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13D4" w:rsidRPr="006851AA" w:rsidRDefault="009B4BC9" w:rsidP="00F140AE">
            <w:pPr>
              <w:rPr>
                <w:rFonts w:asciiTheme="minorHAnsi" w:hAnsiTheme="minorHAnsi" w:cs="Arial"/>
                <w:b/>
              </w:rPr>
            </w:pPr>
            <w:r w:rsidRPr="006851AA">
              <w:rPr>
                <w:rFonts w:asciiTheme="minorHAnsi" w:hAnsiTheme="minorHAnsi" w:cs="Arial"/>
                <w:b/>
              </w:rPr>
              <w:t>Energetika – úspory energie v budovách</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476967" w:rsidP="00F140AE">
            <w:pPr>
              <w:rPr>
                <w:rFonts w:asciiTheme="minorHAnsi" w:hAnsiTheme="minorHAnsi" w:cs="Arial"/>
              </w:rPr>
            </w:pPr>
            <w:r>
              <w:rPr>
                <w:rFonts w:asciiTheme="minorHAnsi" w:hAnsiTheme="minorHAnsi" w:cs="Arial"/>
              </w:rPr>
              <w:t>Daná oblast je sledována z důvodu možných překryvů.</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CB4569" w:rsidP="00334B73">
            <w:pPr>
              <w:jc w:val="center"/>
              <w:rPr>
                <w:rFonts w:asciiTheme="minorHAnsi" w:hAnsiTheme="minorHAnsi" w:cs="Arial"/>
              </w:rPr>
            </w:pPr>
            <w:r>
              <w:rPr>
                <w:rFonts w:asciiTheme="minorHAnsi" w:hAnsiTheme="minorHAnsi" w:cs="Arial"/>
              </w:rPr>
              <w:t>překryv</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8813D4"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Default="00EE4DAA" w:rsidP="00F140AE">
            <w:pPr>
              <w:jc w:val="center"/>
              <w:rPr>
                <w:rFonts w:asciiTheme="minorHAnsi" w:hAnsiTheme="minorHAnsi" w:cs="Arial"/>
              </w:rPr>
            </w:pPr>
            <w:r>
              <w:rPr>
                <w:rFonts w:asciiTheme="minorHAnsi" w:hAnsiTheme="minorHAnsi" w:cs="Arial"/>
              </w:rPr>
              <w:t>MPO</w:t>
            </w:r>
          </w:p>
          <w:p w:rsidR="00EE4DAA" w:rsidRDefault="00EE4DAA" w:rsidP="00F140AE">
            <w:pPr>
              <w:jc w:val="center"/>
              <w:rPr>
                <w:rFonts w:asciiTheme="minorHAnsi" w:hAnsiTheme="minorHAnsi" w:cs="Arial"/>
              </w:rPr>
            </w:pPr>
            <w:r>
              <w:rPr>
                <w:rFonts w:asciiTheme="minorHAnsi" w:hAnsiTheme="minorHAnsi" w:cs="Arial"/>
              </w:rPr>
              <w:t>MŽP</w:t>
            </w:r>
          </w:p>
          <w:p w:rsidR="00EE4DAA" w:rsidRPr="009470BE" w:rsidRDefault="00EE4DAA" w:rsidP="00F140AE">
            <w:pPr>
              <w:jc w:val="center"/>
              <w:rPr>
                <w:rFonts w:asciiTheme="minorHAnsi" w:hAnsiTheme="minorHAnsi" w:cs="Arial"/>
              </w:rPr>
            </w:pPr>
            <w:r>
              <w:rPr>
                <w:rFonts w:asciiTheme="minorHAnsi" w:hAnsiTheme="minorHAnsi" w:cs="Arial"/>
              </w:rPr>
              <w:t>MMR</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Default="00EE4DAA" w:rsidP="00F140AE">
            <w:pPr>
              <w:jc w:val="center"/>
              <w:rPr>
                <w:rFonts w:asciiTheme="minorHAnsi" w:hAnsiTheme="minorHAnsi" w:cs="Arial"/>
              </w:rPr>
            </w:pPr>
            <w:r>
              <w:rPr>
                <w:rFonts w:asciiTheme="minorHAnsi" w:hAnsiTheme="minorHAnsi" w:cs="Arial"/>
              </w:rPr>
              <w:t>OPŽP</w:t>
            </w:r>
            <w:r w:rsidR="000F27C1">
              <w:rPr>
                <w:rFonts w:asciiTheme="minorHAnsi" w:hAnsiTheme="minorHAnsi" w:cs="Arial"/>
              </w:rPr>
              <w:t xml:space="preserve"> (PO2)</w:t>
            </w:r>
          </w:p>
          <w:p w:rsidR="00770F4B" w:rsidRDefault="00770F4B" w:rsidP="00F140AE">
            <w:pPr>
              <w:jc w:val="center"/>
              <w:rPr>
                <w:rFonts w:asciiTheme="minorHAnsi" w:hAnsiTheme="minorHAnsi" w:cs="Arial"/>
              </w:rPr>
            </w:pPr>
            <w:r>
              <w:rPr>
                <w:rFonts w:asciiTheme="minorHAnsi" w:hAnsiTheme="minorHAnsi" w:cs="Arial"/>
              </w:rPr>
              <w:t>Zelená úsporám</w:t>
            </w:r>
          </w:p>
          <w:p w:rsidR="00770F4B" w:rsidRDefault="00770F4B" w:rsidP="00F140AE">
            <w:pPr>
              <w:jc w:val="center"/>
              <w:rPr>
                <w:rFonts w:asciiTheme="minorHAnsi" w:hAnsiTheme="minorHAnsi" w:cs="Arial"/>
              </w:rPr>
            </w:pPr>
          </w:p>
          <w:p w:rsidR="00EE4DAA" w:rsidRDefault="00EE4DAA" w:rsidP="00F140AE">
            <w:pPr>
              <w:jc w:val="center"/>
              <w:rPr>
                <w:rFonts w:asciiTheme="minorHAnsi" w:hAnsiTheme="minorHAnsi" w:cs="Arial"/>
              </w:rPr>
            </w:pPr>
            <w:r>
              <w:rPr>
                <w:rFonts w:asciiTheme="minorHAnsi" w:hAnsiTheme="minorHAnsi" w:cs="Arial"/>
              </w:rPr>
              <w:t>IROP</w:t>
            </w:r>
          </w:p>
          <w:p w:rsidR="00770F4B" w:rsidRPr="009470BE" w:rsidRDefault="00770F4B" w:rsidP="00F140AE">
            <w:pPr>
              <w:jc w:val="center"/>
              <w:rPr>
                <w:rFonts w:asciiTheme="minorHAnsi" w:hAnsiTheme="minorHAnsi" w:cs="Arial"/>
              </w:rPr>
            </w:pPr>
            <w:r>
              <w:rPr>
                <w:rFonts w:asciiTheme="minorHAnsi" w:hAnsiTheme="minorHAnsi" w:cs="Arial"/>
              </w:rPr>
              <w:t>Program Panel</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F629F" w:rsidRPr="006851AA" w:rsidRDefault="00EF629F" w:rsidP="00EF629F">
            <w:pPr>
              <w:rPr>
                <w:rFonts w:asciiTheme="minorHAnsi" w:hAnsiTheme="minorHAnsi" w:cstheme="minorHAnsi"/>
              </w:rPr>
            </w:pPr>
            <w:r w:rsidRPr="006851AA">
              <w:rPr>
                <w:rFonts w:asciiTheme="minorHAnsi" w:hAnsiTheme="minorHAnsi" w:cs="Arial"/>
                <w:b/>
              </w:rPr>
              <w:t>MPO</w:t>
            </w:r>
            <w:r w:rsidRPr="006851AA">
              <w:rPr>
                <w:rFonts w:asciiTheme="minorHAnsi" w:hAnsiTheme="minorHAnsi" w:cs="Arial"/>
              </w:rPr>
              <w:t xml:space="preserve"> - </w:t>
            </w:r>
            <w:r w:rsidRPr="006851AA">
              <w:rPr>
                <w:rFonts w:asciiTheme="minorHAnsi" w:hAnsiTheme="minorHAnsi" w:cstheme="minorHAnsi"/>
              </w:rPr>
              <w:t xml:space="preserve">zlepšování tepelně technických vlastností podnikatelských nemovitostí a provozů (tj. pouze průmyslových a podnikatelských objektů). </w:t>
            </w:r>
          </w:p>
          <w:p w:rsidR="00EF629F" w:rsidRPr="006851AA" w:rsidRDefault="00EF629F" w:rsidP="00EF629F">
            <w:pPr>
              <w:rPr>
                <w:rFonts w:asciiTheme="minorHAnsi" w:hAnsiTheme="minorHAnsi" w:cstheme="minorHAnsi"/>
              </w:rPr>
            </w:pPr>
            <w:r w:rsidRPr="006851AA">
              <w:rPr>
                <w:rFonts w:asciiTheme="minorHAnsi" w:hAnsiTheme="minorHAnsi" w:cstheme="minorHAnsi"/>
              </w:rPr>
              <w:t>Snižování energetické náročnosti budov (zateplení, přechod na úspornější způsob vytápění, rekuperace tepla,</w:t>
            </w:r>
            <w:r w:rsidR="00476967" w:rsidRPr="006851AA">
              <w:rPr>
                <w:rFonts w:asciiTheme="minorHAnsi" w:hAnsiTheme="minorHAnsi" w:cstheme="minorHAnsi"/>
              </w:rPr>
              <w:t xml:space="preserve"> apod.</w:t>
            </w:r>
            <w:r w:rsidRPr="006851AA">
              <w:rPr>
                <w:rFonts w:asciiTheme="minorHAnsi" w:hAnsiTheme="minorHAnsi" w:cstheme="minorHAnsi"/>
              </w:rPr>
              <w:t>)</w:t>
            </w:r>
          </w:p>
          <w:p w:rsidR="008813D4" w:rsidRPr="006851AA" w:rsidRDefault="00EF629F" w:rsidP="00EF629F">
            <w:pPr>
              <w:rPr>
                <w:rFonts w:asciiTheme="minorHAnsi" w:hAnsiTheme="minorHAnsi" w:cstheme="minorHAnsi"/>
              </w:rPr>
            </w:pPr>
            <w:r w:rsidRPr="006851AA">
              <w:rPr>
                <w:rFonts w:asciiTheme="minorHAnsi" w:hAnsiTheme="minorHAnsi" w:cstheme="minorHAnsi"/>
              </w:rPr>
              <w:t>Snižování energetické náročnosti výroby.</w:t>
            </w:r>
          </w:p>
          <w:p w:rsidR="00EF629F" w:rsidRPr="006851AA" w:rsidRDefault="00EF629F" w:rsidP="00EF629F">
            <w:pPr>
              <w:rPr>
                <w:rFonts w:asciiTheme="minorHAnsi" w:hAnsiTheme="minorHAnsi" w:cstheme="minorHAnsi"/>
              </w:rPr>
            </w:pPr>
            <w:r w:rsidRPr="006851AA">
              <w:rPr>
                <w:rFonts w:asciiTheme="minorHAnsi" w:hAnsiTheme="minorHAnsi" w:cstheme="minorHAnsi"/>
                <w:b/>
              </w:rPr>
              <w:t>MŽP</w:t>
            </w:r>
            <w:r w:rsidRPr="006851AA">
              <w:rPr>
                <w:rFonts w:asciiTheme="minorHAnsi" w:hAnsiTheme="minorHAnsi" w:cstheme="minorHAnsi"/>
              </w:rPr>
              <w:t xml:space="preserve"> - úspory v budovách veřejného sektoru (školy, nemocnice apod.)</w:t>
            </w:r>
          </w:p>
          <w:p w:rsidR="00EF629F" w:rsidRPr="006851AA" w:rsidRDefault="00B551B5" w:rsidP="00EF629F">
            <w:pPr>
              <w:rPr>
                <w:rFonts w:asciiTheme="minorHAnsi" w:hAnsiTheme="minorHAnsi" w:cs="Arial"/>
              </w:rPr>
            </w:pPr>
            <w:r w:rsidRPr="006851AA">
              <w:rPr>
                <w:rFonts w:asciiTheme="minorHAnsi" w:hAnsiTheme="minorHAnsi" w:cs="Arial"/>
                <w:b/>
              </w:rPr>
              <w:t>MMR</w:t>
            </w:r>
            <w:r w:rsidRPr="006851AA">
              <w:rPr>
                <w:rFonts w:asciiTheme="minorHAnsi" w:hAnsiTheme="minorHAnsi" w:cs="Arial"/>
              </w:rPr>
              <w:t xml:space="preserve"> – úspory v budovách sektoru domácností</w:t>
            </w:r>
          </w:p>
        </w:tc>
        <w:tc>
          <w:tcPr>
            <w:tcW w:w="850" w:type="dxa"/>
            <w:tcBorders>
              <w:top w:val="single" w:sz="4" w:space="0" w:color="auto"/>
              <w:left w:val="nil"/>
              <w:bottom w:val="single" w:sz="4" w:space="0" w:color="auto"/>
              <w:right w:val="single" w:sz="4" w:space="0" w:color="auto"/>
            </w:tcBorders>
            <w:shd w:val="clear" w:color="auto" w:fill="auto"/>
            <w:vAlign w:val="center"/>
          </w:tcPr>
          <w:p w:rsidR="008813D4" w:rsidRDefault="00476967" w:rsidP="00F140AE">
            <w:pPr>
              <w:rPr>
                <w:rFonts w:asciiTheme="minorHAnsi" w:hAnsiTheme="minorHAnsi" w:cs="Arial"/>
              </w:rPr>
            </w:pPr>
            <w:r>
              <w:rPr>
                <w:rFonts w:asciiTheme="minorHAnsi" w:hAnsiTheme="minorHAnsi" w:cs="Arial"/>
              </w:rPr>
              <w:t>OPPIK – PO3</w:t>
            </w:r>
          </w:p>
          <w:p w:rsidR="00476967" w:rsidRPr="009470BE" w:rsidRDefault="00476967" w:rsidP="00F140AE">
            <w:pPr>
              <w:rPr>
                <w:rFonts w:asciiTheme="minorHAnsi" w:hAnsiTheme="minorHAnsi" w:cs="Arial"/>
              </w:rPr>
            </w:pPr>
            <w:r>
              <w:rPr>
                <w:rFonts w:asciiTheme="minorHAnsi" w:hAnsiTheme="minorHAnsi" w:cs="Arial"/>
              </w:rPr>
              <w:t>OPŽP – PO2</w:t>
            </w:r>
          </w:p>
        </w:tc>
        <w:tc>
          <w:tcPr>
            <w:tcW w:w="1686" w:type="dxa"/>
            <w:tcBorders>
              <w:top w:val="single" w:sz="4" w:space="0" w:color="auto"/>
              <w:left w:val="nil"/>
              <w:bottom w:val="single" w:sz="4" w:space="0" w:color="auto"/>
              <w:right w:val="single" w:sz="4" w:space="0" w:color="auto"/>
            </w:tcBorders>
            <w:shd w:val="clear" w:color="auto" w:fill="auto"/>
            <w:vAlign w:val="center"/>
          </w:tcPr>
          <w:p w:rsidR="008813D4" w:rsidRPr="009470BE" w:rsidRDefault="008813D4"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8813D4" w:rsidRPr="009470BE" w:rsidRDefault="00476967" w:rsidP="00F140AE">
            <w:pPr>
              <w:rPr>
                <w:rFonts w:asciiTheme="minorHAnsi" w:hAnsiTheme="minorHAnsi" w:cs="Arial"/>
              </w:rPr>
            </w:pPr>
            <w:r>
              <w:rPr>
                <w:rFonts w:asciiTheme="minorHAnsi" w:hAnsiTheme="minorHAnsi" w:cs="Arial"/>
              </w:rPr>
              <w:t>Na společném jednání MPO a MŽP dne 27. 3. 2013 bylo dohodnuto navržené řešení. Překryv považujeme za vyřešený.</w:t>
            </w:r>
          </w:p>
        </w:tc>
      </w:tr>
      <w:tr w:rsidR="008813D4"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813D4" w:rsidRPr="006851AA" w:rsidRDefault="009B4BC9" w:rsidP="00F140AE">
            <w:pPr>
              <w:rPr>
                <w:rFonts w:asciiTheme="minorHAnsi" w:hAnsiTheme="minorHAnsi" w:cs="Arial"/>
                <w:b/>
              </w:rPr>
            </w:pPr>
            <w:r w:rsidRPr="006851AA">
              <w:rPr>
                <w:rFonts w:asciiTheme="minorHAnsi" w:hAnsiTheme="minorHAnsi" w:cs="Arial"/>
                <w:b/>
              </w:rPr>
              <w:t>Energetika – OZE – bioplyn</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CB4569" w:rsidP="00F140AE">
            <w:pPr>
              <w:rPr>
                <w:rFonts w:asciiTheme="minorHAnsi" w:hAnsiTheme="minorHAnsi" w:cs="Arial"/>
              </w:rPr>
            </w:pPr>
            <w:r>
              <w:rPr>
                <w:rFonts w:asciiTheme="minorHAnsi" w:hAnsiTheme="minorHAnsi" w:cs="Arial"/>
              </w:rPr>
              <w:t xml:space="preserve">Daná oblast je sledována z důvodu možných překryvů a v případě MZe i potenciálních synergií – ne </w:t>
            </w:r>
            <w:r>
              <w:rPr>
                <w:rFonts w:asciiTheme="minorHAnsi" w:hAnsiTheme="minorHAnsi" w:cs="Arial"/>
              </w:rPr>
              <w:lastRenderedPageBreak/>
              <w:t>však ve všech případech.</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CB4569" w:rsidRDefault="00CB4569" w:rsidP="00334B73">
            <w:pPr>
              <w:jc w:val="center"/>
              <w:rPr>
                <w:rFonts w:asciiTheme="minorHAnsi" w:hAnsiTheme="minorHAnsi" w:cs="Arial"/>
              </w:rPr>
            </w:pPr>
            <w:r>
              <w:rPr>
                <w:rFonts w:asciiTheme="minorHAnsi" w:hAnsiTheme="minorHAnsi" w:cs="Arial"/>
              </w:rPr>
              <w:lastRenderedPageBreak/>
              <w:t>překryv</w:t>
            </w:r>
          </w:p>
          <w:p w:rsidR="008813D4" w:rsidRPr="009470BE" w:rsidRDefault="00CB4569" w:rsidP="00334B73">
            <w:pPr>
              <w:jc w:val="center"/>
              <w:rPr>
                <w:rFonts w:asciiTheme="minorHAnsi" w:hAnsiTheme="minorHAnsi" w:cs="Arial"/>
              </w:rPr>
            </w:pPr>
            <w:r>
              <w:rPr>
                <w:rFonts w:asciiTheme="minorHAnsi" w:hAnsiTheme="minorHAnsi" w:cs="Arial"/>
              </w:rPr>
              <w:t>synergie</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8813D4"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Default="00EE4DAA" w:rsidP="00F140AE">
            <w:pPr>
              <w:jc w:val="center"/>
              <w:rPr>
                <w:rFonts w:asciiTheme="minorHAnsi" w:hAnsiTheme="minorHAnsi" w:cs="Arial"/>
              </w:rPr>
            </w:pPr>
            <w:r>
              <w:rPr>
                <w:rFonts w:asciiTheme="minorHAnsi" w:hAnsiTheme="minorHAnsi" w:cs="Arial"/>
              </w:rPr>
              <w:t>MPO</w:t>
            </w:r>
          </w:p>
          <w:p w:rsidR="00EE4DAA" w:rsidRDefault="00EE4DAA" w:rsidP="00F140AE">
            <w:pPr>
              <w:jc w:val="center"/>
              <w:rPr>
                <w:rFonts w:asciiTheme="minorHAnsi" w:hAnsiTheme="minorHAnsi" w:cs="Arial"/>
              </w:rPr>
            </w:pPr>
            <w:r>
              <w:rPr>
                <w:rFonts w:asciiTheme="minorHAnsi" w:hAnsiTheme="minorHAnsi" w:cs="Arial"/>
              </w:rPr>
              <w:t>MŽP</w:t>
            </w:r>
          </w:p>
          <w:p w:rsidR="00EE4DAA" w:rsidRPr="009470BE" w:rsidRDefault="00EE4DAA" w:rsidP="00F140AE">
            <w:pPr>
              <w:jc w:val="center"/>
              <w:rPr>
                <w:rFonts w:asciiTheme="minorHAnsi" w:hAnsiTheme="minorHAnsi" w:cs="Arial"/>
              </w:rPr>
            </w:pPr>
            <w:r>
              <w:rPr>
                <w:rFonts w:asciiTheme="minorHAnsi" w:hAnsiTheme="minorHAnsi" w:cs="Arial"/>
              </w:rPr>
              <w:t>MZe</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Default="00EE4DAA" w:rsidP="00F140AE">
            <w:pPr>
              <w:jc w:val="center"/>
              <w:rPr>
                <w:rFonts w:asciiTheme="minorHAnsi" w:hAnsiTheme="minorHAnsi" w:cs="Arial"/>
              </w:rPr>
            </w:pPr>
            <w:r>
              <w:rPr>
                <w:rFonts w:asciiTheme="minorHAnsi" w:hAnsiTheme="minorHAnsi" w:cs="Arial"/>
              </w:rPr>
              <w:t>OPŽP</w:t>
            </w:r>
            <w:r w:rsidR="000F27C1">
              <w:rPr>
                <w:rFonts w:asciiTheme="minorHAnsi" w:hAnsiTheme="minorHAnsi" w:cs="Arial"/>
              </w:rPr>
              <w:t xml:space="preserve"> (PO3)</w:t>
            </w:r>
          </w:p>
          <w:p w:rsidR="00EE4DAA" w:rsidRPr="009470BE" w:rsidRDefault="00EE4DAA" w:rsidP="00F140AE">
            <w:pPr>
              <w:jc w:val="center"/>
              <w:rPr>
                <w:rFonts w:asciiTheme="minorHAnsi" w:hAnsiTheme="minorHAnsi" w:cs="Arial"/>
              </w:rPr>
            </w:pPr>
            <w:r>
              <w:rPr>
                <w:rFonts w:asciiTheme="minorHAnsi" w:hAnsiTheme="minorHAnsi" w:cs="Arial"/>
              </w:rPr>
              <w:t>PRV</w:t>
            </w:r>
            <w:r w:rsidR="000F27C1">
              <w:rPr>
                <w:rFonts w:asciiTheme="minorHAnsi" w:hAnsiTheme="minorHAnsi" w:cs="Arial"/>
              </w:rPr>
              <w:t xml:space="preserve"> (P2)</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6851AA" w:rsidRDefault="00CB4569" w:rsidP="00F140AE">
            <w:pPr>
              <w:rPr>
                <w:rFonts w:asciiTheme="minorHAnsi" w:hAnsiTheme="minorHAnsi" w:cs="Arial"/>
              </w:rPr>
            </w:pPr>
            <w:r w:rsidRPr="006851AA">
              <w:rPr>
                <w:rFonts w:asciiTheme="minorHAnsi" w:hAnsiTheme="minorHAnsi" w:cs="Arial"/>
                <w:b/>
              </w:rPr>
              <w:t>MPO</w:t>
            </w:r>
            <w:r w:rsidRPr="006851AA">
              <w:rPr>
                <w:rFonts w:asciiTheme="minorHAnsi" w:hAnsiTheme="minorHAnsi" w:cs="Arial"/>
              </w:rPr>
              <w:t xml:space="preserve"> – </w:t>
            </w:r>
            <w:r w:rsidRPr="006851AA">
              <w:rPr>
                <w:rFonts w:asciiTheme="minorHAnsi" w:hAnsiTheme="minorHAnsi" w:cstheme="minorHAnsi"/>
              </w:rPr>
              <w:t>využívání tepla z bioplynových stanic v rámci tepla z OZE (vyvedení užitečného tepla)</w:t>
            </w:r>
          </w:p>
          <w:p w:rsidR="00CB4569" w:rsidRPr="006851AA" w:rsidRDefault="00CB4569" w:rsidP="00F140AE">
            <w:pPr>
              <w:rPr>
                <w:rFonts w:asciiTheme="minorHAnsi" w:hAnsiTheme="minorHAnsi" w:cs="Arial"/>
              </w:rPr>
            </w:pPr>
            <w:r w:rsidRPr="006851AA">
              <w:rPr>
                <w:rFonts w:asciiTheme="minorHAnsi" w:hAnsiTheme="minorHAnsi" w:cs="Arial"/>
                <w:b/>
              </w:rPr>
              <w:t>MŽP</w:t>
            </w:r>
            <w:r w:rsidRPr="006851AA">
              <w:rPr>
                <w:rFonts w:asciiTheme="minorHAnsi" w:hAnsiTheme="minorHAnsi" w:cs="Arial"/>
              </w:rPr>
              <w:t xml:space="preserve"> – podpora bioplynových stanic v souvislosti s využitím odpadu</w:t>
            </w:r>
          </w:p>
          <w:p w:rsidR="00CB4569" w:rsidRPr="006851AA" w:rsidRDefault="00CB4569" w:rsidP="006851AA">
            <w:pPr>
              <w:rPr>
                <w:rFonts w:asciiTheme="minorHAnsi" w:hAnsiTheme="minorHAnsi" w:cs="Arial"/>
              </w:rPr>
            </w:pPr>
            <w:r w:rsidRPr="006851AA">
              <w:rPr>
                <w:rFonts w:asciiTheme="minorHAnsi" w:hAnsiTheme="minorHAnsi" w:cs="Arial"/>
                <w:b/>
              </w:rPr>
              <w:t>MZe</w:t>
            </w:r>
            <w:r w:rsidRPr="006851AA">
              <w:rPr>
                <w:rFonts w:asciiTheme="minorHAnsi" w:hAnsiTheme="minorHAnsi" w:cs="Arial"/>
              </w:rPr>
              <w:t xml:space="preserve"> - výstavba nových bioplynových stanic</w:t>
            </w:r>
            <w:r w:rsidR="006851AA">
              <w:rPr>
                <w:rFonts w:asciiTheme="minorHAnsi" w:hAnsiTheme="minorHAnsi" w:cs="Arial"/>
              </w:rPr>
              <w:t>, k</w:t>
            </w:r>
            <w:r w:rsidR="006851AA" w:rsidRPr="00B552DE">
              <w:rPr>
                <w:rFonts w:asciiTheme="minorHAnsi" w:hAnsiTheme="minorHAnsi" w:cstheme="minorHAnsi"/>
              </w:rPr>
              <w:t xml:space="preserve">otelny – </w:t>
            </w:r>
            <w:r w:rsidR="006851AA" w:rsidRPr="00B552DE">
              <w:rPr>
                <w:rFonts w:asciiTheme="minorHAnsi" w:hAnsiTheme="minorHAnsi" w:cstheme="minorHAnsi"/>
              </w:rPr>
              <w:lastRenderedPageBreak/>
              <w:t>peletárny – pro zemědělské podnikatele</w:t>
            </w:r>
          </w:p>
        </w:tc>
        <w:tc>
          <w:tcPr>
            <w:tcW w:w="850" w:type="dxa"/>
            <w:tcBorders>
              <w:top w:val="single" w:sz="4" w:space="0" w:color="auto"/>
              <w:left w:val="nil"/>
              <w:bottom w:val="single" w:sz="4" w:space="0" w:color="auto"/>
              <w:right w:val="single" w:sz="4" w:space="0" w:color="auto"/>
            </w:tcBorders>
            <w:shd w:val="clear" w:color="auto" w:fill="auto"/>
            <w:vAlign w:val="center"/>
          </w:tcPr>
          <w:p w:rsidR="008813D4" w:rsidRDefault="00CB4569" w:rsidP="00F140AE">
            <w:pPr>
              <w:rPr>
                <w:rFonts w:asciiTheme="minorHAnsi" w:hAnsiTheme="minorHAnsi" w:cs="Arial"/>
              </w:rPr>
            </w:pPr>
            <w:r>
              <w:rPr>
                <w:rFonts w:asciiTheme="minorHAnsi" w:hAnsiTheme="minorHAnsi" w:cs="Arial"/>
              </w:rPr>
              <w:lastRenderedPageBreak/>
              <w:t>OPPIK – PO3</w:t>
            </w:r>
          </w:p>
          <w:p w:rsidR="00701CA2" w:rsidRDefault="00701CA2" w:rsidP="00F140AE">
            <w:pPr>
              <w:rPr>
                <w:rFonts w:asciiTheme="minorHAnsi" w:hAnsiTheme="minorHAnsi" w:cs="Arial"/>
              </w:rPr>
            </w:pPr>
            <w:r>
              <w:rPr>
                <w:rFonts w:asciiTheme="minorHAnsi" w:hAnsiTheme="minorHAnsi" w:cs="Arial"/>
              </w:rPr>
              <w:t>OPŽP – PO3</w:t>
            </w:r>
          </w:p>
          <w:p w:rsidR="006851AA" w:rsidRPr="009470BE" w:rsidRDefault="006851AA" w:rsidP="00F140AE">
            <w:pPr>
              <w:rPr>
                <w:rFonts w:asciiTheme="minorHAnsi" w:hAnsiTheme="minorHAnsi" w:cs="Arial"/>
              </w:rPr>
            </w:pPr>
            <w:r>
              <w:rPr>
                <w:rFonts w:asciiTheme="minorHAnsi" w:hAnsiTheme="minorHAnsi" w:cs="Arial"/>
              </w:rPr>
              <w:t>PRV – P2</w:t>
            </w:r>
          </w:p>
        </w:tc>
        <w:tc>
          <w:tcPr>
            <w:tcW w:w="1686" w:type="dxa"/>
            <w:tcBorders>
              <w:top w:val="single" w:sz="4" w:space="0" w:color="auto"/>
              <w:left w:val="nil"/>
              <w:bottom w:val="single" w:sz="4" w:space="0" w:color="auto"/>
              <w:right w:val="single" w:sz="4" w:space="0" w:color="auto"/>
            </w:tcBorders>
            <w:shd w:val="clear" w:color="auto" w:fill="auto"/>
            <w:vAlign w:val="center"/>
          </w:tcPr>
          <w:p w:rsidR="008813D4" w:rsidRPr="009470BE" w:rsidRDefault="001D0934" w:rsidP="001D0934">
            <w:pPr>
              <w:rPr>
                <w:rFonts w:asciiTheme="minorHAnsi" w:hAnsiTheme="minorHAnsi" w:cs="Arial"/>
              </w:rPr>
            </w:pPr>
            <w:r w:rsidRPr="000E39B1">
              <w:rPr>
                <w:rFonts w:asciiTheme="minorHAnsi" w:hAnsiTheme="minorHAnsi" w:cstheme="minorHAnsi"/>
              </w:rPr>
              <w:t>Synchronizace výzev</w:t>
            </w:r>
            <w:r>
              <w:rPr>
                <w:rFonts w:asciiTheme="minorHAnsi" w:hAnsiTheme="minorHAnsi" w:cstheme="minorHAnsi"/>
              </w:rPr>
              <w:t xml:space="preserve"> MZe a MPO</w:t>
            </w:r>
          </w:p>
        </w:tc>
        <w:tc>
          <w:tcPr>
            <w:tcW w:w="2283" w:type="dxa"/>
            <w:tcBorders>
              <w:top w:val="single" w:sz="4" w:space="0" w:color="auto"/>
              <w:left w:val="nil"/>
              <w:bottom w:val="single" w:sz="4" w:space="0" w:color="auto"/>
              <w:right w:val="single" w:sz="4" w:space="0" w:color="auto"/>
            </w:tcBorders>
            <w:shd w:val="clear" w:color="auto" w:fill="auto"/>
            <w:vAlign w:val="center"/>
          </w:tcPr>
          <w:p w:rsidR="00CB4569" w:rsidRDefault="00CB4569" w:rsidP="00F140AE">
            <w:pPr>
              <w:rPr>
                <w:rFonts w:asciiTheme="minorHAnsi" w:hAnsiTheme="minorHAnsi" w:cs="Arial"/>
              </w:rPr>
            </w:pPr>
            <w:r>
              <w:rPr>
                <w:rFonts w:asciiTheme="minorHAnsi" w:hAnsiTheme="minorHAnsi" w:cs="Arial"/>
              </w:rPr>
              <w:t xml:space="preserve">Na společném jednání MPO a MZe dne 21. 3. 2013 bylo dohodnuto navržené řešení. Překryv považujeme za vyřešený. </w:t>
            </w:r>
          </w:p>
          <w:p w:rsidR="00CB4569" w:rsidRDefault="00CB4569" w:rsidP="00F140AE">
            <w:pPr>
              <w:rPr>
                <w:rFonts w:asciiTheme="minorHAnsi" w:hAnsiTheme="minorHAnsi" w:cs="Arial"/>
              </w:rPr>
            </w:pPr>
          </w:p>
          <w:p w:rsidR="008813D4" w:rsidRPr="009470BE" w:rsidRDefault="00CB4569" w:rsidP="00F140AE">
            <w:pPr>
              <w:rPr>
                <w:rFonts w:asciiTheme="minorHAnsi" w:hAnsiTheme="minorHAnsi" w:cs="Arial"/>
              </w:rPr>
            </w:pPr>
            <w:r>
              <w:rPr>
                <w:rFonts w:asciiTheme="minorHAnsi" w:hAnsiTheme="minorHAnsi" w:cs="Arial"/>
              </w:rPr>
              <w:t xml:space="preserve">Na společném jednání MPO a MŽP dne 27. 3. </w:t>
            </w:r>
            <w:r>
              <w:rPr>
                <w:rFonts w:asciiTheme="minorHAnsi" w:hAnsiTheme="minorHAnsi" w:cs="Arial"/>
              </w:rPr>
              <w:lastRenderedPageBreak/>
              <w:t>2013 bylo dohodnuto navržené řešení. Překryv považujeme za vyřešený.</w:t>
            </w:r>
          </w:p>
        </w:tc>
      </w:tr>
      <w:tr w:rsidR="008813D4"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813D4" w:rsidRPr="006851AA" w:rsidRDefault="009B4BC9" w:rsidP="009B4BC9">
            <w:pPr>
              <w:rPr>
                <w:rFonts w:asciiTheme="minorHAnsi" w:hAnsiTheme="minorHAnsi" w:cs="Arial"/>
                <w:b/>
              </w:rPr>
            </w:pPr>
            <w:r w:rsidRPr="006851AA">
              <w:rPr>
                <w:rFonts w:asciiTheme="minorHAnsi" w:hAnsiTheme="minorHAnsi" w:cs="Arial"/>
                <w:b/>
              </w:rPr>
              <w:lastRenderedPageBreak/>
              <w:t>Energetika – OZE – biomasa</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813D4" w:rsidRPr="009470BE" w:rsidRDefault="00701CA2" w:rsidP="00F140AE">
            <w:pPr>
              <w:rPr>
                <w:rFonts w:asciiTheme="minorHAnsi" w:hAnsiTheme="minorHAnsi" w:cs="Arial"/>
              </w:rPr>
            </w:pPr>
            <w:r>
              <w:rPr>
                <w:rFonts w:asciiTheme="minorHAnsi" w:hAnsiTheme="minorHAnsi" w:cs="Arial"/>
              </w:rPr>
              <w:t>Daná oblast je sledována z důvodu možných překryvů.</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813D4" w:rsidRPr="009470BE" w:rsidRDefault="00701CA2" w:rsidP="00334B73">
            <w:pPr>
              <w:jc w:val="center"/>
              <w:rPr>
                <w:rFonts w:asciiTheme="minorHAnsi" w:hAnsiTheme="minorHAnsi" w:cs="Arial"/>
              </w:rPr>
            </w:pPr>
            <w:r>
              <w:rPr>
                <w:rFonts w:asciiTheme="minorHAnsi" w:hAnsiTheme="minorHAnsi" w:cs="Arial"/>
              </w:rPr>
              <w:t>překryv</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813D4" w:rsidRPr="009470BE" w:rsidRDefault="008813D4"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813D4" w:rsidRDefault="00EE4DAA" w:rsidP="00F140AE">
            <w:pPr>
              <w:jc w:val="center"/>
              <w:rPr>
                <w:rFonts w:asciiTheme="minorHAnsi" w:hAnsiTheme="minorHAnsi" w:cs="Arial"/>
              </w:rPr>
            </w:pPr>
            <w:r>
              <w:rPr>
                <w:rFonts w:asciiTheme="minorHAnsi" w:hAnsiTheme="minorHAnsi" w:cs="Arial"/>
              </w:rPr>
              <w:t>MPO</w:t>
            </w:r>
          </w:p>
          <w:p w:rsidR="00EE4DAA" w:rsidRPr="009470BE" w:rsidRDefault="00EE4DAA" w:rsidP="00F140AE">
            <w:pPr>
              <w:jc w:val="center"/>
              <w:rPr>
                <w:rFonts w:asciiTheme="minorHAnsi" w:hAnsiTheme="minorHAnsi" w:cs="Arial"/>
              </w:rPr>
            </w:pPr>
            <w:r>
              <w:rPr>
                <w:rFonts w:asciiTheme="minorHAnsi" w:hAnsiTheme="minorHAnsi" w:cs="Arial"/>
              </w:rPr>
              <w:t>MZe</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813D4" w:rsidRPr="009470BE" w:rsidRDefault="00EE4DAA" w:rsidP="00F140AE">
            <w:pPr>
              <w:jc w:val="center"/>
              <w:rPr>
                <w:rFonts w:asciiTheme="minorHAnsi" w:hAnsiTheme="minorHAnsi" w:cs="Arial"/>
              </w:rPr>
            </w:pPr>
            <w:r>
              <w:rPr>
                <w:rFonts w:asciiTheme="minorHAnsi" w:hAnsiTheme="minorHAnsi" w:cs="Arial"/>
              </w:rPr>
              <w:t>PRV</w:t>
            </w:r>
            <w:r w:rsidR="000F27C1">
              <w:rPr>
                <w:rFonts w:asciiTheme="minorHAnsi" w:hAnsiTheme="minorHAnsi" w:cs="Arial"/>
              </w:rPr>
              <w:t xml:space="preserve"> (P2)</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8813D4" w:rsidRDefault="00CB4569" w:rsidP="00CB4569">
            <w:pPr>
              <w:rPr>
                <w:rFonts w:asciiTheme="minorHAnsi" w:hAnsiTheme="minorHAnsi" w:cs="Arial"/>
              </w:rPr>
            </w:pPr>
            <w:r w:rsidRPr="006851AA">
              <w:rPr>
                <w:rFonts w:asciiTheme="minorHAnsi" w:hAnsiTheme="minorHAnsi" w:cs="Arial"/>
                <w:b/>
              </w:rPr>
              <w:t>MPO</w:t>
            </w:r>
            <w:r>
              <w:rPr>
                <w:rFonts w:asciiTheme="minorHAnsi" w:hAnsiTheme="minorHAnsi" w:cs="Arial"/>
              </w:rPr>
              <w:t xml:space="preserve"> - s</w:t>
            </w:r>
            <w:r w:rsidRPr="00CB4569">
              <w:rPr>
                <w:rFonts w:asciiTheme="minorHAnsi" w:hAnsiTheme="minorHAnsi" w:cs="Arial"/>
              </w:rPr>
              <w:t>palování biomasy jako výroba tepla z OZE (podnikatelské sféra)</w:t>
            </w:r>
          </w:p>
          <w:p w:rsidR="00CB4569" w:rsidRPr="009470BE" w:rsidRDefault="00CB4569" w:rsidP="00CB4569">
            <w:pPr>
              <w:rPr>
                <w:rFonts w:asciiTheme="minorHAnsi" w:hAnsiTheme="minorHAnsi" w:cs="Arial"/>
              </w:rPr>
            </w:pPr>
            <w:r w:rsidRPr="006851AA">
              <w:rPr>
                <w:rFonts w:asciiTheme="minorHAnsi" w:hAnsiTheme="minorHAnsi" w:cs="Arial"/>
                <w:b/>
              </w:rPr>
              <w:t>MZe</w:t>
            </w:r>
            <w:r>
              <w:rPr>
                <w:rFonts w:asciiTheme="minorHAnsi" w:hAnsiTheme="minorHAnsi" w:cs="Arial"/>
              </w:rPr>
              <w:t xml:space="preserve"> - </w:t>
            </w:r>
            <w:r w:rsidRPr="00CB4569">
              <w:rPr>
                <w:rFonts w:asciiTheme="minorHAnsi" w:hAnsiTheme="minorHAnsi" w:cs="Arial"/>
              </w:rPr>
              <w:t>podpora biomasy – podpora zemědělských podnikatelů</w:t>
            </w:r>
          </w:p>
        </w:tc>
        <w:tc>
          <w:tcPr>
            <w:tcW w:w="850" w:type="dxa"/>
            <w:tcBorders>
              <w:top w:val="single" w:sz="4" w:space="0" w:color="auto"/>
              <w:left w:val="nil"/>
              <w:bottom w:val="single" w:sz="4" w:space="0" w:color="auto"/>
              <w:right w:val="single" w:sz="4" w:space="0" w:color="auto"/>
            </w:tcBorders>
            <w:shd w:val="clear" w:color="auto" w:fill="auto"/>
            <w:vAlign w:val="center"/>
          </w:tcPr>
          <w:p w:rsidR="008813D4" w:rsidRDefault="00701CA2" w:rsidP="00F140AE">
            <w:pPr>
              <w:rPr>
                <w:rFonts w:asciiTheme="minorHAnsi" w:hAnsiTheme="minorHAnsi" w:cs="Arial"/>
              </w:rPr>
            </w:pPr>
            <w:r>
              <w:rPr>
                <w:rFonts w:asciiTheme="minorHAnsi" w:hAnsiTheme="minorHAnsi" w:cs="Arial"/>
              </w:rPr>
              <w:t>OPPIK – PO3</w:t>
            </w:r>
          </w:p>
          <w:p w:rsidR="006851AA" w:rsidRPr="009470BE" w:rsidRDefault="006851AA" w:rsidP="00F140AE">
            <w:pPr>
              <w:rPr>
                <w:rFonts w:asciiTheme="minorHAnsi" w:hAnsiTheme="minorHAnsi" w:cs="Arial"/>
              </w:rPr>
            </w:pPr>
            <w:r>
              <w:rPr>
                <w:rFonts w:asciiTheme="minorHAnsi" w:hAnsiTheme="minorHAnsi" w:cs="Arial"/>
              </w:rPr>
              <w:t>PRV – P2</w:t>
            </w:r>
          </w:p>
        </w:tc>
        <w:tc>
          <w:tcPr>
            <w:tcW w:w="1686" w:type="dxa"/>
            <w:tcBorders>
              <w:top w:val="single" w:sz="4" w:space="0" w:color="auto"/>
              <w:left w:val="nil"/>
              <w:bottom w:val="single" w:sz="4" w:space="0" w:color="auto"/>
              <w:right w:val="single" w:sz="4" w:space="0" w:color="auto"/>
            </w:tcBorders>
            <w:shd w:val="clear" w:color="auto" w:fill="auto"/>
            <w:vAlign w:val="center"/>
          </w:tcPr>
          <w:p w:rsidR="008813D4" w:rsidRPr="009470BE" w:rsidRDefault="008813D4"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8813D4" w:rsidRPr="009470BE" w:rsidRDefault="00CB4569" w:rsidP="00701CA2">
            <w:pPr>
              <w:rPr>
                <w:rFonts w:asciiTheme="minorHAnsi" w:hAnsiTheme="minorHAnsi" w:cs="Arial"/>
              </w:rPr>
            </w:pPr>
            <w:r>
              <w:rPr>
                <w:rFonts w:asciiTheme="minorHAnsi" w:hAnsiTheme="minorHAnsi" w:cs="Arial"/>
              </w:rPr>
              <w:t xml:space="preserve">Na společném jednání MPO a MZe dne 21. 3. 2013 bylo dohodnuto navržené řešení. </w:t>
            </w:r>
          </w:p>
        </w:tc>
      </w:tr>
      <w:tr w:rsidR="008813D4"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8813D4" w:rsidRPr="006851AA" w:rsidRDefault="009B4BC9" w:rsidP="00F140AE">
            <w:pPr>
              <w:rPr>
                <w:rFonts w:asciiTheme="minorHAnsi" w:hAnsiTheme="minorHAnsi" w:cs="Arial"/>
                <w:b/>
              </w:rPr>
            </w:pPr>
            <w:r w:rsidRPr="006851AA">
              <w:rPr>
                <w:rFonts w:asciiTheme="minorHAnsi" w:hAnsiTheme="minorHAnsi" w:cs="Arial"/>
                <w:b/>
              </w:rPr>
              <w:t>Energetika – druhotné suroviny</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701CA2" w:rsidP="00F140AE">
            <w:pPr>
              <w:rPr>
                <w:rFonts w:asciiTheme="minorHAnsi" w:hAnsiTheme="minorHAnsi" w:cs="Arial"/>
              </w:rPr>
            </w:pPr>
            <w:r>
              <w:rPr>
                <w:rFonts w:asciiTheme="minorHAnsi" w:hAnsiTheme="minorHAnsi" w:cs="Arial"/>
              </w:rPr>
              <w:t>Daná oblast je sledována z důvodu možných překryvů.</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701CA2" w:rsidP="00334B73">
            <w:pPr>
              <w:jc w:val="center"/>
              <w:rPr>
                <w:rFonts w:asciiTheme="minorHAnsi" w:hAnsiTheme="minorHAnsi" w:cs="Arial"/>
              </w:rPr>
            </w:pPr>
            <w:r>
              <w:rPr>
                <w:rFonts w:asciiTheme="minorHAnsi" w:hAnsiTheme="minorHAnsi" w:cs="Arial"/>
              </w:rPr>
              <w:t>překryv</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8813D4"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Default="00EE4DAA" w:rsidP="00F140AE">
            <w:pPr>
              <w:jc w:val="center"/>
              <w:rPr>
                <w:rFonts w:asciiTheme="minorHAnsi" w:hAnsiTheme="minorHAnsi" w:cs="Arial"/>
              </w:rPr>
            </w:pPr>
            <w:r>
              <w:rPr>
                <w:rFonts w:asciiTheme="minorHAnsi" w:hAnsiTheme="minorHAnsi" w:cs="Arial"/>
              </w:rPr>
              <w:t>MPO</w:t>
            </w:r>
          </w:p>
          <w:p w:rsidR="00EE4DAA" w:rsidRPr="009470BE" w:rsidRDefault="00EE4DAA" w:rsidP="00F140AE">
            <w:pPr>
              <w:jc w:val="center"/>
              <w:rPr>
                <w:rFonts w:asciiTheme="minorHAnsi" w:hAnsiTheme="minorHAnsi" w:cs="Arial"/>
              </w:rPr>
            </w:pPr>
            <w:r>
              <w:rPr>
                <w:rFonts w:asciiTheme="minorHAnsi" w:hAnsiTheme="minorHAnsi" w:cs="Arial"/>
              </w:rPr>
              <w:t>MŽP</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Pr="009470BE" w:rsidRDefault="00EE4DAA" w:rsidP="00F140AE">
            <w:pPr>
              <w:jc w:val="center"/>
              <w:rPr>
                <w:rFonts w:asciiTheme="minorHAnsi" w:hAnsiTheme="minorHAnsi" w:cs="Arial"/>
              </w:rPr>
            </w:pPr>
            <w:r>
              <w:rPr>
                <w:rFonts w:asciiTheme="minorHAnsi" w:hAnsiTheme="minorHAnsi" w:cs="Arial"/>
              </w:rPr>
              <w:t>OPŽP</w:t>
            </w:r>
            <w:r w:rsidR="000F27C1">
              <w:rPr>
                <w:rFonts w:asciiTheme="minorHAnsi" w:hAnsiTheme="minorHAnsi" w:cs="Arial"/>
              </w:rPr>
              <w:t xml:space="preserve"> (PO3)</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8813D4" w:rsidRDefault="00701CA2" w:rsidP="00F140AE">
            <w:pPr>
              <w:rPr>
                <w:rFonts w:asciiTheme="minorHAnsi" w:hAnsiTheme="minorHAnsi" w:cs="Arial"/>
              </w:rPr>
            </w:pPr>
            <w:r w:rsidRPr="006851AA">
              <w:rPr>
                <w:rFonts w:asciiTheme="minorHAnsi" w:hAnsiTheme="minorHAnsi" w:cs="Arial"/>
                <w:b/>
              </w:rPr>
              <w:t>MPO</w:t>
            </w:r>
            <w:r>
              <w:rPr>
                <w:rFonts w:asciiTheme="minorHAnsi" w:hAnsiTheme="minorHAnsi" w:cs="Arial"/>
              </w:rPr>
              <w:t xml:space="preserve"> - </w:t>
            </w:r>
            <w:r>
              <w:rPr>
                <w:rFonts w:asciiTheme="minorHAnsi" w:hAnsiTheme="minorHAnsi" w:cstheme="minorHAnsi"/>
              </w:rPr>
              <w:t>výzkumné projekty na získávání druhotných surovin z odpadů</w:t>
            </w:r>
          </w:p>
          <w:p w:rsidR="00701CA2" w:rsidRPr="009470BE" w:rsidRDefault="00701CA2" w:rsidP="00F140AE">
            <w:pPr>
              <w:rPr>
                <w:rFonts w:asciiTheme="minorHAnsi" w:hAnsiTheme="minorHAnsi" w:cs="Arial"/>
              </w:rPr>
            </w:pPr>
            <w:r w:rsidRPr="006851AA">
              <w:rPr>
                <w:rFonts w:asciiTheme="minorHAnsi" w:hAnsiTheme="minorHAnsi" w:cs="Arial"/>
                <w:b/>
              </w:rPr>
              <w:t>MŽP</w:t>
            </w:r>
            <w:r>
              <w:rPr>
                <w:rFonts w:asciiTheme="minorHAnsi" w:hAnsiTheme="minorHAnsi" w:cs="Arial"/>
              </w:rPr>
              <w:t xml:space="preserve"> – likvidace odpadu</w:t>
            </w:r>
          </w:p>
        </w:tc>
        <w:tc>
          <w:tcPr>
            <w:tcW w:w="850" w:type="dxa"/>
            <w:tcBorders>
              <w:top w:val="single" w:sz="4" w:space="0" w:color="auto"/>
              <w:left w:val="nil"/>
              <w:bottom w:val="single" w:sz="4" w:space="0" w:color="auto"/>
              <w:right w:val="single" w:sz="4" w:space="0" w:color="auto"/>
            </w:tcBorders>
            <w:shd w:val="clear" w:color="auto" w:fill="auto"/>
            <w:vAlign w:val="center"/>
          </w:tcPr>
          <w:p w:rsidR="008813D4" w:rsidRDefault="00701CA2" w:rsidP="00F140AE">
            <w:pPr>
              <w:rPr>
                <w:rFonts w:asciiTheme="minorHAnsi" w:hAnsiTheme="minorHAnsi" w:cs="Arial"/>
              </w:rPr>
            </w:pPr>
            <w:r>
              <w:rPr>
                <w:rFonts w:asciiTheme="minorHAnsi" w:hAnsiTheme="minorHAnsi" w:cs="Arial"/>
              </w:rPr>
              <w:t>OPPIK – PO3</w:t>
            </w:r>
          </w:p>
          <w:p w:rsidR="00701CA2" w:rsidRPr="009470BE" w:rsidRDefault="00701CA2" w:rsidP="00F140AE">
            <w:pPr>
              <w:rPr>
                <w:rFonts w:asciiTheme="minorHAnsi" w:hAnsiTheme="minorHAnsi" w:cs="Arial"/>
              </w:rPr>
            </w:pPr>
            <w:r>
              <w:rPr>
                <w:rFonts w:asciiTheme="minorHAnsi" w:hAnsiTheme="minorHAnsi" w:cs="Arial"/>
              </w:rPr>
              <w:t>OPŽP – PO3</w:t>
            </w:r>
          </w:p>
        </w:tc>
        <w:tc>
          <w:tcPr>
            <w:tcW w:w="1686" w:type="dxa"/>
            <w:tcBorders>
              <w:top w:val="single" w:sz="4" w:space="0" w:color="auto"/>
              <w:left w:val="nil"/>
              <w:bottom w:val="single" w:sz="4" w:space="0" w:color="auto"/>
              <w:right w:val="single" w:sz="4" w:space="0" w:color="auto"/>
            </w:tcBorders>
            <w:shd w:val="clear" w:color="auto" w:fill="auto"/>
            <w:vAlign w:val="center"/>
          </w:tcPr>
          <w:p w:rsidR="008813D4" w:rsidRPr="009470BE" w:rsidRDefault="008813D4"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8813D4" w:rsidRPr="009470BE" w:rsidRDefault="00CB4569" w:rsidP="00F140AE">
            <w:pPr>
              <w:rPr>
                <w:rFonts w:asciiTheme="minorHAnsi" w:hAnsiTheme="minorHAnsi" w:cs="Arial"/>
              </w:rPr>
            </w:pPr>
            <w:r>
              <w:rPr>
                <w:rFonts w:asciiTheme="minorHAnsi" w:hAnsiTheme="minorHAnsi" w:cs="Arial"/>
              </w:rPr>
              <w:t>Na společném jednání MPO a MŽP dne 27. 3. 2013 bylo dohodnuto navržené řešení. Překryv považujeme za vyřešený.</w:t>
            </w:r>
          </w:p>
        </w:tc>
      </w:tr>
      <w:tr w:rsidR="00701CA2"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01CA2" w:rsidRPr="006851AA" w:rsidRDefault="00701CA2" w:rsidP="00F140AE">
            <w:pPr>
              <w:rPr>
                <w:rFonts w:asciiTheme="minorHAnsi" w:hAnsiTheme="minorHAnsi" w:cs="Arial"/>
                <w:b/>
              </w:rPr>
            </w:pPr>
            <w:r w:rsidRPr="006851AA">
              <w:rPr>
                <w:rFonts w:asciiTheme="minorHAnsi" w:hAnsiTheme="minorHAnsi" w:cs="Arial"/>
                <w:b/>
              </w:rPr>
              <w:t>Energetika - KVET</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701CA2" w:rsidP="00F140AE">
            <w:pPr>
              <w:rPr>
                <w:rFonts w:asciiTheme="minorHAnsi" w:hAnsiTheme="minorHAnsi" w:cs="Arial"/>
              </w:rPr>
            </w:pPr>
            <w:r>
              <w:rPr>
                <w:rFonts w:asciiTheme="minorHAnsi" w:hAnsiTheme="minorHAnsi" w:cs="Arial"/>
              </w:rPr>
              <w:t>Daná oblast je sledována z důvodu možných překryvů.</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701CA2" w:rsidP="00334B73">
            <w:pPr>
              <w:jc w:val="center"/>
              <w:rPr>
                <w:rFonts w:asciiTheme="minorHAnsi" w:hAnsiTheme="minorHAnsi" w:cs="Arial"/>
              </w:rPr>
            </w:pPr>
            <w:r>
              <w:rPr>
                <w:rFonts w:asciiTheme="minorHAnsi" w:hAnsiTheme="minorHAnsi" w:cs="Arial"/>
              </w:rPr>
              <w:t>překryv</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701CA2"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Default="00701CA2" w:rsidP="001D0934">
            <w:pPr>
              <w:jc w:val="center"/>
              <w:rPr>
                <w:rFonts w:asciiTheme="minorHAnsi" w:hAnsiTheme="minorHAnsi" w:cs="Arial"/>
              </w:rPr>
            </w:pPr>
            <w:r>
              <w:rPr>
                <w:rFonts w:asciiTheme="minorHAnsi" w:hAnsiTheme="minorHAnsi" w:cs="Arial"/>
              </w:rPr>
              <w:t>MPO</w:t>
            </w:r>
          </w:p>
          <w:p w:rsidR="00701CA2" w:rsidRPr="009470BE" w:rsidRDefault="00701CA2" w:rsidP="001D0934">
            <w:pPr>
              <w:jc w:val="center"/>
              <w:rPr>
                <w:rFonts w:asciiTheme="minorHAnsi" w:hAnsiTheme="minorHAnsi" w:cs="Arial"/>
              </w:rPr>
            </w:pPr>
            <w:r>
              <w:rPr>
                <w:rFonts w:asciiTheme="minorHAnsi" w:hAnsiTheme="minorHAnsi" w:cs="Arial"/>
              </w:rPr>
              <w:t>MŽP</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701CA2" w:rsidP="001D0934">
            <w:pPr>
              <w:jc w:val="center"/>
              <w:rPr>
                <w:rFonts w:asciiTheme="minorHAnsi" w:hAnsiTheme="minorHAnsi" w:cs="Arial"/>
              </w:rPr>
            </w:pPr>
            <w:r>
              <w:rPr>
                <w:rFonts w:asciiTheme="minorHAnsi" w:hAnsiTheme="minorHAnsi" w:cs="Arial"/>
              </w:rPr>
              <w:t>OPŽP (PO3)</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D0934" w:rsidRDefault="001D0934" w:rsidP="00F140AE">
            <w:pPr>
              <w:rPr>
                <w:rFonts w:asciiTheme="minorHAnsi" w:hAnsiTheme="minorHAnsi" w:cs="Arial"/>
              </w:rPr>
            </w:pPr>
            <w:r w:rsidRPr="006851AA">
              <w:rPr>
                <w:rFonts w:asciiTheme="minorHAnsi" w:hAnsiTheme="minorHAnsi" w:cs="Arial"/>
                <w:b/>
              </w:rPr>
              <w:t>MPO</w:t>
            </w:r>
            <w:r>
              <w:rPr>
                <w:rFonts w:asciiTheme="minorHAnsi" w:hAnsiTheme="minorHAnsi" w:cs="Arial"/>
              </w:rPr>
              <w:t>- příjemcem podnikatelské subjekty</w:t>
            </w:r>
            <w:r w:rsidR="006851AA">
              <w:rPr>
                <w:rFonts w:asciiTheme="minorHAnsi" w:hAnsiTheme="minorHAnsi" w:cs="Arial"/>
              </w:rPr>
              <w:t>; aktivita: rekonstrukce systémů centrálního zásobování teplem (CZT)</w:t>
            </w:r>
          </w:p>
          <w:p w:rsidR="00701CA2" w:rsidRPr="009470BE" w:rsidRDefault="00701CA2" w:rsidP="006851AA">
            <w:pPr>
              <w:rPr>
                <w:rFonts w:asciiTheme="minorHAnsi" w:hAnsiTheme="minorHAnsi" w:cs="Arial"/>
              </w:rPr>
            </w:pPr>
            <w:r w:rsidRPr="006851AA">
              <w:rPr>
                <w:rFonts w:asciiTheme="minorHAnsi" w:hAnsiTheme="minorHAnsi" w:cs="Arial"/>
                <w:b/>
              </w:rPr>
              <w:t>MŽP</w:t>
            </w:r>
            <w:r>
              <w:rPr>
                <w:rFonts w:asciiTheme="minorHAnsi" w:hAnsiTheme="minorHAnsi" w:cs="Arial"/>
              </w:rPr>
              <w:t xml:space="preserve"> – </w:t>
            </w:r>
            <w:r w:rsidR="001D0934">
              <w:rPr>
                <w:rFonts w:asciiTheme="minorHAnsi" w:hAnsiTheme="minorHAnsi" w:cs="Arial"/>
              </w:rPr>
              <w:t xml:space="preserve">příjemcem municipality; </w:t>
            </w:r>
            <w:r w:rsidR="006851AA">
              <w:rPr>
                <w:rFonts w:asciiTheme="minorHAnsi" w:hAnsiTheme="minorHAnsi" w:cs="Arial"/>
              </w:rPr>
              <w:t xml:space="preserve">aktivita: výstavba nových </w:t>
            </w:r>
            <w:r>
              <w:rPr>
                <w:rFonts w:asciiTheme="minorHAnsi" w:hAnsiTheme="minorHAnsi" w:cs="Arial"/>
              </w:rPr>
              <w:t>systém</w:t>
            </w:r>
            <w:r w:rsidR="006851AA">
              <w:rPr>
                <w:rFonts w:asciiTheme="minorHAnsi" w:hAnsiTheme="minorHAnsi" w:cs="Arial"/>
              </w:rPr>
              <w:t>ů</w:t>
            </w:r>
            <w:r>
              <w:rPr>
                <w:rFonts w:asciiTheme="minorHAnsi" w:hAnsiTheme="minorHAnsi" w:cs="Arial"/>
              </w:rPr>
              <w:t xml:space="preserve"> </w:t>
            </w:r>
            <w:r w:rsidR="006851AA">
              <w:rPr>
                <w:rFonts w:asciiTheme="minorHAnsi" w:hAnsiTheme="minorHAnsi" w:cs="Arial"/>
              </w:rPr>
              <w:t>CZT</w:t>
            </w:r>
          </w:p>
        </w:tc>
        <w:tc>
          <w:tcPr>
            <w:tcW w:w="850" w:type="dxa"/>
            <w:tcBorders>
              <w:top w:val="single" w:sz="4" w:space="0" w:color="auto"/>
              <w:left w:val="nil"/>
              <w:bottom w:val="single" w:sz="4" w:space="0" w:color="auto"/>
              <w:right w:val="single" w:sz="4" w:space="0" w:color="auto"/>
            </w:tcBorders>
            <w:shd w:val="clear" w:color="auto" w:fill="auto"/>
            <w:vAlign w:val="center"/>
          </w:tcPr>
          <w:p w:rsidR="00701CA2" w:rsidRDefault="001D0934" w:rsidP="00F140AE">
            <w:pPr>
              <w:rPr>
                <w:rFonts w:asciiTheme="minorHAnsi" w:hAnsiTheme="minorHAnsi" w:cs="Arial"/>
              </w:rPr>
            </w:pPr>
            <w:r>
              <w:rPr>
                <w:rFonts w:asciiTheme="minorHAnsi" w:hAnsiTheme="minorHAnsi" w:cs="Arial"/>
              </w:rPr>
              <w:t>OPPIK – PO3</w:t>
            </w:r>
          </w:p>
          <w:p w:rsidR="006851AA" w:rsidRPr="009470BE" w:rsidRDefault="006851AA" w:rsidP="00F140AE">
            <w:pPr>
              <w:rPr>
                <w:rFonts w:asciiTheme="minorHAnsi" w:hAnsiTheme="minorHAnsi" w:cs="Arial"/>
              </w:rPr>
            </w:pPr>
            <w:r>
              <w:rPr>
                <w:rFonts w:asciiTheme="minorHAnsi" w:hAnsiTheme="minorHAnsi" w:cs="Arial"/>
              </w:rPr>
              <w:t>OPŽP – PO3</w:t>
            </w:r>
          </w:p>
        </w:tc>
        <w:tc>
          <w:tcPr>
            <w:tcW w:w="1686" w:type="dxa"/>
            <w:tcBorders>
              <w:top w:val="single" w:sz="4" w:space="0" w:color="auto"/>
              <w:left w:val="nil"/>
              <w:bottom w:val="single" w:sz="4" w:space="0" w:color="auto"/>
              <w:right w:val="single" w:sz="4" w:space="0" w:color="auto"/>
            </w:tcBorders>
            <w:shd w:val="clear" w:color="auto" w:fill="auto"/>
            <w:vAlign w:val="center"/>
          </w:tcPr>
          <w:p w:rsidR="00701CA2" w:rsidRPr="009470BE" w:rsidRDefault="00701CA2"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701CA2" w:rsidRDefault="001D0934" w:rsidP="006851AA">
            <w:pPr>
              <w:rPr>
                <w:rFonts w:asciiTheme="minorHAnsi" w:hAnsiTheme="minorHAnsi" w:cs="Arial"/>
              </w:rPr>
            </w:pPr>
            <w:r>
              <w:rPr>
                <w:rFonts w:asciiTheme="minorHAnsi" w:hAnsiTheme="minorHAnsi" w:cs="Arial"/>
              </w:rPr>
              <w:t>Řešeno na společném jednání MPO a MŽP dne 27. 3. 2013. Zatím n</w:t>
            </w:r>
            <w:r w:rsidR="006851AA">
              <w:rPr>
                <w:rFonts w:asciiTheme="minorHAnsi" w:hAnsiTheme="minorHAnsi" w:cs="Arial"/>
              </w:rPr>
              <w:t>ebylo dosaženo konečného řešení v otázce aktivit – v současném období  existují zkušenosti s projekty, v rámci nichž se realizuje jak rekonstrukce, tak výstavba nových částí CZT</w:t>
            </w:r>
          </w:p>
        </w:tc>
      </w:tr>
      <w:tr w:rsidR="001D0934"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D0934" w:rsidRPr="006851AA" w:rsidRDefault="001D0934" w:rsidP="00F140AE">
            <w:pPr>
              <w:rPr>
                <w:rFonts w:asciiTheme="minorHAnsi" w:hAnsiTheme="minorHAnsi" w:cs="Arial"/>
                <w:b/>
              </w:rPr>
            </w:pPr>
            <w:r w:rsidRPr="006851AA">
              <w:rPr>
                <w:rFonts w:asciiTheme="minorHAnsi" w:hAnsiTheme="minorHAnsi" w:cs="Arial"/>
                <w:b/>
              </w:rPr>
              <w:lastRenderedPageBreak/>
              <w:t>Obecně – typ příjemců</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D0934" w:rsidRDefault="001D0934" w:rsidP="00F140AE">
            <w:pPr>
              <w:rPr>
                <w:rFonts w:asciiTheme="minorHAnsi" w:hAnsiTheme="minorHAnsi" w:cs="Arial"/>
              </w:rPr>
            </w:pPr>
            <w:r>
              <w:rPr>
                <w:rFonts w:asciiTheme="minorHAnsi" w:hAnsiTheme="minorHAnsi" w:cs="Arial"/>
              </w:rPr>
              <w:t>Daná oblast je sledována z důvodu možných překryvů.</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D0934" w:rsidRDefault="001D0934" w:rsidP="00334B73">
            <w:pPr>
              <w:jc w:val="center"/>
              <w:rPr>
                <w:rFonts w:asciiTheme="minorHAnsi" w:hAnsiTheme="minorHAnsi" w:cs="Arial"/>
              </w:rPr>
            </w:pPr>
            <w:r>
              <w:rPr>
                <w:rFonts w:asciiTheme="minorHAnsi" w:hAnsiTheme="minorHAnsi" w:cs="Arial"/>
              </w:rPr>
              <w:t>překryv</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D0934" w:rsidRPr="009470BE" w:rsidRDefault="001D0934"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D0934" w:rsidRDefault="001D0934" w:rsidP="001D0934">
            <w:pPr>
              <w:jc w:val="center"/>
              <w:rPr>
                <w:rFonts w:asciiTheme="minorHAnsi" w:hAnsiTheme="minorHAnsi" w:cs="Arial"/>
              </w:rPr>
            </w:pPr>
            <w:r>
              <w:rPr>
                <w:rFonts w:asciiTheme="minorHAnsi" w:hAnsiTheme="minorHAnsi" w:cs="Arial"/>
              </w:rPr>
              <w:t>MPO</w:t>
            </w:r>
          </w:p>
          <w:p w:rsidR="001D0934" w:rsidRDefault="001D0934" w:rsidP="001D0934">
            <w:pPr>
              <w:jc w:val="center"/>
              <w:rPr>
                <w:rFonts w:asciiTheme="minorHAnsi" w:hAnsiTheme="minorHAnsi" w:cs="Arial"/>
              </w:rPr>
            </w:pPr>
            <w:r>
              <w:rPr>
                <w:rFonts w:asciiTheme="minorHAnsi" w:hAnsiTheme="minorHAnsi" w:cs="Arial"/>
              </w:rPr>
              <w:t>MZe</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D0934" w:rsidRDefault="001D0934" w:rsidP="001D0934">
            <w:pPr>
              <w:jc w:val="center"/>
              <w:rPr>
                <w:rFonts w:asciiTheme="minorHAnsi" w:hAnsiTheme="minorHAnsi" w:cs="Arial"/>
              </w:rPr>
            </w:pP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D0934" w:rsidRDefault="001D0934" w:rsidP="00F140AE">
            <w:pPr>
              <w:rPr>
                <w:rFonts w:asciiTheme="minorHAnsi" w:hAnsiTheme="minorHAnsi" w:cs="Arial"/>
              </w:rPr>
            </w:pPr>
            <w:r w:rsidRPr="006851AA">
              <w:rPr>
                <w:rFonts w:asciiTheme="minorHAnsi" w:hAnsiTheme="minorHAnsi" w:cs="Arial"/>
                <w:b/>
              </w:rPr>
              <w:t>MPO</w:t>
            </w:r>
            <w:r>
              <w:rPr>
                <w:rFonts w:asciiTheme="minorHAnsi" w:hAnsiTheme="minorHAnsi" w:cs="Arial"/>
              </w:rPr>
              <w:t xml:space="preserve"> – podnikatel</w:t>
            </w:r>
            <w:r w:rsidR="006851AA">
              <w:rPr>
                <w:rFonts w:asciiTheme="minorHAnsi" w:hAnsiTheme="minorHAnsi" w:cs="Arial"/>
              </w:rPr>
              <w:t>ské subjekty</w:t>
            </w:r>
            <w:r>
              <w:rPr>
                <w:rFonts w:asciiTheme="minorHAnsi" w:hAnsiTheme="minorHAnsi" w:cs="Arial"/>
              </w:rPr>
              <w:t xml:space="preserve"> nezemědělského sektoru</w:t>
            </w:r>
            <w:r w:rsidR="006851AA">
              <w:rPr>
                <w:rFonts w:asciiTheme="minorHAnsi" w:hAnsiTheme="minorHAnsi" w:cs="Arial"/>
              </w:rPr>
              <w:t xml:space="preserve">; </w:t>
            </w:r>
            <w:r w:rsidR="006851AA">
              <w:rPr>
                <w:rFonts w:asciiTheme="minorHAnsi" w:hAnsiTheme="minorHAnsi" w:cstheme="minorHAnsi"/>
              </w:rPr>
              <w:t>Potravinářské technologie -</w:t>
            </w:r>
            <w:r w:rsidR="006851AA" w:rsidRPr="000E39B1">
              <w:rPr>
                <w:rFonts w:asciiTheme="minorHAnsi" w:hAnsiTheme="minorHAnsi" w:cstheme="minorHAnsi"/>
              </w:rPr>
              <w:t xml:space="preserve"> NON-ANNEX</w:t>
            </w:r>
          </w:p>
          <w:p w:rsidR="001D0934" w:rsidRDefault="001D0934" w:rsidP="006851AA">
            <w:pPr>
              <w:rPr>
                <w:rFonts w:asciiTheme="minorHAnsi" w:hAnsiTheme="minorHAnsi" w:cs="Arial"/>
              </w:rPr>
            </w:pPr>
            <w:r w:rsidRPr="006851AA">
              <w:rPr>
                <w:rFonts w:asciiTheme="minorHAnsi" w:hAnsiTheme="minorHAnsi" w:cs="Arial"/>
                <w:b/>
              </w:rPr>
              <w:t>MZe</w:t>
            </w:r>
            <w:r>
              <w:rPr>
                <w:rFonts w:asciiTheme="minorHAnsi" w:hAnsiTheme="minorHAnsi" w:cs="Arial"/>
              </w:rPr>
              <w:t xml:space="preserve"> </w:t>
            </w:r>
            <w:r w:rsidR="006851AA">
              <w:rPr>
                <w:rFonts w:asciiTheme="minorHAnsi" w:hAnsiTheme="minorHAnsi" w:cs="Arial"/>
              </w:rPr>
              <w:t>–</w:t>
            </w:r>
            <w:r>
              <w:rPr>
                <w:rFonts w:asciiTheme="minorHAnsi" w:hAnsiTheme="minorHAnsi" w:cs="Arial"/>
              </w:rPr>
              <w:t xml:space="preserve"> podnikatel</w:t>
            </w:r>
            <w:r w:rsidR="006851AA">
              <w:rPr>
                <w:rFonts w:asciiTheme="minorHAnsi" w:hAnsiTheme="minorHAnsi" w:cs="Arial"/>
              </w:rPr>
              <w:t>ské subjekty</w:t>
            </w:r>
            <w:r>
              <w:rPr>
                <w:rFonts w:asciiTheme="minorHAnsi" w:hAnsiTheme="minorHAnsi" w:cs="Arial"/>
              </w:rPr>
              <w:t xml:space="preserve"> zemědělského sektoru</w:t>
            </w:r>
            <w:r w:rsidR="006851AA">
              <w:rPr>
                <w:rFonts w:asciiTheme="minorHAnsi" w:hAnsiTheme="minorHAnsi" w:cs="Arial"/>
              </w:rPr>
              <w:t xml:space="preserve"> (</w:t>
            </w:r>
            <w:r w:rsidR="006851AA" w:rsidRPr="000E39B1">
              <w:rPr>
                <w:rFonts w:asciiTheme="minorHAnsi" w:hAnsiTheme="minorHAnsi" w:cstheme="minorHAnsi"/>
              </w:rPr>
              <w:t>podpor</w:t>
            </w:r>
            <w:r w:rsidR="006851AA">
              <w:rPr>
                <w:rFonts w:asciiTheme="minorHAnsi" w:hAnsiTheme="minorHAnsi" w:cstheme="minorHAnsi"/>
              </w:rPr>
              <w:t>a</w:t>
            </w:r>
            <w:r w:rsidR="006851AA" w:rsidRPr="000E39B1">
              <w:rPr>
                <w:rFonts w:asciiTheme="minorHAnsi" w:hAnsiTheme="minorHAnsi" w:cstheme="minorHAnsi"/>
              </w:rPr>
              <w:t xml:space="preserve"> „čistě“ zemědělsk</w:t>
            </w:r>
            <w:r w:rsidR="006851AA">
              <w:rPr>
                <w:rFonts w:asciiTheme="minorHAnsi" w:hAnsiTheme="minorHAnsi" w:cstheme="minorHAnsi"/>
              </w:rPr>
              <w:t xml:space="preserve">ých podnikatelů </w:t>
            </w:r>
            <w:r w:rsidR="006851AA" w:rsidRPr="000E39B1">
              <w:rPr>
                <w:rFonts w:asciiTheme="minorHAnsi" w:hAnsiTheme="minorHAnsi" w:cstheme="minorHAnsi"/>
              </w:rPr>
              <w:t>bez ohledu na objem</w:t>
            </w:r>
            <w:r w:rsidR="006851AA">
              <w:rPr>
                <w:rFonts w:asciiTheme="minorHAnsi" w:hAnsiTheme="minorHAnsi" w:cstheme="minorHAnsi"/>
              </w:rPr>
              <w:t xml:space="preserve"> příjmů z nezemědělské činnosti</w:t>
            </w:r>
            <w:r w:rsidR="006851AA">
              <w:rPr>
                <w:rFonts w:asciiTheme="minorHAnsi" w:hAnsiTheme="minorHAnsi" w:cs="Arial"/>
              </w:rPr>
              <w:t xml:space="preserve">); </w:t>
            </w:r>
            <w:r w:rsidR="006851AA">
              <w:rPr>
                <w:rFonts w:asciiTheme="minorHAnsi" w:hAnsiTheme="minorHAnsi" w:cstheme="minorHAnsi"/>
              </w:rPr>
              <w:t>P</w:t>
            </w:r>
            <w:r w:rsidR="006851AA" w:rsidRPr="000E39B1">
              <w:rPr>
                <w:rFonts w:asciiTheme="minorHAnsi" w:hAnsiTheme="minorHAnsi" w:cstheme="minorHAnsi"/>
              </w:rPr>
              <w:t>otravinářské technologie - ANNEX</w:t>
            </w:r>
          </w:p>
        </w:tc>
        <w:tc>
          <w:tcPr>
            <w:tcW w:w="850" w:type="dxa"/>
            <w:tcBorders>
              <w:top w:val="single" w:sz="4" w:space="0" w:color="auto"/>
              <w:left w:val="nil"/>
              <w:bottom w:val="single" w:sz="4" w:space="0" w:color="auto"/>
              <w:right w:val="single" w:sz="4" w:space="0" w:color="auto"/>
            </w:tcBorders>
            <w:shd w:val="clear" w:color="auto" w:fill="auto"/>
            <w:vAlign w:val="center"/>
          </w:tcPr>
          <w:p w:rsidR="001D0934" w:rsidRPr="009470BE" w:rsidRDefault="001D0934" w:rsidP="00F140AE">
            <w:pPr>
              <w:rPr>
                <w:rFonts w:asciiTheme="minorHAnsi" w:hAnsiTheme="minorHAnsi" w:cs="Arial"/>
              </w:rPr>
            </w:pPr>
          </w:p>
        </w:tc>
        <w:tc>
          <w:tcPr>
            <w:tcW w:w="1686" w:type="dxa"/>
            <w:tcBorders>
              <w:top w:val="single" w:sz="4" w:space="0" w:color="auto"/>
              <w:left w:val="nil"/>
              <w:bottom w:val="single" w:sz="4" w:space="0" w:color="auto"/>
              <w:right w:val="single" w:sz="4" w:space="0" w:color="auto"/>
            </w:tcBorders>
            <w:shd w:val="clear" w:color="auto" w:fill="auto"/>
            <w:vAlign w:val="center"/>
          </w:tcPr>
          <w:p w:rsidR="001D0934" w:rsidRPr="009470BE" w:rsidRDefault="001D0934"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1D0934" w:rsidRDefault="006851AA" w:rsidP="00770F4B">
            <w:pPr>
              <w:rPr>
                <w:rFonts w:asciiTheme="minorHAnsi" w:hAnsiTheme="minorHAnsi" w:cs="Arial"/>
              </w:rPr>
            </w:pPr>
            <w:r>
              <w:rPr>
                <w:rFonts w:asciiTheme="minorHAnsi" w:hAnsiTheme="minorHAnsi" w:cs="Arial"/>
              </w:rPr>
              <w:t>Na společném jednání MPO a MZe dne 21. 3. 2013 bylo dohodnuto navržené řešení.  Dále bylo dohodnuto, že se j</w:t>
            </w:r>
            <w:r w:rsidRPr="000E39B1">
              <w:rPr>
                <w:rFonts w:asciiTheme="minorHAnsi" w:hAnsiTheme="minorHAnsi" w:cstheme="minorHAnsi"/>
              </w:rPr>
              <w:t xml:space="preserve">iž </w:t>
            </w:r>
            <w:r w:rsidR="00770F4B">
              <w:rPr>
                <w:rFonts w:asciiTheme="minorHAnsi" w:hAnsiTheme="minorHAnsi" w:cstheme="minorHAnsi"/>
              </w:rPr>
              <w:t xml:space="preserve">nebude </w:t>
            </w:r>
            <w:r w:rsidRPr="000E39B1">
              <w:rPr>
                <w:rFonts w:asciiTheme="minorHAnsi" w:hAnsiTheme="minorHAnsi" w:cstheme="minorHAnsi"/>
              </w:rPr>
              <w:t>používat hledisko</w:t>
            </w:r>
            <w:r w:rsidR="00770F4B">
              <w:rPr>
                <w:rFonts w:asciiTheme="minorHAnsi" w:hAnsiTheme="minorHAnsi" w:cstheme="minorHAnsi"/>
              </w:rPr>
              <w:t xml:space="preserve"> úrovně obcí </w:t>
            </w:r>
            <w:r w:rsidRPr="000E39B1">
              <w:rPr>
                <w:rFonts w:asciiTheme="minorHAnsi" w:hAnsiTheme="minorHAnsi" w:cstheme="minorHAnsi"/>
              </w:rPr>
              <w:t>2000 obyvatel</w:t>
            </w:r>
            <w:r>
              <w:rPr>
                <w:rFonts w:asciiTheme="minorHAnsi" w:hAnsiTheme="minorHAnsi" w:cstheme="minorHAnsi"/>
              </w:rPr>
              <w:t>.</w:t>
            </w:r>
          </w:p>
        </w:tc>
      </w:tr>
      <w:tr w:rsidR="00701CA2"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01CA2" w:rsidRPr="006851AA" w:rsidRDefault="00701CA2" w:rsidP="00F140AE">
            <w:pPr>
              <w:rPr>
                <w:rFonts w:asciiTheme="minorHAnsi" w:hAnsiTheme="minorHAnsi" w:cs="Arial"/>
                <w:b/>
              </w:rPr>
            </w:pPr>
            <w:r w:rsidRPr="006851AA">
              <w:rPr>
                <w:rFonts w:asciiTheme="minorHAnsi" w:hAnsiTheme="minorHAnsi" w:cs="Arial"/>
                <w:b/>
              </w:rPr>
              <w:t>Brownfields</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664D06" w:rsidP="00664D06">
            <w:pPr>
              <w:rPr>
                <w:rFonts w:asciiTheme="minorHAnsi" w:hAnsiTheme="minorHAnsi" w:cs="Arial"/>
              </w:rPr>
            </w:pPr>
            <w:r>
              <w:rPr>
                <w:rFonts w:asciiTheme="minorHAnsi" w:hAnsiTheme="minorHAnsi" w:cs="Arial"/>
              </w:rPr>
              <w:t>Daná oblast je sledována z důvodu možných synergií.</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701CA2" w:rsidP="00334B73">
            <w:pPr>
              <w:jc w:val="center"/>
              <w:rPr>
                <w:rFonts w:asciiTheme="minorHAnsi" w:hAnsiTheme="minorHAnsi" w:cs="Arial"/>
              </w:rPr>
            </w:pPr>
            <w:r>
              <w:rPr>
                <w:rFonts w:asciiTheme="minorHAnsi" w:hAnsiTheme="minorHAnsi" w:cs="Arial"/>
              </w:rPr>
              <w:t>synergie</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701CA2"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Default="00701CA2" w:rsidP="00F140AE">
            <w:pPr>
              <w:jc w:val="center"/>
              <w:rPr>
                <w:rFonts w:asciiTheme="minorHAnsi" w:hAnsiTheme="minorHAnsi" w:cs="Arial"/>
              </w:rPr>
            </w:pPr>
            <w:r>
              <w:rPr>
                <w:rFonts w:asciiTheme="minorHAnsi" w:hAnsiTheme="minorHAnsi" w:cs="Arial"/>
              </w:rPr>
              <w:t>MPO</w:t>
            </w:r>
          </w:p>
          <w:p w:rsidR="00701CA2" w:rsidRDefault="00701CA2" w:rsidP="00F140AE">
            <w:pPr>
              <w:jc w:val="center"/>
              <w:rPr>
                <w:rFonts w:asciiTheme="minorHAnsi" w:hAnsiTheme="minorHAnsi" w:cs="Arial"/>
              </w:rPr>
            </w:pPr>
            <w:r>
              <w:rPr>
                <w:rFonts w:asciiTheme="minorHAnsi" w:hAnsiTheme="minorHAnsi" w:cs="Arial"/>
              </w:rPr>
              <w:t>MŽP</w:t>
            </w:r>
          </w:p>
          <w:p w:rsidR="00701CA2" w:rsidRPr="009470BE" w:rsidRDefault="00701CA2" w:rsidP="00F140AE">
            <w:pPr>
              <w:jc w:val="center"/>
              <w:rPr>
                <w:rFonts w:asciiTheme="minorHAnsi" w:hAnsiTheme="minorHAnsi" w:cs="Arial"/>
              </w:rPr>
            </w:pPr>
            <w:r>
              <w:rPr>
                <w:rFonts w:asciiTheme="minorHAnsi" w:hAnsiTheme="minorHAnsi" w:cs="Arial"/>
              </w:rPr>
              <w:t>MZe</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Default="00701CA2" w:rsidP="00F140AE">
            <w:pPr>
              <w:jc w:val="center"/>
              <w:rPr>
                <w:rFonts w:asciiTheme="minorHAnsi" w:hAnsiTheme="minorHAnsi" w:cs="Arial"/>
              </w:rPr>
            </w:pPr>
            <w:r>
              <w:rPr>
                <w:rFonts w:asciiTheme="minorHAnsi" w:hAnsiTheme="minorHAnsi" w:cs="Arial"/>
              </w:rPr>
              <w:t>OPŽP (PO3)</w:t>
            </w:r>
          </w:p>
          <w:p w:rsidR="00701CA2" w:rsidRPr="009470BE" w:rsidRDefault="00701CA2" w:rsidP="00F140AE">
            <w:pPr>
              <w:jc w:val="center"/>
              <w:rPr>
                <w:rFonts w:asciiTheme="minorHAnsi" w:hAnsiTheme="minorHAnsi" w:cs="Arial"/>
              </w:rPr>
            </w:pPr>
            <w:r>
              <w:rPr>
                <w:rFonts w:asciiTheme="minorHAnsi" w:hAnsiTheme="minorHAnsi" w:cs="Arial"/>
              </w:rPr>
              <w:t>PRV (P6)</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Default="006851AA" w:rsidP="00F140AE">
            <w:pPr>
              <w:rPr>
                <w:rFonts w:asciiTheme="minorHAnsi" w:hAnsiTheme="minorHAnsi" w:cs="Arial"/>
              </w:rPr>
            </w:pPr>
            <w:r w:rsidRPr="00770F4B">
              <w:rPr>
                <w:rFonts w:asciiTheme="minorHAnsi" w:hAnsiTheme="minorHAnsi" w:cs="Arial"/>
                <w:b/>
              </w:rPr>
              <w:t>MPO</w:t>
            </w:r>
            <w:r>
              <w:rPr>
                <w:rFonts w:asciiTheme="minorHAnsi" w:hAnsiTheme="minorHAnsi" w:cs="Arial"/>
              </w:rPr>
              <w:t xml:space="preserve"> – </w:t>
            </w:r>
            <w:r w:rsidR="00770F4B" w:rsidRPr="00770F4B">
              <w:rPr>
                <w:rFonts w:asciiTheme="minorHAnsi" w:hAnsiTheme="minorHAnsi" w:cs="Arial"/>
              </w:rPr>
              <w:t>rekonstrukce brownfields pro průmyslové využití</w:t>
            </w:r>
          </w:p>
          <w:p w:rsidR="006851AA" w:rsidRPr="009470BE" w:rsidRDefault="006851AA" w:rsidP="00770F4B">
            <w:pPr>
              <w:rPr>
                <w:rFonts w:asciiTheme="minorHAnsi" w:hAnsiTheme="minorHAnsi" w:cs="Arial"/>
              </w:rPr>
            </w:pPr>
            <w:r w:rsidRPr="00770F4B">
              <w:rPr>
                <w:rFonts w:asciiTheme="minorHAnsi" w:hAnsiTheme="minorHAnsi" w:cs="Arial"/>
                <w:b/>
              </w:rPr>
              <w:t>MŽP</w:t>
            </w:r>
            <w:r>
              <w:rPr>
                <w:rFonts w:asciiTheme="minorHAnsi" w:hAnsiTheme="minorHAnsi" w:cs="Arial"/>
              </w:rPr>
              <w:t xml:space="preserve"> – </w:t>
            </w:r>
            <w:r w:rsidR="00770F4B">
              <w:rPr>
                <w:rFonts w:asciiTheme="minorHAnsi" w:hAnsiTheme="minorHAnsi" w:cs="Arial"/>
              </w:rPr>
              <w:t>Sanace, regenerace ploch</w:t>
            </w:r>
          </w:p>
        </w:tc>
        <w:tc>
          <w:tcPr>
            <w:tcW w:w="850" w:type="dxa"/>
            <w:tcBorders>
              <w:top w:val="single" w:sz="4" w:space="0" w:color="auto"/>
              <w:left w:val="nil"/>
              <w:bottom w:val="single" w:sz="4" w:space="0" w:color="auto"/>
              <w:right w:val="single" w:sz="4" w:space="0" w:color="auto"/>
            </w:tcBorders>
            <w:shd w:val="clear" w:color="auto" w:fill="auto"/>
            <w:vAlign w:val="center"/>
          </w:tcPr>
          <w:p w:rsidR="00701CA2" w:rsidRDefault="00770F4B" w:rsidP="00F140AE">
            <w:pPr>
              <w:rPr>
                <w:rFonts w:asciiTheme="minorHAnsi" w:hAnsiTheme="minorHAnsi" w:cs="Arial"/>
              </w:rPr>
            </w:pPr>
            <w:r>
              <w:rPr>
                <w:rFonts w:asciiTheme="minorHAnsi" w:hAnsiTheme="minorHAnsi" w:cs="Arial"/>
              </w:rPr>
              <w:t>OPPIK – PO2</w:t>
            </w:r>
          </w:p>
          <w:p w:rsidR="00770F4B" w:rsidRPr="009470BE" w:rsidRDefault="00770F4B" w:rsidP="00770F4B">
            <w:pPr>
              <w:rPr>
                <w:rFonts w:asciiTheme="minorHAnsi" w:hAnsiTheme="minorHAnsi" w:cs="Arial"/>
              </w:rPr>
            </w:pPr>
            <w:r>
              <w:rPr>
                <w:rFonts w:asciiTheme="minorHAnsi" w:hAnsiTheme="minorHAnsi" w:cs="Arial"/>
              </w:rPr>
              <w:t>OPŽP – PO3</w:t>
            </w:r>
          </w:p>
        </w:tc>
        <w:tc>
          <w:tcPr>
            <w:tcW w:w="1686" w:type="dxa"/>
            <w:tcBorders>
              <w:top w:val="single" w:sz="4" w:space="0" w:color="auto"/>
              <w:left w:val="nil"/>
              <w:bottom w:val="single" w:sz="4" w:space="0" w:color="auto"/>
              <w:right w:val="single" w:sz="4" w:space="0" w:color="auto"/>
            </w:tcBorders>
            <w:shd w:val="clear" w:color="auto" w:fill="auto"/>
            <w:vAlign w:val="center"/>
          </w:tcPr>
          <w:p w:rsidR="00701CA2" w:rsidRPr="009470BE" w:rsidRDefault="00701CA2"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701CA2" w:rsidRPr="009470BE" w:rsidRDefault="00701CA2" w:rsidP="00F140AE">
            <w:pPr>
              <w:rPr>
                <w:rFonts w:asciiTheme="minorHAnsi" w:hAnsiTheme="minorHAnsi" w:cs="Arial"/>
              </w:rPr>
            </w:pPr>
            <w:r>
              <w:rPr>
                <w:rFonts w:asciiTheme="minorHAnsi" w:hAnsiTheme="minorHAnsi" w:cs="Arial"/>
              </w:rPr>
              <w:t>Na společném jednání MPO a MŽP dne 27. 3. 2013 bylo dohodnuto navržené řešení. Překryv považujeme za vyřešený.</w:t>
            </w:r>
          </w:p>
        </w:tc>
      </w:tr>
      <w:tr w:rsidR="00701CA2" w:rsidRPr="00ED5BE0" w:rsidTr="00334B73">
        <w:trPr>
          <w:gridAfter w:val="6"/>
          <w:wAfter w:w="14675" w:type="dxa"/>
          <w:trHeight w:val="426"/>
        </w:trPr>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01CA2" w:rsidRPr="006851AA" w:rsidRDefault="001A4C8F" w:rsidP="00F140AE">
            <w:pPr>
              <w:rPr>
                <w:rFonts w:asciiTheme="minorHAnsi" w:hAnsiTheme="minorHAnsi" w:cs="Arial"/>
                <w:b/>
              </w:rPr>
            </w:pPr>
            <w:r>
              <w:rPr>
                <w:rFonts w:asciiTheme="minorHAnsi" w:hAnsiTheme="minorHAnsi" w:cs="Arial"/>
                <w:b/>
              </w:rPr>
              <w:t>IKT - infrastruktura</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664D06" w:rsidP="00F140AE">
            <w:pPr>
              <w:rPr>
                <w:rFonts w:asciiTheme="minorHAnsi" w:hAnsiTheme="minorHAnsi" w:cs="Arial"/>
              </w:rPr>
            </w:pPr>
            <w:r>
              <w:rPr>
                <w:rFonts w:asciiTheme="minorHAnsi" w:hAnsiTheme="minorHAnsi" w:cs="Arial"/>
              </w:rPr>
              <w:t>Daná oblast je sledována z důvodu možných překryvů.</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701CA2" w:rsidP="00334B73">
            <w:pPr>
              <w:jc w:val="center"/>
              <w:rPr>
                <w:rFonts w:asciiTheme="minorHAnsi" w:hAnsiTheme="minorHAnsi" w:cs="Arial"/>
              </w:rPr>
            </w:pP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701CA2"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Default="001A4C8F" w:rsidP="00F140AE">
            <w:pPr>
              <w:jc w:val="center"/>
              <w:rPr>
                <w:rFonts w:asciiTheme="minorHAnsi" w:hAnsiTheme="minorHAnsi" w:cs="Arial"/>
              </w:rPr>
            </w:pPr>
            <w:r>
              <w:rPr>
                <w:rFonts w:asciiTheme="minorHAnsi" w:hAnsiTheme="minorHAnsi" w:cs="Arial"/>
              </w:rPr>
              <w:t>MPO</w:t>
            </w:r>
          </w:p>
          <w:p w:rsidR="001A4C8F" w:rsidRDefault="001A4C8F" w:rsidP="00F140AE">
            <w:pPr>
              <w:jc w:val="center"/>
              <w:rPr>
                <w:rFonts w:asciiTheme="minorHAnsi" w:hAnsiTheme="minorHAnsi" w:cs="Arial"/>
              </w:rPr>
            </w:pPr>
            <w:r>
              <w:rPr>
                <w:rFonts w:asciiTheme="minorHAnsi" w:hAnsiTheme="minorHAnsi" w:cs="Arial"/>
              </w:rPr>
              <w:t>MMR</w:t>
            </w:r>
          </w:p>
          <w:p w:rsidR="001A4C8F" w:rsidRPr="009470BE" w:rsidRDefault="001A4C8F" w:rsidP="00F140AE">
            <w:pPr>
              <w:jc w:val="center"/>
              <w:rPr>
                <w:rFonts w:asciiTheme="minorHAnsi" w:hAnsiTheme="minorHAnsi" w:cs="Arial"/>
              </w:rPr>
            </w:pPr>
            <w:r>
              <w:rPr>
                <w:rFonts w:asciiTheme="minorHAnsi" w:hAnsiTheme="minorHAnsi" w:cs="Arial"/>
              </w:rPr>
              <w:t>MV</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Pr="009470BE" w:rsidRDefault="001A4C8F" w:rsidP="00F140AE">
            <w:pPr>
              <w:jc w:val="center"/>
              <w:rPr>
                <w:rFonts w:asciiTheme="minorHAnsi" w:hAnsiTheme="minorHAnsi" w:cs="Arial"/>
              </w:rPr>
            </w:pPr>
            <w:r>
              <w:rPr>
                <w:rFonts w:asciiTheme="minorHAnsi" w:hAnsiTheme="minorHAnsi" w:cs="Arial"/>
              </w:rPr>
              <w:t>IROP (P7)</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01CA2" w:rsidRDefault="00664D06" w:rsidP="00664D06">
            <w:pPr>
              <w:rPr>
                <w:rFonts w:ascii="Calibri" w:hAnsi="Calibri"/>
                <w:szCs w:val="22"/>
              </w:rPr>
            </w:pPr>
            <w:r>
              <w:rPr>
                <w:rFonts w:asciiTheme="minorHAnsi" w:hAnsiTheme="minorHAnsi" w:cs="Arial"/>
              </w:rPr>
              <w:t xml:space="preserve">PO4 OPPIK nezavrhuje </w:t>
            </w:r>
            <w:r w:rsidRPr="00F71BEE">
              <w:rPr>
                <w:rFonts w:ascii="Calibri" w:hAnsi="Calibri"/>
                <w:szCs w:val="22"/>
              </w:rPr>
              <w:t xml:space="preserve">veřejný sektor (kraje, obce, svazky obcí) jako možné příjemce, nicméně zjišťují </w:t>
            </w:r>
            <w:r>
              <w:rPr>
                <w:rFonts w:ascii="Calibri" w:hAnsi="Calibri"/>
                <w:szCs w:val="22"/>
              </w:rPr>
              <w:t xml:space="preserve">se </w:t>
            </w:r>
            <w:r w:rsidRPr="00F71BEE">
              <w:rPr>
                <w:rFonts w:ascii="Calibri" w:hAnsi="Calibri"/>
                <w:szCs w:val="22"/>
              </w:rPr>
              <w:t>podmínky, za jakých by podpora přes veřejný sektor byla realizovatelná v OP PIK a dávala smysl</w:t>
            </w:r>
            <w:r>
              <w:rPr>
                <w:rFonts w:ascii="Calibri" w:hAnsi="Calibri"/>
                <w:szCs w:val="22"/>
              </w:rPr>
              <w:t xml:space="preserve">. </w:t>
            </w:r>
          </w:p>
          <w:p w:rsidR="00664D06" w:rsidRPr="009470BE" w:rsidRDefault="00664D06" w:rsidP="00664D06">
            <w:pPr>
              <w:rPr>
                <w:rFonts w:asciiTheme="minorHAnsi" w:hAnsiTheme="minorHAnsi" w:cs="Arial"/>
              </w:rPr>
            </w:pPr>
            <w:r>
              <w:rPr>
                <w:rFonts w:ascii="Calibri" w:hAnsi="Calibri"/>
                <w:szCs w:val="22"/>
              </w:rPr>
              <w:t xml:space="preserve">Investiční prioritu 2 a) vidí MPO jako podnikatelský model. Případné využití v IROP této </w:t>
            </w:r>
            <w:r>
              <w:rPr>
                <w:rFonts w:ascii="Calibri" w:hAnsi="Calibri"/>
                <w:szCs w:val="22"/>
              </w:rPr>
              <w:lastRenderedPageBreak/>
              <w:t>investiční priority by bylo pro neveřejnou krizovou infrastrukturu pro veřejnou správu (IZS).</w:t>
            </w:r>
          </w:p>
        </w:tc>
        <w:tc>
          <w:tcPr>
            <w:tcW w:w="850" w:type="dxa"/>
            <w:tcBorders>
              <w:top w:val="single" w:sz="4" w:space="0" w:color="auto"/>
              <w:left w:val="nil"/>
              <w:bottom w:val="single" w:sz="4" w:space="0" w:color="auto"/>
              <w:right w:val="single" w:sz="4" w:space="0" w:color="auto"/>
            </w:tcBorders>
            <w:shd w:val="clear" w:color="auto" w:fill="auto"/>
            <w:vAlign w:val="center"/>
          </w:tcPr>
          <w:p w:rsidR="00701CA2" w:rsidRDefault="001A4C8F" w:rsidP="00F140AE">
            <w:pPr>
              <w:rPr>
                <w:rFonts w:asciiTheme="minorHAnsi" w:hAnsiTheme="minorHAnsi" w:cs="Arial"/>
              </w:rPr>
            </w:pPr>
            <w:r>
              <w:rPr>
                <w:rFonts w:asciiTheme="minorHAnsi" w:hAnsiTheme="minorHAnsi" w:cs="Arial"/>
              </w:rPr>
              <w:lastRenderedPageBreak/>
              <w:t>OPPIK – PO4</w:t>
            </w:r>
          </w:p>
          <w:p w:rsidR="001A4C8F" w:rsidRPr="009470BE" w:rsidRDefault="001A4C8F" w:rsidP="00F140AE">
            <w:pPr>
              <w:rPr>
                <w:rFonts w:asciiTheme="minorHAnsi" w:hAnsiTheme="minorHAnsi" w:cs="Arial"/>
              </w:rPr>
            </w:pPr>
            <w:r>
              <w:rPr>
                <w:rFonts w:asciiTheme="minorHAnsi" w:hAnsiTheme="minorHAnsi" w:cs="Arial"/>
              </w:rPr>
              <w:t>IROP – P7</w:t>
            </w:r>
          </w:p>
        </w:tc>
        <w:tc>
          <w:tcPr>
            <w:tcW w:w="1686" w:type="dxa"/>
            <w:tcBorders>
              <w:top w:val="single" w:sz="4" w:space="0" w:color="auto"/>
              <w:left w:val="nil"/>
              <w:bottom w:val="single" w:sz="4" w:space="0" w:color="auto"/>
              <w:right w:val="single" w:sz="4" w:space="0" w:color="auto"/>
            </w:tcBorders>
            <w:shd w:val="clear" w:color="auto" w:fill="auto"/>
            <w:vAlign w:val="center"/>
          </w:tcPr>
          <w:p w:rsidR="00701CA2" w:rsidRPr="009470BE" w:rsidRDefault="00701CA2"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664D06" w:rsidRPr="009470BE" w:rsidRDefault="001A4C8F" w:rsidP="00664D06">
            <w:pPr>
              <w:rPr>
                <w:rFonts w:asciiTheme="minorHAnsi" w:hAnsiTheme="minorHAnsi" w:cs="Arial"/>
              </w:rPr>
            </w:pPr>
            <w:r>
              <w:rPr>
                <w:rFonts w:asciiTheme="minorHAnsi" w:hAnsiTheme="minorHAnsi" w:cs="Arial"/>
              </w:rPr>
              <w:t>Na společném jednání MPO, MMR a MV dne 25. 2. 2013 bylo dohodnuto navržené řešení.</w:t>
            </w:r>
          </w:p>
          <w:p w:rsidR="00664D06" w:rsidRPr="009470BE" w:rsidRDefault="00664D06" w:rsidP="00664D06">
            <w:pPr>
              <w:rPr>
                <w:rFonts w:asciiTheme="minorHAnsi" w:hAnsiTheme="minorHAnsi" w:cs="Arial"/>
              </w:rPr>
            </w:pPr>
          </w:p>
        </w:tc>
      </w:tr>
      <w:tr w:rsidR="00701CA2" w:rsidRPr="00ED5BE0" w:rsidTr="00334B73">
        <w:trPr>
          <w:trHeight w:val="426"/>
        </w:trPr>
        <w:tc>
          <w:tcPr>
            <w:tcW w:w="11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01CA2" w:rsidRPr="006851AA" w:rsidRDefault="00D71ECB" w:rsidP="00F140AE">
            <w:pPr>
              <w:rPr>
                <w:rFonts w:asciiTheme="minorHAnsi" w:hAnsiTheme="minorHAnsi" w:cs="Arial"/>
                <w:b/>
              </w:rPr>
            </w:pPr>
            <w:r>
              <w:rPr>
                <w:rFonts w:asciiTheme="minorHAnsi" w:hAnsiTheme="minorHAnsi" w:cs="Arial"/>
                <w:b/>
              </w:rPr>
              <w:lastRenderedPageBreak/>
              <w:t>Sociální aspekty – sociální podnikání</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D71ECB" w:rsidP="00F140AE">
            <w:pPr>
              <w:rPr>
                <w:rFonts w:asciiTheme="minorHAnsi" w:hAnsiTheme="minorHAnsi" w:cs="Arial"/>
              </w:rPr>
            </w:pPr>
            <w:r>
              <w:rPr>
                <w:rFonts w:asciiTheme="minorHAnsi" w:hAnsiTheme="minorHAnsi" w:cs="Arial"/>
              </w:rPr>
              <w:t>Daná oblast je sledována z důvodu možných synergií.</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D71ECB" w:rsidP="00334B73">
            <w:pPr>
              <w:jc w:val="center"/>
              <w:rPr>
                <w:rFonts w:asciiTheme="minorHAnsi" w:hAnsiTheme="minorHAnsi" w:cs="Arial"/>
              </w:rPr>
            </w:pPr>
            <w:r>
              <w:rPr>
                <w:rFonts w:asciiTheme="minorHAnsi" w:hAnsiTheme="minorHAnsi" w:cs="Arial"/>
              </w:rPr>
              <w:t>synergie</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701CA2" w:rsidP="00334B73">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Default="00D71ECB" w:rsidP="00F140AE">
            <w:pPr>
              <w:jc w:val="center"/>
              <w:rPr>
                <w:rFonts w:asciiTheme="minorHAnsi" w:hAnsiTheme="minorHAnsi" w:cs="Arial"/>
              </w:rPr>
            </w:pPr>
            <w:r>
              <w:rPr>
                <w:rFonts w:asciiTheme="minorHAnsi" w:hAnsiTheme="minorHAnsi" w:cs="Arial"/>
              </w:rPr>
              <w:t>MPO</w:t>
            </w:r>
          </w:p>
          <w:p w:rsidR="00D71ECB" w:rsidRPr="009470BE" w:rsidRDefault="00D71ECB" w:rsidP="00F140AE">
            <w:pPr>
              <w:jc w:val="center"/>
              <w:rPr>
                <w:rFonts w:asciiTheme="minorHAnsi" w:hAnsiTheme="minorHAnsi" w:cs="Arial"/>
              </w:rPr>
            </w:pPr>
            <w:r>
              <w:rPr>
                <w:rFonts w:asciiTheme="minorHAnsi" w:hAnsiTheme="minorHAnsi" w:cs="Arial"/>
              </w:rPr>
              <w:t>MPSV</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D71ECB" w:rsidP="00F140AE">
            <w:pPr>
              <w:jc w:val="center"/>
              <w:rPr>
                <w:rFonts w:asciiTheme="minorHAnsi" w:hAnsiTheme="minorHAnsi" w:cs="Arial"/>
              </w:rPr>
            </w:pPr>
            <w:r>
              <w:rPr>
                <w:rFonts w:asciiTheme="minorHAnsi" w:hAnsiTheme="minorHAnsi" w:cs="Arial"/>
              </w:rPr>
              <w:t>OPZ</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01CA2" w:rsidRPr="009470BE" w:rsidRDefault="00D71ECB" w:rsidP="00D71ECB">
            <w:pPr>
              <w:rPr>
                <w:rFonts w:asciiTheme="minorHAnsi" w:hAnsiTheme="minorHAnsi" w:cs="Arial"/>
              </w:rPr>
            </w:pPr>
            <w:r>
              <w:rPr>
                <w:rFonts w:asciiTheme="minorHAnsi" w:hAnsiTheme="minorHAnsi" w:cs="Arial"/>
              </w:rPr>
              <w:t>V rámci OPPIK je plánováno, že sociální podnikání bude řešeno formou bonifikací sociálních podnikatelů u konkrétních projektů z různých podporovaných oblastí (zejména PO2, PO1), nikoli jako samostatný specifický cíl.</w:t>
            </w:r>
          </w:p>
        </w:tc>
        <w:tc>
          <w:tcPr>
            <w:tcW w:w="850" w:type="dxa"/>
            <w:tcBorders>
              <w:top w:val="single" w:sz="4" w:space="0" w:color="auto"/>
              <w:left w:val="nil"/>
              <w:bottom w:val="single" w:sz="4" w:space="0" w:color="auto"/>
              <w:right w:val="single" w:sz="4" w:space="0" w:color="auto"/>
            </w:tcBorders>
            <w:shd w:val="clear" w:color="auto" w:fill="auto"/>
            <w:vAlign w:val="center"/>
          </w:tcPr>
          <w:p w:rsidR="00701CA2" w:rsidRPr="009470BE" w:rsidRDefault="008D7D66" w:rsidP="00F140AE">
            <w:pPr>
              <w:rPr>
                <w:rFonts w:asciiTheme="minorHAnsi" w:hAnsiTheme="minorHAnsi" w:cs="Arial"/>
              </w:rPr>
            </w:pPr>
            <w:r>
              <w:rPr>
                <w:rFonts w:asciiTheme="minorHAnsi" w:hAnsiTheme="minorHAnsi" w:cs="Arial"/>
              </w:rPr>
              <w:t>OPPIK – PO2, PO1</w:t>
            </w:r>
          </w:p>
        </w:tc>
        <w:tc>
          <w:tcPr>
            <w:tcW w:w="1686" w:type="dxa"/>
            <w:tcBorders>
              <w:top w:val="single" w:sz="4" w:space="0" w:color="auto"/>
              <w:left w:val="nil"/>
              <w:bottom w:val="single" w:sz="4" w:space="0" w:color="auto"/>
              <w:right w:val="single" w:sz="4" w:space="0" w:color="auto"/>
            </w:tcBorders>
            <w:shd w:val="clear" w:color="auto" w:fill="auto"/>
            <w:vAlign w:val="center"/>
          </w:tcPr>
          <w:p w:rsidR="00701CA2" w:rsidRPr="009470BE" w:rsidRDefault="00701CA2" w:rsidP="00F140AE">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701CA2" w:rsidRPr="009470BE" w:rsidRDefault="00D71ECB" w:rsidP="00D71ECB">
            <w:pPr>
              <w:rPr>
                <w:rFonts w:asciiTheme="minorHAnsi" w:hAnsiTheme="minorHAnsi" w:cs="Arial"/>
              </w:rPr>
            </w:pPr>
            <w:r>
              <w:rPr>
                <w:rFonts w:asciiTheme="minorHAnsi" w:hAnsiTheme="minorHAnsi" w:cs="Arial"/>
              </w:rPr>
              <w:t>Jednání s MPSV zatím neproběhlo, ale do</w:t>
            </w:r>
            <w:r w:rsidR="00FD2D4C">
              <w:rPr>
                <w:rFonts w:asciiTheme="minorHAnsi" w:hAnsiTheme="minorHAnsi" w:cs="Arial"/>
              </w:rPr>
              <w:t>mníváme se, že zde překryv není</w:t>
            </w:r>
            <w:r>
              <w:rPr>
                <w:rFonts w:asciiTheme="minorHAnsi" w:hAnsiTheme="minorHAnsi" w:cs="Arial"/>
              </w:rPr>
              <w:t>; spíše prostor pro synergie.</w:t>
            </w:r>
          </w:p>
        </w:tc>
        <w:tc>
          <w:tcPr>
            <w:tcW w:w="160" w:type="dxa"/>
            <w:vAlign w:val="center"/>
          </w:tcPr>
          <w:p w:rsidR="00701CA2" w:rsidRPr="009470BE" w:rsidRDefault="00701CA2" w:rsidP="00F140AE">
            <w:pPr>
              <w:jc w:val="center"/>
              <w:rPr>
                <w:rFonts w:asciiTheme="minorHAnsi" w:hAnsiTheme="minorHAnsi" w:cs="Arial"/>
              </w:rPr>
            </w:pPr>
          </w:p>
        </w:tc>
        <w:tc>
          <w:tcPr>
            <w:tcW w:w="2903" w:type="dxa"/>
            <w:vAlign w:val="center"/>
          </w:tcPr>
          <w:p w:rsidR="00701CA2" w:rsidRPr="009470BE" w:rsidRDefault="00701CA2" w:rsidP="00F140AE">
            <w:pPr>
              <w:jc w:val="center"/>
              <w:rPr>
                <w:rFonts w:asciiTheme="minorHAnsi" w:hAnsiTheme="minorHAnsi" w:cs="Arial"/>
              </w:rPr>
            </w:pPr>
          </w:p>
        </w:tc>
        <w:tc>
          <w:tcPr>
            <w:tcW w:w="2903" w:type="dxa"/>
            <w:vAlign w:val="center"/>
          </w:tcPr>
          <w:p w:rsidR="00701CA2" w:rsidRPr="009470BE" w:rsidRDefault="00701CA2" w:rsidP="00F140AE">
            <w:pPr>
              <w:rPr>
                <w:rFonts w:asciiTheme="minorHAnsi" w:hAnsiTheme="minorHAnsi" w:cs="Arial"/>
              </w:rPr>
            </w:pPr>
          </w:p>
        </w:tc>
        <w:tc>
          <w:tcPr>
            <w:tcW w:w="2903" w:type="dxa"/>
            <w:vAlign w:val="center"/>
          </w:tcPr>
          <w:p w:rsidR="00701CA2" w:rsidRPr="009470BE" w:rsidRDefault="00701CA2" w:rsidP="00F140AE">
            <w:pPr>
              <w:rPr>
                <w:rFonts w:asciiTheme="minorHAnsi" w:hAnsiTheme="minorHAnsi" w:cs="Arial"/>
              </w:rPr>
            </w:pPr>
          </w:p>
        </w:tc>
        <w:tc>
          <w:tcPr>
            <w:tcW w:w="2903" w:type="dxa"/>
            <w:vAlign w:val="center"/>
          </w:tcPr>
          <w:p w:rsidR="00701CA2" w:rsidRPr="009470BE" w:rsidRDefault="00701CA2" w:rsidP="00F140AE">
            <w:pPr>
              <w:rPr>
                <w:rFonts w:asciiTheme="minorHAnsi" w:hAnsiTheme="minorHAnsi" w:cs="Arial"/>
              </w:rPr>
            </w:pPr>
          </w:p>
        </w:tc>
        <w:tc>
          <w:tcPr>
            <w:tcW w:w="2903" w:type="dxa"/>
            <w:vAlign w:val="center"/>
          </w:tcPr>
          <w:p w:rsidR="00701CA2" w:rsidRPr="009470BE" w:rsidRDefault="00701CA2" w:rsidP="00F140AE">
            <w:pPr>
              <w:rPr>
                <w:rFonts w:asciiTheme="minorHAnsi" w:hAnsiTheme="minorHAnsi" w:cs="Arial"/>
              </w:rPr>
            </w:pPr>
          </w:p>
        </w:tc>
      </w:tr>
      <w:tr w:rsidR="005275B9" w:rsidRPr="00ED5BE0" w:rsidTr="00334B73">
        <w:trPr>
          <w:trHeight w:val="426"/>
        </w:trPr>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275B9" w:rsidRPr="006851AA" w:rsidRDefault="005275B9" w:rsidP="00DD1A9D">
            <w:pPr>
              <w:rPr>
                <w:rFonts w:asciiTheme="minorHAnsi" w:hAnsiTheme="minorHAnsi" w:cs="Arial"/>
                <w:b/>
              </w:rPr>
            </w:pPr>
            <w:r>
              <w:rPr>
                <w:rFonts w:asciiTheme="minorHAnsi" w:hAnsiTheme="minorHAnsi" w:cs="Arial"/>
                <w:b/>
              </w:rPr>
              <w:t>VaVaI – výzkum a vývoj</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275B9" w:rsidRPr="009470BE" w:rsidRDefault="005275B9" w:rsidP="00DD1A9D">
            <w:pPr>
              <w:rPr>
                <w:rFonts w:asciiTheme="minorHAnsi" w:hAnsiTheme="minorHAnsi" w:cs="Arial"/>
              </w:rPr>
            </w:pPr>
            <w:r>
              <w:rPr>
                <w:rFonts w:asciiTheme="minorHAnsi" w:hAnsiTheme="minorHAnsi" w:cs="Arial"/>
              </w:rPr>
              <w:t>Daná oblast je sledována z důvodu možných synergií.</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275B9" w:rsidRPr="009470BE" w:rsidRDefault="005275B9" w:rsidP="00DD1A9D">
            <w:pPr>
              <w:jc w:val="center"/>
              <w:rPr>
                <w:rFonts w:asciiTheme="minorHAnsi" w:hAnsiTheme="minorHAnsi" w:cs="Arial"/>
              </w:rPr>
            </w:pPr>
            <w:r>
              <w:rPr>
                <w:rFonts w:asciiTheme="minorHAnsi" w:hAnsiTheme="minorHAnsi" w:cs="Arial"/>
              </w:rPr>
              <w:t>synergie</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275B9" w:rsidRPr="009470BE" w:rsidRDefault="005275B9" w:rsidP="00DD1A9D">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275B9" w:rsidRDefault="005275B9" w:rsidP="00DD1A9D">
            <w:pPr>
              <w:jc w:val="center"/>
              <w:rPr>
                <w:rFonts w:asciiTheme="minorHAnsi" w:hAnsiTheme="minorHAnsi" w:cs="Arial"/>
              </w:rPr>
            </w:pPr>
            <w:r>
              <w:rPr>
                <w:rFonts w:asciiTheme="minorHAnsi" w:hAnsiTheme="minorHAnsi" w:cs="Arial"/>
              </w:rPr>
              <w:t>MPO</w:t>
            </w:r>
          </w:p>
          <w:p w:rsidR="005275B9" w:rsidRPr="009470BE" w:rsidRDefault="005275B9" w:rsidP="00DD1A9D">
            <w:pPr>
              <w:jc w:val="center"/>
              <w:rPr>
                <w:rFonts w:asciiTheme="minorHAnsi" w:hAnsiTheme="minorHAnsi" w:cs="Arial"/>
              </w:rPr>
            </w:pPr>
            <w:r>
              <w:rPr>
                <w:rFonts w:asciiTheme="minorHAnsi" w:hAnsiTheme="minorHAnsi" w:cs="Arial"/>
              </w:rPr>
              <w:t>MŠMT</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275B9" w:rsidRPr="009470BE" w:rsidRDefault="005275B9" w:rsidP="00DD1A9D">
            <w:pPr>
              <w:jc w:val="center"/>
              <w:rPr>
                <w:rFonts w:asciiTheme="minorHAnsi" w:hAnsiTheme="minorHAnsi" w:cs="Arial"/>
              </w:rPr>
            </w:pPr>
            <w:r>
              <w:rPr>
                <w:rFonts w:asciiTheme="minorHAnsi" w:hAnsiTheme="minorHAnsi" w:cs="Arial"/>
              </w:rPr>
              <w:t>OPVVV</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5275B9" w:rsidRDefault="005275B9" w:rsidP="00DD1A9D">
            <w:pPr>
              <w:rPr>
                <w:rFonts w:asciiTheme="minorHAnsi" w:hAnsiTheme="minorHAnsi" w:cs="Arial"/>
              </w:rPr>
            </w:pPr>
            <w:r>
              <w:rPr>
                <w:rFonts w:asciiTheme="minorHAnsi" w:hAnsiTheme="minorHAnsi" w:cs="Arial"/>
              </w:rPr>
              <w:t>MPO – KTP</w:t>
            </w:r>
          </w:p>
          <w:p w:rsidR="005275B9" w:rsidRPr="009470BE" w:rsidRDefault="005275B9" w:rsidP="00DD1A9D">
            <w:pPr>
              <w:rPr>
                <w:rFonts w:asciiTheme="minorHAnsi" w:hAnsiTheme="minorHAnsi" w:cs="Arial"/>
              </w:rPr>
            </w:pPr>
            <w:r>
              <w:rPr>
                <w:rFonts w:asciiTheme="minorHAnsi" w:hAnsiTheme="minorHAnsi" w:cs="Arial"/>
              </w:rPr>
              <w:t>MŠMT – profesorské židle, u zbylých aktivit se předpokládá naplňování synergických vazeb</w:t>
            </w:r>
          </w:p>
        </w:tc>
        <w:tc>
          <w:tcPr>
            <w:tcW w:w="850" w:type="dxa"/>
            <w:tcBorders>
              <w:top w:val="single" w:sz="4" w:space="0" w:color="auto"/>
              <w:left w:val="nil"/>
              <w:bottom w:val="single" w:sz="4" w:space="0" w:color="auto"/>
              <w:right w:val="single" w:sz="4" w:space="0" w:color="auto"/>
            </w:tcBorders>
            <w:shd w:val="clear" w:color="auto" w:fill="auto"/>
            <w:vAlign w:val="center"/>
          </w:tcPr>
          <w:p w:rsidR="005275B9" w:rsidRPr="009470BE" w:rsidRDefault="005275B9" w:rsidP="00DD1A9D">
            <w:pPr>
              <w:rPr>
                <w:rFonts w:asciiTheme="minorHAnsi" w:hAnsiTheme="minorHAnsi" w:cs="Arial"/>
              </w:rPr>
            </w:pPr>
            <w:r>
              <w:rPr>
                <w:rFonts w:asciiTheme="minorHAnsi" w:hAnsiTheme="minorHAnsi" w:cs="Arial"/>
              </w:rPr>
              <w:t>OPPIK – PO1</w:t>
            </w:r>
          </w:p>
        </w:tc>
        <w:tc>
          <w:tcPr>
            <w:tcW w:w="1686" w:type="dxa"/>
            <w:tcBorders>
              <w:top w:val="single" w:sz="4" w:space="0" w:color="auto"/>
              <w:left w:val="nil"/>
              <w:bottom w:val="single" w:sz="4" w:space="0" w:color="auto"/>
              <w:right w:val="single" w:sz="4" w:space="0" w:color="auto"/>
            </w:tcBorders>
            <w:shd w:val="clear" w:color="auto" w:fill="auto"/>
            <w:vAlign w:val="center"/>
          </w:tcPr>
          <w:p w:rsidR="005275B9" w:rsidRPr="009470BE" w:rsidRDefault="005275B9" w:rsidP="00DD1A9D">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5275B9" w:rsidRPr="009470BE" w:rsidRDefault="005275B9" w:rsidP="00DD1A9D">
            <w:pPr>
              <w:rPr>
                <w:rFonts w:asciiTheme="minorHAnsi" w:hAnsiTheme="minorHAnsi" w:cs="Arial"/>
              </w:rPr>
            </w:pPr>
            <w:r>
              <w:rPr>
                <w:rFonts w:asciiTheme="minorHAnsi" w:hAnsiTheme="minorHAnsi" w:cs="Arial"/>
              </w:rPr>
              <w:t>Domníváme se, že zde překryv není; spíše prostor pro synergie. K této problematice proběhlo několik jednání MPO se zástupci TA ČR a JIC.</w:t>
            </w:r>
          </w:p>
        </w:tc>
        <w:tc>
          <w:tcPr>
            <w:tcW w:w="160" w:type="dxa"/>
            <w:vAlign w:val="center"/>
          </w:tcPr>
          <w:p w:rsidR="005275B9" w:rsidRPr="009470BE" w:rsidRDefault="005275B9" w:rsidP="00F140AE">
            <w:pPr>
              <w:jc w:val="center"/>
              <w:rPr>
                <w:rFonts w:asciiTheme="minorHAnsi" w:hAnsiTheme="minorHAnsi" w:cs="Arial"/>
              </w:rPr>
            </w:pPr>
          </w:p>
        </w:tc>
        <w:tc>
          <w:tcPr>
            <w:tcW w:w="2903" w:type="dxa"/>
            <w:vAlign w:val="center"/>
          </w:tcPr>
          <w:p w:rsidR="005275B9" w:rsidRPr="009470BE" w:rsidRDefault="005275B9" w:rsidP="00F140AE">
            <w:pPr>
              <w:jc w:val="cente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r>
      <w:tr w:rsidR="005275B9" w:rsidRPr="00ED5BE0" w:rsidTr="00334B73">
        <w:trPr>
          <w:trHeight w:val="426"/>
        </w:trPr>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275B9" w:rsidRDefault="005275B9" w:rsidP="00DD1A9D">
            <w:pPr>
              <w:rPr>
                <w:rFonts w:asciiTheme="minorHAnsi" w:hAnsiTheme="minorHAnsi" w:cs="Arial"/>
                <w:b/>
              </w:rPr>
            </w:pPr>
            <w:r>
              <w:rPr>
                <w:rFonts w:asciiTheme="minorHAnsi" w:hAnsiTheme="minorHAnsi" w:cs="Arial"/>
                <w:b/>
              </w:rPr>
              <w:t>VaVaI - inovace</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Pr="009470BE" w:rsidRDefault="005275B9" w:rsidP="00DD1A9D">
            <w:pPr>
              <w:rPr>
                <w:rFonts w:asciiTheme="minorHAnsi" w:hAnsiTheme="minorHAnsi" w:cs="Arial"/>
              </w:rPr>
            </w:pPr>
            <w:r>
              <w:rPr>
                <w:rFonts w:asciiTheme="minorHAnsi" w:hAnsiTheme="minorHAnsi" w:cs="Arial"/>
              </w:rPr>
              <w:t>Daná oblast je sledována z důvodu možných synergií.</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Pr="009470BE" w:rsidRDefault="005275B9" w:rsidP="00DD1A9D">
            <w:pPr>
              <w:jc w:val="center"/>
              <w:rPr>
                <w:rFonts w:asciiTheme="minorHAnsi" w:hAnsiTheme="minorHAnsi" w:cs="Arial"/>
              </w:rPr>
            </w:pPr>
            <w:r>
              <w:rPr>
                <w:rFonts w:asciiTheme="minorHAnsi" w:hAnsiTheme="minorHAnsi" w:cs="Arial"/>
              </w:rPr>
              <w:t>synergie</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Pr="009470BE" w:rsidRDefault="005275B9" w:rsidP="00DD1A9D">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Default="005275B9" w:rsidP="00DD1A9D">
            <w:pPr>
              <w:jc w:val="center"/>
              <w:rPr>
                <w:rFonts w:asciiTheme="minorHAnsi" w:hAnsiTheme="minorHAnsi" w:cs="Arial"/>
              </w:rPr>
            </w:pPr>
            <w:r>
              <w:rPr>
                <w:rFonts w:asciiTheme="minorHAnsi" w:hAnsiTheme="minorHAnsi" w:cs="Arial"/>
              </w:rPr>
              <w:t xml:space="preserve">MPO </w:t>
            </w:r>
          </w:p>
          <w:p w:rsidR="005275B9" w:rsidRDefault="005275B9" w:rsidP="00DD1A9D">
            <w:pPr>
              <w:jc w:val="center"/>
              <w:rPr>
                <w:rFonts w:asciiTheme="minorHAnsi" w:hAnsiTheme="minorHAnsi" w:cs="Arial"/>
              </w:rPr>
            </w:pPr>
            <w:r>
              <w:rPr>
                <w:rFonts w:asciiTheme="minorHAnsi" w:hAnsiTheme="minorHAnsi" w:cs="Arial"/>
              </w:rPr>
              <w:t>MŠMT</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Default="005275B9" w:rsidP="00DD1A9D">
            <w:pPr>
              <w:jc w:val="center"/>
              <w:rPr>
                <w:rFonts w:asciiTheme="minorHAnsi" w:hAnsiTheme="minorHAnsi" w:cs="Arial"/>
              </w:rPr>
            </w:pPr>
            <w:r>
              <w:rPr>
                <w:rFonts w:asciiTheme="minorHAnsi" w:hAnsiTheme="minorHAnsi" w:cs="Arial"/>
              </w:rPr>
              <w:t>OPVVV</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Default="005275B9" w:rsidP="00DD1A9D">
            <w:pPr>
              <w:rPr>
                <w:rFonts w:asciiTheme="minorHAnsi" w:hAnsiTheme="minorHAnsi" w:cs="Arial"/>
              </w:rPr>
            </w:pPr>
            <w:r>
              <w:rPr>
                <w:rFonts w:asciiTheme="minorHAnsi" w:hAnsiTheme="minorHAnsi" w:cs="Arial"/>
              </w:rPr>
              <w:t>V rámci OPVVV je uplatňována investiční priorita 1b s důrazem na transfer znalostí a posílení spolupráce vysokých škol a vědeckovýzkumných institucí se soukromou sférou.</w:t>
            </w:r>
          </w:p>
        </w:tc>
        <w:tc>
          <w:tcPr>
            <w:tcW w:w="850" w:type="dxa"/>
            <w:tcBorders>
              <w:top w:val="single" w:sz="4" w:space="0" w:color="auto"/>
              <w:left w:val="nil"/>
              <w:bottom w:val="single" w:sz="4" w:space="0" w:color="auto"/>
              <w:right w:val="single" w:sz="4" w:space="0" w:color="auto"/>
            </w:tcBorders>
            <w:shd w:val="clear" w:color="auto" w:fill="auto"/>
            <w:vAlign w:val="center"/>
          </w:tcPr>
          <w:p w:rsidR="005275B9" w:rsidRDefault="005275B9" w:rsidP="00DD1A9D">
            <w:pPr>
              <w:rPr>
                <w:rFonts w:asciiTheme="minorHAnsi" w:hAnsiTheme="minorHAnsi" w:cs="Arial"/>
              </w:rPr>
            </w:pPr>
            <w:r>
              <w:rPr>
                <w:rFonts w:asciiTheme="minorHAnsi" w:hAnsiTheme="minorHAnsi" w:cs="Arial"/>
              </w:rPr>
              <w:t>OPPIK-</w:t>
            </w:r>
          </w:p>
          <w:p w:rsidR="005275B9" w:rsidRDefault="005275B9" w:rsidP="00DD1A9D">
            <w:pPr>
              <w:rPr>
                <w:rFonts w:asciiTheme="minorHAnsi" w:hAnsiTheme="minorHAnsi" w:cs="Arial"/>
              </w:rPr>
            </w:pPr>
            <w:r>
              <w:rPr>
                <w:rFonts w:asciiTheme="minorHAnsi" w:hAnsiTheme="minorHAnsi" w:cs="Arial"/>
              </w:rPr>
              <w:t>PO1</w:t>
            </w:r>
          </w:p>
        </w:tc>
        <w:tc>
          <w:tcPr>
            <w:tcW w:w="1686" w:type="dxa"/>
            <w:tcBorders>
              <w:top w:val="single" w:sz="4" w:space="0" w:color="auto"/>
              <w:left w:val="nil"/>
              <w:bottom w:val="single" w:sz="4" w:space="0" w:color="auto"/>
              <w:right w:val="single" w:sz="4" w:space="0" w:color="auto"/>
            </w:tcBorders>
            <w:shd w:val="clear" w:color="auto" w:fill="auto"/>
            <w:vAlign w:val="center"/>
          </w:tcPr>
          <w:p w:rsidR="005275B9" w:rsidRPr="009470BE" w:rsidRDefault="005275B9" w:rsidP="00DD1A9D">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5275B9" w:rsidRDefault="005275B9" w:rsidP="00DD1A9D">
            <w:pPr>
              <w:rPr>
                <w:rFonts w:asciiTheme="minorHAnsi" w:hAnsiTheme="minorHAnsi" w:cs="Arial"/>
              </w:rPr>
            </w:pPr>
            <w:r>
              <w:rPr>
                <w:rFonts w:asciiTheme="minorHAnsi" w:hAnsiTheme="minorHAnsi" w:cs="Arial"/>
              </w:rPr>
              <w:t>Nejde o překryv, OP PIK se intervencemi zaměřuje především na podnikatelskou sféru. Předpoklad sledování a vyhodnocování synergických vazeb.</w:t>
            </w:r>
            <w:r w:rsidR="00CA009B">
              <w:rPr>
                <w:rFonts w:asciiTheme="minorHAnsi" w:hAnsiTheme="minorHAnsi" w:cs="Arial"/>
              </w:rPr>
              <w:t xml:space="preserve"> K této </w:t>
            </w:r>
            <w:r w:rsidR="00CA009B">
              <w:rPr>
                <w:rFonts w:asciiTheme="minorHAnsi" w:hAnsiTheme="minorHAnsi" w:cs="Arial"/>
              </w:rPr>
              <w:lastRenderedPageBreak/>
              <w:t>problematice proběhlo několik jednání MPO se zástupci TA ČR a JIC.</w:t>
            </w:r>
          </w:p>
        </w:tc>
        <w:tc>
          <w:tcPr>
            <w:tcW w:w="160" w:type="dxa"/>
            <w:vAlign w:val="center"/>
          </w:tcPr>
          <w:p w:rsidR="005275B9" w:rsidRPr="009470BE" w:rsidRDefault="005275B9" w:rsidP="00F140AE">
            <w:pPr>
              <w:jc w:val="center"/>
              <w:rPr>
                <w:rFonts w:asciiTheme="minorHAnsi" w:hAnsiTheme="minorHAnsi" w:cs="Arial"/>
              </w:rPr>
            </w:pPr>
          </w:p>
        </w:tc>
        <w:tc>
          <w:tcPr>
            <w:tcW w:w="2903" w:type="dxa"/>
            <w:vAlign w:val="center"/>
          </w:tcPr>
          <w:p w:rsidR="005275B9" w:rsidRPr="009470BE" w:rsidRDefault="005275B9" w:rsidP="00F140AE">
            <w:pPr>
              <w:jc w:val="cente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r>
      <w:tr w:rsidR="005275B9" w:rsidRPr="00ED5BE0" w:rsidTr="00334B73">
        <w:trPr>
          <w:trHeight w:val="426"/>
        </w:trPr>
        <w:tc>
          <w:tcPr>
            <w:tcW w:w="1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275B9" w:rsidRPr="006851AA" w:rsidRDefault="005275B9" w:rsidP="00DD1A9D">
            <w:pPr>
              <w:rPr>
                <w:rFonts w:asciiTheme="minorHAnsi" w:hAnsiTheme="minorHAnsi" w:cs="Arial"/>
                <w:b/>
              </w:rPr>
            </w:pPr>
            <w:r>
              <w:rPr>
                <w:rFonts w:asciiTheme="minorHAnsi" w:hAnsiTheme="minorHAnsi" w:cs="Arial"/>
                <w:b/>
              </w:rPr>
              <w:lastRenderedPageBreak/>
              <w:t>Vzdělávání – odborné vzdělávání</w:t>
            </w:r>
          </w:p>
        </w:tc>
        <w:tc>
          <w:tcPr>
            <w:tcW w:w="12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Pr="009470BE" w:rsidRDefault="005275B9" w:rsidP="00DD1A9D">
            <w:pPr>
              <w:rPr>
                <w:rFonts w:asciiTheme="minorHAnsi" w:hAnsiTheme="minorHAnsi" w:cs="Arial"/>
              </w:rPr>
            </w:pPr>
            <w:r>
              <w:rPr>
                <w:rFonts w:asciiTheme="minorHAnsi" w:hAnsiTheme="minorHAnsi" w:cs="Arial"/>
              </w:rPr>
              <w:t>Daná oblast je sledována z důvodu možných překryvů.</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Pr="009470BE" w:rsidRDefault="005275B9" w:rsidP="00DD1A9D">
            <w:pPr>
              <w:jc w:val="center"/>
              <w:rPr>
                <w:rFonts w:asciiTheme="minorHAnsi" w:hAnsiTheme="minorHAnsi" w:cs="Arial"/>
              </w:rPr>
            </w:pPr>
            <w:r>
              <w:rPr>
                <w:rFonts w:asciiTheme="minorHAnsi" w:hAnsiTheme="minorHAnsi" w:cs="Arial"/>
              </w:rPr>
              <w:t>překryv</w:t>
            </w:r>
          </w:p>
        </w:tc>
        <w:tc>
          <w:tcPr>
            <w:tcW w:w="127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Pr="009470BE" w:rsidRDefault="005275B9" w:rsidP="00DD1A9D">
            <w:pPr>
              <w:jc w:val="center"/>
              <w:rPr>
                <w:rFonts w:asciiTheme="minorHAnsi" w:hAnsiTheme="minorHAnsi" w:cs="Arial"/>
              </w:rPr>
            </w:pPr>
          </w:p>
        </w:tc>
        <w:tc>
          <w:tcPr>
            <w:tcW w:w="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Default="005275B9" w:rsidP="00DD1A9D">
            <w:pPr>
              <w:jc w:val="center"/>
              <w:rPr>
                <w:rFonts w:asciiTheme="minorHAnsi" w:hAnsiTheme="minorHAnsi" w:cs="Arial"/>
              </w:rPr>
            </w:pPr>
            <w:r>
              <w:rPr>
                <w:rFonts w:asciiTheme="minorHAnsi" w:hAnsiTheme="minorHAnsi" w:cs="Arial"/>
              </w:rPr>
              <w:t>MPO</w:t>
            </w:r>
          </w:p>
          <w:p w:rsidR="005275B9" w:rsidRDefault="005275B9" w:rsidP="00DD1A9D">
            <w:pPr>
              <w:jc w:val="center"/>
              <w:rPr>
                <w:rFonts w:asciiTheme="minorHAnsi" w:hAnsiTheme="minorHAnsi" w:cs="Arial"/>
              </w:rPr>
            </w:pPr>
            <w:r>
              <w:rPr>
                <w:rFonts w:asciiTheme="minorHAnsi" w:hAnsiTheme="minorHAnsi" w:cs="Arial"/>
              </w:rPr>
              <w:t>MŠMT</w:t>
            </w:r>
          </w:p>
          <w:p w:rsidR="005275B9" w:rsidRPr="009470BE" w:rsidRDefault="005275B9" w:rsidP="00DD1A9D">
            <w:pPr>
              <w:jc w:val="center"/>
              <w:rPr>
                <w:rFonts w:asciiTheme="minorHAnsi" w:hAnsiTheme="minorHAnsi" w:cs="Arial"/>
              </w:rPr>
            </w:pPr>
            <w:r>
              <w:rPr>
                <w:rFonts w:asciiTheme="minorHAnsi" w:hAnsiTheme="minorHAnsi" w:cs="Arial"/>
              </w:rPr>
              <w:t>MPSV</w:t>
            </w:r>
          </w:p>
        </w:tc>
        <w:tc>
          <w:tcPr>
            <w:tcW w:w="9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Default="005275B9" w:rsidP="00DD1A9D">
            <w:pPr>
              <w:jc w:val="center"/>
              <w:rPr>
                <w:rFonts w:asciiTheme="minorHAnsi" w:hAnsiTheme="minorHAnsi" w:cs="Arial"/>
              </w:rPr>
            </w:pPr>
            <w:r>
              <w:rPr>
                <w:rFonts w:asciiTheme="minorHAnsi" w:hAnsiTheme="minorHAnsi" w:cs="Arial"/>
              </w:rPr>
              <w:t>OPVVV</w:t>
            </w:r>
          </w:p>
          <w:p w:rsidR="005275B9" w:rsidRPr="009470BE" w:rsidRDefault="005275B9" w:rsidP="00DD1A9D">
            <w:pPr>
              <w:jc w:val="center"/>
              <w:rPr>
                <w:rFonts w:asciiTheme="minorHAnsi" w:hAnsiTheme="minorHAnsi" w:cs="Arial"/>
              </w:rPr>
            </w:pPr>
            <w:r>
              <w:rPr>
                <w:rFonts w:asciiTheme="minorHAnsi" w:hAnsiTheme="minorHAnsi" w:cs="Arial"/>
              </w:rPr>
              <w:t>OPZ</w:t>
            </w:r>
          </w:p>
        </w:tc>
        <w:tc>
          <w:tcPr>
            <w:tcW w:w="28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275B9" w:rsidRPr="009470BE" w:rsidRDefault="005275B9" w:rsidP="00DD1A9D">
            <w:pPr>
              <w:rPr>
                <w:rFonts w:asciiTheme="minorHAnsi" w:hAnsiTheme="minorHAnsi" w:cs="Arial"/>
              </w:rPr>
            </w:pPr>
            <w:r>
              <w:rPr>
                <w:rFonts w:asciiTheme="minorHAnsi" w:hAnsiTheme="minorHAnsi" w:cs="Arial"/>
              </w:rPr>
              <w:t xml:space="preserve">Z dosavadních výstupů vyplývá, že odborné vzdělávání ve školách spadá do působnosti MŠMT. Nutno problematiku vyjasnit zejména s MPSV za účasti MŠMT. </w:t>
            </w:r>
          </w:p>
        </w:tc>
        <w:tc>
          <w:tcPr>
            <w:tcW w:w="850" w:type="dxa"/>
            <w:tcBorders>
              <w:top w:val="single" w:sz="4" w:space="0" w:color="auto"/>
              <w:left w:val="nil"/>
              <w:bottom w:val="single" w:sz="4" w:space="0" w:color="auto"/>
              <w:right w:val="single" w:sz="4" w:space="0" w:color="auto"/>
            </w:tcBorders>
            <w:shd w:val="clear" w:color="auto" w:fill="auto"/>
            <w:vAlign w:val="center"/>
          </w:tcPr>
          <w:p w:rsidR="005275B9" w:rsidRPr="009470BE" w:rsidRDefault="005275B9" w:rsidP="00DD1A9D">
            <w:pPr>
              <w:rPr>
                <w:rFonts w:asciiTheme="minorHAnsi" w:hAnsiTheme="minorHAnsi" w:cs="Arial"/>
              </w:rPr>
            </w:pPr>
            <w:r>
              <w:rPr>
                <w:rFonts w:asciiTheme="minorHAnsi" w:hAnsiTheme="minorHAnsi" w:cs="Arial"/>
              </w:rPr>
              <w:t>OPPIK – PO2</w:t>
            </w:r>
          </w:p>
        </w:tc>
        <w:tc>
          <w:tcPr>
            <w:tcW w:w="1686" w:type="dxa"/>
            <w:tcBorders>
              <w:top w:val="single" w:sz="4" w:space="0" w:color="auto"/>
              <w:left w:val="nil"/>
              <w:bottom w:val="single" w:sz="4" w:space="0" w:color="auto"/>
              <w:right w:val="single" w:sz="4" w:space="0" w:color="auto"/>
            </w:tcBorders>
            <w:shd w:val="clear" w:color="auto" w:fill="auto"/>
            <w:vAlign w:val="center"/>
          </w:tcPr>
          <w:p w:rsidR="005275B9" w:rsidRPr="009470BE" w:rsidRDefault="005275B9" w:rsidP="00DD1A9D">
            <w:pPr>
              <w:rPr>
                <w:rFonts w:asciiTheme="minorHAnsi" w:hAnsiTheme="minorHAnsi" w:cs="Arial"/>
              </w:rPr>
            </w:pPr>
          </w:p>
        </w:tc>
        <w:tc>
          <w:tcPr>
            <w:tcW w:w="2283" w:type="dxa"/>
            <w:tcBorders>
              <w:top w:val="single" w:sz="4" w:space="0" w:color="auto"/>
              <w:left w:val="nil"/>
              <w:bottom w:val="single" w:sz="4" w:space="0" w:color="auto"/>
              <w:right w:val="single" w:sz="4" w:space="0" w:color="auto"/>
            </w:tcBorders>
            <w:shd w:val="clear" w:color="auto" w:fill="auto"/>
            <w:vAlign w:val="center"/>
          </w:tcPr>
          <w:p w:rsidR="005275B9" w:rsidRPr="009470BE" w:rsidRDefault="005275B9" w:rsidP="00DD1A9D">
            <w:pPr>
              <w:rPr>
                <w:rFonts w:asciiTheme="minorHAnsi" w:hAnsiTheme="minorHAnsi" w:cs="Arial"/>
              </w:rPr>
            </w:pPr>
            <w:r>
              <w:rPr>
                <w:rFonts w:asciiTheme="minorHAnsi" w:hAnsiTheme="minorHAnsi" w:cs="Arial"/>
              </w:rPr>
              <w:t>Jednání s MPSV a MŠMT k této oblasti zatím neproběhlo.</w:t>
            </w:r>
          </w:p>
        </w:tc>
        <w:tc>
          <w:tcPr>
            <w:tcW w:w="160" w:type="dxa"/>
            <w:vAlign w:val="center"/>
          </w:tcPr>
          <w:p w:rsidR="005275B9" w:rsidRPr="009470BE" w:rsidRDefault="005275B9" w:rsidP="00F140AE">
            <w:pPr>
              <w:jc w:val="center"/>
              <w:rPr>
                <w:rFonts w:asciiTheme="minorHAnsi" w:hAnsiTheme="minorHAnsi" w:cs="Arial"/>
              </w:rPr>
            </w:pPr>
          </w:p>
        </w:tc>
        <w:tc>
          <w:tcPr>
            <w:tcW w:w="2903" w:type="dxa"/>
            <w:vAlign w:val="center"/>
          </w:tcPr>
          <w:p w:rsidR="005275B9" w:rsidRPr="009470BE" w:rsidRDefault="005275B9" w:rsidP="00F140AE">
            <w:pPr>
              <w:jc w:val="cente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c>
          <w:tcPr>
            <w:tcW w:w="2903" w:type="dxa"/>
            <w:vAlign w:val="center"/>
          </w:tcPr>
          <w:p w:rsidR="005275B9" w:rsidRPr="009470BE" w:rsidRDefault="005275B9" w:rsidP="00F140AE">
            <w:pPr>
              <w:rPr>
                <w:rFonts w:asciiTheme="minorHAnsi" w:hAnsiTheme="minorHAnsi" w:cs="Arial"/>
              </w:rPr>
            </w:pPr>
          </w:p>
        </w:tc>
      </w:tr>
    </w:tbl>
    <w:p w:rsidR="00F03112" w:rsidRPr="00F03112" w:rsidRDefault="00F03112" w:rsidP="00F03112">
      <w:pPr>
        <w:pStyle w:val="normln0"/>
        <w:rPr>
          <w:rFonts w:asciiTheme="minorHAnsi" w:hAnsiTheme="minorHAnsi" w:cstheme="minorHAnsi"/>
          <w:b/>
        </w:rPr>
      </w:pPr>
    </w:p>
    <w:p w:rsidR="00F03112" w:rsidRDefault="00F03112" w:rsidP="00CF0F84">
      <w:pPr>
        <w:jc w:val="both"/>
        <w:rPr>
          <w:rFonts w:ascii="Calibri" w:hAnsi="Calibri" w:cs="Calibri"/>
          <w:sz w:val="24"/>
          <w:szCs w:val="24"/>
        </w:rPr>
        <w:sectPr w:rsidR="00F03112" w:rsidSect="00F03112">
          <w:headerReference w:type="default" r:id="rId39"/>
          <w:footerReference w:type="default" r:id="rId40"/>
          <w:pgSz w:w="16838" w:h="11906" w:orient="landscape"/>
          <w:pgMar w:top="1418" w:right="1418" w:bottom="1276" w:left="1276" w:header="709" w:footer="709" w:gutter="0"/>
          <w:cols w:space="708"/>
          <w:docGrid w:linePitch="272"/>
        </w:sectPr>
      </w:pPr>
    </w:p>
    <w:p w:rsidR="009E6172" w:rsidRPr="00851D6E" w:rsidRDefault="009E6172" w:rsidP="00851D6E">
      <w:pPr>
        <w:pStyle w:val="Nadpis1"/>
      </w:pPr>
      <w:bookmarkStart w:id="153" w:name="_Toc351464439"/>
      <w:bookmarkStart w:id="154" w:name="_Toc352328406"/>
      <w:r w:rsidRPr="00851D6E">
        <w:lastRenderedPageBreak/>
        <w:t>Plnění předběžných podmínek</w:t>
      </w:r>
      <w:bookmarkEnd w:id="153"/>
      <w:bookmarkEnd w:id="154"/>
    </w:p>
    <w:p w:rsidR="00C5386D" w:rsidRPr="004731D0" w:rsidRDefault="00C5386D" w:rsidP="00CF0F84">
      <w:pPr>
        <w:jc w:val="both"/>
        <w:rPr>
          <w:rFonts w:ascii="Calibri" w:hAnsi="Calibri" w:cs="Calibri"/>
          <w:sz w:val="24"/>
        </w:rPr>
      </w:pPr>
    </w:p>
    <w:p w:rsidR="0008119B" w:rsidRPr="004B5801" w:rsidRDefault="00C5386D" w:rsidP="00C60681">
      <w:pPr>
        <w:overflowPunct/>
        <w:jc w:val="both"/>
        <w:textAlignment w:val="auto"/>
        <w:rPr>
          <w:rFonts w:ascii="Calibri" w:hAnsi="Calibri" w:cs="Calibri"/>
          <w:bCs/>
          <w:i/>
          <w:color w:val="FF0000"/>
          <w:sz w:val="24"/>
          <w:szCs w:val="24"/>
        </w:rPr>
      </w:pPr>
      <w:r w:rsidRPr="004B5801">
        <w:rPr>
          <w:rFonts w:ascii="Calibri" w:hAnsi="Calibri" w:cs="Calibri"/>
          <w:i/>
          <w:color w:val="FF0000"/>
          <w:sz w:val="24"/>
          <w:szCs w:val="24"/>
        </w:rPr>
        <w:t xml:space="preserve">……viz EK Draft template / </w:t>
      </w:r>
      <w:r w:rsidR="00A87F9B" w:rsidRPr="004B5801">
        <w:rPr>
          <w:rFonts w:ascii="Calibri" w:hAnsi="Calibri" w:cs="Calibri"/>
          <w:i/>
          <w:color w:val="FF0000"/>
          <w:sz w:val="24"/>
          <w:szCs w:val="24"/>
        </w:rPr>
        <w:t xml:space="preserve">verze </w:t>
      </w:r>
      <w:r w:rsidRPr="004B5801">
        <w:rPr>
          <w:rFonts w:ascii="Calibri" w:hAnsi="Calibri" w:cs="Calibri"/>
          <w:i/>
          <w:color w:val="FF0000"/>
          <w:sz w:val="24"/>
          <w:szCs w:val="24"/>
        </w:rPr>
        <w:t xml:space="preserve">leden 2013 </w:t>
      </w:r>
      <w:r w:rsidR="00A87F9B" w:rsidRPr="004B5801">
        <w:rPr>
          <w:rFonts w:ascii="Calibri" w:hAnsi="Calibri" w:cs="Calibri"/>
          <w:i/>
          <w:color w:val="FF0000"/>
          <w:sz w:val="24"/>
          <w:szCs w:val="24"/>
        </w:rPr>
        <w:t xml:space="preserve">(str. 36 – 38) a verze únor 2013 (str. 39 – 41) / </w:t>
      </w:r>
      <w:r w:rsidR="00A87F9B" w:rsidRPr="004B5801">
        <w:rPr>
          <w:rFonts w:ascii="Calibri" w:hAnsi="Calibri" w:cs="Calibri"/>
          <w:b/>
          <w:i/>
          <w:color w:val="FF0000"/>
          <w:sz w:val="24"/>
          <w:szCs w:val="24"/>
        </w:rPr>
        <w:t>s</w:t>
      </w:r>
      <w:r w:rsidRPr="004B5801">
        <w:rPr>
          <w:rFonts w:ascii="Calibri" w:hAnsi="Calibri" w:cs="Calibri"/>
          <w:b/>
          <w:i/>
          <w:color w:val="FF0000"/>
          <w:sz w:val="24"/>
          <w:szCs w:val="24"/>
        </w:rPr>
        <w:t xml:space="preserve">ekce </w:t>
      </w:r>
      <w:smartTag w:uri="urn:schemas-microsoft-com:office:smarttags" w:element="metricconverter">
        <w:smartTagPr>
          <w:attr w:name="ProductID" w:val="10 a"/>
        </w:smartTagPr>
        <w:r w:rsidRPr="004B5801">
          <w:rPr>
            <w:rFonts w:ascii="Calibri" w:hAnsi="Calibri" w:cs="Calibri"/>
            <w:b/>
            <w:i/>
            <w:color w:val="FF0000"/>
            <w:sz w:val="24"/>
            <w:szCs w:val="24"/>
          </w:rPr>
          <w:t>10</w:t>
        </w:r>
        <w:r w:rsidR="00A87F9B" w:rsidRPr="004B5801">
          <w:rPr>
            <w:rFonts w:ascii="Calibri" w:hAnsi="Calibri" w:cs="Calibri"/>
            <w:i/>
            <w:color w:val="FF0000"/>
            <w:sz w:val="24"/>
            <w:szCs w:val="24"/>
          </w:rPr>
          <w:t xml:space="preserve"> a</w:t>
        </w:r>
      </w:smartTag>
      <w:r w:rsidR="00A87F9B" w:rsidRPr="004B5801">
        <w:rPr>
          <w:rFonts w:ascii="Calibri" w:hAnsi="Calibri" w:cs="Calibri"/>
          <w:i/>
          <w:color w:val="FF0000"/>
          <w:sz w:val="24"/>
          <w:szCs w:val="24"/>
        </w:rPr>
        <w:t xml:space="preserve"> M</w:t>
      </w:r>
      <w:r w:rsidR="0008119B" w:rsidRPr="004B5801">
        <w:rPr>
          <w:rFonts w:ascii="Calibri" w:hAnsi="Calibri" w:cs="Calibri"/>
          <w:i/>
          <w:color w:val="FF0000"/>
          <w:sz w:val="24"/>
          <w:szCs w:val="24"/>
        </w:rPr>
        <w:t>etodika, verze 1.0</w:t>
      </w:r>
      <w:r w:rsidR="00A87F9B" w:rsidRPr="004B5801">
        <w:rPr>
          <w:rFonts w:ascii="Calibri" w:hAnsi="Calibri" w:cs="Calibri"/>
          <w:i/>
          <w:color w:val="FF0000"/>
          <w:sz w:val="24"/>
          <w:szCs w:val="24"/>
        </w:rPr>
        <w:t xml:space="preserve"> </w:t>
      </w:r>
      <w:r w:rsidR="0008119B" w:rsidRPr="004B5801">
        <w:rPr>
          <w:rFonts w:ascii="Calibri" w:hAnsi="Calibri" w:cs="Calibri"/>
          <w:i/>
          <w:color w:val="FF0000"/>
          <w:sz w:val="24"/>
          <w:szCs w:val="24"/>
        </w:rPr>
        <w:t>únor 2013</w:t>
      </w:r>
      <w:r w:rsidR="00A87F9B" w:rsidRPr="004B5801">
        <w:rPr>
          <w:rFonts w:ascii="Calibri" w:hAnsi="Calibri" w:cs="Calibri"/>
          <w:i/>
          <w:color w:val="FF0000"/>
          <w:sz w:val="24"/>
          <w:szCs w:val="24"/>
        </w:rPr>
        <w:t xml:space="preserve"> / </w:t>
      </w:r>
      <w:r w:rsidR="0008119B" w:rsidRPr="004B5801">
        <w:rPr>
          <w:rFonts w:ascii="Calibri" w:hAnsi="Calibri" w:cs="Calibri"/>
          <w:b/>
          <w:i/>
          <w:color w:val="FF0000"/>
          <w:sz w:val="24"/>
          <w:szCs w:val="24"/>
        </w:rPr>
        <w:t>kap. 7.10</w:t>
      </w:r>
      <w:r w:rsidR="00A87F9B" w:rsidRPr="004B5801">
        <w:rPr>
          <w:rFonts w:ascii="Calibri" w:hAnsi="Calibri" w:cs="Calibri"/>
          <w:i/>
          <w:color w:val="FF0000"/>
          <w:sz w:val="24"/>
          <w:szCs w:val="24"/>
        </w:rPr>
        <w:t xml:space="preserve"> </w:t>
      </w:r>
      <w:r w:rsidR="00C52CB9" w:rsidRPr="004B5801">
        <w:rPr>
          <w:rFonts w:ascii="Calibri" w:hAnsi="Calibri" w:cs="Calibri"/>
          <w:i/>
          <w:color w:val="FF0000"/>
          <w:sz w:val="24"/>
          <w:szCs w:val="24"/>
        </w:rPr>
        <w:t>/ str. 109 – 110</w:t>
      </w:r>
    </w:p>
    <w:p w:rsidR="00C5386D" w:rsidRPr="00A87F9B" w:rsidRDefault="00C5386D" w:rsidP="00C60681">
      <w:pPr>
        <w:overflowPunct/>
        <w:jc w:val="both"/>
        <w:textAlignment w:val="auto"/>
        <w:rPr>
          <w:rFonts w:ascii="Calibri" w:hAnsi="Calibri" w:cs="Calibri"/>
          <w:color w:val="FF0000"/>
        </w:rPr>
      </w:pPr>
    </w:p>
    <w:p w:rsidR="00022228" w:rsidRPr="00022228" w:rsidRDefault="00BF3FE5" w:rsidP="00851D6E">
      <w:pPr>
        <w:pStyle w:val="Nadpis2"/>
      </w:pPr>
      <w:bookmarkStart w:id="155" w:name="_Toc351464440"/>
      <w:bookmarkStart w:id="156" w:name="_Toc352328407"/>
      <w:r>
        <w:t>U</w:t>
      </w:r>
      <w:r w:rsidR="00022228" w:rsidRPr="00022228">
        <w:t>rčení platných předběžných podmínek a vyhodnocení jejich plnění</w:t>
      </w:r>
      <w:r w:rsidR="00022228">
        <w:t xml:space="preserve"> </w:t>
      </w:r>
      <w:r w:rsidR="00022228" w:rsidRPr="00022228">
        <w:t>(7.10.1)</w:t>
      </w:r>
      <w:bookmarkEnd w:id="155"/>
      <w:bookmarkEnd w:id="156"/>
      <w:r w:rsidR="00022228" w:rsidRPr="00022228">
        <w:t xml:space="preserve"> </w:t>
      </w:r>
    </w:p>
    <w:p w:rsidR="00022228" w:rsidRDefault="00022228" w:rsidP="004B5A6C">
      <w:pPr>
        <w:pStyle w:val="Nadpis3"/>
        <w:numPr>
          <w:ilvl w:val="0"/>
          <w:numId w:val="0"/>
        </w:numPr>
        <w:spacing w:before="0" w:after="0" w:line="240" w:lineRule="auto"/>
        <w:rPr>
          <w:rFonts w:ascii="Times New Roman" w:hAnsi="Times New Roman"/>
          <w:b w:val="0"/>
          <w:szCs w:val="24"/>
        </w:rPr>
      </w:pPr>
    </w:p>
    <w:p w:rsidR="00BF3FE5" w:rsidRDefault="00BF5615" w:rsidP="00BF3FE5">
      <w:pPr>
        <w:jc w:val="both"/>
        <w:rPr>
          <w:rFonts w:asciiTheme="minorHAnsi" w:hAnsiTheme="minorHAnsi" w:cstheme="minorHAnsi"/>
          <w:color w:val="FF0000"/>
          <w:sz w:val="24"/>
          <w:szCs w:val="24"/>
        </w:rPr>
      </w:pPr>
      <w:r>
        <w:rPr>
          <w:rFonts w:asciiTheme="minorHAnsi" w:hAnsiTheme="minorHAnsi" w:cstheme="minorHAnsi"/>
          <w:color w:val="FF0000"/>
          <w:sz w:val="24"/>
          <w:szCs w:val="24"/>
        </w:rPr>
        <w:t>Následující</w:t>
      </w:r>
      <w:r w:rsidR="00BF3FE5" w:rsidRPr="002B0AB9">
        <w:rPr>
          <w:rFonts w:asciiTheme="minorHAnsi" w:hAnsiTheme="minorHAnsi" w:cstheme="minorHAnsi"/>
          <w:color w:val="FF0000"/>
          <w:sz w:val="24"/>
          <w:szCs w:val="24"/>
        </w:rPr>
        <w:t xml:space="preserve"> tabulka vymezí veškeré platné obecné a tematické předběžné podmínky operačního programu včetně těch, které </w:t>
      </w:r>
      <w:r w:rsidR="00BF3FE5" w:rsidRPr="00593839">
        <w:rPr>
          <w:rFonts w:asciiTheme="minorHAnsi" w:hAnsiTheme="minorHAnsi" w:cstheme="minorHAnsi"/>
          <w:color w:val="FF0000"/>
          <w:sz w:val="24"/>
          <w:szCs w:val="24"/>
        </w:rPr>
        <w:t>byly</w:t>
      </w:r>
      <w:r w:rsidR="00BF3FE5" w:rsidRPr="002B0AB9">
        <w:rPr>
          <w:rFonts w:asciiTheme="minorHAnsi" w:hAnsiTheme="minorHAnsi" w:cstheme="minorHAnsi"/>
          <w:color w:val="FF0000"/>
          <w:sz w:val="24"/>
          <w:szCs w:val="24"/>
        </w:rPr>
        <w:t xml:space="preserve"> zahrnuty do Dohody o partnerství, ale které jsou platné pro priority daného operačního programu a jejichž splnění nebo nesplnění ovlivňuje implementaci programu. Pro každou platnou předběžnou podmínku je nezbytné určit, ke kterým prioritám se vztahuje a označit</w:t>
      </w:r>
      <w:r w:rsidR="00722EC8">
        <w:rPr>
          <w:rFonts w:asciiTheme="minorHAnsi" w:hAnsiTheme="minorHAnsi" w:cstheme="minorHAnsi"/>
          <w:color w:val="FF0000"/>
          <w:sz w:val="24"/>
          <w:szCs w:val="24"/>
        </w:rPr>
        <w:t xml:space="preserve">, a </w:t>
      </w:r>
      <w:r w:rsidR="00BF3FE5" w:rsidRPr="002B0AB9">
        <w:rPr>
          <w:rFonts w:asciiTheme="minorHAnsi" w:hAnsiTheme="minorHAnsi" w:cstheme="minorHAnsi"/>
          <w:color w:val="FF0000"/>
          <w:sz w:val="24"/>
          <w:szCs w:val="24"/>
        </w:rPr>
        <w:t>pokud je to nutné, vysvětlit, která krit</w:t>
      </w:r>
      <w:r w:rsidR="002B0AB9">
        <w:rPr>
          <w:rFonts w:asciiTheme="minorHAnsi" w:hAnsiTheme="minorHAnsi" w:cstheme="minorHAnsi"/>
          <w:color w:val="FF0000"/>
          <w:sz w:val="24"/>
          <w:szCs w:val="24"/>
        </w:rPr>
        <w:t>é</w:t>
      </w:r>
      <w:r w:rsidR="00BF3FE5" w:rsidRPr="002B0AB9">
        <w:rPr>
          <w:rFonts w:asciiTheme="minorHAnsi" w:hAnsiTheme="minorHAnsi" w:cstheme="minorHAnsi"/>
          <w:color w:val="FF0000"/>
          <w:sz w:val="24"/>
          <w:szCs w:val="24"/>
        </w:rPr>
        <w:t>ria jsou splněna nebo nesplněna</w:t>
      </w:r>
      <w:r>
        <w:rPr>
          <w:rFonts w:asciiTheme="minorHAnsi" w:hAnsiTheme="minorHAnsi" w:cstheme="minorHAnsi"/>
          <w:color w:val="FF0000"/>
          <w:sz w:val="24"/>
          <w:szCs w:val="24"/>
        </w:rPr>
        <w:t>.</w:t>
      </w:r>
    </w:p>
    <w:p w:rsidR="00285DCF" w:rsidRDefault="00285DCF" w:rsidP="00BF3FE5">
      <w:pPr>
        <w:jc w:val="both"/>
        <w:rPr>
          <w:rFonts w:asciiTheme="minorHAnsi" w:hAnsiTheme="minorHAnsi" w:cstheme="minorHAnsi"/>
          <w:color w:val="FF0000"/>
          <w:sz w:val="24"/>
          <w:szCs w:val="24"/>
        </w:rPr>
      </w:pPr>
    </w:p>
    <w:p w:rsidR="00285DCF" w:rsidRPr="002B0AB9" w:rsidRDefault="00285DCF" w:rsidP="00BF3FE5">
      <w:pPr>
        <w:jc w:val="both"/>
        <w:rPr>
          <w:rFonts w:asciiTheme="minorHAnsi" w:hAnsiTheme="minorHAnsi" w:cstheme="minorHAnsi"/>
          <w:color w:val="FF0000"/>
          <w:sz w:val="24"/>
          <w:szCs w:val="24"/>
        </w:rPr>
      </w:pPr>
      <w:r>
        <w:rPr>
          <w:rFonts w:asciiTheme="minorHAnsi" w:hAnsiTheme="minorHAnsi" w:cstheme="minorHAnsi"/>
          <w:color w:val="FF0000"/>
          <w:sz w:val="24"/>
          <w:szCs w:val="24"/>
        </w:rPr>
        <w:t xml:space="preserve">Problematika předběžných podmínek bude řešena v dalších fázích přípravy </w:t>
      </w:r>
      <w:r w:rsidR="002D2F2D">
        <w:rPr>
          <w:rFonts w:asciiTheme="minorHAnsi" w:hAnsiTheme="minorHAnsi" w:cstheme="minorHAnsi"/>
          <w:color w:val="FF0000"/>
          <w:sz w:val="24"/>
          <w:szCs w:val="24"/>
        </w:rPr>
        <w:t xml:space="preserve">operačního </w:t>
      </w:r>
      <w:r>
        <w:rPr>
          <w:rFonts w:asciiTheme="minorHAnsi" w:hAnsiTheme="minorHAnsi" w:cstheme="minorHAnsi"/>
          <w:color w:val="FF0000"/>
          <w:sz w:val="24"/>
          <w:szCs w:val="24"/>
        </w:rPr>
        <w:t xml:space="preserve">programu. </w:t>
      </w:r>
    </w:p>
    <w:p w:rsidR="00A72DFD" w:rsidRDefault="00A72DFD" w:rsidP="00BF3FE5">
      <w:pPr>
        <w:rPr>
          <w:rFonts w:asciiTheme="minorHAnsi" w:hAnsiTheme="minorHAnsi" w:cstheme="minorHAnsi"/>
          <w:b/>
          <w:sz w:val="24"/>
          <w:szCs w:val="24"/>
          <w:highlight w:val="yellow"/>
        </w:rPr>
      </w:pPr>
    </w:p>
    <w:p w:rsidR="00A72DFD" w:rsidRDefault="00A72DFD" w:rsidP="00BF3FE5">
      <w:pPr>
        <w:rPr>
          <w:rFonts w:asciiTheme="minorHAnsi" w:hAnsiTheme="minorHAnsi" w:cstheme="minorHAnsi"/>
          <w:b/>
          <w:sz w:val="24"/>
          <w:szCs w:val="24"/>
          <w:highlight w:val="yellow"/>
        </w:rPr>
        <w:sectPr w:rsidR="00A72DFD" w:rsidSect="00F258CA">
          <w:headerReference w:type="default" r:id="rId41"/>
          <w:footerReference w:type="default" r:id="rId42"/>
          <w:pgSz w:w="11906" w:h="16838"/>
          <w:pgMar w:top="1418" w:right="1276" w:bottom="1276" w:left="1418" w:header="709" w:footer="709" w:gutter="0"/>
          <w:cols w:space="708"/>
          <w:docGrid w:linePitch="272"/>
        </w:sectPr>
      </w:pPr>
    </w:p>
    <w:p w:rsidR="00BF3FE5" w:rsidRPr="004B5801" w:rsidRDefault="00BF3FE5" w:rsidP="00BF3FE5">
      <w:pPr>
        <w:rPr>
          <w:rFonts w:asciiTheme="minorHAnsi" w:hAnsiTheme="minorHAnsi" w:cstheme="minorHAnsi"/>
          <w:b/>
          <w:sz w:val="24"/>
          <w:szCs w:val="24"/>
        </w:rPr>
      </w:pPr>
      <w:r w:rsidRPr="00285DCF">
        <w:rPr>
          <w:rFonts w:asciiTheme="minorHAnsi" w:hAnsiTheme="minorHAnsi" w:cstheme="minorHAnsi"/>
          <w:b/>
          <w:sz w:val="24"/>
          <w:szCs w:val="24"/>
        </w:rPr>
        <w:lastRenderedPageBreak/>
        <w:t>Tabulka</w:t>
      </w:r>
      <w:r w:rsidR="002B0AB9" w:rsidRPr="00285DCF">
        <w:rPr>
          <w:rFonts w:asciiTheme="minorHAnsi" w:hAnsiTheme="minorHAnsi" w:cstheme="minorHAnsi"/>
          <w:b/>
          <w:sz w:val="24"/>
          <w:szCs w:val="24"/>
        </w:rPr>
        <w:t xml:space="preserve"> xx</w:t>
      </w:r>
      <w:r w:rsidRPr="00285DCF">
        <w:rPr>
          <w:rFonts w:asciiTheme="minorHAnsi" w:hAnsiTheme="minorHAnsi" w:cstheme="minorHAnsi"/>
          <w:b/>
          <w:sz w:val="24"/>
          <w:szCs w:val="24"/>
        </w:rPr>
        <w:t>: Vymezení p</w:t>
      </w:r>
      <w:r w:rsidRPr="004B5801">
        <w:rPr>
          <w:rFonts w:asciiTheme="minorHAnsi" w:hAnsiTheme="minorHAnsi" w:cstheme="minorHAnsi"/>
          <w:b/>
          <w:sz w:val="24"/>
          <w:szCs w:val="24"/>
        </w:rPr>
        <w:t>říslušných předběžných podmínek a jejich plnění</w:t>
      </w:r>
    </w:p>
    <w:p w:rsidR="00BF3FE5" w:rsidRPr="002B0AB9" w:rsidRDefault="00BF3FE5" w:rsidP="00821D0D">
      <w:pPr>
        <w:spacing w:after="120"/>
        <w:rPr>
          <w:rFonts w:asciiTheme="minorHAnsi" w:hAnsiTheme="minorHAnsi" w:cstheme="minorHAnsi"/>
          <w:color w:val="FF0000"/>
          <w:sz w:val="24"/>
          <w:szCs w:val="24"/>
        </w:rPr>
      </w:pPr>
      <w:r w:rsidRPr="002B0AB9">
        <w:rPr>
          <w:rFonts w:asciiTheme="minorHAnsi" w:hAnsiTheme="minorHAnsi" w:cstheme="minorHAnsi"/>
          <w:color w:val="FF0000"/>
          <w:sz w:val="24"/>
          <w:szCs w:val="24"/>
        </w:rPr>
        <w:t>(viz Table 25 Template)</w:t>
      </w:r>
    </w:p>
    <w:p w:rsidR="009C7603" w:rsidRDefault="009C7603">
      <w:pPr>
        <w:overflowPunct/>
        <w:autoSpaceDE/>
        <w:autoSpaceDN/>
        <w:adjustRightInd/>
        <w:textAlignment w:val="auto"/>
      </w:pPr>
    </w:p>
    <w:tbl>
      <w:tblPr>
        <w:tblW w:w="14180" w:type="dxa"/>
        <w:tblInd w:w="55" w:type="dxa"/>
        <w:tblCellMar>
          <w:left w:w="70" w:type="dxa"/>
          <w:right w:w="70" w:type="dxa"/>
        </w:tblCellMar>
        <w:tblLook w:val="04A0"/>
      </w:tblPr>
      <w:tblGrid>
        <w:gridCol w:w="2306"/>
        <w:gridCol w:w="1689"/>
        <w:gridCol w:w="1111"/>
        <w:gridCol w:w="2592"/>
        <w:gridCol w:w="1439"/>
        <w:gridCol w:w="1672"/>
        <w:gridCol w:w="3371"/>
      </w:tblGrid>
      <w:tr w:rsidR="00465E51" w:rsidRPr="00465E51" w:rsidTr="00465E51">
        <w:trPr>
          <w:trHeight w:val="1500"/>
        </w:trPr>
        <w:tc>
          <w:tcPr>
            <w:tcW w:w="2351" w:type="dxa"/>
            <w:tcBorders>
              <w:top w:val="single" w:sz="8" w:space="0" w:color="auto"/>
              <w:left w:val="single" w:sz="8" w:space="0" w:color="auto"/>
              <w:bottom w:val="nil"/>
              <w:right w:val="single" w:sz="4" w:space="0" w:color="auto"/>
            </w:tcBorders>
            <w:shd w:val="clear" w:color="000000" w:fill="B8CCE4"/>
            <w:vAlign w:val="center"/>
            <w:hideMark/>
          </w:tcPr>
          <w:p w:rsidR="00465E51" w:rsidRPr="00465E51" w:rsidRDefault="00465E51" w:rsidP="00465E51">
            <w:pPr>
              <w:overflowPunct/>
              <w:autoSpaceDE/>
              <w:autoSpaceDN/>
              <w:adjustRightInd/>
              <w:jc w:val="center"/>
              <w:textAlignment w:val="auto"/>
              <w:rPr>
                <w:rFonts w:ascii="Calibri" w:hAnsi="Calibri" w:cs="Calibri"/>
                <w:b/>
                <w:bCs/>
                <w:color w:val="000000"/>
                <w:sz w:val="22"/>
                <w:szCs w:val="22"/>
              </w:rPr>
            </w:pPr>
            <w:r w:rsidRPr="00465E51">
              <w:rPr>
                <w:rFonts w:ascii="Calibri" w:hAnsi="Calibri" w:cs="Calibri"/>
                <w:b/>
                <w:bCs/>
                <w:color w:val="000000"/>
                <w:sz w:val="22"/>
                <w:szCs w:val="22"/>
              </w:rPr>
              <w:t>Předběžná podmínka</w:t>
            </w:r>
          </w:p>
        </w:tc>
        <w:tc>
          <w:tcPr>
            <w:tcW w:w="1651" w:type="dxa"/>
            <w:tcBorders>
              <w:top w:val="single" w:sz="8" w:space="0" w:color="auto"/>
              <w:left w:val="nil"/>
              <w:bottom w:val="nil"/>
              <w:right w:val="nil"/>
            </w:tcBorders>
            <w:shd w:val="clear" w:color="000000" w:fill="B8CCE4"/>
            <w:vAlign w:val="center"/>
            <w:hideMark/>
          </w:tcPr>
          <w:p w:rsidR="00465E51" w:rsidRPr="00465E51" w:rsidRDefault="00465E51" w:rsidP="00465E51">
            <w:pPr>
              <w:overflowPunct/>
              <w:autoSpaceDE/>
              <w:autoSpaceDN/>
              <w:adjustRightInd/>
              <w:jc w:val="center"/>
              <w:textAlignment w:val="auto"/>
              <w:rPr>
                <w:rFonts w:ascii="Calibri" w:hAnsi="Calibri" w:cs="Calibri"/>
                <w:b/>
                <w:bCs/>
                <w:color w:val="000000"/>
                <w:sz w:val="22"/>
                <w:szCs w:val="22"/>
              </w:rPr>
            </w:pPr>
            <w:r w:rsidRPr="00465E51">
              <w:rPr>
                <w:rFonts w:ascii="Calibri" w:hAnsi="Calibri" w:cs="Calibri"/>
                <w:b/>
                <w:bCs/>
                <w:color w:val="000000"/>
                <w:sz w:val="22"/>
                <w:szCs w:val="22"/>
              </w:rPr>
              <w:t>Prioritní osa nebo osy, ke kterým se podmínka vztahuje</w:t>
            </w:r>
          </w:p>
        </w:tc>
        <w:tc>
          <w:tcPr>
            <w:tcW w:w="1001" w:type="dxa"/>
            <w:tcBorders>
              <w:top w:val="single" w:sz="8" w:space="0" w:color="auto"/>
              <w:left w:val="single" w:sz="4" w:space="0" w:color="auto"/>
              <w:bottom w:val="nil"/>
              <w:right w:val="double" w:sz="6" w:space="0" w:color="auto"/>
            </w:tcBorders>
            <w:shd w:val="clear" w:color="000000" w:fill="B8CCE4"/>
            <w:vAlign w:val="center"/>
            <w:hideMark/>
          </w:tcPr>
          <w:p w:rsidR="00465E51" w:rsidRPr="00465E51" w:rsidRDefault="00465E51" w:rsidP="00465E51">
            <w:pPr>
              <w:overflowPunct/>
              <w:autoSpaceDE/>
              <w:autoSpaceDN/>
              <w:adjustRightInd/>
              <w:jc w:val="center"/>
              <w:textAlignment w:val="auto"/>
              <w:rPr>
                <w:rFonts w:ascii="Calibri" w:hAnsi="Calibri" w:cs="Calibri"/>
                <w:b/>
                <w:bCs/>
                <w:sz w:val="22"/>
                <w:szCs w:val="22"/>
              </w:rPr>
            </w:pPr>
            <w:r w:rsidRPr="00465E51">
              <w:rPr>
                <w:rFonts w:ascii="Calibri" w:hAnsi="Calibri" w:cs="Calibri"/>
                <w:b/>
                <w:bCs/>
                <w:sz w:val="22"/>
                <w:szCs w:val="22"/>
              </w:rPr>
              <w:t>Splnění předběžné podmínky (ano/ne /částečně)</w:t>
            </w:r>
          </w:p>
        </w:tc>
        <w:tc>
          <w:tcPr>
            <w:tcW w:w="2665" w:type="dxa"/>
            <w:tcBorders>
              <w:top w:val="single" w:sz="8" w:space="0" w:color="auto"/>
              <w:left w:val="nil"/>
              <w:bottom w:val="nil"/>
              <w:right w:val="single" w:sz="4" w:space="0" w:color="auto"/>
            </w:tcBorders>
            <w:shd w:val="clear" w:color="000000" w:fill="B8CCE4"/>
            <w:vAlign w:val="center"/>
            <w:hideMark/>
          </w:tcPr>
          <w:p w:rsidR="00465E51" w:rsidRPr="00465E51" w:rsidRDefault="00465E51" w:rsidP="00465E51">
            <w:pPr>
              <w:overflowPunct/>
              <w:autoSpaceDE/>
              <w:autoSpaceDN/>
              <w:adjustRightInd/>
              <w:jc w:val="center"/>
              <w:textAlignment w:val="auto"/>
              <w:rPr>
                <w:rFonts w:ascii="Calibri" w:hAnsi="Calibri" w:cs="Calibri"/>
                <w:b/>
                <w:bCs/>
                <w:color w:val="000000"/>
                <w:sz w:val="22"/>
                <w:szCs w:val="22"/>
              </w:rPr>
            </w:pPr>
            <w:r w:rsidRPr="00465E51">
              <w:rPr>
                <w:rFonts w:ascii="Calibri" w:hAnsi="Calibri" w:cs="Calibri"/>
                <w:b/>
                <w:bCs/>
                <w:color w:val="000000"/>
                <w:sz w:val="22"/>
                <w:szCs w:val="22"/>
              </w:rPr>
              <w:t>Kritéria splnění</w:t>
            </w:r>
          </w:p>
        </w:tc>
        <w:tc>
          <w:tcPr>
            <w:tcW w:w="1329" w:type="dxa"/>
            <w:tcBorders>
              <w:top w:val="single" w:sz="8" w:space="0" w:color="auto"/>
              <w:left w:val="nil"/>
              <w:bottom w:val="nil"/>
              <w:right w:val="double" w:sz="6" w:space="0" w:color="auto"/>
            </w:tcBorders>
            <w:shd w:val="clear" w:color="000000" w:fill="B8CCE4"/>
            <w:vAlign w:val="center"/>
            <w:hideMark/>
          </w:tcPr>
          <w:p w:rsidR="00465E51" w:rsidRPr="00465E51" w:rsidRDefault="00465E51" w:rsidP="00465E51">
            <w:pPr>
              <w:overflowPunct/>
              <w:autoSpaceDE/>
              <w:autoSpaceDN/>
              <w:adjustRightInd/>
              <w:jc w:val="center"/>
              <w:textAlignment w:val="auto"/>
              <w:rPr>
                <w:rFonts w:ascii="Calibri" w:hAnsi="Calibri" w:cs="Calibri"/>
                <w:b/>
                <w:bCs/>
                <w:color w:val="000000"/>
                <w:sz w:val="22"/>
                <w:szCs w:val="22"/>
              </w:rPr>
            </w:pPr>
            <w:r w:rsidRPr="00465E51">
              <w:rPr>
                <w:rFonts w:ascii="Calibri" w:hAnsi="Calibri" w:cs="Calibri"/>
                <w:b/>
                <w:bCs/>
                <w:color w:val="000000"/>
                <w:sz w:val="22"/>
                <w:szCs w:val="22"/>
              </w:rPr>
              <w:t>Splnění kritéria (ano / ne)</w:t>
            </w:r>
          </w:p>
        </w:tc>
        <w:tc>
          <w:tcPr>
            <w:tcW w:w="1693" w:type="dxa"/>
            <w:tcBorders>
              <w:top w:val="single" w:sz="8" w:space="0" w:color="auto"/>
              <w:left w:val="nil"/>
              <w:bottom w:val="nil"/>
              <w:right w:val="double" w:sz="6" w:space="0" w:color="auto"/>
            </w:tcBorders>
            <w:shd w:val="clear" w:color="000000" w:fill="B8CCE4"/>
            <w:vAlign w:val="center"/>
            <w:hideMark/>
          </w:tcPr>
          <w:p w:rsidR="00465E51" w:rsidRPr="00465E51" w:rsidRDefault="00465E51" w:rsidP="00465E51">
            <w:pPr>
              <w:overflowPunct/>
              <w:autoSpaceDE/>
              <w:autoSpaceDN/>
              <w:adjustRightInd/>
              <w:jc w:val="center"/>
              <w:textAlignment w:val="auto"/>
              <w:rPr>
                <w:rFonts w:ascii="Calibri" w:hAnsi="Calibri" w:cs="Calibri"/>
                <w:b/>
                <w:bCs/>
                <w:color w:val="000000"/>
                <w:sz w:val="22"/>
                <w:szCs w:val="22"/>
              </w:rPr>
            </w:pPr>
            <w:bookmarkStart w:id="157" w:name="RANGE!G3"/>
            <w:r w:rsidRPr="00465E51">
              <w:rPr>
                <w:rFonts w:ascii="Calibri" w:hAnsi="Calibri" w:cs="Calibri"/>
                <w:b/>
                <w:bCs/>
                <w:color w:val="000000"/>
                <w:sz w:val="22"/>
                <w:szCs w:val="22"/>
              </w:rPr>
              <w:t>Odkazy (u splněných podmínek)</w:t>
            </w:r>
            <w:bookmarkEnd w:id="157"/>
          </w:p>
        </w:tc>
        <w:tc>
          <w:tcPr>
            <w:tcW w:w="3490" w:type="dxa"/>
            <w:tcBorders>
              <w:top w:val="single" w:sz="8" w:space="0" w:color="auto"/>
              <w:left w:val="nil"/>
              <w:bottom w:val="nil"/>
              <w:right w:val="single" w:sz="8" w:space="0" w:color="auto"/>
            </w:tcBorders>
            <w:shd w:val="clear" w:color="000000" w:fill="B8CCE4"/>
            <w:vAlign w:val="center"/>
            <w:hideMark/>
          </w:tcPr>
          <w:p w:rsidR="00465E51" w:rsidRPr="00465E51" w:rsidRDefault="00465E51" w:rsidP="00465E51">
            <w:pPr>
              <w:overflowPunct/>
              <w:autoSpaceDE/>
              <w:autoSpaceDN/>
              <w:adjustRightInd/>
              <w:jc w:val="center"/>
              <w:textAlignment w:val="auto"/>
              <w:rPr>
                <w:rFonts w:ascii="Calibri" w:hAnsi="Calibri" w:cs="Calibri"/>
                <w:b/>
                <w:bCs/>
                <w:color w:val="000000"/>
                <w:sz w:val="22"/>
                <w:szCs w:val="22"/>
              </w:rPr>
            </w:pPr>
            <w:r w:rsidRPr="00465E51">
              <w:rPr>
                <w:rFonts w:ascii="Calibri" w:hAnsi="Calibri" w:cs="Calibri"/>
                <w:b/>
                <w:bCs/>
                <w:color w:val="000000"/>
                <w:sz w:val="22"/>
                <w:szCs w:val="22"/>
              </w:rPr>
              <w:t>Vysvětlení (tam, kde je to vhodné)</w:t>
            </w:r>
          </w:p>
        </w:tc>
      </w:tr>
      <w:tr w:rsidR="00465E51" w:rsidRPr="00465E51" w:rsidTr="00465E51">
        <w:trPr>
          <w:trHeight w:val="5355"/>
        </w:trPr>
        <w:tc>
          <w:tcPr>
            <w:tcW w:w="2351"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xml:space="preserve">1.1. Výzkum a inovace: Existence národního nebo regionálního výzkumného a inovačního strategického rámce politik pro inteligentní specializaci v souladu s národním programem reforem na podporu soukromých výdajů na výzkum a inovace. </w:t>
            </w:r>
          </w:p>
        </w:tc>
        <w:tc>
          <w:tcPr>
            <w:tcW w:w="1651" w:type="dxa"/>
            <w:vMerge w:val="restart"/>
            <w:tcBorders>
              <w:top w:val="single" w:sz="8" w:space="0" w:color="auto"/>
              <w:left w:val="single" w:sz="4"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xml:space="preserve">PO 1 - Rozvoj podnikání založený na podpoře výzkumu, vývoje a inovací </w:t>
            </w:r>
          </w:p>
        </w:tc>
        <w:tc>
          <w:tcPr>
            <w:tcW w:w="1001" w:type="dxa"/>
            <w:vMerge w:val="restart"/>
            <w:tcBorders>
              <w:top w:val="single" w:sz="8" w:space="0" w:color="auto"/>
              <w:left w:val="single" w:sz="4" w:space="0" w:color="auto"/>
              <w:bottom w:val="single" w:sz="4" w:space="0" w:color="000000"/>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2665" w:type="dxa"/>
            <w:tcBorders>
              <w:top w:val="single" w:sz="8" w:space="0" w:color="auto"/>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Je k dispozici vnitrostátní nebo regionální strategický rámec výzkumné a inovační politiky pro inteligentní specializaci, která:</w:t>
            </w:r>
          </w:p>
        </w:tc>
        <w:tc>
          <w:tcPr>
            <w:tcW w:w="1329" w:type="dxa"/>
            <w:tcBorders>
              <w:top w:val="single" w:sz="8" w:space="0" w:color="auto"/>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1693" w:type="dxa"/>
            <w:tcBorders>
              <w:top w:val="single" w:sz="8" w:space="0" w:color="auto"/>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single" w:sz="8" w:space="0" w:color="auto"/>
              <w:left w:val="nil"/>
              <w:bottom w:val="single" w:sz="4" w:space="0" w:color="auto"/>
              <w:right w:val="single" w:sz="8" w:space="0" w:color="auto"/>
            </w:tcBorders>
            <w:shd w:val="clear" w:color="000000" w:fill="F2F2F2"/>
            <w:vAlign w:val="center"/>
            <w:hideMark/>
          </w:tcPr>
          <w:p w:rsidR="00465E51" w:rsidRPr="00465E51" w:rsidRDefault="00465E51" w:rsidP="00A55FB8">
            <w:pPr>
              <w:overflowPunct/>
              <w:autoSpaceDE/>
              <w:autoSpaceDN/>
              <w:adjustRightInd/>
              <w:jc w:val="center"/>
              <w:textAlignment w:val="auto"/>
              <w:rPr>
                <w:rFonts w:ascii="Calibri" w:hAnsi="Calibri" w:cs="Calibri"/>
              </w:rPr>
            </w:pPr>
            <w:r w:rsidRPr="00465E51">
              <w:rPr>
                <w:rFonts w:ascii="Calibri" w:hAnsi="Calibri" w:cs="Calibri"/>
              </w:rPr>
              <w:t xml:space="preserve">SMK schválena vládou v roce 2011; </w:t>
            </w:r>
            <w:r w:rsidRPr="00465E51">
              <w:rPr>
                <w:rFonts w:ascii="Calibri" w:hAnsi="Calibri" w:cs="Calibri"/>
              </w:rPr>
              <w:br/>
              <w:t>Národní inovační strategie schválena vládou v roce 2011, navazuje na SMK v oblasti inovací, konkretizuje některá opatření</w:t>
            </w:r>
            <w:r w:rsidR="00A55FB8">
              <w:rPr>
                <w:rFonts w:ascii="Calibri" w:hAnsi="Calibri" w:cs="Calibri"/>
              </w:rPr>
              <w:t xml:space="preserve"> </w:t>
            </w:r>
            <w:r w:rsidRPr="00465E51">
              <w:rPr>
                <w:rFonts w:ascii="Calibri" w:hAnsi="Calibri" w:cs="Calibri"/>
              </w:rPr>
              <w:t>MPO nepřísluší hodnocení RIS                                                                                                       V březnu 2012 byl vládou schválen mechanismus implementace SMK stanovující parametry, pravidla a gesce jednotlivých resortů.                                          Koncepce podpory malých a středních podnikatelů 2014-2020 schválena vládou v prosinci 2012 má ve své strategické prioritě "Rozvoj podnikání založeného na podpoře výzkumu, vývoje a inovací, včetně inovační a podnikatelské infrastruktury" vazbu na tuto oblast.</w:t>
            </w:r>
            <w:r w:rsidRPr="00465E51">
              <w:rPr>
                <w:rFonts w:ascii="Calibri" w:hAnsi="Calibri" w:cs="Calibri"/>
                <w:b/>
                <w:bCs/>
              </w:rPr>
              <w:t xml:space="preserve"> Ex-ante kondicionalita 1.1 je v koordinaci MŠMT, výše uvedené strategie jsou pouze doplňující bez zohlednění regionálního rozměru.</w:t>
            </w:r>
          </w:p>
        </w:tc>
      </w:tr>
      <w:tr w:rsidR="00465E51" w:rsidRPr="00465E51" w:rsidTr="00465E51">
        <w:trPr>
          <w:trHeight w:val="1530"/>
        </w:trPr>
        <w:tc>
          <w:tcPr>
            <w:tcW w:w="2351" w:type="dxa"/>
            <w:vMerge/>
            <w:tcBorders>
              <w:top w:val="single" w:sz="8" w:space="0" w:color="auto"/>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single" w:sz="8" w:space="0" w:color="auto"/>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single" w:sz="8" w:space="0" w:color="auto"/>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je založena na SWOT nebo podobné analýze s cílem soustředit zdroje na omezený soubor priorit v oblasti výzkumu a inovací,</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NP VaVaI, SMK i NIS jsou založené na podrobných analytických podkladech. </w:t>
            </w:r>
            <w:r w:rsidRPr="00465E51">
              <w:rPr>
                <w:rFonts w:ascii="Calibri" w:hAnsi="Calibri" w:cs="Calibri"/>
                <w:b/>
                <w:bCs/>
              </w:rPr>
              <w:t xml:space="preserve"> Ex-ante kondicionalita 1.1 je v koordinaci MŠMT, ostatní uvedené strategie jsou pouze doplňující bez zohlednění regionálního rozměru.</w:t>
            </w:r>
          </w:p>
        </w:tc>
      </w:tr>
      <w:tr w:rsidR="00465E51" w:rsidRPr="00465E51" w:rsidTr="00465E51">
        <w:trPr>
          <w:trHeight w:val="1275"/>
        </w:trPr>
        <w:tc>
          <w:tcPr>
            <w:tcW w:w="2351" w:type="dxa"/>
            <w:vMerge/>
            <w:tcBorders>
              <w:top w:val="single" w:sz="8" w:space="0" w:color="auto"/>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single" w:sz="8" w:space="0" w:color="auto"/>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single" w:sz="8" w:space="0" w:color="auto"/>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nastiňuje opatření na podporu soukromých investic v oblasti výzkumu a technického rozvoje,</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SMK, NIS i NP VaVaI tuto problematiku akcentují.  </w:t>
            </w:r>
            <w:r w:rsidRPr="00465E51">
              <w:rPr>
                <w:rFonts w:ascii="Calibri" w:hAnsi="Calibri" w:cs="Calibri"/>
                <w:b/>
                <w:bCs/>
              </w:rPr>
              <w:t>Ex-ante kondicionalita 1.1 je v koordinaci MŠMT, ostatní uvedené strategie jsou pouze doplňující bez zohlednění regionálního rozměru.</w:t>
            </w:r>
          </w:p>
        </w:tc>
      </w:tr>
      <w:tr w:rsidR="00465E51" w:rsidRPr="00465E51" w:rsidTr="00465E51">
        <w:trPr>
          <w:trHeight w:val="1275"/>
        </w:trPr>
        <w:tc>
          <w:tcPr>
            <w:tcW w:w="2351" w:type="dxa"/>
            <w:vMerge/>
            <w:tcBorders>
              <w:top w:val="single" w:sz="8" w:space="0" w:color="auto"/>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single" w:sz="8" w:space="0" w:color="auto"/>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single" w:sz="8" w:space="0" w:color="auto"/>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•obsahuje systém monitorování.</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NPVaVaI má vlastní cíle a aktivity. </w:t>
            </w:r>
            <w:r w:rsidRPr="00465E51">
              <w:rPr>
                <w:rFonts w:ascii="Calibri" w:hAnsi="Calibri" w:cs="Calibri"/>
                <w:b/>
                <w:bCs/>
              </w:rPr>
              <w:t>Ex-ante kondicionalita 1.1 je v koordinaci MŠMT, ostatní uvedené strategie jsou pouze doplňující bez zohlednění regionálního rozměru.</w:t>
            </w:r>
          </w:p>
        </w:tc>
      </w:tr>
      <w:tr w:rsidR="00465E51" w:rsidRPr="00465E51" w:rsidTr="00465E51">
        <w:trPr>
          <w:trHeight w:val="2295"/>
        </w:trPr>
        <w:tc>
          <w:tcPr>
            <w:tcW w:w="2351" w:type="dxa"/>
            <w:vMerge/>
            <w:tcBorders>
              <w:top w:val="single" w:sz="8" w:space="0" w:color="auto"/>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single" w:sz="8" w:space="0" w:color="auto"/>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single" w:sz="8" w:space="0" w:color="auto"/>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Byl přijat rámec, který vymezuje dostupné rozpočtové zdroje pro výzkum a inovace.</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strike/>
              </w:rPr>
              <w:t>NPVaVaI má vlastní cíle a aktivity.</w:t>
            </w:r>
            <w:r w:rsidRPr="00465E51">
              <w:rPr>
                <w:rFonts w:ascii="Calibri" w:hAnsi="Calibri" w:cs="Calibri"/>
                <w:b/>
                <w:bCs/>
              </w:rPr>
              <w:t xml:space="preserve"> Obecný rámec pro vymezení dostupných rozpočtových zdrojů a priorit pro financování VaVaI obsahuje NP VaVaI. Z ní vychází principy pro přípravu rozpočtu na VaVaI a následně vlastní návrh a střednědobý výhled rozpočtu na VaVaI, zpracovávaný Radou pro výzkum, vývoj a inovace.</w:t>
            </w:r>
          </w:p>
        </w:tc>
      </w:tr>
      <w:tr w:rsidR="00465E51" w:rsidRPr="00465E51" w:rsidTr="00465E51">
        <w:trPr>
          <w:trHeight w:val="2040"/>
        </w:trPr>
        <w:tc>
          <w:tcPr>
            <w:tcW w:w="2351" w:type="dxa"/>
            <w:tcBorders>
              <w:top w:val="nil"/>
              <w:left w:val="single" w:sz="8" w:space="0" w:color="auto"/>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lastRenderedPageBreak/>
              <w:t xml:space="preserve">1.2. Existence víceletého plánu finančního plánování a prioritizace investic. </w:t>
            </w:r>
          </w:p>
        </w:tc>
        <w:tc>
          <w:tcPr>
            <w:tcW w:w="1651" w:type="dxa"/>
            <w:tcBorders>
              <w:top w:val="nil"/>
              <w:left w:val="nil"/>
              <w:bottom w:val="single" w:sz="4" w:space="0" w:color="auto"/>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xml:space="preserve">PO 1 - Rozvoj podnikání založený na podpoře výzkumu, vývoje a inovací </w:t>
            </w:r>
          </w:p>
        </w:tc>
        <w:tc>
          <w:tcPr>
            <w:tcW w:w="1001" w:type="dxa"/>
            <w:tcBorders>
              <w:top w:val="nil"/>
              <w:left w:val="single" w:sz="4" w:space="0" w:color="auto"/>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Byl přijat orientační víceletý plán pro sestavování rozpočtu a stanovování pořadí důležitosti investic souvisejících s prioritami EU a případně Evropského strategického fóra pro výzkumné infrastruktury – ESFRI.</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Víceletý plán rozpočtování je přijímán Radou pro VaVaI v rámci provádění zákona o státním rozpočtu (střednědobý výhled na další 2 roky). Nové priority výzkumu, experimentálního vývoje a inovací jsou v současnosti připravovány v Radě pro VaVaI. Co se týče projektů ESFRI, spadají do kompetence MŠMT.</w:t>
            </w:r>
          </w:p>
        </w:tc>
      </w:tr>
      <w:tr w:rsidR="00465E51" w:rsidRPr="00465E51" w:rsidTr="00465E51">
        <w:trPr>
          <w:trHeight w:val="2805"/>
        </w:trPr>
        <w:tc>
          <w:tcPr>
            <w:tcW w:w="2351" w:type="dxa"/>
            <w:vMerge w:val="restart"/>
            <w:tcBorders>
              <w:top w:val="nil"/>
              <w:left w:val="single" w:sz="8"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2.1: Digitální růst: Strategický rámec politiky pro digitální růst, jež má stimulovat poptávku po cenově dostupných, kvalitních a interoperabilních soukromých a veřejných službách v oblasti IKT a zvýšit míru jejich využívání občany, včetně zranitelných skupin, podniky a orgány veřejné správy včetně přeshraničních iniciativ</w:t>
            </w:r>
          </w:p>
        </w:tc>
        <w:tc>
          <w:tcPr>
            <w:tcW w:w="1651" w:type="dxa"/>
            <w:vMerge w:val="restart"/>
            <w:tcBorders>
              <w:top w:val="nil"/>
              <w:left w:val="single" w:sz="4"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PO 4 - Rozvoj vysokorychlostních přístupových sítí k internetu a informačních a komunikačních technologií</w:t>
            </w:r>
          </w:p>
        </w:tc>
        <w:tc>
          <w:tcPr>
            <w:tcW w:w="1001" w:type="dxa"/>
            <w:vMerge w:val="restart"/>
            <w:tcBorders>
              <w:top w:val="nil"/>
              <w:left w:val="single" w:sz="4" w:space="0" w:color="auto"/>
              <w:bottom w:val="single" w:sz="4" w:space="0" w:color="000000"/>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Je k dispozici strategický rámec politiky pro digitální růst, například v rámci vnitrostátního nebo regionálního strategického rámce inovační politiky pro inteligentní specializaci, který obsahuje:</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bookmarkStart w:id="158" w:name="RANGE!G10"/>
            <w:r w:rsidRPr="00465E51">
              <w:rPr>
                <w:rFonts w:ascii="Calibri" w:hAnsi="Calibri" w:cs="Calibri"/>
              </w:rPr>
              <w:t> </w:t>
            </w:r>
            <w:bookmarkEnd w:id="158"/>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Opatření jsou obsažena v dokumentu </w:t>
            </w:r>
            <w:r w:rsidRPr="00465E51">
              <w:rPr>
                <w:rFonts w:ascii="Calibri" w:hAnsi="Calibri" w:cs="Calibri"/>
              </w:rPr>
              <w:br/>
              <w:t>1. Státní politika v elektronických komunikacích - Digitální Česko, která je schválená vládou,</w:t>
            </w:r>
            <w:r w:rsidRPr="00465E51">
              <w:rPr>
                <w:rFonts w:ascii="Calibri" w:hAnsi="Calibri" w:cs="Calibri"/>
              </w:rPr>
              <w:br/>
              <w:t>2."Digitální Česko v. 2.0 - Cesta k digitální ekono</w:t>
            </w:r>
            <w:r w:rsidR="001028DE">
              <w:rPr>
                <w:rFonts w:ascii="Calibri" w:hAnsi="Calibri" w:cs="Calibri"/>
              </w:rPr>
              <w:t>mice", který je schválen vládou</w:t>
            </w:r>
            <w:r w:rsidRPr="00465E51">
              <w:rPr>
                <w:rFonts w:ascii="Calibri" w:hAnsi="Calibri" w:cs="Calibri"/>
              </w:rPr>
              <w:t>,</w:t>
            </w:r>
            <w:r w:rsidRPr="00465E51">
              <w:rPr>
                <w:rFonts w:ascii="Calibri" w:hAnsi="Calibri" w:cs="Calibri"/>
              </w:rPr>
              <w:br/>
              <w:t>3. Koncepce podpory malých a středních podnikatelů na období let 2014 – 2020.</w:t>
            </w:r>
            <w:r w:rsidRPr="00465E51">
              <w:rPr>
                <w:rFonts w:ascii="Calibri" w:hAnsi="Calibri" w:cs="Calibri"/>
              </w:rPr>
              <w:br/>
              <w:t>Dále se průběžně vyhodnocuje implementace programu ICT a strategické služby.</w:t>
            </w:r>
          </w:p>
        </w:tc>
      </w:tr>
      <w:tr w:rsidR="00465E51" w:rsidRPr="00465E51" w:rsidTr="00465E51">
        <w:trPr>
          <w:trHeight w:val="2295"/>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sestavování rozpočtu a stanovování pořadí důležitosti opatření prostřednictvím SWOT nebo podobné analýzy provedené v souladu se srovnávacím přehledem Digitální agendy pro Evropu,</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Digitální Česko 2 obsahuje hlavní cíle vlády do roku 2020 v této oblasti, včetně shrnutí analýz provedených před zpracováním strategického dokumentu na základě údajů od ČTÚ a ČSÚ.</w:t>
            </w:r>
            <w:r w:rsidRPr="00465E51">
              <w:rPr>
                <w:rFonts w:ascii="Calibri" w:hAnsi="Calibri" w:cs="Calibri"/>
              </w:rPr>
              <w:br/>
              <w:t>Koncepce podpory malých a středních podnikatelů na období let 2014 – 2020 obsahuje analýzu sektoru MSP v oblasti ICT – prostředí a příležitosti MSP.</w:t>
            </w:r>
          </w:p>
        </w:tc>
      </w:tr>
      <w:tr w:rsidR="00465E51" w:rsidRPr="00465E51" w:rsidTr="00465E51">
        <w:trPr>
          <w:trHeight w:val="3060"/>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měla být provedena analýza vyváženosti podpory poptávky a nabídky informačních a komunikačních technologií (IKT),</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Stěžejním cílem Strategie Digitální Česko je redukovat „digitální propast“ v oblasti přístupu k vysokorychlostnímu internetu mezi venkovskými sídly a městy. Digitální Česko 2 obsahuje vyhodnocení stávající nabídky dostupnosti vysokorychlostního přístupu k internetu a nutnosti její podpory.</w:t>
            </w:r>
            <w:r w:rsidRPr="00465E51">
              <w:rPr>
                <w:rFonts w:ascii="Calibri" w:hAnsi="Calibri" w:cs="Calibri"/>
              </w:rPr>
              <w:br/>
              <w:t>Koncepce podpory malých a středních podnikatelů na období let 2014 – 2020 obsahuje analýzu nezbytnosti podpory ICT pro růst MSP</w:t>
            </w:r>
          </w:p>
        </w:tc>
      </w:tr>
      <w:tr w:rsidR="00465E51" w:rsidRPr="00465E51" w:rsidTr="00465E51">
        <w:trPr>
          <w:trHeight w:val="3315"/>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ukazatele umožňující měření pokroku opatření v oblastech, jako jsou počítačová gramotnost, začleňování občanů do informační společnosti, přístupnost elektronických technologií a elektronického zdravotnictví v mezích článku 168 SFEU, jež jsou v souladu s příslušnými stávajícími vnitrostátními nebo regionálními strategiemi pro jednotlivá odvětví,</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Oblast je součástí Digitálního Česka 2 v kapitole 5.6. Digitální gramotnost, elektronické dovednosti (e-skills). </w:t>
            </w:r>
            <w:r w:rsidRPr="00465E51">
              <w:rPr>
                <w:rFonts w:ascii="Calibri" w:hAnsi="Calibri" w:cs="Calibri"/>
                <w:b/>
                <w:bCs/>
              </w:rPr>
              <w:t>Nerelevantní pro MPO, neboť investiční priorita c) v rámci tematického cíle 2 nebude součástí OP PIK</w:t>
            </w:r>
          </w:p>
        </w:tc>
      </w:tr>
      <w:tr w:rsidR="00465E51" w:rsidRPr="00465E51" w:rsidTr="00465E51">
        <w:trPr>
          <w:trHeight w:val="5610"/>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posouzení potřeb zvýšit budování kapacit v oblasti IKT.</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Oblast je součástí Digitálního Česka 2:</w:t>
            </w:r>
            <w:r w:rsidRPr="00465E51">
              <w:rPr>
                <w:rFonts w:ascii="Calibri" w:hAnsi="Calibri" w:cs="Calibri"/>
              </w:rPr>
              <w:br/>
              <w:t>Opatření na podporu budování komunikační infrastruktury a dosažení účinné konkurence je třeba doplnit o širší účinné iniciativy na straně podpory poptávky, které zvýší motivovanost spotřebitelů a podnikatelů využívat komunikační služby, vytvářet nové obchodní modely a poté je začleňovat do svého každodenního života. Aktivní roli musí hrát především významné podnikatelské subjekty (zejména v oblasti audiovizuálních služeb) a stát (zejména v oblasti služeb moderní státní správy).</w:t>
            </w:r>
            <w:r w:rsidRPr="00465E51">
              <w:rPr>
                <w:rFonts w:ascii="Calibri" w:hAnsi="Calibri" w:cs="Calibri"/>
              </w:rPr>
              <w:br/>
              <w:t>Koncepce podpory malých a středních podnikatelů na období let 2014 – 2020</w:t>
            </w:r>
            <w:r w:rsidRPr="00465E51">
              <w:rPr>
                <w:rFonts w:ascii="Calibri" w:hAnsi="Calibri" w:cs="Calibri"/>
              </w:rPr>
              <w:br/>
              <w:t>Kapitola 4.9 ICT – prostředí a příležitosti pro MSP</w:t>
            </w:r>
            <w:r w:rsidRPr="00465E51">
              <w:rPr>
                <w:rFonts w:ascii="Calibri" w:hAnsi="Calibri" w:cs="Calibri"/>
              </w:rPr>
              <w:br/>
              <w:t>Stěžejní jsou rovněž každoroční údaje od ČSÚ internetová ekonomika v číslech a Informace o vývoji trhu elektronických komunikací od ČTÚ.</w:t>
            </w:r>
          </w:p>
        </w:tc>
      </w:tr>
      <w:tr w:rsidR="00465E51" w:rsidRPr="00465E51" w:rsidTr="00465E51">
        <w:trPr>
          <w:trHeight w:val="2040"/>
        </w:trPr>
        <w:tc>
          <w:tcPr>
            <w:tcW w:w="2351" w:type="dxa"/>
            <w:vMerge w:val="restart"/>
            <w:tcBorders>
              <w:top w:val="nil"/>
              <w:left w:val="single" w:sz="8"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xml:space="preserve">2.2. Infrastruktura přístupových sítí nové generace: Existence vnitrostátních nebo regionálních plánů přístupových sítí nové generace, které zohledňují regionální opatření k dosažení cílů </w:t>
            </w:r>
            <w:r w:rsidRPr="00465E51">
              <w:rPr>
                <w:rFonts w:ascii="Calibri" w:hAnsi="Calibri" w:cs="Calibri"/>
                <w:b/>
                <w:bCs/>
              </w:rPr>
              <w:lastRenderedPageBreak/>
              <w:t>EU v oblasti vysokorychlostního přístupu k internetu se zaměřením na oblasti, kde trh není schopen poskytovat otevřenou infrastrukturu za dostupnou cenu a v kvalitě v souladu s pravidly EU pro hospodářskou soutěž a státní podpory, a poskytují dostupné služby zranitelným skupinám.</w:t>
            </w:r>
          </w:p>
        </w:tc>
        <w:tc>
          <w:tcPr>
            <w:tcW w:w="1651" w:type="dxa"/>
            <w:vMerge w:val="restart"/>
            <w:tcBorders>
              <w:top w:val="nil"/>
              <w:left w:val="single" w:sz="4"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lastRenderedPageBreak/>
              <w:t>PO 4 - Rozvoj vysokorychlostních přístupových sítí k internetu a informačních a komunikačních technologií</w:t>
            </w:r>
          </w:p>
        </w:tc>
        <w:tc>
          <w:tcPr>
            <w:tcW w:w="1001" w:type="dxa"/>
            <w:vMerge w:val="restart"/>
            <w:tcBorders>
              <w:top w:val="nil"/>
              <w:left w:val="single" w:sz="4" w:space="0" w:color="auto"/>
              <w:bottom w:val="single" w:sz="4" w:space="0" w:color="000000"/>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Je vypracován vnitrostátní nebo regionální plán přístupových sítí nové generace, který obsahuje:</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Opatření jsou obsažena ve vládou schváleném dokumentu "Státní politika v elektronických komunikacích - Digitální Česko" a dokumentu "Digitální Česko v. 2.0 - Cesta k digitální ekonomice", který je schválen vládou a dále v Koncepci podpory malých a středních podnikatelů na období let 2014 – 2020.</w:t>
            </w:r>
          </w:p>
        </w:tc>
      </w:tr>
      <w:tr w:rsidR="00465E51" w:rsidRPr="00465E51" w:rsidTr="00465E51">
        <w:trPr>
          <w:trHeight w:val="1275"/>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plán investic do infrastruktury vycházející z ekonomické analýzy a zohledňující stávající infrastrukturu a zveřejněné soukromé investiční plány,</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Digitální Česko 2: Vzhledem ke komplexnosti problematiky nyní MPO vyhodnocuje výsledky veřejné konzultace k návrhu registru pasivní infrastruktury.</w:t>
            </w:r>
          </w:p>
        </w:tc>
      </w:tr>
      <w:tr w:rsidR="00465E51" w:rsidRPr="00465E51" w:rsidTr="00465E51">
        <w:trPr>
          <w:trHeight w:val="1530"/>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modely udržitelných investic, které posilují hospodářskou soutěž a zajišťují přístup k otevřeným, cenově dostupným, kvalitním a progresivním infrastrukturám a službám,</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Současné znění Státní politiky Digitální Česko předpokládá vznik materiálu pro best practice scénářů pro investice do infrastruktury.</w:t>
            </w:r>
          </w:p>
        </w:tc>
      </w:tr>
      <w:tr w:rsidR="00465E51" w:rsidRPr="00465E51" w:rsidTr="00465E51">
        <w:trPr>
          <w:trHeight w:val="2040"/>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xml:space="preserve">• opatření k podnícení soukromých investic. </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Opatření jsou obsažena ve vládou schváleném dokumentu "Státní politika v elektronických komunikacích - Digitální Česko".</w:t>
            </w:r>
            <w:r w:rsidRPr="00465E51">
              <w:rPr>
                <w:rFonts w:ascii="Calibri" w:hAnsi="Calibri" w:cs="Calibri"/>
              </w:rPr>
              <w:br/>
              <w:t>Aktualizovaná Státní politika Digitální Česko 2 obsahuje některé nástroje pro ulehčení soukromých investic do infrastruktury.</w:t>
            </w:r>
          </w:p>
        </w:tc>
      </w:tr>
      <w:tr w:rsidR="00465E51" w:rsidRPr="00465E51" w:rsidTr="00465E51">
        <w:trPr>
          <w:trHeight w:val="1275"/>
        </w:trPr>
        <w:tc>
          <w:tcPr>
            <w:tcW w:w="2351" w:type="dxa"/>
            <w:vMerge w:val="restart"/>
            <w:tcBorders>
              <w:top w:val="nil"/>
              <w:left w:val="single" w:sz="8"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3.1. Byla realizována zvláštní opatření k zesílení podporování podnikatelské činnosti v souladu se Small Business Act (SBA).</w:t>
            </w:r>
          </w:p>
        </w:tc>
        <w:tc>
          <w:tcPr>
            <w:tcW w:w="1651" w:type="dxa"/>
            <w:vMerge w:val="restart"/>
            <w:tcBorders>
              <w:top w:val="nil"/>
              <w:left w:val="single" w:sz="4"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xml:space="preserve">PO 2 - Rozvoj infrastruktury a služeb podporujících podnikání ve znalostní </w:t>
            </w:r>
            <w:r w:rsidRPr="00465E51">
              <w:rPr>
                <w:rFonts w:ascii="Calibri" w:hAnsi="Calibri" w:cs="Calibri"/>
              </w:rPr>
              <w:lastRenderedPageBreak/>
              <w:t>ekonomice a internacionalizace podnikání</w:t>
            </w:r>
          </w:p>
        </w:tc>
        <w:tc>
          <w:tcPr>
            <w:tcW w:w="1001" w:type="dxa"/>
            <w:vMerge w:val="restart"/>
            <w:tcBorders>
              <w:top w:val="nil"/>
              <w:left w:val="single" w:sz="4" w:space="0" w:color="auto"/>
              <w:bottom w:val="single" w:sz="4" w:space="0" w:color="000000"/>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lastRenderedPageBreak/>
              <w:t>ne</w:t>
            </w: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t>Zvláštní opatření jsou:</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ne</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NPR a SMK schváleny vládou v r. 2011. NPR neřeší přímo otázku Small Business Act. SMK implementaci opatření vedoucích k naplnění Small Business Act uvádí v projektovém záměru 36. </w:t>
            </w:r>
          </w:p>
        </w:tc>
      </w:tr>
      <w:tr w:rsidR="00465E51" w:rsidRPr="00465E51" w:rsidTr="00465E51">
        <w:trPr>
          <w:trHeight w:val="3315"/>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kontrolní mechanismus, který má zajistit provádění SBA, včetně orgánu zodpovědného za koordinaci záležitostí malých a středních podniků na různých úrovních veřejné správy („zmocněnec pro MSP“),</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Implementaci SBA v ČR monitoruje odbor /61300/ inovačního podnikání a investic MPO, který má obecnou gesci za SBA v ČR a při realizaci konkrétních opatření spolupracuje s dalšími věcně příslušnými útvary MPO a dalšími resorty. Implementace nejdůležitějších konkrétních opatření SBA v působnosti MPO je posuzována s podnikatelskou sférou v rámci existujících mechanismů (např. Podnikatelská rada aj.). V roce 2011 byla v ČR zřízena funkce národního zmocněnce pro MSP.</w:t>
            </w:r>
          </w:p>
        </w:tc>
      </w:tr>
      <w:tr w:rsidR="00465E51" w:rsidRPr="00465E51" w:rsidTr="00465E51">
        <w:trPr>
          <w:trHeight w:val="2550"/>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opatření zaměřená na snížení nákladů a zkrácení doby potřebných pro založení podniku,</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SMK schválena vládou v r. 2011. Pro oblast živnostenského podnikání - zákonem č. 130/2008 Sb. došlo ke snížení nákladů na vstup do živnostenského podnikání a zkrátila se doba pro vydání dokladu o vzniku práva podnikat  (z 15 dní na 5 pracovních dní). Domníváme se, že se jedná především o záležitost spadající do gesce MSp. - obchodní rejstřík, obchodní zákoník.                                                                                                            </w:t>
            </w:r>
          </w:p>
        </w:tc>
      </w:tr>
      <w:tr w:rsidR="00465E51" w:rsidRPr="00465E51" w:rsidTr="00465E51">
        <w:trPr>
          <w:trHeight w:val="7650"/>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opatření ke zkrácení doby potřebné k získání licencí a povolení k zahájení a provádění konkrétní činnosti podniku.</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SMK schválena vládou v r. 2011.                                     </w:t>
            </w:r>
            <w:r w:rsidRPr="00465E51">
              <w:rPr>
                <w:rFonts w:ascii="Calibri" w:hAnsi="Calibri" w:cs="Calibri"/>
              </w:rPr>
              <w:br/>
              <w:t xml:space="preserve">- pro oblast živnostenského podnikání (tj. získání podnikatelského oprávnění podle živnostenského zákona) splněno -  v případě splnění všech podmínek stanovených zákonem může podnikatel, který ohlásí živnost obecnímu živnostenskému úřadu, od okamžiku ohlášení živnosti již podnikat. Pouze u koncesovaných živností, které v současné době představují zhruba 4% všech platných živnostenských oprávnění a týkají se činností, u nichž je požadavek na regulaci dán nutností zvýšené ochrany zdraví, života a bezpečnosti, je doba pro vznik oprávnění podnikat delší (cca 1 měsíc od podání žádosti). Zákonem č. 130/2008 Sb. došlo ke snížení nákladů na vstup do živnostenského podnikání a zkrátila se doba pro vydání dokladu o vzniku práva podnikat  (z 15 dní na 5 pracovních dní).                                                                                                                 </w:t>
            </w:r>
            <w:r w:rsidRPr="00465E51">
              <w:rPr>
                <w:rFonts w:ascii="Calibri" w:hAnsi="Calibri" w:cs="Calibri"/>
              </w:rPr>
              <w:br/>
              <w:t>- vykonávat podnikatelskou činnost a získat příslušné podnikatelské oprávnění je možno i na základě jiných právních předpisů (některé z nich jsou v gesci MPO).                                                               Domníváme se, že se jedná především o záležitost spadající do gesce MSp. - obchodní rejstřík, obchodní zákoník.</w:t>
            </w:r>
          </w:p>
        </w:tc>
      </w:tr>
      <w:tr w:rsidR="00465E51" w:rsidRPr="00465E51" w:rsidTr="0003571F">
        <w:trPr>
          <w:trHeight w:val="1937"/>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mechanismus pro systematické posuzování dopadů právních předpisů na malé a střední podniky prostřednictvím „testu MSP“, případně s přihlédnutím k rozdílům ve velikosti podniků.</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Domníváme se, že naplňujeme prostřednictvím RIA a dalšími opatřeními, viz. Sloupec H.</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SMK schválena vládou v r. 2011.   V ČR je již od roku 2007 je aplikováno, jako nedílná součást legislativního procesu, hodnocení dopadu regulace (RIA), v jehož rámci jsou identifikovány a vyhodnocovány očekávané dopady připravované regulace na její budoucí adresáty, a to podle identifikovaných skupin či kategorií budoucích adresátů regulace, u nichž lze očekávat rozdílný rozsah či povahu dopadů. </w:t>
            </w:r>
            <w:r w:rsidRPr="00465E51">
              <w:rPr>
                <w:rFonts w:ascii="Calibri" w:hAnsi="Calibri" w:cs="Calibri"/>
              </w:rPr>
              <w:br/>
              <w:t>Z tohoto pohledu ČR nepovažuje aplikaci zvláštních kategorií a testů v hodnocení dopadů za rozhodující opatření, tento přístup je již obsažen v současném procesu RIA. Usnesením vlády č. 922 ze dne 14.12.2011 byly schváleny novelizované Obecné zásady pro hodnocení dopadů regulace (RIA), které obsahují v části Dopady na podnikatelské prostředí citace: ,,Uvede se zejména popis očekávaných dopadů a jejich rozlišení ve vazbě na velikost podnikatelů (zejména s ohledem na osoby samostatně výdělečně činné a malé a střední podniky) a dále dopady na trh práce.” Dále - MPO provádí ve spolupráci s průmyslovými a zaměstnavatelskými svazy šetření, jehož předmětem je zjištění vlivu zátěže právních předpisů z oblasti životního</w:t>
            </w:r>
            <w:r w:rsidRPr="00465E51">
              <w:rPr>
                <w:rFonts w:ascii="Calibri" w:hAnsi="Calibri" w:cs="Calibri"/>
              </w:rPr>
              <w:br/>
              <w:t xml:space="preserve">prostředí na konkurenceschopnost podniků. Výsledky ukazují, že některé </w:t>
            </w:r>
            <w:r w:rsidRPr="00465E51">
              <w:rPr>
                <w:rFonts w:ascii="Calibri" w:hAnsi="Calibri" w:cs="Calibri"/>
              </w:rPr>
              <w:lastRenderedPageBreak/>
              <w:t>právní předpisy z oblasti životního prostředí jdou nad rámec předpisů EU, což v některých případech může znamenat nadměrnou administrativní a ekonomickou zátěž, která</w:t>
            </w:r>
            <w:r w:rsidRPr="00465E51">
              <w:rPr>
                <w:rFonts w:ascii="Calibri" w:hAnsi="Calibri" w:cs="Calibri"/>
              </w:rPr>
              <w:br/>
              <w:t>negativně ovlivňuje konkurenceschopnost českých podnikatelů.</w:t>
            </w:r>
          </w:p>
        </w:tc>
      </w:tr>
      <w:tr w:rsidR="00465E51" w:rsidRPr="00465E51" w:rsidTr="00465E51">
        <w:trPr>
          <w:trHeight w:val="2295"/>
        </w:trPr>
        <w:tc>
          <w:tcPr>
            <w:tcW w:w="2351" w:type="dxa"/>
            <w:tcBorders>
              <w:top w:val="nil"/>
              <w:left w:val="single" w:sz="8" w:space="0" w:color="auto"/>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lastRenderedPageBreak/>
              <w:t>3.2. Provedení směrnice Evropského parlamentu a Rady 2011/7/EU ze dne 16. února 2011 o postupu proti opožděným platbám v obchodních transakcích do vnitrostátního práva.</w:t>
            </w:r>
          </w:p>
        </w:tc>
        <w:tc>
          <w:tcPr>
            <w:tcW w:w="1651" w:type="dxa"/>
            <w:tcBorders>
              <w:top w:val="nil"/>
              <w:left w:val="nil"/>
              <w:bottom w:val="single" w:sz="4" w:space="0" w:color="auto"/>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PO 2 - Rozvoj infrastruktury a služeb podporujících podnikání ve znalostní ekonomice a internacionalizace podnikání</w:t>
            </w:r>
          </w:p>
        </w:tc>
        <w:tc>
          <w:tcPr>
            <w:tcW w:w="1001" w:type="dxa"/>
            <w:tcBorders>
              <w:top w:val="nil"/>
              <w:left w:val="single" w:sz="4" w:space="0" w:color="auto"/>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 </w:t>
            </w: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t>Provedení směrnice do vnitrostátního práva v souladu s článkem 12 směrnice (do 16. března 2013).</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 </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strike/>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Očekáváme vyjádření resortu MS.</w:t>
            </w:r>
          </w:p>
        </w:tc>
      </w:tr>
      <w:tr w:rsidR="00465E51" w:rsidRPr="00465E51" w:rsidTr="00465E51">
        <w:trPr>
          <w:trHeight w:val="1530"/>
        </w:trPr>
        <w:tc>
          <w:tcPr>
            <w:tcW w:w="2351" w:type="dxa"/>
            <w:vMerge w:val="restart"/>
            <w:tcBorders>
              <w:top w:val="nil"/>
              <w:left w:val="single" w:sz="8"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4.1. Byla provedena opatření na podporu nákladově efektivního zvyšování energetické účinnosti u koncového uživatele a nákladově efektivních investic do energetické účinnosti při výstavbě a renovaci budov.</w:t>
            </w:r>
          </w:p>
        </w:tc>
        <w:tc>
          <w:tcPr>
            <w:tcW w:w="1651" w:type="dxa"/>
            <w:vMerge w:val="restart"/>
            <w:tcBorders>
              <w:top w:val="nil"/>
              <w:left w:val="single" w:sz="4"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PO 3 - Udržitelné hospodaření s energií, podpora OZE a rozvoj inovací v energetice</w:t>
            </w:r>
          </w:p>
        </w:tc>
        <w:tc>
          <w:tcPr>
            <w:tcW w:w="1001" w:type="dxa"/>
            <w:vMerge w:val="restart"/>
            <w:tcBorders>
              <w:top w:val="nil"/>
              <w:left w:val="single" w:sz="4" w:space="0" w:color="auto"/>
              <w:bottom w:val="single" w:sz="4" w:space="0" w:color="000000"/>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xml:space="preserve">Zavedená opatření k zajištění minimálních požadavků týkajících se energetické náročnosti budov v souladu s články 3, 4 a 5 směrnice 2010/31/EU, </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Transpozice směrnice byla provedena implementaci do zákona č. 406/2000 Sb. o hospodaření energií. Konkrétně novelou zákona č. 318/2012 Sb., ze dne 24. října 2012. Prováděcí vyhlášky jsou v legislativním procesu.</w:t>
            </w:r>
          </w:p>
        </w:tc>
      </w:tr>
      <w:tr w:rsidR="00465E51" w:rsidRPr="00465E51" w:rsidTr="00465E51">
        <w:trPr>
          <w:trHeight w:val="1275"/>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Opatření nezbytná pro zavedení systému certifikace energetické náročnosti budov v souladu s článkem 11 směrnice 2010/31/EU,</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ano</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 zákon č. 406/2000 Sb. o hospodaření energií, konkrétně novela zákona č. 318/2012 Sb.</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r>
      <w:tr w:rsidR="00465E51" w:rsidRPr="00465E51" w:rsidTr="00465E51">
        <w:trPr>
          <w:trHeight w:val="1530"/>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t>Realizace požadované míry renovací veřejných budov.</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ne</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strike/>
              </w:rPr>
              <w:t> </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strike/>
              </w:rPr>
              <w:t>V tomto návrhu nerelevantní Požadevek vyplývá ze Směrnice EP a Rady 2012/27/EU o energetické účinnosti ze dne 25. října 2012. Směrnici musí členské státy transponovat do 30.6.2014.</w:t>
            </w:r>
          </w:p>
        </w:tc>
      </w:tr>
      <w:tr w:rsidR="00465E51" w:rsidRPr="00465E51" w:rsidTr="00465E51">
        <w:trPr>
          <w:trHeight w:val="2805"/>
        </w:trPr>
        <w:tc>
          <w:tcPr>
            <w:tcW w:w="2351" w:type="dxa"/>
            <w:vMerge/>
            <w:tcBorders>
              <w:top w:val="nil"/>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nil"/>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nil"/>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Opatření v souladu s článkem 13 směrnice 2006/32/ES o energetické účinnosti u konečného uživatele a o energetických službách, zajišťující, aby pokud je to technicky možné, finančně únosné a úměrné potenciálním úsporám energie, byli koneční zákazníci vybaveni individuálními měřiči.</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ano</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zákon 406/2000 Sb., o hospodaření energií a zákon č. 458/2000 Sb. a jeho prováděcí vyhlášky</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r>
      <w:tr w:rsidR="00465E51" w:rsidRPr="00465E51" w:rsidTr="00465E51">
        <w:trPr>
          <w:trHeight w:val="5865"/>
        </w:trPr>
        <w:tc>
          <w:tcPr>
            <w:tcW w:w="2351" w:type="dxa"/>
            <w:tcBorders>
              <w:top w:val="nil"/>
              <w:left w:val="single" w:sz="8" w:space="0" w:color="auto"/>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lastRenderedPageBreak/>
              <w:t>4.2. Byla provedena opatření na podporu vysoce účinné kombinované výroby tepla a elektřiny.</w:t>
            </w:r>
          </w:p>
        </w:tc>
        <w:tc>
          <w:tcPr>
            <w:tcW w:w="1651" w:type="dxa"/>
            <w:tcBorders>
              <w:top w:val="nil"/>
              <w:left w:val="nil"/>
              <w:bottom w:val="single" w:sz="4" w:space="0" w:color="auto"/>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PO 3 - Udržitelné hospodaření s energií, podpora OZE a rozvoj inovací v energetice</w:t>
            </w:r>
          </w:p>
        </w:tc>
        <w:tc>
          <w:tcPr>
            <w:tcW w:w="1001" w:type="dxa"/>
            <w:tcBorders>
              <w:top w:val="nil"/>
              <w:left w:val="single" w:sz="4" w:space="0" w:color="auto"/>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ano</w:t>
            </w:r>
          </w:p>
        </w:tc>
        <w:tc>
          <w:tcPr>
            <w:tcW w:w="2665" w:type="dxa"/>
            <w:tcBorders>
              <w:top w:val="nil"/>
              <w:left w:val="nil"/>
              <w:bottom w:val="single" w:sz="4"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Podpora kombinované výroby tepla a elektřiny je založena na poptávce po užitečném teple a úsporách primární energie v souladu s čl. 7 odst. 1 a čl. 9 odst. 1 písm. a) a b) směrnice 2004/8/ES, členské státy nebo jejich příslušné subjekty posoudily stávající právní a regulační rámec pro postupy schvalování nebo jiné postupy s cílem:</w:t>
            </w:r>
            <w:r w:rsidRPr="00465E51">
              <w:rPr>
                <w:rFonts w:ascii="Calibri" w:hAnsi="Calibri" w:cs="Calibri"/>
                <w:b/>
                <w:bCs/>
              </w:rPr>
              <w:br/>
              <w:t>a) podpořit navrhování kogeneračních jednotek odpovídajících ekonomicky odůvodněné poptávce po výrobě užitečného tepla a zamezit výrobě většího množství tepla než užitečného tepla;</w:t>
            </w:r>
            <w:r w:rsidRPr="00465E51">
              <w:rPr>
                <w:rFonts w:ascii="Calibri" w:hAnsi="Calibri" w:cs="Calibri"/>
                <w:b/>
                <w:bCs/>
              </w:rPr>
              <w:br/>
              <w:t>b) omezit právní a jiné překážky pro zvýšení kombinované výroby tepla a elektřiny.</w:t>
            </w:r>
          </w:p>
        </w:tc>
        <w:tc>
          <w:tcPr>
            <w:tcW w:w="1329"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ano</w:t>
            </w:r>
          </w:p>
        </w:tc>
        <w:tc>
          <w:tcPr>
            <w:tcW w:w="1693" w:type="dxa"/>
            <w:tcBorders>
              <w:top w:val="nil"/>
              <w:left w:val="nil"/>
              <w:bottom w:val="single" w:sz="4"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zákon 406/2000 Sb., o hospodaření energií a zákon č. 458/2000 Sb. a jeho prováděcí vyhlášky</w:t>
            </w:r>
          </w:p>
        </w:tc>
        <w:tc>
          <w:tcPr>
            <w:tcW w:w="3490" w:type="dxa"/>
            <w:tcBorders>
              <w:top w:val="nil"/>
              <w:left w:val="nil"/>
              <w:bottom w:val="single" w:sz="4"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r>
      <w:tr w:rsidR="00465E51" w:rsidRPr="00465E51" w:rsidTr="00465E51">
        <w:trPr>
          <w:trHeight w:val="2805"/>
        </w:trPr>
        <w:tc>
          <w:tcPr>
            <w:tcW w:w="2351" w:type="dxa"/>
            <w:tcBorders>
              <w:top w:val="nil"/>
              <w:left w:val="single" w:sz="8" w:space="0" w:color="auto"/>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lastRenderedPageBreak/>
              <w:t>4.3. Byla provedena opatření na podporu výroby a distribuce energie z obnovitelných zdrojů.</w:t>
            </w:r>
          </w:p>
        </w:tc>
        <w:tc>
          <w:tcPr>
            <w:tcW w:w="1651" w:type="dxa"/>
            <w:tcBorders>
              <w:top w:val="nil"/>
              <w:left w:val="nil"/>
              <w:bottom w:val="nil"/>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PO 3 - Udržitelné hospodaření s energií, podpora OZE a rozvoj inovací v energetice</w:t>
            </w:r>
          </w:p>
        </w:tc>
        <w:tc>
          <w:tcPr>
            <w:tcW w:w="1001" w:type="dxa"/>
            <w:tcBorders>
              <w:top w:val="nil"/>
              <w:left w:val="single" w:sz="4" w:space="0" w:color="auto"/>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ano</w:t>
            </w:r>
          </w:p>
        </w:tc>
        <w:tc>
          <w:tcPr>
            <w:tcW w:w="2665" w:type="dxa"/>
            <w:tcBorders>
              <w:top w:val="nil"/>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V souladu s čl. 14 odst. 1, čl. 16 odst. 2 a 3 směrnice 2009/28/ES existují transparentní režimy podpory, přednostní přístup k distribuční soustavě či zaručený přístup a přednost při spouštění zařízení, jakož i jednotná pravidla pro hrazení a sdílení nákladů na technické úpravy, jež byla zveřejněna.</w:t>
            </w:r>
          </w:p>
        </w:tc>
        <w:tc>
          <w:tcPr>
            <w:tcW w:w="1329" w:type="dxa"/>
            <w:tcBorders>
              <w:top w:val="nil"/>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ano</w:t>
            </w:r>
          </w:p>
        </w:tc>
        <w:tc>
          <w:tcPr>
            <w:tcW w:w="1693" w:type="dxa"/>
            <w:tcBorders>
              <w:top w:val="nil"/>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zákon č. 165/2012 Sb., o podporovaných zdrojích energie a prováděcí právní předpisy</w:t>
            </w:r>
          </w:p>
        </w:tc>
        <w:tc>
          <w:tcPr>
            <w:tcW w:w="3490" w:type="dxa"/>
            <w:tcBorders>
              <w:top w:val="nil"/>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r>
      <w:tr w:rsidR="00465E51" w:rsidRPr="00465E51" w:rsidTr="00465E51">
        <w:trPr>
          <w:trHeight w:val="1020"/>
        </w:trPr>
        <w:tc>
          <w:tcPr>
            <w:tcW w:w="2351" w:type="dxa"/>
            <w:tcBorders>
              <w:top w:val="single" w:sz="4" w:space="0" w:color="auto"/>
              <w:left w:val="single" w:sz="8" w:space="0" w:color="auto"/>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w:t>
            </w:r>
          </w:p>
        </w:tc>
        <w:tc>
          <w:tcPr>
            <w:tcW w:w="1651" w:type="dxa"/>
            <w:tcBorders>
              <w:top w:val="single" w:sz="4" w:space="0" w:color="auto"/>
              <w:left w:val="nil"/>
              <w:bottom w:val="nil"/>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w:t>
            </w:r>
          </w:p>
        </w:tc>
        <w:tc>
          <w:tcPr>
            <w:tcW w:w="1001" w:type="dxa"/>
            <w:tcBorders>
              <w:top w:val="single" w:sz="4" w:space="0" w:color="auto"/>
              <w:left w:val="single" w:sz="4" w:space="0" w:color="auto"/>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w:t>
            </w: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Členský stát přijal národní akční plán pro energii z obnovitelných zdrojů shodně s článkem 4 směrnice 2009/28/ES.</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ano</w:t>
            </w:r>
          </w:p>
        </w:tc>
        <w:tc>
          <w:tcPr>
            <w:tcW w:w="1693"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Národní akční plán ČR pro energii z obnovitelných zdrojů 2010-2020</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r>
      <w:tr w:rsidR="00465E51" w:rsidRPr="00465E51" w:rsidTr="00465E51">
        <w:trPr>
          <w:trHeight w:val="3060"/>
        </w:trPr>
        <w:tc>
          <w:tcPr>
            <w:tcW w:w="2351" w:type="dxa"/>
            <w:tcBorders>
              <w:top w:val="single" w:sz="4" w:space="0" w:color="auto"/>
              <w:left w:val="single" w:sz="8" w:space="0" w:color="auto"/>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t>EZFRV, 5.1 Emise skleníkových plynů: soulad s čl. 6 odst. 1 rozhodnutí Evropského parlamentu a Rady č. 406/2009/ES ze dne 23. dubna 2009 o úsilí členských států snížit emise skleníkových plynů, aby byly splněny závazky Společenství v oblasti snížení emisí skleníkových plynů do roku 2020.</w:t>
            </w:r>
          </w:p>
        </w:tc>
        <w:tc>
          <w:tcPr>
            <w:tcW w:w="1651" w:type="dxa"/>
            <w:tcBorders>
              <w:top w:val="single" w:sz="4" w:space="0" w:color="auto"/>
              <w:left w:val="nil"/>
              <w:bottom w:val="nil"/>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PO 3 - Udržitelné hospodaření s energií, podpora OZE a rozvoj inovací v energetice</w:t>
            </w:r>
          </w:p>
        </w:tc>
        <w:tc>
          <w:tcPr>
            <w:tcW w:w="1001" w:type="dxa"/>
            <w:tcBorders>
              <w:top w:val="single" w:sz="4" w:space="0" w:color="auto"/>
              <w:left w:val="single" w:sz="4" w:space="0" w:color="auto"/>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 </w:t>
            </w: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t>Členský stát předložil Komisi zprávu o přijatých vnitrostátních politikách a opatřeních v období 2013–2020 podle článku 3 rozhodnutí č. 406/2009/ES.</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 </w:t>
            </w:r>
          </w:p>
        </w:tc>
        <w:tc>
          <w:tcPr>
            <w:tcW w:w="1693"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strike/>
              </w:rPr>
              <w:t> </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b/>
                <w:bCs/>
                <w:strike/>
              </w:rPr>
              <w:t xml:space="preserve">Nerelevantní pro MPO. </w:t>
            </w:r>
            <w:r w:rsidRPr="00465E51">
              <w:rPr>
                <w:rFonts w:ascii="Calibri" w:hAnsi="Calibri" w:cs="Calibri"/>
                <w:strike/>
              </w:rPr>
              <w:t>Předložení zprávy o přijatých vnitrostátních politikách a opatřeních v období 2013–2020 podle článku 3 rozhodnutí č. 406/2009/ES je plně v gesci MŽP.</w:t>
            </w:r>
          </w:p>
        </w:tc>
      </w:tr>
      <w:tr w:rsidR="00465E51" w:rsidRPr="00465E51" w:rsidTr="00465E51">
        <w:trPr>
          <w:trHeight w:val="2550"/>
        </w:trPr>
        <w:tc>
          <w:tcPr>
            <w:tcW w:w="2351" w:type="dxa"/>
            <w:tcBorders>
              <w:top w:val="single" w:sz="4" w:space="0" w:color="auto"/>
              <w:left w:val="single" w:sz="8" w:space="0" w:color="auto"/>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lastRenderedPageBreak/>
              <w:t>EZFRV, 5.2 (obdoba TC 4.1) Energetická účinnost: provedení směrnice Evropského parlamentu a Rady 2006/32/ES ze dne 5. dubna 2006 o energetické účinnosti u konečného uživatele a o energetických službách do vnitrostátního práva.</w:t>
            </w:r>
          </w:p>
        </w:tc>
        <w:tc>
          <w:tcPr>
            <w:tcW w:w="1651" w:type="dxa"/>
            <w:tcBorders>
              <w:top w:val="single" w:sz="4" w:space="0" w:color="auto"/>
              <w:left w:val="nil"/>
              <w:bottom w:val="nil"/>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PO 3 - Udržitelné hospodaření s energií, podpora OZE a rozvoj inovací v energetice</w:t>
            </w:r>
          </w:p>
        </w:tc>
        <w:tc>
          <w:tcPr>
            <w:tcW w:w="1001" w:type="dxa"/>
            <w:tcBorders>
              <w:top w:val="single" w:sz="4" w:space="0" w:color="auto"/>
              <w:left w:val="single" w:sz="4" w:space="0" w:color="auto"/>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ano</w:t>
            </w: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strike/>
              </w:rPr>
              <w:t>Členský stát předložil Komisi akční plán energetické účinnosti, který převádí cíle v oblasti úspory energií na konkrétní a soudržná opatření v souladu s článkem 14 směrnice 2006/32/ES.</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strike/>
              </w:rPr>
              <w:t>ano</w:t>
            </w:r>
          </w:p>
        </w:tc>
        <w:tc>
          <w:tcPr>
            <w:tcW w:w="1693"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strike/>
              </w:rPr>
              <w:t>Akční plán energetické účinnosti</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strike/>
              </w:rPr>
              <w:t> </w:t>
            </w:r>
          </w:p>
        </w:tc>
      </w:tr>
      <w:tr w:rsidR="00465E51" w:rsidRPr="00465E51" w:rsidTr="00465E51">
        <w:trPr>
          <w:trHeight w:val="3315"/>
        </w:trPr>
        <w:tc>
          <w:tcPr>
            <w:tcW w:w="2351" w:type="dxa"/>
            <w:tcBorders>
              <w:top w:val="single" w:sz="4" w:space="0" w:color="auto"/>
              <w:left w:val="single" w:sz="8" w:space="0" w:color="auto"/>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6.2. Odpadové hospodářství: podpora investic do odpadového hospodářství udržitelných z hospodářského a environmentálního hlediska, zejména vypracování plánů pro nakládání s odpady v souladu se směrnicí 2008/98/ES o odpadech a s hierarchií způsobů nakládání s odpady.</w:t>
            </w:r>
          </w:p>
        </w:tc>
        <w:tc>
          <w:tcPr>
            <w:tcW w:w="1651" w:type="dxa"/>
            <w:tcBorders>
              <w:top w:val="single" w:sz="4" w:space="0" w:color="auto"/>
              <w:left w:val="nil"/>
              <w:bottom w:val="nil"/>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PO 3 - Udržitelné hospodaření s energií, podpora OZE a rozvoj inovací v energetice</w:t>
            </w:r>
          </w:p>
        </w:tc>
        <w:tc>
          <w:tcPr>
            <w:tcW w:w="1001" w:type="dxa"/>
            <w:tcBorders>
              <w:top w:val="single" w:sz="4" w:space="0" w:color="auto"/>
              <w:left w:val="single" w:sz="4" w:space="0" w:color="auto"/>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w:t>
            </w: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Byla přijata opatření nezbytná k dosažení cíle týkajícího se opětovného použití a recyklace odpadů do roku 2020 v souladu s čl. 11 odst. 2 směrnice 2008/98/ES.</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w:t>
            </w:r>
          </w:p>
        </w:tc>
        <w:tc>
          <w:tcPr>
            <w:tcW w:w="1693"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b/>
                <w:bCs/>
              </w:rPr>
              <w:t xml:space="preserve">Nerelevantní pro MPO. </w:t>
            </w:r>
            <w:r w:rsidRPr="00465E51">
              <w:rPr>
                <w:rFonts w:ascii="Calibri" w:hAnsi="Calibri" w:cs="Calibri"/>
              </w:rPr>
              <w:t>Byla vyjasněna hraniční oblast s MŽP - oblast odpadového hospodářství je v gesci MŽP, v gesci MPO je oblast druhotných surovin.</w:t>
            </w:r>
          </w:p>
        </w:tc>
      </w:tr>
      <w:tr w:rsidR="00465E51" w:rsidRPr="00465E51" w:rsidTr="00465E51">
        <w:trPr>
          <w:trHeight w:val="1275"/>
        </w:trPr>
        <w:tc>
          <w:tcPr>
            <w:tcW w:w="2351" w:type="dxa"/>
            <w:vMerge w:val="restart"/>
            <w:tcBorders>
              <w:top w:val="single" w:sz="4" w:space="0" w:color="auto"/>
              <w:left w:val="single" w:sz="8"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xml:space="preserve">8.2. Samostatná výdělečná činnost, podnikání a zakládání firem: existence strategického rámce </w:t>
            </w:r>
            <w:r w:rsidRPr="00465E51">
              <w:rPr>
                <w:rFonts w:ascii="Calibri" w:hAnsi="Calibri" w:cs="Calibri"/>
                <w:b/>
                <w:bCs/>
              </w:rPr>
              <w:lastRenderedPageBreak/>
              <w:t>politiky podpory začínajících podniků přispívající k začlenění.</w:t>
            </w:r>
          </w:p>
        </w:tc>
        <w:tc>
          <w:tcPr>
            <w:tcW w:w="1651"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lastRenderedPageBreak/>
              <w:t xml:space="preserve">PO 2 - Rozvoj infrastruktury a služeb podporujících podnikání ve </w:t>
            </w:r>
            <w:r w:rsidRPr="00465E51">
              <w:rPr>
                <w:rFonts w:ascii="Calibri" w:hAnsi="Calibri" w:cs="Calibri"/>
              </w:rPr>
              <w:lastRenderedPageBreak/>
              <w:t>znalostní ekonomice a internacionalizace podnikání</w:t>
            </w:r>
          </w:p>
        </w:tc>
        <w:tc>
          <w:tcPr>
            <w:tcW w:w="1001" w:type="dxa"/>
            <w:vMerge w:val="restart"/>
            <w:tcBorders>
              <w:top w:val="single" w:sz="4" w:space="0" w:color="auto"/>
              <w:left w:val="single" w:sz="4" w:space="0" w:color="auto"/>
              <w:bottom w:val="single" w:sz="4" w:space="0" w:color="000000"/>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lastRenderedPageBreak/>
              <w:t>částečně</w:t>
            </w: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Existuje strategický rámec politiky podpory začínajících podniků přispívající k začlenění, obsahující tyto prvky:</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NPR schválen vládou v dubnu 2012. SMK schválena vládou v r. 2011. Vládou schválená rovněž Koncepce podpory malých a středních podnikatelů na období let 2014–2020.</w:t>
            </w:r>
          </w:p>
        </w:tc>
      </w:tr>
      <w:tr w:rsidR="00465E51" w:rsidRPr="00465E51" w:rsidTr="00465E51">
        <w:trPr>
          <w:trHeight w:val="3315"/>
        </w:trPr>
        <w:tc>
          <w:tcPr>
            <w:tcW w:w="2351" w:type="dxa"/>
            <w:vMerge/>
            <w:tcBorders>
              <w:top w:val="single" w:sz="4" w:space="0" w:color="auto"/>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single" w:sz="4" w:space="0" w:color="auto"/>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opatření zaměřená na snížení nákladů a zkrácení doby potřebných pro založení podniku,</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xml:space="preserve">MPO se domívá: "Problematika se netýká MPO, neboť se jedná mj. o zápisu do Obchodního rejstříku, Zákon č. 513/1991 Sb. - Obchodní zákoník, jde tedy o Ministerstvo spravedlnosti." </w:t>
            </w:r>
            <w:r w:rsidRPr="00465E51">
              <w:rPr>
                <w:rFonts w:ascii="Calibri" w:hAnsi="Calibri" w:cs="Calibri"/>
                <w:b/>
                <w:bCs/>
              </w:rPr>
              <w:t xml:space="preserve"> Předpokládáme, že se zde pojmem podnik rozumí obchodní společnost nebo družstvo. Pokud by do této kategorie měly spadat i fyzické osoby (tzv. OSVČ), potom k zahájení podnikání fyzických osob podnikajících v režimu živnostenského zákona platí to, co níže uvedeno k získávání licencí a povolení.</w:t>
            </w:r>
          </w:p>
        </w:tc>
      </w:tr>
      <w:tr w:rsidR="00465E51" w:rsidRPr="00465E51" w:rsidTr="00465E51">
        <w:trPr>
          <w:trHeight w:val="8190"/>
        </w:trPr>
        <w:tc>
          <w:tcPr>
            <w:tcW w:w="2351" w:type="dxa"/>
            <w:vMerge/>
            <w:tcBorders>
              <w:top w:val="single" w:sz="4" w:space="0" w:color="auto"/>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single" w:sz="4" w:space="0" w:color="auto"/>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opatření ke zkrácení doby potřebné k získání licencí a povolení k zahájení a provádění konkrétní činnosti podniku,</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Pro oblast živnostenského podnikání (tj. získání podnikatelského oprávnění podle živnostenského zákona) splněno -  v případě splnění všech podmínek stanovených zákonem může podnikatel, který ohlásí živnost obecnímu živnostenskému úřadu, od okamžiku ohlášení živnosti již podnikat. Pouze u koncesovaných živností, které v současné době představují zhruba 4% všech platných živnostenských oprávnění a týkají se činností, u nichž je požadavek na regulaci dán nutností zvýšené ochrany zdraví, života a bezpečnosti, je doba pro vznik oprávnění podnikat delší (cca 1 měsíc od podání žádosti). Zákonem č. 130/2008 Sb. došlo ke snížení nákladů na vstup do živnostenského podnikání a zkrátila se doba pro vydání dokladu o vzniku práva podnikat  (z 15 dní na 5 pracovních dní).                                                                    Upozorňujeme, že živnostenské oprávnění sice představuje více jak 90 % veškerého podnikání v ČR, ale vedle toho existují další činnosti, jejichž výkon je upraven jinými právními předpisy (viz § 3 živnostenského zákona). MPO se domívá: "Problematika se netýká MPO, neboť se jedná mj. o zápisu do Obchodního rejstříku, Zákon č. 513/1991 Sb. - Obchodní zákoník, jde tedy o Ministerstvo spravedlnosti."</w:t>
            </w:r>
          </w:p>
        </w:tc>
      </w:tr>
      <w:tr w:rsidR="00465E51" w:rsidRPr="00465E51" w:rsidTr="00465E51">
        <w:trPr>
          <w:trHeight w:val="2295"/>
        </w:trPr>
        <w:tc>
          <w:tcPr>
            <w:tcW w:w="2351" w:type="dxa"/>
            <w:vMerge/>
            <w:tcBorders>
              <w:top w:val="single" w:sz="4" w:space="0" w:color="auto"/>
              <w:left w:val="single" w:sz="8"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b/>
                <w:bCs/>
              </w:rPr>
            </w:pP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1001" w:type="dxa"/>
            <w:vMerge/>
            <w:tcBorders>
              <w:top w:val="single" w:sz="4" w:space="0" w:color="auto"/>
              <w:left w:val="single" w:sz="4" w:space="0" w:color="auto"/>
              <w:bottom w:val="single" w:sz="4" w:space="0" w:color="000000"/>
              <w:right w:val="double" w:sz="6" w:space="0" w:color="auto"/>
            </w:tcBorders>
            <w:vAlign w:val="center"/>
            <w:hideMark/>
          </w:tcPr>
          <w:p w:rsidR="00465E51" w:rsidRPr="00465E51" w:rsidRDefault="00465E51" w:rsidP="00465E51">
            <w:pPr>
              <w:overflowPunct/>
              <w:autoSpaceDE/>
              <w:autoSpaceDN/>
              <w:adjustRightInd/>
              <w:textAlignment w:val="auto"/>
              <w:rPr>
                <w:rFonts w:ascii="Calibri" w:hAnsi="Calibri" w:cs="Calibri"/>
              </w:rPr>
            </w:pPr>
          </w:p>
        </w:tc>
        <w:tc>
          <w:tcPr>
            <w:tcW w:w="2665" w:type="dxa"/>
            <w:tcBorders>
              <w:top w:val="single" w:sz="4" w:space="0" w:color="auto"/>
              <w:left w:val="nil"/>
              <w:bottom w:val="nil"/>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 činnosti propojující vhodné služby pro rozvoj podnikání a finanční služby (přístup ke kapitálu), včetně případné aktivní pomoci pro znevýhodněné skupiny nebo oblasti.</w:t>
            </w:r>
          </w:p>
        </w:tc>
        <w:tc>
          <w:tcPr>
            <w:tcW w:w="1329"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částečně</w:t>
            </w:r>
          </w:p>
        </w:tc>
        <w:tc>
          <w:tcPr>
            <w:tcW w:w="1693" w:type="dxa"/>
            <w:tcBorders>
              <w:top w:val="single" w:sz="4" w:space="0" w:color="auto"/>
              <w:left w:val="nil"/>
              <w:bottom w:val="nil"/>
              <w:right w:val="double" w:sz="6"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single" w:sz="4" w:space="0" w:color="auto"/>
              <w:left w:val="nil"/>
              <w:bottom w:val="nil"/>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SMK schválena vládou v r. 2011. Vládou schválená Koncepce podpory malých a středních podnikatelů na období let 2014–2020. Zejména projektový záměr SMK 30, 34, 35 (realizace projektu agentury CzechInvest "CzechEkoSystem" má vazbu na projekt 35). Plnění koncepce MSP se předpokládá implementací opatření v rámci OP PIK.</w:t>
            </w:r>
          </w:p>
        </w:tc>
      </w:tr>
      <w:tr w:rsidR="00465E51" w:rsidRPr="00465E51" w:rsidTr="00465E51">
        <w:trPr>
          <w:trHeight w:val="2820"/>
        </w:trPr>
        <w:tc>
          <w:tcPr>
            <w:tcW w:w="2351" w:type="dxa"/>
            <w:tcBorders>
              <w:top w:val="nil"/>
              <w:left w:val="single" w:sz="8" w:space="0" w:color="auto"/>
              <w:bottom w:val="single" w:sz="8"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8.5. Pomoc pracovníkům, podnikům a podnikatelům přizpůsobovat se změnám: Existence politik zaměřených na upřednostňování předvídání a dobré zvládání změn a restrukturalizací.</w:t>
            </w:r>
          </w:p>
        </w:tc>
        <w:tc>
          <w:tcPr>
            <w:tcW w:w="1651" w:type="dxa"/>
            <w:tcBorders>
              <w:top w:val="nil"/>
              <w:left w:val="nil"/>
              <w:bottom w:val="single" w:sz="8" w:space="0" w:color="auto"/>
              <w:right w:val="nil"/>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PO 2 - Rozvoj infrastruktury a služeb podporujících podnikání ve znalostní ekonomice a internacionalizace podnikání</w:t>
            </w:r>
          </w:p>
        </w:tc>
        <w:tc>
          <w:tcPr>
            <w:tcW w:w="1001" w:type="dxa"/>
            <w:tcBorders>
              <w:top w:val="nil"/>
              <w:left w:val="single" w:sz="4" w:space="0" w:color="auto"/>
              <w:bottom w:val="single" w:sz="8"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w:t>
            </w:r>
          </w:p>
        </w:tc>
        <w:tc>
          <w:tcPr>
            <w:tcW w:w="2665" w:type="dxa"/>
            <w:tcBorders>
              <w:top w:val="single" w:sz="4" w:space="0" w:color="auto"/>
              <w:left w:val="nil"/>
              <w:bottom w:val="single" w:sz="8" w:space="0" w:color="auto"/>
              <w:right w:val="single" w:sz="4"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b/>
                <w:bCs/>
              </w:rPr>
            </w:pPr>
            <w:r w:rsidRPr="00465E51">
              <w:rPr>
                <w:rFonts w:ascii="Calibri" w:hAnsi="Calibri" w:cs="Calibri"/>
                <w:b/>
                <w:bCs/>
              </w:rPr>
              <w:t>K dispozici je určité omezené množství základních nástrojů, které sociálním partnerům a orgánům veřejné správy pomáhají lépe rozvíjet iniciativní přístupy ke změnám a restrukturalizacím, zejména existují politiky zaměřené na upřednostňování předvídání a dobré zvládání změn a restrukturalizací.</w:t>
            </w:r>
          </w:p>
        </w:tc>
        <w:tc>
          <w:tcPr>
            <w:tcW w:w="1329" w:type="dxa"/>
            <w:tcBorders>
              <w:top w:val="single" w:sz="4" w:space="0" w:color="auto"/>
              <w:left w:val="nil"/>
              <w:bottom w:val="single" w:sz="8" w:space="0" w:color="auto"/>
              <w:right w:val="double" w:sz="6" w:space="0" w:color="auto"/>
            </w:tcBorders>
            <w:shd w:val="clear" w:color="000000" w:fill="F2F2F2"/>
            <w:vAlign w:val="center"/>
            <w:hideMark/>
          </w:tcPr>
          <w:p w:rsidR="00465E51" w:rsidRPr="00465E51" w:rsidRDefault="00465E51" w:rsidP="00465E51">
            <w:pPr>
              <w:overflowPunct/>
              <w:autoSpaceDE/>
              <w:autoSpaceDN/>
              <w:adjustRightInd/>
              <w:textAlignment w:val="auto"/>
              <w:rPr>
                <w:rFonts w:ascii="Calibri" w:hAnsi="Calibri" w:cs="Calibri"/>
              </w:rPr>
            </w:pPr>
            <w:r w:rsidRPr="00465E51">
              <w:rPr>
                <w:rFonts w:ascii="Calibri" w:hAnsi="Calibri" w:cs="Calibri"/>
              </w:rPr>
              <w:t> </w:t>
            </w:r>
          </w:p>
        </w:tc>
        <w:tc>
          <w:tcPr>
            <w:tcW w:w="1693" w:type="dxa"/>
            <w:tcBorders>
              <w:top w:val="single" w:sz="4" w:space="0" w:color="auto"/>
              <w:left w:val="nil"/>
              <w:bottom w:val="single" w:sz="8" w:space="0" w:color="auto"/>
              <w:right w:val="nil"/>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 </w:t>
            </w:r>
          </w:p>
        </w:tc>
        <w:tc>
          <w:tcPr>
            <w:tcW w:w="3490" w:type="dxa"/>
            <w:tcBorders>
              <w:top w:val="single" w:sz="4" w:space="0" w:color="auto"/>
              <w:left w:val="single" w:sz="4" w:space="0" w:color="auto"/>
              <w:bottom w:val="single" w:sz="8" w:space="0" w:color="auto"/>
              <w:right w:val="single" w:sz="8" w:space="0" w:color="auto"/>
            </w:tcBorders>
            <w:shd w:val="clear" w:color="000000" w:fill="F2F2F2"/>
            <w:vAlign w:val="center"/>
            <w:hideMark/>
          </w:tcPr>
          <w:p w:rsidR="00465E51" w:rsidRPr="00465E51" w:rsidRDefault="00465E51" w:rsidP="00465E51">
            <w:pPr>
              <w:overflowPunct/>
              <w:autoSpaceDE/>
              <w:autoSpaceDN/>
              <w:adjustRightInd/>
              <w:jc w:val="center"/>
              <w:textAlignment w:val="auto"/>
              <w:rPr>
                <w:rFonts w:ascii="Calibri" w:hAnsi="Calibri" w:cs="Calibri"/>
              </w:rPr>
            </w:pPr>
            <w:r w:rsidRPr="00465E51">
              <w:rPr>
                <w:rFonts w:ascii="Calibri" w:hAnsi="Calibri" w:cs="Calibri"/>
              </w:rPr>
              <w:t>MPO se domívá: "Problematika se netýká MPO, viz. vyjádření MPSV".</w:t>
            </w:r>
          </w:p>
        </w:tc>
      </w:tr>
    </w:tbl>
    <w:p w:rsidR="005378FD" w:rsidRDefault="005378FD">
      <w:pPr>
        <w:overflowPunct/>
        <w:autoSpaceDE/>
        <w:autoSpaceDN/>
        <w:adjustRightInd/>
        <w:textAlignment w:val="auto"/>
      </w:pPr>
    </w:p>
    <w:p w:rsidR="00391928" w:rsidRDefault="00391928" w:rsidP="00391928"/>
    <w:p w:rsidR="0003571F" w:rsidRDefault="0003571F" w:rsidP="00391928"/>
    <w:p w:rsidR="0003571F" w:rsidRDefault="0003571F" w:rsidP="00391928"/>
    <w:p w:rsidR="0003571F" w:rsidRDefault="0003571F" w:rsidP="00391928"/>
    <w:p w:rsidR="0003571F" w:rsidRDefault="0003571F" w:rsidP="00391928"/>
    <w:p w:rsidR="0003571F" w:rsidRDefault="0003571F" w:rsidP="00391928"/>
    <w:p w:rsidR="004B5A6C" w:rsidRPr="004917E9" w:rsidRDefault="00BF3FE5" w:rsidP="00851D6E">
      <w:pPr>
        <w:pStyle w:val="Nadpis2"/>
      </w:pPr>
      <w:bookmarkStart w:id="159" w:name="_Toc351464441"/>
      <w:bookmarkStart w:id="160" w:name="_Toc352328408"/>
      <w:r>
        <w:lastRenderedPageBreak/>
        <w:t>P</w:t>
      </w:r>
      <w:r w:rsidR="004B5A6C" w:rsidRPr="00BF3FE5">
        <w:t xml:space="preserve">opis opatření, která mají být provedena, aby bylo dosaženo splnění obecných a tematických předběžných podmínek, které nejsou splněny ke dni předložení operačního programu, zodpovědné orgány a odpovídající harmonogram pro naplnění příslušných opatření </w:t>
      </w:r>
      <w:r w:rsidR="008B49A9">
        <w:t xml:space="preserve"> </w:t>
      </w:r>
      <w:r w:rsidR="004917E9">
        <w:t xml:space="preserve"> </w:t>
      </w:r>
      <w:r w:rsidR="004917E9" w:rsidRPr="004917E9">
        <w:t>(7.10.2)</w:t>
      </w:r>
      <w:bookmarkEnd w:id="159"/>
      <w:bookmarkEnd w:id="160"/>
    </w:p>
    <w:p w:rsidR="004B5A6C" w:rsidRDefault="004B5A6C" w:rsidP="004B5A6C">
      <w:pPr>
        <w:pStyle w:val="Odstavecseseznamem"/>
        <w:ind w:left="0"/>
        <w:jc w:val="both"/>
        <w:rPr>
          <w:sz w:val="24"/>
          <w:szCs w:val="24"/>
        </w:rPr>
      </w:pPr>
    </w:p>
    <w:p w:rsidR="004B5A6C" w:rsidRPr="002D2F2D" w:rsidRDefault="004B5A6C" w:rsidP="00BF3FE5">
      <w:pPr>
        <w:pStyle w:val="Odstavecseseznamem"/>
        <w:ind w:left="0"/>
        <w:jc w:val="both"/>
        <w:rPr>
          <w:rFonts w:asciiTheme="minorHAnsi" w:hAnsiTheme="minorHAnsi" w:cstheme="minorHAnsi"/>
          <w:color w:val="FF0000"/>
          <w:sz w:val="24"/>
          <w:szCs w:val="24"/>
        </w:rPr>
      </w:pPr>
      <w:r w:rsidRPr="002D2F2D">
        <w:rPr>
          <w:rFonts w:asciiTheme="minorHAnsi" w:hAnsiTheme="minorHAnsi" w:cstheme="minorHAnsi"/>
          <w:color w:val="FF0000"/>
          <w:sz w:val="24"/>
          <w:szCs w:val="24"/>
        </w:rPr>
        <w:t>Tato tabulka vymezí veškeré platné obecné a tematické předběžné podmínky operačního programu</w:t>
      </w:r>
    </w:p>
    <w:p w:rsidR="007E3732" w:rsidRPr="002D2F2D" w:rsidRDefault="007E3732" w:rsidP="00BF3FE5">
      <w:pPr>
        <w:pStyle w:val="Odstavecseseznamem"/>
        <w:ind w:left="0"/>
        <w:jc w:val="both"/>
        <w:rPr>
          <w:rFonts w:asciiTheme="minorHAnsi" w:hAnsiTheme="minorHAnsi" w:cstheme="minorHAnsi"/>
          <w:color w:val="FF0000"/>
          <w:sz w:val="24"/>
          <w:szCs w:val="24"/>
        </w:rPr>
      </w:pPr>
    </w:p>
    <w:p w:rsidR="007E3732" w:rsidRPr="002B0AB9" w:rsidRDefault="007E3732" w:rsidP="007E3732">
      <w:pPr>
        <w:spacing w:after="120"/>
        <w:jc w:val="both"/>
        <w:rPr>
          <w:rFonts w:asciiTheme="minorHAnsi" w:hAnsiTheme="minorHAnsi" w:cstheme="minorHAnsi"/>
          <w:b/>
          <w:sz w:val="24"/>
          <w:szCs w:val="24"/>
        </w:rPr>
      </w:pPr>
      <w:r w:rsidRPr="002D2F2D">
        <w:rPr>
          <w:rFonts w:asciiTheme="minorHAnsi" w:hAnsiTheme="minorHAnsi" w:cstheme="minorHAnsi"/>
          <w:b/>
          <w:sz w:val="24"/>
          <w:szCs w:val="24"/>
        </w:rPr>
        <w:t>Tabulka xx: Popis opatření, která musí být provedena, aby bylo dosaženo splnění příslušných obecných předběžných podmínek</w:t>
      </w:r>
      <w:r w:rsidR="002D2F2D">
        <w:rPr>
          <w:rFonts w:asciiTheme="minorHAnsi" w:hAnsiTheme="minorHAnsi" w:cstheme="minorHAnsi"/>
          <w:b/>
          <w:sz w:val="24"/>
          <w:szCs w:val="24"/>
        </w:rPr>
        <w:t xml:space="preserve"> </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1701"/>
        <w:gridCol w:w="1701"/>
        <w:gridCol w:w="1843"/>
        <w:gridCol w:w="1843"/>
      </w:tblGrid>
      <w:tr w:rsidR="007E3732" w:rsidRPr="002B0AB9" w:rsidTr="00465E51">
        <w:trPr>
          <w:trHeight w:val="493"/>
        </w:trPr>
        <w:tc>
          <w:tcPr>
            <w:tcW w:w="2374" w:type="dxa"/>
          </w:tcPr>
          <w:p w:rsidR="007E3732" w:rsidRPr="002B0AB9" w:rsidRDefault="007E3732" w:rsidP="00465E51">
            <w:pPr>
              <w:snapToGrid w:val="0"/>
              <w:jc w:val="center"/>
              <w:rPr>
                <w:rFonts w:asciiTheme="minorHAnsi" w:hAnsiTheme="minorHAnsi" w:cstheme="minorHAnsi"/>
                <w:b/>
                <w:bCs/>
                <w:sz w:val="22"/>
                <w:szCs w:val="22"/>
              </w:rPr>
            </w:pPr>
            <w:r w:rsidRPr="002B0AB9">
              <w:rPr>
                <w:rFonts w:asciiTheme="minorHAnsi" w:hAnsiTheme="minorHAnsi" w:cstheme="minorHAnsi"/>
                <w:b/>
                <w:bCs/>
                <w:sz w:val="22"/>
                <w:szCs w:val="22"/>
              </w:rPr>
              <w:t xml:space="preserve"> Nesplněná nebo částečně splněná </w:t>
            </w:r>
            <w:r w:rsidRPr="002B0AB9">
              <w:rPr>
                <w:rFonts w:asciiTheme="minorHAnsi" w:hAnsiTheme="minorHAnsi" w:cstheme="minorHAnsi"/>
                <w:b/>
                <w:bCs/>
                <w:sz w:val="22"/>
                <w:szCs w:val="22"/>
                <w:u w:val="single"/>
              </w:rPr>
              <w:t>obecná</w:t>
            </w:r>
            <w:r w:rsidRPr="002B0AB9">
              <w:rPr>
                <w:rFonts w:asciiTheme="minorHAnsi" w:hAnsiTheme="minorHAnsi" w:cstheme="minorHAnsi"/>
                <w:b/>
                <w:bCs/>
                <w:sz w:val="22"/>
                <w:szCs w:val="22"/>
              </w:rPr>
              <w:t xml:space="preserve"> předběžná podmínka</w:t>
            </w:r>
          </w:p>
        </w:tc>
        <w:tc>
          <w:tcPr>
            <w:tcW w:w="1701" w:type="dxa"/>
          </w:tcPr>
          <w:p w:rsidR="007E3732" w:rsidRPr="002B0AB9" w:rsidRDefault="007E3732" w:rsidP="00465E51">
            <w:pPr>
              <w:snapToGrid w:val="0"/>
              <w:jc w:val="center"/>
              <w:rPr>
                <w:rFonts w:asciiTheme="minorHAnsi" w:hAnsiTheme="minorHAnsi" w:cstheme="minorHAnsi"/>
                <w:b/>
                <w:bCs/>
                <w:sz w:val="22"/>
                <w:szCs w:val="22"/>
              </w:rPr>
            </w:pPr>
          </w:p>
          <w:p w:rsidR="007E3732" w:rsidRPr="002B0AB9" w:rsidRDefault="007E3732" w:rsidP="00465E51">
            <w:pPr>
              <w:snapToGrid w:val="0"/>
              <w:jc w:val="center"/>
              <w:rPr>
                <w:rFonts w:asciiTheme="minorHAnsi" w:hAnsiTheme="minorHAnsi" w:cstheme="minorHAnsi"/>
                <w:b/>
                <w:bCs/>
                <w:sz w:val="22"/>
                <w:szCs w:val="22"/>
              </w:rPr>
            </w:pPr>
            <w:r w:rsidRPr="002B0AB9">
              <w:rPr>
                <w:rFonts w:asciiTheme="minorHAnsi" w:hAnsiTheme="minorHAnsi" w:cstheme="minorHAnsi"/>
                <w:b/>
                <w:bCs/>
                <w:sz w:val="22"/>
                <w:szCs w:val="22"/>
              </w:rPr>
              <w:t>Nesplněná kriteria</w:t>
            </w:r>
          </w:p>
        </w:tc>
        <w:tc>
          <w:tcPr>
            <w:tcW w:w="1701" w:type="dxa"/>
          </w:tcPr>
          <w:p w:rsidR="007E3732" w:rsidRPr="002B0AB9" w:rsidRDefault="007E3732" w:rsidP="00465E51">
            <w:pPr>
              <w:snapToGrid w:val="0"/>
              <w:jc w:val="center"/>
              <w:rPr>
                <w:rFonts w:asciiTheme="minorHAnsi" w:hAnsiTheme="minorHAnsi" w:cstheme="minorHAnsi"/>
                <w:b/>
                <w:bCs/>
                <w:sz w:val="22"/>
                <w:szCs w:val="22"/>
              </w:rPr>
            </w:pPr>
            <w:r w:rsidRPr="002B0AB9">
              <w:rPr>
                <w:rFonts w:asciiTheme="minorHAnsi" w:hAnsiTheme="minorHAnsi" w:cstheme="minorHAnsi"/>
                <w:b/>
                <w:bCs/>
                <w:sz w:val="22"/>
                <w:szCs w:val="22"/>
              </w:rPr>
              <w:t xml:space="preserve">Opatření, která je nutno příjmout </w:t>
            </w:r>
          </w:p>
        </w:tc>
        <w:tc>
          <w:tcPr>
            <w:tcW w:w="1843" w:type="dxa"/>
          </w:tcPr>
          <w:p w:rsidR="007E3732" w:rsidRPr="002B0AB9" w:rsidRDefault="007E3732" w:rsidP="00465E51">
            <w:pPr>
              <w:snapToGrid w:val="0"/>
              <w:jc w:val="center"/>
              <w:rPr>
                <w:rFonts w:asciiTheme="minorHAnsi" w:hAnsiTheme="minorHAnsi" w:cstheme="minorHAnsi"/>
                <w:b/>
                <w:bCs/>
                <w:sz w:val="22"/>
                <w:szCs w:val="22"/>
              </w:rPr>
            </w:pPr>
            <w:r w:rsidRPr="002B0AB9">
              <w:rPr>
                <w:rFonts w:asciiTheme="minorHAnsi" w:hAnsiTheme="minorHAnsi" w:cstheme="minorHAnsi"/>
                <w:b/>
                <w:bCs/>
                <w:sz w:val="22"/>
                <w:szCs w:val="22"/>
              </w:rPr>
              <w:t xml:space="preserve">termín splnění (datum) </w:t>
            </w:r>
          </w:p>
        </w:tc>
        <w:tc>
          <w:tcPr>
            <w:tcW w:w="1843" w:type="dxa"/>
          </w:tcPr>
          <w:p w:rsidR="007E3732" w:rsidRPr="002B0AB9" w:rsidRDefault="007E3732" w:rsidP="00465E51">
            <w:pPr>
              <w:snapToGrid w:val="0"/>
              <w:jc w:val="center"/>
              <w:rPr>
                <w:rFonts w:asciiTheme="minorHAnsi" w:hAnsiTheme="minorHAnsi" w:cstheme="minorHAnsi"/>
                <w:b/>
                <w:bCs/>
                <w:sz w:val="22"/>
                <w:szCs w:val="22"/>
              </w:rPr>
            </w:pPr>
            <w:r w:rsidRPr="002B0AB9">
              <w:rPr>
                <w:rFonts w:asciiTheme="minorHAnsi" w:hAnsiTheme="minorHAnsi" w:cstheme="minorHAnsi"/>
                <w:b/>
                <w:bCs/>
                <w:sz w:val="22"/>
                <w:szCs w:val="22"/>
              </w:rPr>
              <w:t>Orgány zodpovědné za plnění</w:t>
            </w:r>
          </w:p>
        </w:tc>
      </w:tr>
      <w:tr w:rsidR="007E3732" w:rsidRPr="002B0AB9" w:rsidTr="00465E51">
        <w:trPr>
          <w:trHeight w:val="493"/>
        </w:trPr>
        <w:tc>
          <w:tcPr>
            <w:tcW w:w="2374" w:type="dxa"/>
            <w:vMerge w:val="restart"/>
          </w:tcPr>
          <w:p w:rsidR="007E3732" w:rsidRPr="002B0AB9" w:rsidRDefault="007E3732" w:rsidP="00465E51">
            <w:pPr>
              <w:snapToGrid w:val="0"/>
              <w:jc w:val="center"/>
              <w:rPr>
                <w:rFonts w:asciiTheme="minorHAnsi" w:hAnsiTheme="minorHAnsi" w:cstheme="minorHAnsi"/>
                <w:sz w:val="22"/>
                <w:szCs w:val="22"/>
              </w:rPr>
            </w:pPr>
          </w:p>
        </w:tc>
        <w:tc>
          <w:tcPr>
            <w:tcW w:w="1701" w:type="dxa"/>
          </w:tcPr>
          <w:p w:rsidR="007E3732" w:rsidRPr="002B0AB9" w:rsidRDefault="007E3732" w:rsidP="00465E51">
            <w:pPr>
              <w:snapToGrid w:val="0"/>
              <w:jc w:val="center"/>
              <w:rPr>
                <w:rFonts w:asciiTheme="minorHAnsi" w:hAnsiTheme="minorHAnsi" w:cstheme="minorHAnsi"/>
                <w:sz w:val="22"/>
                <w:szCs w:val="22"/>
              </w:rPr>
            </w:pPr>
          </w:p>
        </w:tc>
        <w:tc>
          <w:tcPr>
            <w:tcW w:w="1701" w:type="dxa"/>
          </w:tcPr>
          <w:p w:rsidR="007E3732" w:rsidRPr="002B0AB9" w:rsidRDefault="007E3732" w:rsidP="00465E51">
            <w:pPr>
              <w:snapToGrid w:val="0"/>
              <w:jc w:val="center"/>
              <w:rPr>
                <w:rFonts w:asciiTheme="minorHAnsi" w:hAnsiTheme="minorHAnsi" w:cstheme="minorHAnsi"/>
                <w:sz w:val="22"/>
                <w:szCs w:val="22"/>
              </w:rPr>
            </w:pPr>
          </w:p>
        </w:tc>
        <w:tc>
          <w:tcPr>
            <w:tcW w:w="1843" w:type="dxa"/>
          </w:tcPr>
          <w:p w:rsidR="007E3732" w:rsidRPr="002B0AB9" w:rsidRDefault="007E3732" w:rsidP="00465E51">
            <w:pPr>
              <w:snapToGrid w:val="0"/>
              <w:jc w:val="center"/>
              <w:rPr>
                <w:rFonts w:asciiTheme="minorHAnsi" w:hAnsiTheme="minorHAnsi" w:cstheme="minorHAnsi"/>
                <w:sz w:val="22"/>
                <w:szCs w:val="22"/>
              </w:rPr>
            </w:pPr>
          </w:p>
        </w:tc>
        <w:tc>
          <w:tcPr>
            <w:tcW w:w="1843" w:type="dxa"/>
          </w:tcPr>
          <w:p w:rsidR="007E3732" w:rsidRPr="002B0AB9" w:rsidRDefault="007E3732" w:rsidP="00465E51">
            <w:pPr>
              <w:snapToGrid w:val="0"/>
              <w:jc w:val="center"/>
              <w:rPr>
                <w:rFonts w:asciiTheme="minorHAnsi" w:hAnsiTheme="minorHAnsi" w:cstheme="minorHAnsi"/>
                <w:sz w:val="22"/>
                <w:szCs w:val="22"/>
              </w:rPr>
            </w:pPr>
          </w:p>
        </w:tc>
      </w:tr>
      <w:tr w:rsidR="007E3732" w:rsidRPr="002B0AB9" w:rsidTr="00465E51">
        <w:trPr>
          <w:trHeight w:val="493"/>
        </w:trPr>
        <w:tc>
          <w:tcPr>
            <w:tcW w:w="2374" w:type="dxa"/>
            <w:vMerge/>
          </w:tcPr>
          <w:p w:rsidR="007E3732" w:rsidRPr="002B0AB9" w:rsidRDefault="007E3732" w:rsidP="00465E51">
            <w:pPr>
              <w:snapToGrid w:val="0"/>
              <w:jc w:val="center"/>
              <w:rPr>
                <w:rFonts w:asciiTheme="minorHAnsi" w:hAnsiTheme="minorHAnsi" w:cstheme="minorHAnsi"/>
                <w:sz w:val="22"/>
                <w:szCs w:val="22"/>
              </w:rPr>
            </w:pPr>
          </w:p>
        </w:tc>
        <w:tc>
          <w:tcPr>
            <w:tcW w:w="1701" w:type="dxa"/>
          </w:tcPr>
          <w:p w:rsidR="007E3732" w:rsidRPr="002B0AB9" w:rsidRDefault="007E3732" w:rsidP="00465E51">
            <w:pPr>
              <w:snapToGrid w:val="0"/>
              <w:jc w:val="center"/>
              <w:rPr>
                <w:rFonts w:asciiTheme="minorHAnsi" w:hAnsiTheme="minorHAnsi" w:cstheme="minorHAnsi"/>
                <w:sz w:val="22"/>
                <w:szCs w:val="22"/>
              </w:rPr>
            </w:pPr>
          </w:p>
        </w:tc>
        <w:tc>
          <w:tcPr>
            <w:tcW w:w="1701" w:type="dxa"/>
          </w:tcPr>
          <w:p w:rsidR="007E3732" w:rsidRPr="002B0AB9" w:rsidRDefault="007E3732" w:rsidP="00465E51">
            <w:pPr>
              <w:snapToGrid w:val="0"/>
              <w:jc w:val="center"/>
              <w:rPr>
                <w:rFonts w:asciiTheme="minorHAnsi" w:hAnsiTheme="minorHAnsi" w:cstheme="minorHAnsi"/>
                <w:sz w:val="22"/>
                <w:szCs w:val="22"/>
              </w:rPr>
            </w:pPr>
          </w:p>
        </w:tc>
        <w:tc>
          <w:tcPr>
            <w:tcW w:w="1843" w:type="dxa"/>
          </w:tcPr>
          <w:p w:rsidR="007E3732" w:rsidRPr="002B0AB9" w:rsidRDefault="007E3732" w:rsidP="00465E51">
            <w:pPr>
              <w:snapToGrid w:val="0"/>
              <w:jc w:val="center"/>
              <w:rPr>
                <w:rFonts w:asciiTheme="minorHAnsi" w:hAnsiTheme="minorHAnsi" w:cstheme="minorHAnsi"/>
                <w:sz w:val="22"/>
                <w:szCs w:val="22"/>
              </w:rPr>
            </w:pPr>
          </w:p>
        </w:tc>
        <w:tc>
          <w:tcPr>
            <w:tcW w:w="1843" w:type="dxa"/>
          </w:tcPr>
          <w:p w:rsidR="007E3732" w:rsidRPr="002B0AB9" w:rsidRDefault="007E3732" w:rsidP="00465E51">
            <w:pPr>
              <w:snapToGrid w:val="0"/>
              <w:jc w:val="center"/>
              <w:rPr>
                <w:rFonts w:asciiTheme="minorHAnsi" w:hAnsiTheme="minorHAnsi" w:cstheme="minorHAnsi"/>
                <w:sz w:val="22"/>
                <w:szCs w:val="22"/>
              </w:rPr>
            </w:pPr>
          </w:p>
        </w:tc>
      </w:tr>
    </w:tbl>
    <w:p w:rsidR="007E3732" w:rsidRDefault="002D2F2D" w:rsidP="002D2F2D">
      <w:pPr>
        <w:pStyle w:val="Odstavecseseznamem"/>
        <w:ind w:left="0"/>
        <w:jc w:val="both"/>
        <w:rPr>
          <w:rFonts w:asciiTheme="minorHAnsi" w:hAnsiTheme="minorHAnsi" w:cstheme="minorHAnsi"/>
          <w:color w:val="FF0000"/>
          <w:sz w:val="24"/>
          <w:szCs w:val="24"/>
        </w:rPr>
      </w:pPr>
      <w:r w:rsidRPr="002D2F2D">
        <w:rPr>
          <w:rFonts w:asciiTheme="minorHAnsi" w:hAnsiTheme="minorHAnsi" w:cstheme="minorHAnsi"/>
          <w:color w:val="FF0000"/>
          <w:sz w:val="24"/>
          <w:szCs w:val="24"/>
        </w:rPr>
        <w:t xml:space="preserve"> Otázka: Jsou </w:t>
      </w:r>
      <w:r>
        <w:rPr>
          <w:rFonts w:asciiTheme="minorHAnsi" w:hAnsiTheme="minorHAnsi" w:cstheme="minorHAnsi"/>
          <w:color w:val="FF0000"/>
          <w:sz w:val="24"/>
          <w:szCs w:val="24"/>
        </w:rPr>
        <w:t xml:space="preserve">obecné předběžné podmínky </w:t>
      </w:r>
      <w:r w:rsidRPr="002D2F2D">
        <w:rPr>
          <w:rFonts w:asciiTheme="minorHAnsi" w:hAnsiTheme="minorHAnsi" w:cstheme="minorHAnsi"/>
          <w:color w:val="FF0000"/>
          <w:sz w:val="24"/>
          <w:szCs w:val="24"/>
        </w:rPr>
        <w:t>relevantní pro OP PIK (MPO není jej</w:t>
      </w:r>
      <w:r>
        <w:rPr>
          <w:rFonts w:asciiTheme="minorHAnsi" w:hAnsiTheme="minorHAnsi" w:cstheme="minorHAnsi"/>
          <w:color w:val="FF0000"/>
          <w:sz w:val="24"/>
          <w:szCs w:val="24"/>
        </w:rPr>
        <w:t>ich gestorem ani spolugestorem)?</w:t>
      </w: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Default="00641EA3" w:rsidP="002D2F2D">
      <w:pPr>
        <w:pStyle w:val="Odstavecseseznamem"/>
        <w:ind w:left="0"/>
        <w:jc w:val="both"/>
        <w:rPr>
          <w:rFonts w:asciiTheme="minorHAnsi" w:hAnsiTheme="minorHAnsi" w:cstheme="minorHAnsi"/>
          <w:color w:val="FF0000"/>
          <w:sz w:val="24"/>
          <w:szCs w:val="24"/>
        </w:rPr>
      </w:pPr>
    </w:p>
    <w:p w:rsidR="00641EA3" w:rsidRPr="002D2F2D" w:rsidRDefault="00641EA3" w:rsidP="002D2F2D">
      <w:pPr>
        <w:pStyle w:val="Odstavecseseznamem"/>
        <w:ind w:left="0"/>
        <w:jc w:val="both"/>
        <w:rPr>
          <w:rFonts w:asciiTheme="minorHAnsi" w:hAnsiTheme="minorHAnsi" w:cstheme="minorHAnsi"/>
          <w:color w:val="FF0000"/>
          <w:sz w:val="24"/>
          <w:szCs w:val="24"/>
        </w:rPr>
      </w:pPr>
    </w:p>
    <w:p w:rsidR="007E3732" w:rsidRDefault="007E3732" w:rsidP="00BF3FE5">
      <w:pPr>
        <w:pStyle w:val="Odstavecseseznamem"/>
        <w:ind w:left="0"/>
        <w:jc w:val="both"/>
        <w:rPr>
          <w:rFonts w:asciiTheme="minorHAnsi" w:hAnsiTheme="minorHAnsi" w:cstheme="minorHAnsi"/>
          <w:color w:val="FF0000"/>
          <w:sz w:val="24"/>
          <w:szCs w:val="24"/>
        </w:rPr>
      </w:pPr>
    </w:p>
    <w:p w:rsidR="007E3732" w:rsidRPr="002B0AB9" w:rsidRDefault="007E3732" w:rsidP="007E3732">
      <w:pPr>
        <w:spacing w:before="60" w:after="120"/>
        <w:jc w:val="both"/>
        <w:rPr>
          <w:rFonts w:asciiTheme="minorHAnsi" w:hAnsiTheme="minorHAnsi" w:cstheme="minorHAnsi"/>
          <w:b/>
          <w:sz w:val="24"/>
          <w:szCs w:val="24"/>
        </w:rPr>
      </w:pPr>
      <w:r w:rsidRPr="002D2F2D">
        <w:rPr>
          <w:rFonts w:asciiTheme="minorHAnsi" w:hAnsiTheme="minorHAnsi" w:cstheme="minorHAnsi"/>
          <w:b/>
          <w:sz w:val="24"/>
          <w:szCs w:val="24"/>
        </w:rPr>
        <w:lastRenderedPageBreak/>
        <w:t>Tabulka xx: Popis opa</w:t>
      </w:r>
      <w:r w:rsidRPr="002B0AB9">
        <w:rPr>
          <w:rFonts w:asciiTheme="minorHAnsi" w:hAnsiTheme="minorHAnsi" w:cstheme="minorHAnsi"/>
          <w:b/>
          <w:sz w:val="24"/>
          <w:szCs w:val="24"/>
        </w:rPr>
        <w:t>tření, která musí být provedena, aby bylo dosaženo splnění příslu</w:t>
      </w:r>
      <w:r w:rsidRPr="00BF5615">
        <w:rPr>
          <w:rFonts w:asciiTheme="minorHAnsi" w:hAnsiTheme="minorHAnsi" w:cstheme="minorHAnsi"/>
          <w:b/>
          <w:sz w:val="24"/>
          <w:szCs w:val="24"/>
        </w:rPr>
        <w:t>šných tematických předběžných podmínek</w:t>
      </w:r>
    </w:p>
    <w:p w:rsidR="004B5A6C" w:rsidRDefault="004B5A6C" w:rsidP="00BF3FE5">
      <w:pPr>
        <w:jc w:val="both"/>
        <w:rPr>
          <w:sz w:val="24"/>
          <w:szCs w:val="24"/>
        </w:rPr>
      </w:pPr>
    </w:p>
    <w:tbl>
      <w:tblPr>
        <w:tblW w:w="14120" w:type="dxa"/>
        <w:tblInd w:w="55" w:type="dxa"/>
        <w:tblCellMar>
          <w:left w:w="70" w:type="dxa"/>
          <w:right w:w="70" w:type="dxa"/>
        </w:tblCellMar>
        <w:tblLook w:val="04A0"/>
      </w:tblPr>
      <w:tblGrid>
        <w:gridCol w:w="3280"/>
        <w:gridCol w:w="3400"/>
        <w:gridCol w:w="4200"/>
        <w:gridCol w:w="1600"/>
        <w:gridCol w:w="1640"/>
      </w:tblGrid>
      <w:tr w:rsidR="007E3732" w:rsidRPr="007E3732" w:rsidTr="007E3732">
        <w:trPr>
          <w:trHeight w:val="915"/>
        </w:trPr>
        <w:tc>
          <w:tcPr>
            <w:tcW w:w="3280" w:type="dxa"/>
            <w:tcBorders>
              <w:top w:val="single" w:sz="8" w:space="0" w:color="auto"/>
              <w:left w:val="single" w:sz="8" w:space="0" w:color="auto"/>
              <w:bottom w:val="single" w:sz="8" w:space="0" w:color="auto"/>
              <w:right w:val="double" w:sz="6" w:space="0" w:color="auto"/>
            </w:tcBorders>
            <w:shd w:val="clear" w:color="000000" w:fill="B8CCE4"/>
            <w:vAlign w:val="center"/>
            <w:hideMark/>
          </w:tcPr>
          <w:p w:rsidR="007E3732" w:rsidRPr="007E3732" w:rsidRDefault="007E3732" w:rsidP="007E3732">
            <w:pPr>
              <w:overflowPunct/>
              <w:autoSpaceDE/>
              <w:autoSpaceDN/>
              <w:adjustRightInd/>
              <w:jc w:val="center"/>
              <w:textAlignment w:val="auto"/>
              <w:rPr>
                <w:rFonts w:ascii="Calibri" w:hAnsi="Calibri" w:cs="Calibri"/>
                <w:b/>
                <w:bCs/>
                <w:sz w:val="22"/>
                <w:szCs w:val="22"/>
              </w:rPr>
            </w:pPr>
            <w:r w:rsidRPr="007E3732">
              <w:rPr>
                <w:rFonts w:ascii="Calibri" w:hAnsi="Calibri" w:cs="Calibri"/>
                <w:b/>
                <w:bCs/>
                <w:sz w:val="22"/>
                <w:szCs w:val="22"/>
              </w:rPr>
              <w:t xml:space="preserve">Nesplněná nebo částečně splněná </w:t>
            </w:r>
            <w:r w:rsidRPr="007E3732">
              <w:rPr>
                <w:rFonts w:ascii="Calibri" w:hAnsi="Calibri" w:cs="Calibri"/>
                <w:b/>
                <w:bCs/>
                <w:sz w:val="22"/>
                <w:szCs w:val="22"/>
                <w:u w:val="single"/>
              </w:rPr>
              <w:t xml:space="preserve">tematická </w:t>
            </w:r>
            <w:r w:rsidRPr="007E3732">
              <w:rPr>
                <w:rFonts w:ascii="Calibri" w:hAnsi="Calibri" w:cs="Calibri"/>
                <w:b/>
                <w:bCs/>
                <w:sz w:val="22"/>
                <w:szCs w:val="22"/>
              </w:rPr>
              <w:t>předběžná podmínka</w:t>
            </w:r>
          </w:p>
        </w:tc>
        <w:tc>
          <w:tcPr>
            <w:tcW w:w="3400" w:type="dxa"/>
            <w:tcBorders>
              <w:top w:val="single" w:sz="8" w:space="0" w:color="auto"/>
              <w:left w:val="nil"/>
              <w:bottom w:val="single" w:sz="8" w:space="0" w:color="auto"/>
              <w:right w:val="double" w:sz="6" w:space="0" w:color="auto"/>
            </w:tcBorders>
            <w:shd w:val="clear" w:color="000000" w:fill="B8CCE4"/>
            <w:vAlign w:val="center"/>
            <w:hideMark/>
          </w:tcPr>
          <w:p w:rsidR="007E3732" w:rsidRPr="007E3732" w:rsidRDefault="007E3732" w:rsidP="007E3732">
            <w:pPr>
              <w:overflowPunct/>
              <w:autoSpaceDE/>
              <w:autoSpaceDN/>
              <w:adjustRightInd/>
              <w:jc w:val="center"/>
              <w:textAlignment w:val="auto"/>
              <w:rPr>
                <w:rFonts w:ascii="Calibri" w:hAnsi="Calibri" w:cs="Calibri"/>
                <w:b/>
                <w:bCs/>
                <w:sz w:val="22"/>
                <w:szCs w:val="22"/>
              </w:rPr>
            </w:pPr>
            <w:r w:rsidRPr="007E3732">
              <w:rPr>
                <w:rFonts w:ascii="Calibri" w:hAnsi="Calibri" w:cs="Calibri"/>
                <w:b/>
                <w:bCs/>
                <w:sz w:val="22"/>
                <w:szCs w:val="22"/>
              </w:rPr>
              <w:t xml:space="preserve">Nesplněná kritéria </w:t>
            </w:r>
          </w:p>
        </w:tc>
        <w:tc>
          <w:tcPr>
            <w:tcW w:w="4200" w:type="dxa"/>
            <w:tcBorders>
              <w:top w:val="single" w:sz="8" w:space="0" w:color="auto"/>
              <w:left w:val="nil"/>
              <w:bottom w:val="single" w:sz="8" w:space="0" w:color="auto"/>
              <w:right w:val="double" w:sz="6" w:space="0" w:color="auto"/>
            </w:tcBorders>
            <w:shd w:val="clear" w:color="000000" w:fill="B8CCE4"/>
            <w:vAlign w:val="center"/>
            <w:hideMark/>
          </w:tcPr>
          <w:p w:rsidR="007E3732" w:rsidRPr="007E3732" w:rsidRDefault="007E3732" w:rsidP="007E3732">
            <w:pPr>
              <w:overflowPunct/>
              <w:autoSpaceDE/>
              <w:autoSpaceDN/>
              <w:adjustRightInd/>
              <w:jc w:val="center"/>
              <w:textAlignment w:val="auto"/>
              <w:rPr>
                <w:rFonts w:ascii="Calibri" w:hAnsi="Calibri" w:cs="Calibri"/>
                <w:b/>
                <w:bCs/>
                <w:sz w:val="22"/>
                <w:szCs w:val="22"/>
              </w:rPr>
            </w:pPr>
            <w:r w:rsidRPr="007E3732">
              <w:rPr>
                <w:rFonts w:ascii="Calibri" w:hAnsi="Calibri" w:cs="Calibri"/>
                <w:b/>
                <w:bCs/>
                <w:sz w:val="22"/>
                <w:szCs w:val="22"/>
              </w:rPr>
              <w:t xml:space="preserve">Opatření, která je nutno přijmout </w:t>
            </w:r>
          </w:p>
        </w:tc>
        <w:tc>
          <w:tcPr>
            <w:tcW w:w="1600" w:type="dxa"/>
            <w:tcBorders>
              <w:top w:val="single" w:sz="8" w:space="0" w:color="auto"/>
              <w:left w:val="nil"/>
              <w:bottom w:val="single" w:sz="8" w:space="0" w:color="auto"/>
              <w:right w:val="double" w:sz="6" w:space="0" w:color="auto"/>
            </w:tcBorders>
            <w:shd w:val="clear" w:color="000000" w:fill="B8CCE4"/>
            <w:vAlign w:val="center"/>
            <w:hideMark/>
          </w:tcPr>
          <w:p w:rsidR="007E3732" w:rsidRPr="007E3732" w:rsidRDefault="007E3732" w:rsidP="007E3732">
            <w:pPr>
              <w:overflowPunct/>
              <w:autoSpaceDE/>
              <w:autoSpaceDN/>
              <w:adjustRightInd/>
              <w:jc w:val="center"/>
              <w:textAlignment w:val="auto"/>
              <w:rPr>
                <w:rFonts w:ascii="Calibri" w:hAnsi="Calibri" w:cs="Calibri"/>
                <w:b/>
                <w:bCs/>
                <w:sz w:val="22"/>
                <w:szCs w:val="22"/>
              </w:rPr>
            </w:pPr>
            <w:r w:rsidRPr="007E3732">
              <w:rPr>
                <w:rFonts w:ascii="Calibri" w:hAnsi="Calibri" w:cs="Calibri"/>
                <w:b/>
                <w:bCs/>
                <w:sz w:val="22"/>
                <w:szCs w:val="22"/>
              </w:rPr>
              <w:t>Termín splnění (datum)</w:t>
            </w:r>
          </w:p>
        </w:tc>
        <w:tc>
          <w:tcPr>
            <w:tcW w:w="1640" w:type="dxa"/>
            <w:tcBorders>
              <w:top w:val="single" w:sz="8" w:space="0" w:color="auto"/>
              <w:left w:val="nil"/>
              <w:bottom w:val="single" w:sz="8" w:space="0" w:color="auto"/>
              <w:right w:val="single" w:sz="8" w:space="0" w:color="auto"/>
            </w:tcBorders>
            <w:shd w:val="clear" w:color="000000" w:fill="B8CCE4"/>
            <w:vAlign w:val="center"/>
            <w:hideMark/>
          </w:tcPr>
          <w:p w:rsidR="007E3732" w:rsidRPr="007E3732" w:rsidRDefault="007E3732" w:rsidP="007E3732">
            <w:pPr>
              <w:overflowPunct/>
              <w:autoSpaceDE/>
              <w:autoSpaceDN/>
              <w:adjustRightInd/>
              <w:jc w:val="center"/>
              <w:textAlignment w:val="auto"/>
              <w:rPr>
                <w:rFonts w:ascii="Calibri" w:hAnsi="Calibri" w:cs="Calibri"/>
                <w:b/>
                <w:bCs/>
                <w:sz w:val="22"/>
                <w:szCs w:val="22"/>
              </w:rPr>
            </w:pPr>
            <w:r w:rsidRPr="007E3732">
              <w:rPr>
                <w:rFonts w:ascii="Calibri" w:hAnsi="Calibri" w:cs="Calibri"/>
                <w:b/>
                <w:bCs/>
                <w:sz w:val="22"/>
                <w:szCs w:val="22"/>
              </w:rPr>
              <w:t>Orgány zodpovědné za plnění</w:t>
            </w:r>
          </w:p>
        </w:tc>
      </w:tr>
      <w:tr w:rsidR="007E3732" w:rsidRPr="007E3732" w:rsidTr="007E3732">
        <w:trPr>
          <w:trHeight w:val="1275"/>
        </w:trPr>
        <w:tc>
          <w:tcPr>
            <w:tcW w:w="3280" w:type="dxa"/>
            <w:vMerge w:val="restart"/>
            <w:tcBorders>
              <w:top w:val="nil"/>
              <w:left w:val="single" w:sz="8" w:space="0" w:color="auto"/>
              <w:bottom w:val="single" w:sz="4" w:space="0" w:color="000000"/>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xml:space="preserve">1.1. Výzkum a inovace: Existence národního nebo regionálního výzkumného a inovačního strategického rámce politik pro inteligentní specializaci v souladu s národním programem reforem na podporu soukromých výdajů na výzkum a inovace. </w:t>
            </w: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Je k dispozici vnitrostátní nebo regionální strategický rámec výzkumné a inovační politiky pro inteligentní specializaci, která:</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Většina projektů SMK v gesci MPO má vazbu především na plánované intervence 2014+, vyjma 07_30,07_31,09_43 (tam realizace probíhá do 2013/2014). Předpokládáme vyjádření MŠMT.</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Průběžně do 2020</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MŠMT a MPO</w:t>
            </w:r>
          </w:p>
        </w:tc>
      </w:tr>
      <w:tr w:rsidR="007E3732" w:rsidRPr="007E3732" w:rsidTr="007E3732">
        <w:trPr>
          <w:trHeight w:val="102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je založena na SWOT nebo podobné analýze s cílem soustředit zdroje na omezený soubor priorit v oblasti výzkumu a inovací,</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Většina opatření spadající pod gesci MPO bude realizována odpovídajícími nástroji v období 2014+ a potřeby budou vycházet z dostupných aktuálních analytických dat. </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Průběžně do 2020</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MŠMT a MPO</w:t>
            </w:r>
          </w:p>
        </w:tc>
      </w:tr>
      <w:tr w:rsidR="007E3732" w:rsidRPr="007E3732" w:rsidTr="007E3732">
        <w:trPr>
          <w:trHeight w:val="765"/>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nastiňuje opatření na podporu soukromých investic v oblasti výzkumu a technického rozvoje,</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Většina opatření spadající pod gesci MPO bude realizována odpovídajícími nástroji v období 2014+ . </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Průběžně do 2020</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MŠMT a MPO</w:t>
            </w:r>
          </w:p>
        </w:tc>
      </w:tr>
      <w:tr w:rsidR="007E3732" w:rsidRPr="007E3732" w:rsidTr="007E3732">
        <w:trPr>
          <w:trHeight w:val="30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obsahuje systém monitorování.</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E736C4">
            <w:pPr>
              <w:overflowPunct/>
              <w:autoSpaceDE/>
              <w:autoSpaceDN/>
              <w:adjustRightInd/>
              <w:textAlignment w:val="auto"/>
              <w:rPr>
                <w:rFonts w:ascii="Calibri" w:hAnsi="Calibri" w:cs="Calibri"/>
              </w:rPr>
            </w:pPr>
            <w:r w:rsidRPr="007E3732">
              <w:rPr>
                <w:rFonts w:ascii="Calibri" w:hAnsi="Calibri" w:cs="Calibri"/>
              </w:rPr>
              <w:t>Předpokládám</w:t>
            </w:r>
            <w:r w:rsidR="00E736C4">
              <w:rPr>
                <w:rFonts w:ascii="Calibri" w:hAnsi="Calibri" w:cs="Calibri"/>
              </w:rPr>
              <w:t>e</w:t>
            </w:r>
            <w:r w:rsidRPr="007E3732">
              <w:rPr>
                <w:rFonts w:ascii="Calibri" w:hAnsi="Calibri" w:cs="Calibri"/>
              </w:rPr>
              <w:t xml:space="preserve"> vyjádření MŠMT.</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Průběžně do 2020</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MŠMT a MPO</w:t>
            </w:r>
          </w:p>
        </w:tc>
      </w:tr>
      <w:tr w:rsidR="007E3732" w:rsidRPr="007E3732" w:rsidTr="007E3732">
        <w:trPr>
          <w:trHeight w:val="765"/>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Byl přijat rámec, který vymezuje dostupné rozpočtové zdroje pro výzkum a inovace.</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Předpokládáme vyjádření Rady pro výzkum, vývoj a inovace.</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MŠMT a MPO / ÚV (RVVI)</w:t>
            </w:r>
          </w:p>
        </w:tc>
      </w:tr>
      <w:tr w:rsidR="007E3732" w:rsidRPr="007E3732" w:rsidTr="007E3732">
        <w:trPr>
          <w:trHeight w:val="1530"/>
        </w:trPr>
        <w:tc>
          <w:tcPr>
            <w:tcW w:w="3280" w:type="dxa"/>
            <w:tcBorders>
              <w:top w:val="nil"/>
              <w:left w:val="single" w:sz="8" w:space="0" w:color="auto"/>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xml:space="preserve">1.2. Existence víceletého plánu finančního plánování a prioritizace investic. </w:t>
            </w: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Byl přijat orientační víceletý plán pro sestavování rozpočtu a stanovování pořadí důležitosti investic souvisejících s prioritami EU a případně Evropského strategického fóra pro výzkumné infrastruktury – ESFRI.</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Předpokládáme vyjádření Rady pro výzkum, vývoj a inovace.</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MŠMT a MPO / ÚV (RVVI)</w:t>
            </w:r>
          </w:p>
        </w:tc>
      </w:tr>
      <w:tr w:rsidR="007E3732" w:rsidRPr="007E3732" w:rsidTr="007E3732">
        <w:trPr>
          <w:trHeight w:val="1530"/>
        </w:trPr>
        <w:tc>
          <w:tcPr>
            <w:tcW w:w="3280" w:type="dxa"/>
            <w:vMerge w:val="restart"/>
            <w:tcBorders>
              <w:top w:val="nil"/>
              <w:left w:val="single" w:sz="8" w:space="0" w:color="auto"/>
              <w:bottom w:val="single" w:sz="4" w:space="0" w:color="000000"/>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lastRenderedPageBreak/>
              <w:t>2.1: Digitální růst: Strategický rámec politiky pro digitální růst, jež má stimulovat poptávku po cenově dostupných, kvalitních a interoperabilních soukromých a veřejných službách v oblasti IKT a zvýšit míru jejich využívání občany, včetně zranitelných skupin, podniky a orgány veřejné správy včetně přeshraničních iniciativ</w:t>
            </w: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Je k dispozici strategický rámec politiky pro digitální růst, například v rámci vnitrostátního nebo regionálního strategického rámce inovační politiky pro inteligentní specializaci, který obsahuje:</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Vyhodnotit program ICT a strategické služby.</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2Q 2015</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w:t>
            </w:r>
          </w:p>
        </w:tc>
      </w:tr>
      <w:tr w:rsidR="007E3732" w:rsidRPr="007E3732" w:rsidTr="007E3732">
        <w:trPr>
          <w:trHeight w:val="153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sestavování rozpočtu a stanovování pořadí důležitosti opatření prostřednictvím SWOT nebo podobné analýzy provedené v souladu se srovnávacím přehledem Digitální agendy pro Evropu,</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Hodnocení výsledků analýz provázat s vyhodnocením programu ICT a strategické služby.</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2Q 2015</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w:t>
            </w:r>
          </w:p>
        </w:tc>
      </w:tr>
      <w:tr w:rsidR="007E3732" w:rsidRPr="007E3732" w:rsidTr="007E3732">
        <w:trPr>
          <w:trHeight w:val="102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měla být provedena analýza vyváženosti podpory poptávky a nabídky informačních a komunikačních technologií (IKT),</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Vyhodnotit program ICT a strategické služby.</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2Q 2015</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w:t>
            </w:r>
          </w:p>
        </w:tc>
      </w:tr>
      <w:tr w:rsidR="007E3732" w:rsidRPr="007E3732" w:rsidTr="007E3732">
        <w:trPr>
          <w:trHeight w:val="255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ukazatele umožňující měření pokroku opatření v oblastech, jako jsou počítačová gramotnost, začleňování občanů do informační společnosti, přístupnost elektronických technologií a elektronického zdravotnictví v mezích článku 168 SFEU, jež jsou v souladu s příslušnými stávajícími vnitrostátními nebo regionálními strategiemi pro jednotlivá odvětví,</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Zpracování Strategie pro zvýšení digitální gramotnosti a rozvoj elektronických dovedností občanů, jak vyplývá z opatření uvedeného v Digitálním Česku 2.</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2Q 2015</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MPSV, MŠMT</w:t>
            </w:r>
          </w:p>
        </w:tc>
      </w:tr>
      <w:tr w:rsidR="007E3732" w:rsidRPr="007E3732" w:rsidTr="007E3732">
        <w:trPr>
          <w:trHeight w:val="51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posouzení potřeb zvýšit budování kapacit v oblasti IKT.</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Vyhodnotit program ICT a strategické služby</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2Q 2015</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w:t>
            </w:r>
          </w:p>
        </w:tc>
      </w:tr>
      <w:tr w:rsidR="007E3732" w:rsidRPr="007E3732" w:rsidTr="007E3732">
        <w:trPr>
          <w:trHeight w:val="2040"/>
        </w:trPr>
        <w:tc>
          <w:tcPr>
            <w:tcW w:w="3280" w:type="dxa"/>
            <w:vMerge w:val="restart"/>
            <w:tcBorders>
              <w:top w:val="nil"/>
              <w:left w:val="single" w:sz="8" w:space="0" w:color="auto"/>
              <w:bottom w:val="single" w:sz="4" w:space="0" w:color="000000"/>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lastRenderedPageBreak/>
              <w:t>2.2. Infrastruktura přístupových sítí nové generace: Existence vnitrostátních nebo regionálních plánů přístupových sítí nové generace, které zohledňují regionální opatření k dosažení cílů EU v oblasti vysokorychlostního přístupu k internetu se zaměřením na oblasti, kde trh není schopen poskytovat otevřenou infrastrukturu za dostupnou cenu a v kvalitě v souladu s pravidly EU pro hospodářskou soutěž a státní podpory, a poskytují dostupné služby zranitelným skupinám.</w:t>
            </w: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Je vypracován vnitrostátní nebo regionální plán přístupových sítí nové generace, který obsahuje:</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RVKIS vypracuje návrh dalších opatření pro podporu výstavby NGA sítí, která se zaměří na využití veřejných zdrojů, zjednodušení administrativy spojené s výstavbou a na snížení poplatků spojených s věcnými břemeny.                    </w:t>
            </w:r>
            <w:r w:rsidRPr="007E3732">
              <w:rPr>
                <w:rFonts w:ascii="Calibri" w:hAnsi="Calibri" w:cs="Calibri"/>
              </w:rPr>
              <w:br/>
              <w:t>Zpracování Národního programu podpory projektů zaměřených na budování přístupových sítí nové generace.</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4Q 2013</w:t>
            </w:r>
            <w:r w:rsidRPr="007E3732">
              <w:rPr>
                <w:rFonts w:ascii="Calibri" w:hAnsi="Calibri" w:cs="Calibri"/>
              </w:rPr>
              <w:br/>
              <w:t>4Q 2013</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RVKIS</w:t>
            </w:r>
            <w:r w:rsidRPr="007E3732">
              <w:rPr>
                <w:rFonts w:ascii="Calibri" w:hAnsi="Calibri" w:cs="Calibri"/>
                <w:sz w:val="22"/>
                <w:szCs w:val="22"/>
              </w:rPr>
              <w:br/>
              <w:t>ČTÚ</w:t>
            </w:r>
          </w:p>
        </w:tc>
      </w:tr>
      <w:tr w:rsidR="007E3732" w:rsidRPr="007E3732" w:rsidTr="007E3732">
        <w:trPr>
          <w:trHeight w:val="1785"/>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plán investic do infrastruktury vycházející z ekonomické analýzy a zohledňující stávající infrastrukturu a zveřejněné soukromé investiční plány,</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Vyhodnocení nezbytnosti zavedení registru pasivní infrastruktury.                </w:t>
            </w:r>
            <w:r w:rsidRPr="007E3732">
              <w:rPr>
                <w:rFonts w:ascii="Calibri" w:hAnsi="Calibri" w:cs="Calibri"/>
              </w:rPr>
              <w:br/>
              <w:t>Zpracování Národního programu podpory projektů zaměřených na budování přístupových sítí nové generace s ohledem na možnosti finančních zdrojů zejména využitím prostředků získaných z aukce volných kmitočtů.</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4Q 2013</w:t>
            </w:r>
            <w:r w:rsidRPr="007E3732">
              <w:rPr>
                <w:rFonts w:ascii="Calibri" w:hAnsi="Calibri" w:cs="Calibri"/>
              </w:rPr>
              <w:br/>
              <w:t>4Q 2013</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w:t>
            </w:r>
            <w:r w:rsidRPr="007E3732">
              <w:rPr>
                <w:rFonts w:ascii="Calibri" w:hAnsi="Calibri" w:cs="Calibri"/>
                <w:sz w:val="22"/>
                <w:szCs w:val="22"/>
              </w:rPr>
              <w:br/>
              <w:t>ČTÚ</w:t>
            </w:r>
          </w:p>
        </w:tc>
      </w:tr>
      <w:tr w:rsidR="007E3732" w:rsidRPr="007E3732" w:rsidTr="007E3732">
        <w:trPr>
          <w:trHeight w:val="1275"/>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modely udržitelných investic, které posilují hospodářskou soutěž a zajišťují přístup k otevřeným, cenově dostupným, kvalitním a progresivním infrastrukturám a službám,</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Zpracování Národního programu podpory projektů zaměřených na budování přístupových sítí nové generace.</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4Q 2013</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ČTÚ</w:t>
            </w:r>
          </w:p>
        </w:tc>
      </w:tr>
      <w:tr w:rsidR="007E3732" w:rsidRPr="007E3732" w:rsidTr="007E3732">
        <w:trPr>
          <w:trHeight w:val="204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xml:space="preserve">• opatření k podnícení soukromých investic. </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RVKIS vypracuje návrh dalších opatření pro podporu výstavby NGA sítí, která se zaměří na využití veřejných zdrojů, zjednodušení administrativy spojené s výstavbou a na snížení poplatků spojených s věcnými břemeny.                   </w:t>
            </w:r>
            <w:r w:rsidRPr="007E3732">
              <w:rPr>
                <w:rFonts w:ascii="Calibri" w:hAnsi="Calibri" w:cs="Calibri"/>
              </w:rPr>
              <w:br/>
              <w:t>Zpracování Národního programu podpory projektů zaměřených na budování přístupových sítí nové generace.</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4Q 2013</w:t>
            </w:r>
            <w:r w:rsidRPr="007E3732">
              <w:rPr>
                <w:rFonts w:ascii="Calibri" w:hAnsi="Calibri" w:cs="Calibri"/>
              </w:rPr>
              <w:br/>
              <w:t>4Q 2013</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RVKIS</w:t>
            </w:r>
            <w:r w:rsidRPr="007E3732">
              <w:rPr>
                <w:rFonts w:ascii="Calibri" w:hAnsi="Calibri" w:cs="Calibri"/>
                <w:sz w:val="22"/>
                <w:szCs w:val="22"/>
              </w:rPr>
              <w:br/>
              <w:t>ČTÚ</w:t>
            </w:r>
          </w:p>
        </w:tc>
      </w:tr>
      <w:tr w:rsidR="007E3732" w:rsidRPr="007E3732" w:rsidTr="007E3732">
        <w:trPr>
          <w:trHeight w:val="300"/>
        </w:trPr>
        <w:tc>
          <w:tcPr>
            <w:tcW w:w="3280" w:type="dxa"/>
            <w:vMerge w:val="restart"/>
            <w:tcBorders>
              <w:top w:val="nil"/>
              <w:left w:val="single" w:sz="8" w:space="0" w:color="auto"/>
              <w:bottom w:val="single" w:sz="4" w:space="0" w:color="000000"/>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xml:space="preserve">3.1. Byla realizována zvláštní opatření </w:t>
            </w:r>
            <w:r w:rsidRPr="007E3732">
              <w:rPr>
                <w:rFonts w:ascii="Calibri" w:hAnsi="Calibri" w:cs="Calibri"/>
                <w:b/>
                <w:bCs/>
              </w:rPr>
              <w:lastRenderedPageBreak/>
              <w:t>k zesílení podporování podnikatelské činnosti v souladu se Small Business Act (SBA).</w:t>
            </w:r>
          </w:p>
        </w:tc>
        <w:tc>
          <w:tcPr>
            <w:tcW w:w="34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lastRenderedPageBreak/>
              <w:t>Zvláštní opatření jsou:</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Projektový záměr SMK 36</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2020</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MS / MPO</w:t>
            </w:r>
          </w:p>
        </w:tc>
      </w:tr>
      <w:tr w:rsidR="007E3732" w:rsidRPr="007E3732" w:rsidTr="007E3732">
        <w:trPr>
          <w:trHeight w:val="1530"/>
        </w:trPr>
        <w:tc>
          <w:tcPr>
            <w:tcW w:w="3280" w:type="dxa"/>
            <w:vMerge/>
            <w:tcBorders>
              <w:top w:val="nil"/>
              <w:left w:val="single" w:sz="8" w:space="0" w:color="auto"/>
              <w:bottom w:val="single" w:sz="4" w:space="0" w:color="000000"/>
              <w:right w:val="double" w:sz="6"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strike/>
              </w:rPr>
              <w:t>kontrolní mechanismus, který má zajistit provádění SBA, včetně orgánu zodpovědného za koordinaci záležitostí malých a středních podniků na různých úrovních veřejné správy („zmocněnec pro MSP“),</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strike/>
              </w:rPr>
              <w:t>Dobudování mechanismu zajišťujícího koordinaci aktivit orgánů veřejné správy a kontrolu implemetace SBA v ČR.</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2014</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MS / MPO</w:t>
            </w:r>
          </w:p>
        </w:tc>
      </w:tr>
      <w:tr w:rsidR="007E3732" w:rsidRPr="007E3732" w:rsidTr="007E3732">
        <w:trPr>
          <w:trHeight w:val="2295"/>
        </w:trPr>
        <w:tc>
          <w:tcPr>
            <w:tcW w:w="3280" w:type="dxa"/>
            <w:vMerge/>
            <w:tcBorders>
              <w:top w:val="nil"/>
              <w:left w:val="single" w:sz="8" w:space="0" w:color="auto"/>
              <w:bottom w:val="single" w:sz="4" w:space="0" w:color="000000"/>
              <w:right w:val="double" w:sz="6"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opatření zaměřená na snížení nákladů a zkrácení doby potřebných pro založení podniku,</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Domníváme se, že se jedná především o záležitost spadající do gesce MSp. - obchodní rejstřík, obchodní zákoník. Vyjádření viz. Rizikové PP.  Pro oblast živnostenského podnikání - zákonem č. 130/2008 Sb. došlo ke snížení nákladů na vstup do živnostenského podnikání a zkrátila se doba pro vydání dokladu o vzniku práva podnikat  (z 15 dní na 5 pracovních dní). </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Předpokládáme vyjádření MS.</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MS / MPO</w:t>
            </w:r>
          </w:p>
        </w:tc>
      </w:tr>
      <w:tr w:rsidR="007E3732" w:rsidRPr="007E3732" w:rsidTr="007E3732">
        <w:trPr>
          <w:trHeight w:val="765"/>
        </w:trPr>
        <w:tc>
          <w:tcPr>
            <w:tcW w:w="3280" w:type="dxa"/>
            <w:vMerge/>
            <w:tcBorders>
              <w:top w:val="nil"/>
              <w:left w:val="single" w:sz="8" w:space="0" w:color="auto"/>
              <w:bottom w:val="single" w:sz="4" w:space="0" w:color="000000"/>
              <w:right w:val="double" w:sz="6"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opatření ke zkrácení doby potřebné k získání licencí a povolení k zahájení a provádění konkrétní činnosti podniku.</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Vyjádření viz. Rizikové PP.</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Předpokládáme vyjádření MS.</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MS / MPO</w:t>
            </w:r>
          </w:p>
        </w:tc>
      </w:tr>
      <w:tr w:rsidR="007E3732" w:rsidRPr="007E3732" w:rsidTr="007E3732">
        <w:trPr>
          <w:trHeight w:val="4845"/>
        </w:trPr>
        <w:tc>
          <w:tcPr>
            <w:tcW w:w="3280" w:type="dxa"/>
            <w:vMerge/>
            <w:tcBorders>
              <w:top w:val="nil"/>
              <w:left w:val="single" w:sz="8" w:space="0" w:color="auto"/>
              <w:bottom w:val="single" w:sz="4" w:space="0" w:color="000000"/>
              <w:right w:val="double" w:sz="6"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strike/>
              </w:rPr>
              <w:t>mechanismus pro systematické posuzování dopadů právních předpisů na malé a střední podniky prostřednictvím „testu MSP“, případně s přihlédnutím k rozdílům ve velikosti podniků.</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strike/>
              </w:rPr>
              <w:t>Vazba na projektový záměr SMK 33. Usnesením vlády č. 922 ze dne 14.12.2011 byly schváleny novelizované Obecné zásady pro hodnocení dopadů regulace (RIA), které obsahují v části Dopady na podnikatelské prostředí citace: ,,Uvede se zejména popis očekávaných dopadů a jejich rozlišení ve vazbě na velikost podnikatelů (zejména s ohledem na osoby samostatně výdělečně činné a malé a střední podniky) a dále dopady na trh práce.” V oblasti environmentální legislativy se již nyní postupuje podle usnesení vlády č. 157 ze dne 2. března 2011. V</w:t>
            </w:r>
            <w:r w:rsidRPr="007E3732">
              <w:rPr>
                <w:rFonts w:ascii="Calibri" w:hAnsi="Calibri" w:cs="Calibri"/>
                <w:strike/>
              </w:rPr>
              <w:br/>
              <w:t>rámci projektu bude MPO sledovat dopady environmentální legislativy na konkurenceschopnost českých podniků a</w:t>
            </w:r>
            <w:r w:rsidRPr="007E3732">
              <w:rPr>
                <w:rFonts w:ascii="Calibri" w:hAnsi="Calibri" w:cs="Calibri"/>
                <w:strike/>
              </w:rPr>
              <w:br/>
              <w:t>provozovatelů služeb. Toto zjišťování se bude provádět každé 2 roky v souladu s výše uvedeným usnesením vlády. Nyní usnesení vlády č. 72/2013.</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strike/>
              </w:rPr>
              <w:t>Průběžně do 2020</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trike/>
                <w:sz w:val="22"/>
                <w:szCs w:val="22"/>
              </w:rPr>
              <w:t>MS / MPO</w:t>
            </w:r>
          </w:p>
        </w:tc>
      </w:tr>
      <w:tr w:rsidR="007E3732" w:rsidRPr="007E3732" w:rsidTr="007E3732">
        <w:trPr>
          <w:trHeight w:val="1275"/>
        </w:trPr>
        <w:tc>
          <w:tcPr>
            <w:tcW w:w="3280" w:type="dxa"/>
            <w:tcBorders>
              <w:top w:val="nil"/>
              <w:left w:val="single" w:sz="8" w:space="0" w:color="auto"/>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strike/>
              </w:rPr>
              <w:t>3.2. Provedení směrnice Evropského parlamentu a Rady 2011/7/EU ze dne 16. února 2011 o postupu proti opožděným platbám v obchodních transakcích do vnitrostátního práva.</w:t>
            </w:r>
          </w:p>
        </w:tc>
        <w:tc>
          <w:tcPr>
            <w:tcW w:w="34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strike/>
              </w:rPr>
              <w:t>Provedení směrnice do vnitrostátního práva v souladu s článkem 12 směrnice (do 16. března 2013).</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strike/>
              </w:rPr>
              <w:t>Tato problematika náleží do působnosti resortu MS.</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strike/>
              </w:rPr>
              <w:t>Očekáváme vyjádření resortu MS.</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MS</w:t>
            </w:r>
          </w:p>
        </w:tc>
      </w:tr>
      <w:tr w:rsidR="007E3732" w:rsidRPr="007E3732" w:rsidTr="007E3732">
        <w:trPr>
          <w:trHeight w:val="1275"/>
        </w:trPr>
        <w:tc>
          <w:tcPr>
            <w:tcW w:w="3280" w:type="dxa"/>
            <w:vMerge w:val="restart"/>
            <w:tcBorders>
              <w:top w:val="nil"/>
              <w:left w:val="single" w:sz="8" w:space="0" w:color="auto"/>
              <w:bottom w:val="single" w:sz="4" w:space="0" w:color="000000"/>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4.1. Byla provedena opatření na podporu nákladově efektivního zvyšování energetické účinnosti u koncového uživatele a nákladově efektivních investic do energetické účinnosti při výstavbě a renovaci budov.</w:t>
            </w: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 xml:space="preserve">Zavedená opatření k zajištění minimálních požadavků týkajících se energetické náročnosti budov v souladu s články 3, 4 a 5 směrnice 2010/31/EU, </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Přijetí prováděcích právních předpisů.</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1.4.2013</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Parlament ČR</w:t>
            </w:r>
          </w:p>
        </w:tc>
      </w:tr>
      <w:tr w:rsidR="007E3732" w:rsidRPr="007E3732" w:rsidTr="007E3732">
        <w:trPr>
          <w:trHeight w:val="510"/>
        </w:trPr>
        <w:tc>
          <w:tcPr>
            <w:tcW w:w="3280" w:type="dxa"/>
            <w:vMerge/>
            <w:tcBorders>
              <w:top w:val="nil"/>
              <w:left w:val="single" w:sz="8" w:space="0" w:color="auto"/>
              <w:bottom w:val="single" w:sz="4" w:space="0" w:color="000000"/>
              <w:right w:val="single" w:sz="4"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single" w:sz="4" w:space="0" w:color="auto"/>
              <w:right w:val="single" w:sz="4"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strike/>
              </w:rPr>
              <w:t>Realizace požadované míry renovací veřejných budov.</w:t>
            </w:r>
          </w:p>
        </w:tc>
        <w:tc>
          <w:tcPr>
            <w:tcW w:w="4200" w:type="dxa"/>
            <w:tcBorders>
              <w:top w:val="nil"/>
              <w:left w:val="double" w:sz="6" w:space="0" w:color="auto"/>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Transpozice Směrnice EP a Rady 2012/27/EU o energetické účinnosti ze dne 25. října 2012</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2014</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w:t>
            </w:r>
          </w:p>
        </w:tc>
      </w:tr>
      <w:tr w:rsidR="007E3732" w:rsidRPr="007E3732" w:rsidTr="007E3732">
        <w:trPr>
          <w:trHeight w:val="1275"/>
        </w:trPr>
        <w:tc>
          <w:tcPr>
            <w:tcW w:w="3280" w:type="dxa"/>
            <w:vMerge w:val="restart"/>
            <w:tcBorders>
              <w:top w:val="nil"/>
              <w:left w:val="single" w:sz="8" w:space="0" w:color="auto"/>
              <w:bottom w:val="single" w:sz="8" w:space="0" w:color="000000"/>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lastRenderedPageBreak/>
              <w:t>8.2. Samostatná výdělečná činnost, podnikání a zakládání firem: existence strategického rámce politiky podpory začínajících podniků přispívající k začlenění.</w:t>
            </w:r>
          </w:p>
        </w:tc>
        <w:tc>
          <w:tcPr>
            <w:tcW w:w="34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Existuje strategický rámec politiky podpory začínajících podniků přispívající k začlenění, obsahující tyto prvky:</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Zejména projektový záměr 30, 34, 35 (realizace projektu agentury CzechInvest "CzechEkoSystem" má vazbu na projekt 35). Plnění koncepce MSP se předpokládá implementací opatření v rámci OP PIK.</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2013/2020</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 a MS / MPSV</w:t>
            </w:r>
          </w:p>
        </w:tc>
      </w:tr>
      <w:tr w:rsidR="007E3732" w:rsidRPr="007E3732" w:rsidTr="007E3732">
        <w:trPr>
          <w:trHeight w:val="1020"/>
        </w:trPr>
        <w:tc>
          <w:tcPr>
            <w:tcW w:w="3280" w:type="dxa"/>
            <w:vMerge/>
            <w:tcBorders>
              <w:top w:val="nil"/>
              <w:left w:val="single" w:sz="8" w:space="0" w:color="auto"/>
              <w:bottom w:val="single" w:sz="8" w:space="0" w:color="000000"/>
              <w:right w:val="double" w:sz="6"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nil"/>
              <w:left w:val="nil"/>
              <w:bottom w:val="nil"/>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opatření zaměřená na snížení nákladů a zkrácení doby potřebných pro založení podniku</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Domníváme se, že se jedná především o záležitost spadající do gesce MSp. - obchodní rejstřík, obchodní zákoník. Vyjádření viz. Rizikové PP.</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Předpokládáme vyjádření MS. </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 a MS / MPSV</w:t>
            </w:r>
          </w:p>
        </w:tc>
      </w:tr>
      <w:tr w:rsidR="007E3732" w:rsidRPr="007E3732" w:rsidTr="007E3732">
        <w:trPr>
          <w:trHeight w:val="1020"/>
        </w:trPr>
        <w:tc>
          <w:tcPr>
            <w:tcW w:w="3280" w:type="dxa"/>
            <w:vMerge/>
            <w:tcBorders>
              <w:top w:val="nil"/>
              <w:left w:val="single" w:sz="8" w:space="0" w:color="auto"/>
              <w:bottom w:val="single" w:sz="8" w:space="0" w:color="000000"/>
              <w:right w:val="double" w:sz="6"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single" w:sz="4" w:space="0" w:color="auto"/>
              <w:left w:val="nil"/>
              <w:bottom w:val="nil"/>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opatření ke zkrácení doby potřebné k získání licencí a povolení k zahájení a provádění konkrétní činnosti podniku</w:t>
            </w:r>
          </w:p>
        </w:tc>
        <w:tc>
          <w:tcPr>
            <w:tcW w:w="42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Domníváme se, že se jedná především o záležitost spadající do gesce MSp. - obchodní rejstřík, obchodní zákoník. Vyjádření viz. Rizikové PP.</w:t>
            </w:r>
          </w:p>
        </w:tc>
        <w:tc>
          <w:tcPr>
            <w:tcW w:w="1600" w:type="dxa"/>
            <w:tcBorders>
              <w:top w:val="nil"/>
              <w:left w:val="nil"/>
              <w:bottom w:val="single" w:sz="4"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 xml:space="preserve">Předpokládáme vyjádření MS. </w:t>
            </w:r>
          </w:p>
        </w:tc>
        <w:tc>
          <w:tcPr>
            <w:tcW w:w="1640" w:type="dxa"/>
            <w:tcBorders>
              <w:top w:val="nil"/>
              <w:left w:val="nil"/>
              <w:bottom w:val="single" w:sz="4"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 a MS / MPSV</w:t>
            </w:r>
          </w:p>
        </w:tc>
      </w:tr>
      <w:tr w:rsidR="007E3732" w:rsidRPr="007E3732" w:rsidTr="007E3732">
        <w:trPr>
          <w:trHeight w:val="1290"/>
        </w:trPr>
        <w:tc>
          <w:tcPr>
            <w:tcW w:w="3280" w:type="dxa"/>
            <w:vMerge/>
            <w:tcBorders>
              <w:top w:val="nil"/>
              <w:left w:val="single" w:sz="8" w:space="0" w:color="auto"/>
              <w:bottom w:val="single" w:sz="8" w:space="0" w:color="000000"/>
              <w:right w:val="double" w:sz="6" w:space="0" w:color="auto"/>
            </w:tcBorders>
            <w:vAlign w:val="center"/>
            <w:hideMark/>
          </w:tcPr>
          <w:p w:rsidR="007E3732" w:rsidRPr="007E3732" w:rsidRDefault="007E3732" w:rsidP="007E3732">
            <w:pPr>
              <w:overflowPunct/>
              <w:autoSpaceDE/>
              <w:autoSpaceDN/>
              <w:adjustRightInd/>
              <w:textAlignment w:val="auto"/>
              <w:rPr>
                <w:rFonts w:ascii="Calibri" w:hAnsi="Calibri" w:cs="Calibri"/>
                <w:b/>
                <w:bCs/>
              </w:rPr>
            </w:pPr>
          </w:p>
        </w:tc>
        <w:tc>
          <w:tcPr>
            <w:tcW w:w="3400" w:type="dxa"/>
            <w:tcBorders>
              <w:top w:val="single" w:sz="4" w:space="0" w:color="auto"/>
              <w:left w:val="nil"/>
              <w:bottom w:val="single" w:sz="8"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b/>
                <w:bCs/>
              </w:rPr>
            </w:pPr>
            <w:r w:rsidRPr="007E3732">
              <w:rPr>
                <w:rFonts w:ascii="Calibri" w:hAnsi="Calibri" w:cs="Calibri"/>
                <w:b/>
                <w:bCs/>
              </w:rPr>
              <w:t>činnosti propojující vhodné služby pro rozvoj podnikání a finanční služby (přístup ke kapitálu), včetně případné aktivní pomoci pro znevýhodněné skupiny nebo oblasti.</w:t>
            </w:r>
          </w:p>
        </w:tc>
        <w:tc>
          <w:tcPr>
            <w:tcW w:w="4200" w:type="dxa"/>
            <w:tcBorders>
              <w:top w:val="nil"/>
              <w:left w:val="nil"/>
              <w:bottom w:val="single" w:sz="8"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Zejména projektový záměr SMK 30, 34, 35 (realizace projektu agentury CzechInvest "CzechEkoSystem" má vazbu na projekt 35). Plnění koncepce MSP se předpokládá implementací opatření v rámci OP PIK.</w:t>
            </w:r>
          </w:p>
        </w:tc>
        <w:tc>
          <w:tcPr>
            <w:tcW w:w="1600" w:type="dxa"/>
            <w:tcBorders>
              <w:top w:val="nil"/>
              <w:left w:val="nil"/>
              <w:bottom w:val="single" w:sz="8" w:space="0" w:color="auto"/>
              <w:right w:val="double" w:sz="6" w:space="0" w:color="auto"/>
            </w:tcBorders>
            <w:shd w:val="clear" w:color="000000" w:fill="F2F2F2"/>
            <w:vAlign w:val="center"/>
            <w:hideMark/>
          </w:tcPr>
          <w:p w:rsidR="007E3732" w:rsidRPr="007E3732" w:rsidRDefault="007E3732" w:rsidP="007E3732">
            <w:pPr>
              <w:overflowPunct/>
              <w:autoSpaceDE/>
              <w:autoSpaceDN/>
              <w:adjustRightInd/>
              <w:textAlignment w:val="auto"/>
              <w:rPr>
                <w:rFonts w:ascii="Calibri" w:hAnsi="Calibri" w:cs="Calibri"/>
              </w:rPr>
            </w:pPr>
            <w:r w:rsidRPr="007E3732">
              <w:rPr>
                <w:rFonts w:ascii="Calibri" w:hAnsi="Calibri" w:cs="Calibri"/>
              </w:rPr>
              <w:t>2013/2020</w:t>
            </w:r>
          </w:p>
        </w:tc>
        <w:tc>
          <w:tcPr>
            <w:tcW w:w="1640" w:type="dxa"/>
            <w:tcBorders>
              <w:top w:val="nil"/>
              <w:left w:val="nil"/>
              <w:bottom w:val="single" w:sz="8" w:space="0" w:color="auto"/>
              <w:right w:val="single" w:sz="8" w:space="0" w:color="auto"/>
            </w:tcBorders>
            <w:shd w:val="clear" w:color="000000" w:fill="F2F2F2"/>
            <w:vAlign w:val="center"/>
            <w:hideMark/>
          </w:tcPr>
          <w:p w:rsidR="007E3732" w:rsidRPr="007E3732" w:rsidRDefault="007E3732" w:rsidP="007E3732">
            <w:pPr>
              <w:overflowPunct/>
              <w:autoSpaceDE/>
              <w:autoSpaceDN/>
              <w:adjustRightInd/>
              <w:jc w:val="center"/>
              <w:textAlignment w:val="auto"/>
              <w:rPr>
                <w:rFonts w:ascii="Calibri" w:hAnsi="Calibri" w:cs="Calibri"/>
                <w:sz w:val="22"/>
                <w:szCs w:val="22"/>
              </w:rPr>
            </w:pPr>
            <w:r w:rsidRPr="007E3732">
              <w:rPr>
                <w:rFonts w:ascii="Calibri" w:hAnsi="Calibri" w:cs="Calibri"/>
                <w:sz w:val="22"/>
                <w:szCs w:val="22"/>
              </w:rPr>
              <w:t>MPO a MS / MPSV</w:t>
            </w:r>
          </w:p>
        </w:tc>
      </w:tr>
    </w:tbl>
    <w:p w:rsidR="007E3732" w:rsidRDefault="007E3732" w:rsidP="00BF3FE5">
      <w:pPr>
        <w:jc w:val="both"/>
        <w:rPr>
          <w:sz w:val="24"/>
          <w:szCs w:val="24"/>
        </w:rPr>
      </w:pPr>
    </w:p>
    <w:p w:rsidR="00BF5615" w:rsidRDefault="00BF5615" w:rsidP="004B5A6C">
      <w:pPr>
        <w:jc w:val="both"/>
        <w:rPr>
          <w:rFonts w:ascii="Arial" w:hAnsi="Arial" w:cs="Arial"/>
        </w:rPr>
      </w:pPr>
    </w:p>
    <w:p w:rsidR="00A72DFD" w:rsidRPr="00BF5615" w:rsidRDefault="00BF5615" w:rsidP="00BF5615">
      <w:pPr>
        <w:pStyle w:val="normln0"/>
        <w:rPr>
          <w:rFonts w:asciiTheme="minorHAnsi" w:hAnsiTheme="minorHAnsi" w:cstheme="minorHAnsi"/>
          <w:color w:val="FF0000"/>
          <w:sz w:val="28"/>
          <w:szCs w:val="28"/>
        </w:rPr>
      </w:pPr>
      <w:r w:rsidRPr="00BF5615">
        <w:rPr>
          <w:rFonts w:asciiTheme="minorHAnsi" w:hAnsiTheme="minorHAnsi" w:cstheme="minorHAnsi"/>
          <w:color w:val="FF0000"/>
        </w:rPr>
        <w:t>Na tomto místě budou zahrnuta veškerá nezbytná vysvětlení a dodatečné informace doplňující výše uvedené tabulky.</w:t>
      </w:r>
    </w:p>
    <w:p w:rsidR="00A72DFD" w:rsidRDefault="00A72DFD" w:rsidP="004B5A6C">
      <w:pPr>
        <w:jc w:val="both"/>
        <w:rPr>
          <w:rFonts w:ascii="Arial" w:hAnsi="Arial" w:cs="Arial"/>
          <w:sz w:val="28"/>
          <w:szCs w:val="28"/>
        </w:rPr>
      </w:pPr>
    </w:p>
    <w:p w:rsidR="00BF5615" w:rsidRDefault="00BF5615" w:rsidP="004B5A6C">
      <w:pPr>
        <w:jc w:val="both"/>
        <w:rPr>
          <w:rFonts w:ascii="Arial" w:hAnsi="Arial" w:cs="Arial"/>
          <w:sz w:val="28"/>
          <w:szCs w:val="28"/>
        </w:rPr>
        <w:sectPr w:rsidR="00BF5615" w:rsidSect="00A72DFD">
          <w:headerReference w:type="default" r:id="rId43"/>
          <w:footerReference w:type="default" r:id="rId44"/>
          <w:pgSz w:w="16838" w:h="11906" w:orient="landscape"/>
          <w:pgMar w:top="1418" w:right="1418" w:bottom="1276" w:left="1276" w:header="709" w:footer="709" w:gutter="0"/>
          <w:cols w:space="708"/>
          <w:docGrid w:linePitch="272"/>
        </w:sectPr>
      </w:pPr>
    </w:p>
    <w:p w:rsidR="009E6172" w:rsidRPr="00851D6E" w:rsidRDefault="009E6172" w:rsidP="00851D6E">
      <w:pPr>
        <w:pStyle w:val="Nadpis1"/>
      </w:pPr>
      <w:bookmarkStart w:id="161" w:name="_Toc351464442"/>
      <w:bookmarkStart w:id="162" w:name="_Toc352328409"/>
      <w:r w:rsidRPr="00851D6E">
        <w:lastRenderedPageBreak/>
        <w:t>Snižování administrativní zátěže pro příjemce</w:t>
      </w:r>
      <w:bookmarkEnd w:id="161"/>
      <w:bookmarkEnd w:id="162"/>
    </w:p>
    <w:p w:rsidR="00C5386D" w:rsidRPr="00813A80" w:rsidRDefault="00C5386D" w:rsidP="00CF0F84">
      <w:pPr>
        <w:jc w:val="both"/>
        <w:rPr>
          <w:rFonts w:ascii="Calibri" w:hAnsi="Calibri" w:cs="Calibri"/>
          <w:sz w:val="24"/>
        </w:rPr>
      </w:pPr>
    </w:p>
    <w:p w:rsidR="0008119B" w:rsidRPr="002B0AB9" w:rsidRDefault="00C5386D" w:rsidP="002B0AB9">
      <w:pPr>
        <w:overflowPunct/>
        <w:jc w:val="both"/>
        <w:textAlignment w:val="auto"/>
        <w:rPr>
          <w:rFonts w:ascii="Calibri" w:hAnsi="Calibri" w:cs="Calibri"/>
          <w:bCs/>
          <w:i/>
          <w:color w:val="FF0000"/>
          <w:sz w:val="24"/>
          <w:szCs w:val="24"/>
        </w:rPr>
      </w:pPr>
      <w:r w:rsidRPr="002B0AB9">
        <w:rPr>
          <w:rFonts w:ascii="Calibri" w:hAnsi="Calibri" w:cs="Calibri"/>
          <w:i/>
          <w:color w:val="FF0000"/>
          <w:sz w:val="24"/>
          <w:szCs w:val="24"/>
        </w:rPr>
        <w:t xml:space="preserve">…………..viz EK Draft template / </w:t>
      </w:r>
      <w:r w:rsidR="00C8254F" w:rsidRPr="002B0AB9">
        <w:rPr>
          <w:rFonts w:ascii="Calibri" w:hAnsi="Calibri" w:cs="Calibri"/>
          <w:i/>
          <w:color w:val="FF0000"/>
          <w:sz w:val="24"/>
          <w:szCs w:val="24"/>
        </w:rPr>
        <w:t xml:space="preserve">verze </w:t>
      </w:r>
      <w:r w:rsidRPr="002B0AB9">
        <w:rPr>
          <w:rFonts w:ascii="Calibri" w:hAnsi="Calibri" w:cs="Calibri"/>
          <w:i/>
          <w:color w:val="FF0000"/>
          <w:sz w:val="24"/>
          <w:szCs w:val="24"/>
        </w:rPr>
        <w:t xml:space="preserve">leden 2013 </w:t>
      </w:r>
      <w:r w:rsidR="00C8254F" w:rsidRPr="002B0AB9">
        <w:rPr>
          <w:rFonts w:ascii="Calibri" w:hAnsi="Calibri" w:cs="Calibri"/>
          <w:i/>
          <w:color w:val="FF0000"/>
          <w:sz w:val="24"/>
          <w:szCs w:val="24"/>
        </w:rPr>
        <w:t xml:space="preserve">(str. 39) a verze únor 2013 (str. 42) / </w:t>
      </w:r>
      <w:r w:rsidR="00C8254F" w:rsidRPr="002B0AB9">
        <w:rPr>
          <w:rFonts w:ascii="Calibri" w:hAnsi="Calibri" w:cs="Calibri"/>
          <w:b/>
          <w:i/>
          <w:color w:val="FF0000"/>
          <w:sz w:val="24"/>
          <w:szCs w:val="24"/>
        </w:rPr>
        <w:t xml:space="preserve">sekce </w:t>
      </w:r>
      <w:smartTag w:uri="urn:schemas-microsoft-com:office:smarttags" w:element="metricconverter">
        <w:smartTagPr>
          <w:attr w:name="ProductID" w:val="11 a"/>
        </w:smartTagPr>
        <w:r w:rsidR="00C8254F" w:rsidRPr="002B0AB9">
          <w:rPr>
            <w:rFonts w:ascii="Calibri" w:hAnsi="Calibri" w:cs="Calibri"/>
            <w:b/>
            <w:i/>
            <w:color w:val="FF0000"/>
            <w:sz w:val="24"/>
            <w:szCs w:val="24"/>
          </w:rPr>
          <w:t>11</w:t>
        </w:r>
        <w:r w:rsidR="00C8254F" w:rsidRPr="002B0AB9">
          <w:rPr>
            <w:rFonts w:ascii="Calibri" w:hAnsi="Calibri" w:cs="Calibri"/>
            <w:i/>
            <w:color w:val="FF0000"/>
            <w:sz w:val="24"/>
            <w:szCs w:val="24"/>
          </w:rPr>
          <w:t xml:space="preserve"> a</w:t>
        </w:r>
      </w:smartTag>
      <w:r w:rsidR="00C8254F" w:rsidRPr="002B0AB9">
        <w:rPr>
          <w:rFonts w:ascii="Calibri" w:hAnsi="Calibri" w:cs="Calibri"/>
          <w:i/>
          <w:color w:val="FF0000"/>
          <w:sz w:val="24"/>
          <w:szCs w:val="24"/>
        </w:rPr>
        <w:t xml:space="preserve"> </w:t>
      </w:r>
      <w:r w:rsidR="0008119B" w:rsidRPr="002B0AB9">
        <w:rPr>
          <w:rFonts w:ascii="Calibri" w:hAnsi="Calibri" w:cs="Calibri"/>
          <w:i/>
          <w:color w:val="FF0000"/>
          <w:sz w:val="24"/>
          <w:szCs w:val="24"/>
        </w:rPr>
        <w:t>Metodika, verze 1.0</w:t>
      </w:r>
      <w:r w:rsidR="00C8254F" w:rsidRPr="002B0AB9">
        <w:rPr>
          <w:rFonts w:ascii="Calibri" w:hAnsi="Calibri" w:cs="Calibri"/>
          <w:i/>
          <w:color w:val="FF0000"/>
          <w:sz w:val="24"/>
          <w:szCs w:val="24"/>
        </w:rPr>
        <w:t xml:space="preserve"> </w:t>
      </w:r>
      <w:r w:rsidR="0008119B" w:rsidRPr="002B0AB9">
        <w:rPr>
          <w:rFonts w:ascii="Calibri" w:hAnsi="Calibri" w:cs="Calibri"/>
          <w:i/>
          <w:color w:val="FF0000"/>
          <w:sz w:val="24"/>
          <w:szCs w:val="24"/>
        </w:rPr>
        <w:t>únor 2013</w:t>
      </w:r>
      <w:r w:rsidR="00C8254F" w:rsidRPr="002B0AB9">
        <w:rPr>
          <w:rFonts w:ascii="Calibri" w:hAnsi="Calibri" w:cs="Calibri"/>
          <w:i/>
          <w:color w:val="FF0000"/>
          <w:sz w:val="24"/>
          <w:szCs w:val="24"/>
        </w:rPr>
        <w:t xml:space="preserve"> / </w:t>
      </w:r>
      <w:r w:rsidR="0008119B" w:rsidRPr="002B0AB9">
        <w:rPr>
          <w:rFonts w:ascii="Calibri" w:hAnsi="Calibri" w:cs="Calibri"/>
          <w:b/>
          <w:i/>
          <w:color w:val="FF0000"/>
          <w:sz w:val="24"/>
          <w:szCs w:val="24"/>
        </w:rPr>
        <w:t>kap. 7.11</w:t>
      </w:r>
      <w:r w:rsidR="00C8254F" w:rsidRPr="002B0AB9">
        <w:rPr>
          <w:rFonts w:ascii="Calibri" w:hAnsi="Calibri" w:cs="Calibri"/>
          <w:i/>
          <w:color w:val="FF0000"/>
          <w:sz w:val="24"/>
          <w:szCs w:val="24"/>
        </w:rPr>
        <w:t xml:space="preserve"> / </w:t>
      </w:r>
      <w:r w:rsidR="0008119B" w:rsidRPr="002B0AB9">
        <w:rPr>
          <w:rFonts w:ascii="Calibri" w:hAnsi="Calibri" w:cs="Calibri"/>
          <w:i/>
          <w:color w:val="FF0000"/>
          <w:sz w:val="24"/>
          <w:szCs w:val="24"/>
        </w:rPr>
        <w:t>str. 111-112</w:t>
      </w:r>
    </w:p>
    <w:p w:rsidR="00C5386D" w:rsidRPr="002B0AB9" w:rsidRDefault="00C5386D" w:rsidP="002B0AB9">
      <w:pPr>
        <w:overflowPunct/>
        <w:jc w:val="both"/>
        <w:textAlignment w:val="auto"/>
        <w:rPr>
          <w:rFonts w:ascii="Calibri" w:hAnsi="Calibri" w:cs="Calibri"/>
          <w:sz w:val="24"/>
          <w:szCs w:val="24"/>
        </w:rPr>
      </w:pPr>
    </w:p>
    <w:p w:rsidR="004917E9" w:rsidRPr="002B0AB9" w:rsidRDefault="00A448F1" w:rsidP="002B0AB9">
      <w:pPr>
        <w:pStyle w:val="TextNOK"/>
        <w:spacing w:line="240" w:lineRule="auto"/>
        <w:rPr>
          <w:rFonts w:asciiTheme="minorHAnsi" w:hAnsiTheme="minorHAnsi" w:cstheme="minorHAnsi"/>
          <w:color w:val="FF0000"/>
          <w:sz w:val="24"/>
          <w:szCs w:val="24"/>
          <w:highlight w:val="yellow"/>
        </w:rPr>
      </w:pPr>
      <w:r w:rsidRPr="002B0AB9">
        <w:rPr>
          <w:rFonts w:asciiTheme="minorHAnsi" w:hAnsiTheme="minorHAnsi" w:cstheme="minorHAnsi"/>
          <w:color w:val="FF0000"/>
          <w:sz w:val="24"/>
          <w:szCs w:val="24"/>
        </w:rPr>
        <w:t>Bude řešeno v další fázi tvorby operačního programu.</w:t>
      </w:r>
    </w:p>
    <w:p w:rsidR="00813A80" w:rsidRPr="00022228" w:rsidRDefault="00813A80" w:rsidP="00821D0D">
      <w:pPr>
        <w:pStyle w:val="TextNOK"/>
        <w:spacing w:line="240" w:lineRule="auto"/>
        <w:rPr>
          <w:rFonts w:ascii="Times New Roman" w:hAnsi="Times New Roman"/>
          <w:b/>
          <w:sz w:val="24"/>
          <w:szCs w:val="24"/>
        </w:rPr>
      </w:pPr>
      <w:r w:rsidRPr="002D2F2D">
        <w:rPr>
          <w:rFonts w:ascii="Times New Roman" w:hAnsi="Times New Roman"/>
          <w:b/>
          <w:sz w:val="24"/>
          <w:szCs w:val="24"/>
        </w:rPr>
        <w:t xml:space="preserve">Tabulka </w:t>
      </w:r>
      <w:r w:rsidR="002B0AB9" w:rsidRPr="002D2F2D">
        <w:rPr>
          <w:rFonts w:ascii="Times New Roman" w:hAnsi="Times New Roman"/>
          <w:b/>
          <w:sz w:val="24"/>
          <w:szCs w:val="24"/>
        </w:rPr>
        <w:t>xx</w:t>
      </w:r>
      <w:r w:rsidRPr="002D2F2D">
        <w:rPr>
          <w:rFonts w:ascii="Times New Roman" w:hAnsi="Times New Roman"/>
          <w:b/>
          <w:sz w:val="24"/>
          <w:szCs w:val="24"/>
        </w:rPr>
        <w:t>: Hlavní plá</w:t>
      </w:r>
      <w:r w:rsidRPr="00022228">
        <w:rPr>
          <w:rFonts w:ascii="Times New Roman" w:hAnsi="Times New Roman"/>
          <w:b/>
          <w:sz w:val="24"/>
          <w:szCs w:val="24"/>
        </w:rPr>
        <w:t>novaná opatření s účelem snížení administrativní zátěže pro př</w:t>
      </w:r>
      <w:r w:rsidR="00022228">
        <w:rPr>
          <w:rFonts w:ascii="Times New Roman" w:hAnsi="Times New Roman"/>
          <w:b/>
          <w:sz w:val="24"/>
          <w:szCs w:val="24"/>
        </w:rPr>
        <w:t>í</w:t>
      </w:r>
      <w:r w:rsidRPr="00022228">
        <w:rPr>
          <w:rFonts w:ascii="Times New Roman" w:hAnsi="Times New Roman"/>
          <w:b/>
          <w:sz w:val="24"/>
          <w:szCs w:val="24"/>
        </w:rPr>
        <w:t>jemce s indikativním časovým plánem a očekávanými výsledky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2320"/>
        <w:gridCol w:w="2320"/>
        <w:gridCol w:w="2320"/>
      </w:tblGrid>
      <w:tr w:rsidR="00813A80" w:rsidRPr="00022228">
        <w:tc>
          <w:tcPr>
            <w:tcW w:w="2320" w:type="dxa"/>
            <w:shd w:val="clear" w:color="auto" w:fill="auto"/>
          </w:tcPr>
          <w:p w:rsidR="00813A80" w:rsidRPr="00022228" w:rsidRDefault="00813A80" w:rsidP="00813A80">
            <w:pPr>
              <w:pStyle w:val="TextNOK"/>
              <w:spacing w:after="0" w:line="240" w:lineRule="auto"/>
              <w:jc w:val="center"/>
              <w:rPr>
                <w:rFonts w:ascii="Times New Roman" w:hAnsi="Times New Roman"/>
                <w:b/>
                <w:sz w:val="22"/>
              </w:rPr>
            </w:pPr>
            <w:r w:rsidRPr="00022228">
              <w:rPr>
                <w:rFonts w:ascii="Times New Roman" w:hAnsi="Times New Roman"/>
                <w:b/>
                <w:sz w:val="22"/>
              </w:rPr>
              <w:t>Plánovaná opatření</w:t>
            </w:r>
          </w:p>
        </w:tc>
        <w:tc>
          <w:tcPr>
            <w:tcW w:w="2320" w:type="dxa"/>
            <w:shd w:val="clear" w:color="auto" w:fill="auto"/>
          </w:tcPr>
          <w:p w:rsidR="00813A80" w:rsidRPr="00022228" w:rsidRDefault="00813A80" w:rsidP="00813A80">
            <w:pPr>
              <w:pStyle w:val="TextNOK"/>
              <w:spacing w:after="0" w:line="240" w:lineRule="auto"/>
              <w:jc w:val="center"/>
              <w:rPr>
                <w:rFonts w:ascii="Times New Roman" w:hAnsi="Times New Roman"/>
                <w:b/>
                <w:sz w:val="22"/>
              </w:rPr>
            </w:pPr>
            <w:r w:rsidRPr="00022228">
              <w:rPr>
                <w:rFonts w:ascii="Times New Roman" w:hAnsi="Times New Roman"/>
                <w:b/>
                <w:sz w:val="22"/>
              </w:rPr>
              <w:t>Očekávané výsledky</w:t>
            </w:r>
          </w:p>
        </w:tc>
        <w:tc>
          <w:tcPr>
            <w:tcW w:w="4640" w:type="dxa"/>
            <w:gridSpan w:val="2"/>
            <w:shd w:val="clear" w:color="auto" w:fill="auto"/>
          </w:tcPr>
          <w:p w:rsidR="00813A80" w:rsidRPr="00022228" w:rsidRDefault="00813A80" w:rsidP="00813A80">
            <w:pPr>
              <w:pStyle w:val="TextNOK"/>
              <w:spacing w:after="0" w:line="240" w:lineRule="auto"/>
              <w:jc w:val="center"/>
              <w:rPr>
                <w:rFonts w:ascii="Times New Roman" w:hAnsi="Times New Roman"/>
                <w:b/>
                <w:sz w:val="22"/>
              </w:rPr>
            </w:pPr>
            <w:r w:rsidRPr="00022228">
              <w:rPr>
                <w:rFonts w:ascii="Times New Roman" w:hAnsi="Times New Roman"/>
                <w:b/>
                <w:sz w:val="22"/>
              </w:rPr>
              <w:t>Indikativní časový plán</w:t>
            </w:r>
          </w:p>
          <w:p w:rsidR="00813A80" w:rsidRPr="00022228" w:rsidRDefault="00813A80" w:rsidP="00813A80">
            <w:pPr>
              <w:pStyle w:val="TextNOK"/>
              <w:spacing w:after="0" w:line="240" w:lineRule="auto"/>
              <w:jc w:val="center"/>
              <w:rPr>
                <w:rFonts w:ascii="Times New Roman" w:hAnsi="Times New Roman"/>
                <w:b/>
                <w:sz w:val="22"/>
              </w:rPr>
            </w:pPr>
            <w:r w:rsidRPr="00022228">
              <w:rPr>
                <w:rFonts w:ascii="Times New Roman" w:hAnsi="Times New Roman"/>
                <w:b/>
                <w:sz w:val="22"/>
              </w:rPr>
              <w:t>(datum začátku a konce)</w:t>
            </w:r>
          </w:p>
        </w:tc>
      </w:tr>
      <w:tr w:rsidR="00813A80" w:rsidRPr="00022228">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r>
      <w:tr w:rsidR="00813A80" w:rsidRPr="00022228">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r>
      <w:tr w:rsidR="00813A80" w:rsidRPr="00022228">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c>
          <w:tcPr>
            <w:tcW w:w="2320" w:type="dxa"/>
            <w:shd w:val="clear" w:color="auto" w:fill="auto"/>
          </w:tcPr>
          <w:p w:rsidR="00813A80" w:rsidRPr="00022228" w:rsidRDefault="00813A80" w:rsidP="00E760B8">
            <w:pPr>
              <w:pStyle w:val="TextNOK"/>
              <w:jc w:val="center"/>
              <w:rPr>
                <w:rFonts w:ascii="Times New Roman" w:hAnsi="Times New Roman"/>
                <w:szCs w:val="20"/>
              </w:rPr>
            </w:pPr>
          </w:p>
        </w:tc>
      </w:tr>
    </w:tbl>
    <w:p w:rsidR="00A22C63" w:rsidRDefault="00A22C63" w:rsidP="00813A80">
      <w:pPr>
        <w:overflowPunct/>
        <w:jc w:val="both"/>
        <w:textAlignment w:val="auto"/>
        <w:rPr>
          <w:sz w:val="24"/>
          <w:szCs w:val="24"/>
        </w:rPr>
      </w:pPr>
    </w:p>
    <w:p w:rsidR="00813A80" w:rsidRPr="002B0AB9" w:rsidRDefault="00813A80" w:rsidP="00813A80">
      <w:pPr>
        <w:overflowPunct/>
        <w:jc w:val="both"/>
        <w:textAlignment w:val="auto"/>
        <w:rPr>
          <w:rFonts w:asciiTheme="minorHAnsi" w:hAnsiTheme="minorHAnsi" w:cstheme="minorHAnsi"/>
          <w:color w:val="FF0000"/>
          <w:sz w:val="24"/>
          <w:szCs w:val="24"/>
        </w:rPr>
      </w:pPr>
      <w:r w:rsidRPr="002B0AB9">
        <w:rPr>
          <w:rFonts w:asciiTheme="minorHAnsi" w:hAnsiTheme="minorHAnsi" w:cstheme="minorHAnsi"/>
          <w:color w:val="FF0000"/>
          <w:sz w:val="24"/>
          <w:szCs w:val="24"/>
        </w:rPr>
        <w:t xml:space="preserve">Snižování administrativní zátěže pro příjemce bude nastaveno v souladu s </w:t>
      </w:r>
      <w:r w:rsidRPr="002B0AB9">
        <w:rPr>
          <w:rFonts w:asciiTheme="minorHAnsi" w:hAnsiTheme="minorHAnsi" w:cstheme="minorHAnsi"/>
          <w:color w:val="FF0000"/>
          <w:sz w:val="24"/>
          <w:szCs w:val="24"/>
          <w:u w:color="000000"/>
        </w:rPr>
        <w:t xml:space="preserve">usnesením vlády </w:t>
      </w:r>
      <w:r w:rsidRPr="002B0AB9">
        <w:rPr>
          <w:rFonts w:asciiTheme="minorHAnsi" w:hAnsiTheme="minorHAnsi" w:cstheme="minorHAnsi"/>
          <w:color w:val="FF0000"/>
          <w:sz w:val="24"/>
          <w:szCs w:val="24"/>
        </w:rPr>
        <w:t xml:space="preserve">ČR </w:t>
      </w:r>
      <w:r w:rsidRPr="002B0AB9">
        <w:rPr>
          <w:rFonts w:asciiTheme="minorHAnsi" w:hAnsiTheme="minorHAnsi" w:cstheme="minorHAnsi"/>
          <w:color w:val="FF0000"/>
          <w:sz w:val="24"/>
          <w:szCs w:val="24"/>
          <w:u w:color="000000"/>
        </w:rPr>
        <w:t xml:space="preserve">ze dne 21. března 2012 č. 184 </w:t>
      </w:r>
      <w:r w:rsidRPr="002B0AB9">
        <w:rPr>
          <w:rFonts w:asciiTheme="minorHAnsi" w:hAnsiTheme="minorHAnsi" w:cstheme="minorHAnsi"/>
          <w:color w:val="FF0000"/>
          <w:sz w:val="24"/>
          <w:szCs w:val="24"/>
        </w:rPr>
        <w:t>o doporučeních ke zjednodušení administrativní zátěže pro žadatele a příjemce při čerpání finančních prostředků z fondů Evropské unie v programovém období</w:t>
      </w:r>
      <w:r w:rsidRPr="002B0AB9">
        <w:rPr>
          <w:rFonts w:asciiTheme="minorHAnsi" w:hAnsiTheme="minorHAnsi" w:cstheme="minorHAnsi"/>
          <w:color w:val="FF0000"/>
          <w:sz w:val="24"/>
          <w:szCs w:val="24"/>
          <w:u w:color="000000"/>
        </w:rPr>
        <w:t xml:space="preserve"> </w:t>
      </w:r>
      <w:r w:rsidRPr="002B0AB9">
        <w:rPr>
          <w:rFonts w:asciiTheme="minorHAnsi" w:hAnsiTheme="minorHAnsi" w:cstheme="minorHAnsi"/>
          <w:color w:val="FF0000"/>
          <w:sz w:val="24"/>
          <w:szCs w:val="24"/>
        </w:rPr>
        <w:t>2014–2020</w:t>
      </w:r>
      <w:r w:rsidR="004917E9" w:rsidRPr="002B0AB9">
        <w:rPr>
          <w:rFonts w:asciiTheme="minorHAnsi" w:hAnsiTheme="minorHAnsi" w:cstheme="minorHAnsi"/>
          <w:color w:val="FF0000"/>
          <w:sz w:val="24"/>
          <w:szCs w:val="24"/>
        </w:rPr>
        <w:t>.</w:t>
      </w:r>
    </w:p>
    <w:p w:rsidR="009E6172" w:rsidRPr="00851D6E" w:rsidRDefault="009E6172" w:rsidP="00851D6E">
      <w:pPr>
        <w:pStyle w:val="Nadpis1"/>
      </w:pPr>
      <w:bookmarkStart w:id="163" w:name="_Toc351464443"/>
      <w:bookmarkStart w:id="164" w:name="_Toc352328410"/>
      <w:r w:rsidRPr="00851D6E">
        <w:lastRenderedPageBreak/>
        <w:t>Horizontální principy</w:t>
      </w:r>
      <w:bookmarkEnd w:id="163"/>
      <w:bookmarkEnd w:id="164"/>
    </w:p>
    <w:p w:rsidR="00851C7E" w:rsidRPr="004731D0" w:rsidRDefault="00851C7E" w:rsidP="00851C7E">
      <w:pPr>
        <w:overflowPunct/>
        <w:jc w:val="both"/>
        <w:textAlignment w:val="auto"/>
        <w:rPr>
          <w:rFonts w:ascii="Calibri" w:hAnsi="Calibri" w:cs="Calibri"/>
          <w:b/>
          <w:bCs/>
          <w:sz w:val="28"/>
          <w:szCs w:val="28"/>
        </w:rPr>
      </w:pPr>
    </w:p>
    <w:p w:rsidR="0008119B" w:rsidRPr="002B0AB9" w:rsidRDefault="00CB2B83" w:rsidP="00C60681">
      <w:pPr>
        <w:overflowPunct/>
        <w:jc w:val="both"/>
        <w:textAlignment w:val="auto"/>
        <w:rPr>
          <w:rFonts w:ascii="Calibri" w:hAnsi="Calibri" w:cs="Calibri"/>
          <w:bCs/>
          <w:i/>
          <w:color w:val="FF0000"/>
          <w:sz w:val="24"/>
          <w:szCs w:val="24"/>
        </w:rPr>
      </w:pPr>
      <w:r w:rsidRPr="00C52CB9">
        <w:rPr>
          <w:rFonts w:ascii="Calibri" w:hAnsi="Calibri" w:cs="Calibri"/>
          <w:i/>
          <w:color w:val="FF0000"/>
        </w:rPr>
        <w:t>.</w:t>
      </w:r>
      <w:r w:rsidRPr="002B0AB9">
        <w:rPr>
          <w:rFonts w:ascii="Calibri" w:hAnsi="Calibri" w:cs="Calibri"/>
          <w:i/>
          <w:color w:val="FF0000"/>
          <w:sz w:val="24"/>
          <w:szCs w:val="24"/>
        </w:rPr>
        <w:t>.......</w:t>
      </w:r>
      <w:r w:rsidR="00851C7E" w:rsidRPr="002B0AB9">
        <w:rPr>
          <w:rFonts w:ascii="Calibri" w:hAnsi="Calibri" w:cs="Calibri"/>
          <w:i/>
          <w:color w:val="FF0000"/>
          <w:sz w:val="24"/>
          <w:szCs w:val="24"/>
        </w:rPr>
        <w:t xml:space="preserve">viz EK Draft template / </w:t>
      </w:r>
      <w:r w:rsidR="00C8254F" w:rsidRPr="002B0AB9">
        <w:rPr>
          <w:rFonts w:ascii="Calibri" w:hAnsi="Calibri" w:cs="Calibri"/>
          <w:i/>
          <w:color w:val="FF0000"/>
          <w:sz w:val="24"/>
          <w:szCs w:val="24"/>
        </w:rPr>
        <w:t xml:space="preserve">verze </w:t>
      </w:r>
      <w:r w:rsidR="00851C7E" w:rsidRPr="002B0AB9">
        <w:rPr>
          <w:rFonts w:ascii="Calibri" w:hAnsi="Calibri" w:cs="Calibri"/>
          <w:i/>
          <w:color w:val="FF0000"/>
          <w:sz w:val="24"/>
          <w:szCs w:val="24"/>
        </w:rPr>
        <w:t xml:space="preserve">leden 2013 </w:t>
      </w:r>
      <w:r w:rsidR="00C8254F" w:rsidRPr="002B0AB9">
        <w:rPr>
          <w:rFonts w:ascii="Calibri" w:hAnsi="Calibri" w:cs="Calibri"/>
          <w:i/>
          <w:color w:val="FF0000"/>
          <w:sz w:val="24"/>
          <w:szCs w:val="24"/>
        </w:rPr>
        <w:t xml:space="preserve">(str. 40 – 41) a verze únor 2013 (str. 43 – 45) / </w:t>
      </w:r>
      <w:r w:rsidR="00851C7E" w:rsidRPr="002B0AB9">
        <w:rPr>
          <w:rFonts w:ascii="Calibri" w:hAnsi="Calibri" w:cs="Calibri"/>
          <w:b/>
          <w:i/>
          <w:color w:val="FF0000"/>
          <w:sz w:val="24"/>
          <w:szCs w:val="24"/>
        </w:rPr>
        <w:t xml:space="preserve">sekce </w:t>
      </w:r>
      <w:smartTag w:uri="urn:schemas-microsoft-com:office:smarttags" w:element="metricconverter">
        <w:smartTagPr>
          <w:attr w:name="ProductID" w:val="12 a"/>
        </w:smartTagPr>
        <w:r w:rsidR="00851C7E" w:rsidRPr="002B0AB9">
          <w:rPr>
            <w:rFonts w:ascii="Calibri" w:hAnsi="Calibri" w:cs="Calibri"/>
            <w:b/>
            <w:i/>
            <w:color w:val="FF0000"/>
            <w:sz w:val="24"/>
            <w:szCs w:val="24"/>
          </w:rPr>
          <w:t>12</w:t>
        </w:r>
        <w:r w:rsidR="00C8254F" w:rsidRPr="002B0AB9">
          <w:rPr>
            <w:rFonts w:ascii="Calibri" w:hAnsi="Calibri" w:cs="Calibri"/>
            <w:i/>
            <w:color w:val="FF0000"/>
            <w:sz w:val="24"/>
            <w:szCs w:val="24"/>
          </w:rPr>
          <w:t xml:space="preserve"> a</w:t>
        </w:r>
      </w:smartTag>
      <w:r w:rsidR="00C8254F" w:rsidRPr="002B0AB9">
        <w:rPr>
          <w:rFonts w:ascii="Calibri" w:hAnsi="Calibri" w:cs="Calibri"/>
          <w:i/>
          <w:color w:val="FF0000"/>
          <w:sz w:val="24"/>
          <w:szCs w:val="24"/>
        </w:rPr>
        <w:t xml:space="preserve"> </w:t>
      </w:r>
      <w:r w:rsidR="0008119B" w:rsidRPr="002B0AB9">
        <w:rPr>
          <w:rFonts w:ascii="Calibri" w:hAnsi="Calibri" w:cs="Calibri"/>
          <w:i/>
          <w:color w:val="FF0000"/>
          <w:sz w:val="24"/>
          <w:szCs w:val="24"/>
        </w:rPr>
        <w:t>Metodika, verze 1.0</w:t>
      </w:r>
      <w:r w:rsidR="00C8254F" w:rsidRPr="002B0AB9">
        <w:rPr>
          <w:rFonts w:ascii="Calibri" w:hAnsi="Calibri" w:cs="Calibri"/>
          <w:i/>
          <w:color w:val="FF0000"/>
          <w:sz w:val="24"/>
          <w:szCs w:val="24"/>
        </w:rPr>
        <w:t xml:space="preserve"> </w:t>
      </w:r>
      <w:r w:rsidR="0008119B" w:rsidRPr="002B0AB9">
        <w:rPr>
          <w:rFonts w:ascii="Calibri" w:hAnsi="Calibri" w:cs="Calibri"/>
          <w:i/>
          <w:color w:val="FF0000"/>
          <w:sz w:val="24"/>
          <w:szCs w:val="24"/>
        </w:rPr>
        <w:t>únor 2013</w:t>
      </w:r>
      <w:r w:rsidR="00C8254F" w:rsidRPr="002B0AB9">
        <w:rPr>
          <w:rFonts w:ascii="Calibri" w:hAnsi="Calibri" w:cs="Calibri"/>
          <w:i/>
          <w:color w:val="FF0000"/>
          <w:sz w:val="24"/>
          <w:szCs w:val="24"/>
        </w:rPr>
        <w:t xml:space="preserve"> / </w:t>
      </w:r>
      <w:r w:rsidR="0008119B" w:rsidRPr="002B0AB9">
        <w:rPr>
          <w:rFonts w:ascii="Calibri" w:hAnsi="Calibri" w:cs="Calibri"/>
          <w:b/>
          <w:i/>
          <w:color w:val="FF0000"/>
          <w:sz w:val="24"/>
          <w:szCs w:val="24"/>
        </w:rPr>
        <w:t>kap. 7.12</w:t>
      </w:r>
      <w:r w:rsidR="00C8254F" w:rsidRPr="002B0AB9">
        <w:rPr>
          <w:rFonts w:ascii="Calibri" w:hAnsi="Calibri" w:cs="Calibri"/>
          <w:i/>
          <w:color w:val="FF0000"/>
          <w:sz w:val="24"/>
          <w:szCs w:val="24"/>
        </w:rPr>
        <w:t xml:space="preserve"> / </w:t>
      </w:r>
      <w:r w:rsidR="0008119B" w:rsidRPr="002B0AB9">
        <w:rPr>
          <w:rFonts w:ascii="Calibri" w:hAnsi="Calibri" w:cs="Calibri"/>
          <w:i/>
          <w:color w:val="FF0000"/>
          <w:sz w:val="24"/>
          <w:szCs w:val="24"/>
        </w:rPr>
        <w:t>str. 113-114</w:t>
      </w:r>
    </w:p>
    <w:p w:rsidR="00851C7E" w:rsidRPr="002B0AB9" w:rsidRDefault="00851C7E" w:rsidP="00851C7E">
      <w:pPr>
        <w:overflowPunct/>
        <w:jc w:val="both"/>
        <w:textAlignment w:val="auto"/>
        <w:rPr>
          <w:rFonts w:ascii="Calibri" w:hAnsi="Calibri" w:cs="Calibri"/>
          <w:bCs/>
          <w:i/>
          <w:color w:val="FF0000"/>
          <w:sz w:val="24"/>
          <w:szCs w:val="24"/>
        </w:rPr>
      </w:pPr>
    </w:p>
    <w:p w:rsidR="003427EC" w:rsidRDefault="003427EC" w:rsidP="00851C7E">
      <w:pPr>
        <w:overflowPunct/>
        <w:jc w:val="both"/>
        <w:textAlignment w:val="auto"/>
        <w:rPr>
          <w:rFonts w:ascii="Calibri" w:hAnsi="Calibri" w:cs="Calibri"/>
          <w:bCs/>
          <w:color w:val="FF0000"/>
          <w:sz w:val="24"/>
          <w:szCs w:val="24"/>
        </w:rPr>
      </w:pPr>
      <w:r w:rsidRPr="002B0AB9">
        <w:rPr>
          <w:rFonts w:ascii="Calibri" w:hAnsi="Calibri" w:cs="Calibri"/>
          <w:bCs/>
          <w:i/>
          <w:color w:val="FF0000"/>
          <w:sz w:val="24"/>
          <w:szCs w:val="24"/>
        </w:rPr>
        <w:t>B</w:t>
      </w:r>
      <w:r w:rsidRPr="002B0AB9">
        <w:rPr>
          <w:rFonts w:ascii="Calibri" w:hAnsi="Calibri" w:cs="Calibri"/>
          <w:bCs/>
          <w:color w:val="FF0000"/>
          <w:sz w:val="24"/>
          <w:szCs w:val="24"/>
        </w:rPr>
        <w:t>ude řešeno v další fázi tvorby operačního programu.</w:t>
      </w:r>
    </w:p>
    <w:p w:rsidR="00722EC8" w:rsidRDefault="00722EC8" w:rsidP="00851C7E">
      <w:pPr>
        <w:overflowPunct/>
        <w:jc w:val="both"/>
        <w:textAlignment w:val="auto"/>
        <w:rPr>
          <w:rFonts w:ascii="Calibri" w:hAnsi="Calibri" w:cs="Calibri"/>
          <w:bCs/>
          <w:color w:val="FF0000"/>
          <w:sz w:val="24"/>
          <w:szCs w:val="24"/>
        </w:rPr>
      </w:pPr>
    </w:p>
    <w:p w:rsidR="005C372A" w:rsidRPr="00FB794B" w:rsidRDefault="005C372A" w:rsidP="005C372A">
      <w:pPr>
        <w:overflowPunct/>
        <w:spacing w:after="120"/>
        <w:jc w:val="both"/>
        <w:textAlignment w:val="auto"/>
        <w:rPr>
          <w:rFonts w:asciiTheme="minorHAnsi" w:hAnsiTheme="minorHAnsi" w:cstheme="minorHAnsi"/>
          <w:sz w:val="24"/>
          <w:szCs w:val="24"/>
        </w:rPr>
      </w:pPr>
      <w:r>
        <w:rPr>
          <w:rFonts w:asciiTheme="minorHAnsi" w:hAnsiTheme="minorHAnsi" w:cstheme="minorHAnsi"/>
          <w:sz w:val="24"/>
          <w:szCs w:val="24"/>
        </w:rPr>
        <w:t>Horizontální témata jsou průřezové oblasti, které se prolínají operačními programy, a to jak době jejich přípravy, tak zejména v době jejich implementace. Respektování horizontálních téma</w:t>
      </w:r>
      <w:r w:rsidRPr="00120119">
        <w:rPr>
          <w:rFonts w:asciiTheme="minorHAnsi" w:hAnsiTheme="minorHAnsi" w:cstheme="minorHAnsi"/>
          <w:sz w:val="24"/>
          <w:szCs w:val="24"/>
        </w:rPr>
        <w:t xml:space="preserve">t </w:t>
      </w:r>
      <w:r>
        <w:rPr>
          <w:rFonts w:asciiTheme="minorHAnsi" w:hAnsiTheme="minorHAnsi" w:cstheme="minorHAnsi"/>
          <w:sz w:val="24"/>
          <w:szCs w:val="24"/>
        </w:rPr>
        <w:t xml:space="preserve">stanovuje </w:t>
      </w:r>
      <w:r w:rsidRPr="00FB794B">
        <w:rPr>
          <w:rFonts w:asciiTheme="minorHAnsi" w:hAnsiTheme="minorHAnsi" w:cstheme="minorHAnsi"/>
          <w:sz w:val="24"/>
          <w:szCs w:val="24"/>
        </w:rPr>
        <w:t>návrh obecného nařízení ke strukturálním fondům (čl. 7 a 8, čl. 24, čl. 87). Realizované intervence v OP PIK budou zohledňovat relevantním způsobem horizontální témata a přispívat v rámci svých specifických možností k dosažení horizontálních cílů.</w:t>
      </w:r>
    </w:p>
    <w:p w:rsidR="005C372A" w:rsidRPr="00FB794B" w:rsidRDefault="005C372A" w:rsidP="005C372A">
      <w:pPr>
        <w:overflowPunct/>
        <w:jc w:val="both"/>
        <w:textAlignment w:val="auto"/>
        <w:rPr>
          <w:rFonts w:ascii="Calibri" w:hAnsi="Calibri" w:cs="Calibri"/>
          <w:bCs/>
          <w:color w:val="FF0000"/>
          <w:sz w:val="24"/>
          <w:szCs w:val="24"/>
        </w:rPr>
      </w:pPr>
      <w:r w:rsidRPr="00FB794B">
        <w:rPr>
          <w:rFonts w:asciiTheme="minorHAnsi" w:hAnsiTheme="minorHAnsi" w:cstheme="minorHAnsi"/>
          <w:sz w:val="24"/>
          <w:szCs w:val="24"/>
        </w:rPr>
        <w:t>Každý operační program a tedy i z něho vycházející projekt by měl přispívat k naplňování uvedených horizontálních priorit. Horizontálnost priorit spočívá také v povinnosti všech žadatelů vysvětlit, jaký dopad bude mít projekt na rovné příležitosti a životní prostředí a klasifikovat ho jako zaměřený, pozitivní nebo neutrální k dané horizontální prioritě.</w:t>
      </w:r>
    </w:p>
    <w:p w:rsidR="00851C7E" w:rsidRPr="00FB794B" w:rsidRDefault="0071595D" w:rsidP="00851D6E">
      <w:pPr>
        <w:pStyle w:val="Nadpis2"/>
      </w:pPr>
      <w:bookmarkStart w:id="165" w:name="_Toc351464444"/>
      <w:bookmarkStart w:id="166" w:name="_Toc352328411"/>
      <w:r w:rsidRPr="00FB794B">
        <w:t>Udržitelný rozvoj (7.12.1)</w:t>
      </w:r>
      <w:bookmarkEnd w:id="165"/>
      <w:bookmarkEnd w:id="166"/>
    </w:p>
    <w:p w:rsidR="005C372A" w:rsidRDefault="005C372A" w:rsidP="005C372A">
      <w:pPr>
        <w:overflowPunct/>
        <w:spacing w:after="120"/>
        <w:jc w:val="both"/>
        <w:textAlignment w:val="auto"/>
        <w:rPr>
          <w:rFonts w:ascii="Calibri" w:hAnsi="Calibri" w:cs="Calibri"/>
          <w:sz w:val="24"/>
          <w:szCs w:val="24"/>
        </w:rPr>
      </w:pPr>
      <w:r w:rsidRPr="00FB794B">
        <w:rPr>
          <w:rFonts w:ascii="Calibri" w:hAnsi="Calibri" w:cs="Calibri"/>
          <w:bCs/>
          <w:sz w:val="24"/>
          <w:szCs w:val="24"/>
        </w:rPr>
        <w:t xml:space="preserve">Udržitelný rozvoj je takový rozvoj, který umožňuje zlepšování </w:t>
      </w:r>
      <w:r w:rsidRPr="00FB794B">
        <w:rPr>
          <w:rFonts w:ascii="Calibri" w:hAnsi="Calibri" w:cs="Calibri"/>
          <w:sz w:val="24"/>
          <w:szCs w:val="24"/>
        </w:rPr>
        <w:t>životní úrovně a blahobytu lidí v mezích kapacity ekosystémů při zachování přírodních hodnot a biologické rozmanitosti pro současné a příští generace. Dle čl. 8 návrhu obecného nařízení mají členské státy a Komise při přípravě a provádění smluv o partnerství a programů zajistit podporu požadavků na ochranu životního prostředí, účinného využívání zdrojů, opatření ke zmírň</w:t>
      </w:r>
      <w:r w:rsidRPr="00925273">
        <w:rPr>
          <w:rFonts w:ascii="Calibri" w:hAnsi="Calibri" w:cs="Calibri"/>
          <w:sz w:val="24"/>
          <w:szCs w:val="24"/>
        </w:rPr>
        <w:t>ování změny klimatu a přizpůsobení se této změně, odolnosti proti katastrofám</w:t>
      </w:r>
      <w:r>
        <w:rPr>
          <w:rFonts w:ascii="Calibri" w:hAnsi="Calibri" w:cs="Calibri"/>
          <w:sz w:val="24"/>
          <w:szCs w:val="24"/>
        </w:rPr>
        <w:t xml:space="preserve"> </w:t>
      </w:r>
      <w:r w:rsidRPr="00925273">
        <w:rPr>
          <w:rFonts w:ascii="Calibri" w:hAnsi="Calibri" w:cs="Calibri"/>
          <w:sz w:val="24"/>
          <w:szCs w:val="24"/>
        </w:rPr>
        <w:t>a předcházení rizikům.</w:t>
      </w:r>
      <w:r>
        <w:rPr>
          <w:rFonts w:ascii="Calibri" w:hAnsi="Calibri" w:cs="Calibri"/>
          <w:sz w:val="24"/>
          <w:szCs w:val="24"/>
        </w:rPr>
        <w:t xml:space="preserve"> Stav v jednotlivých oblastech udržitelného rozvoje v ČR je sledován pomocí sady indikátorů.</w:t>
      </w:r>
    </w:p>
    <w:p w:rsidR="005C372A" w:rsidRDefault="005C372A" w:rsidP="005C372A">
      <w:pPr>
        <w:overflowPunct/>
        <w:spacing w:after="120"/>
        <w:jc w:val="both"/>
        <w:textAlignment w:val="auto"/>
        <w:rPr>
          <w:rFonts w:ascii="Calibri" w:hAnsi="Calibri" w:cs="Calibri"/>
          <w:sz w:val="24"/>
          <w:szCs w:val="24"/>
        </w:rPr>
      </w:pPr>
      <w:r>
        <w:rPr>
          <w:rFonts w:ascii="Calibri" w:hAnsi="Calibri" w:cs="Calibri"/>
          <w:sz w:val="24"/>
          <w:szCs w:val="24"/>
        </w:rPr>
        <w:t>Základním dokumentem na národní úrovni, který řeší problematiku udržitelného rozvoje v ČR, je Strategický rámec udržitelného rozvoje ČR (SRUR). Mezi globální cíle SRUR patří:</w:t>
      </w:r>
    </w:p>
    <w:p w:rsidR="005C372A" w:rsidRDefault="005C372A" w:rsidP="005C372A">
      <w:pPr>
        <w:overflowPunct/>
        <w:jc w:val="both"/>
        <w:textAlignment w:val="auto"/>
        <w:rPr>
          <w:rFonts w:ascii="Calibri" w:hAnsi="Calibri" w:cs="Calibri"/>
          <w:sz w:val="24"/>
          <w:szCs w:val="24"/>
        </w:rPr>
      </w:pPr>
      <w:r>
        <w:rPr>
          <w:rFonts w:ascii="Calibri" w:hAnsi="Calibri" w:cs="Calibri"/>
          <w:sz w:val="24"/>
          <w:szCs w:val="24"/>
        </w:rPr>
        <w:t>a) ochrana životního prostředí (ekosystémy, biodiverzita, zdroje, udržitelná výroba a spotřeba),</w:t>
      </w:r>
    </w:p>
    <w:p w:rsidR="005C372A" w:rsidRDefault="005C372A" w:rsidP="005C372A">
      <w:pPr>
        <w:overflowPunct/>
        <w:jc w:val="both"/>
        <w:textAlignment w:val="auto"/>
        <w:rPr>
          <w:rFonts w:ascii="Calibri" w:hAnsi="Calibri" w:cs="Calibri"/>
          <w:sz w:val="24"/>
          <w:szCs w:val="24"/>
        </w:rPr>
      </w:pPr>
      <w:r>
        <w:rPr>
          <w:rFonts w:ascii="Calibri" w:hAnsi="Calibri" w:cs="Calibri"/>
          <w:sz w:val="24"/>
          <w:szCs w:val="24"/>
        </w:rPr>
        <w:t>b) sociální soudržnost (sociální soudržnost, zdraví, bezpečnost, práva, rovné příležitosti, kulturní diverzita),</w:t>
      </w:r>
    </w:p>
    <w:p w:rsidR="005C372A" w:rsidRDefault="005C372A" w:rsidP="005C372A">
      <w:pPr>
        <w:overflowPunct/>
        <w:jc w:val="both"/>
        <w:textAlignment w:val="auto"/>
        <w:rPr>
          <w:rFonts w:ascii="Calibri" w:hAnsi="Calibri" w:cs="Calibri"/>
          <w:sz w:val="24"/>
          <w:szCs w:val="24"/>
        </w:rPr>
      </w:pPr>
      <w:r>
        <w:rPr>
          <w:rFonts w:ascii="Calibri" w:hAnsi="Calibri" w:cs="Calibri"/>
          <w:sz w:val="24"/>
          <w:szCs w:val="24"/>
        </w:rPr>
        <w:t>c) ekonomická prosperita (prosperita, inovace, znalosti, eko-efektivita, životní standard, zaměstnanost),</w:t>
      </w:r>
    </w:p>
    <w:p w:rsidR="005C372A" w:rsidRDefault="005C372A" w:rsidP="005C372A">
      <w:pPr>
        <w:overflowPunct/>
        <w:jc w:val="both"/>
        <w:textAlignment w:val="auto"/>
        <w:rPr>
          <w:rFonts w:ascii="Calibri" w:hAnsi="Calibri" w:cs="Calibri"/>
          <w:sz w:val="24"/>
          <w:szCs w:val="24"/>
        </w:rPr>
      </w:pPr>
      <w:r>
        <w:rPr>
          <w:rFonts w:ascii="Calibri" w:hAnsi="Calibri" w:cs="Calibri"/>
          <w:sz w:val="24"/>
          <w:szCs w:val="24"/>
        </w:rPr>
        <w:t>d) mezinárodní odpovědnost (stabilní demokratické instituce, mír, bezpečnost, svoboda, globální udržitelnost, mezinárodní vztahy).</w:t>
      </w:r>
    </w:p>
    <w:p w:rsidR="005C372A" w:rsidRDefault="005C372A" w:rsidP="005C372A">
      <w:pPr>
        <w:overflowPunct/>
        <w:jc w:val="both"/>
        <w:textAlignment w:val="auto"/>
        <w:rPr>
          <w:rFonts w:ascii="Verdana" w:hAnsi="Verdana" w:cs="Verdana"/>
          <w:sz w:val="18"/>
          <w:szCs w:val="18"/>
        </w:rPr>
      </w:pPr>
    </w:p>
    <w:p w:rsidR="005C372A" w:rsidRPr="00625DE8" w:rsidRDefault="005C372A" w:rsidP="005C372A">
      <w:pPr>
        <w:overflowPunct/>
        <w:spacing w:after="120"/>
        <w:jc w:val="both"/>
        <w:textAlignment w:val="auto"/>
        <w:rPr>
          <w:rFonts w:ascii="Calibri" w:hAnsi="Calibri" w:cs="Calibri"/>
          <w:sz w:val="24"/>
          <w:szCs w:val="24"/>
        </w:rPr>
      </w:pPr>
      <w:r w:rsidRPr="00625DE8">
        <w:rPr>
          <w:rFonts w:ascii="Calibri" w:hAnsi="Calibri" w:cs="Calibri"/>
          <w:sz w:val="24"/>
          <w:szCs w:val="24"/>
        </w:rPr>
        <w:t>Zejména v posledních letech se ukazuje, že ochrana životního prostředí se pro podniky stává stále větším konkurenčním problémem a je prostředkem k získávání nového potenciálu zisku a profilování podniku. Respektování ekologického hlediska v podnikatelské strategii, může přispět k dosažení konkurenční výhody tehdy, jestliže:</w:t>
      </w:r>
    </w:p>
    <w:p w:rsidR="005C372A" w:rsidRPr="00625DE8" w:rsidRDefault="005C372A" w:rsidP="005C372A">
      <w:pPr>
        <w:pStyle w:val="Odstavecseseznamem"/>
        <w:numPr>
          <w:ilvl w:val="0"/>
          <w:numId w:val="27"/>
        </w:numPr>
        <w:overflowPunct/>
        <w:jc w:val="both"/>
        <w:textAlignment w:val="auto"/>
        <w:rPr>
          <w:rFonts w:ascii="Calibri" w:hAnsi="Calibri" w:cs="Calibri"/>
          <w:sz w:val="24"/>
          <w:szCs w:val="24"/>
        </w:rPr>
      </w:pPr>
      <w:r w:rsidRPr="00625DE8">
        <w:rPr>
          <w:rFonts w:ascii="Calibri" w:hAnsi="Calibri" w:cs="Calibri"/>
          <w:sz w:val="24"/>
          <w:szCs w:val="24"/>
        </w:rPr>
        <w:t>je při ochraně životního prostředí zvyšování konkurenceschopnosti chápáno integrovaně ve všech podnikových funkcích,</w:t>
      </w:r>
    </w:p>
    <w:p w:rsidR="005C372A" w:rsidRPr="00625DE8" w:rsidRDefault="005C372A" w:rsidP="005C372A">
      <w:pPr>
        <w:pStyle w:val="Odstavecseseznamem"/>
        <w:numPr>
          <w:ilvl w:val="0"/>
          <w:numId w:val="27"/>
        </w:numPr>
        <w:overflowPunct/>
        <w:jc w:val="both"/>
        <w:textAlignment w:val="auto"/>
        <w:rPr>
          <w:rFonts w:ascii="Calibri" w:hAnsi="Calibri" w:cs="Calibri"/>
          <w:sz w:val="24"/>
          <w:szCs w:val="24"/>
        </w:rPr>
      </w:pPr>
      <w:r w:rsidRPr="00625DE8">
        <w:rPr>
          <w:rFonts w:ascii="Calibri" w:hAnsi="Calibri" w:cs="Calibri"/>
          <w:sz w:val="24"/>
          <w:szCs w:val="24"/>
        </w:rPr>
        <w:lastRenderedPageBreak/>
        <w:t>opatření orientovaná dovnitř podniku jsou spojena s opatřeními orientovanými na trh,</w:t>
      </w:r>
    </w:p>
    <w:p w:rsidR="005C372A" w:rsidRPr="00625DE8" w:rsidRDefault="005C372A" w:rsidP="005C372A">
      <w:pPr>
        <w:pStyle w:val="Odstavecseseznamem"/>
        <w:numPr>
          <w:ilvl w:val="0"/>
          <w:numId w:val="27"/>
        </w:numPr>
        <w:overflowPunct/>
        <w:jc w:val="both"/>
        <w:textAlignment w:val="auto"/>
        <w:rPr>
          <w:rFonts w:ascii="Calibri" w:hAnsi="Calibri" w:cs="Calibri"/>
          <w:sz w:val="24"/>
          <w:szCs w:val="24"/>
        </w:rPr>
      </w:pPr>
      <w:r w:rsidRPr="00625DE8">
        <w:rPr>
          <w:rFonts w:ascii="Calibri" w:hAnsi="Calibri" w:cs="Calibri"/>
          <w:sz w:val="24"/>
          <w:szCs w:val="24"/>
        </w:rPr>
        <w:t xml:space="preserve">podnik získá časovou výhodu tím, že se ochranou životního prostředí zabývá včas, v předstihu před svými konkurenty. </w:t>
      </w:r>
    </w:p>
    <w:p w:rsidR="005C372A" w:rsidRDefault="005C372A" w:rsidP="005C372A">
      <w:pPr>
        <w:overflowPunct/>
        <w:jc w:val="both"/>
        <w:textAlignment w:val="auto"/>
        <w:rPr>
          <w:rFonts w:ascii="Calibri" w:hAnsi="Calibri" w:cs="Calibri"/>
          <w:sz w:val="24"/>
          <w:szCs w:val="24"/>
          <w:highlight w:val="lightGray"/>
        </w:rPr>
      </w:pPr>
    </w:p>
    <w:p w:rsidR="005C372A" w:rsidRDefault="005C372A" w:rsidP="005C372A">
      <w:pPr>
        <w:overflowPunct/>
        <w:jc w:val="both"/>
        <w:textAlignment w:val="auto"/>
        <w:rPr>
          <w:rFonts w:ascii="Calibri" w:hAnsi="Calibri" w:cs="Calibri"/>
          <w:sz w:val="24"/>
          <w:szCs w:val="24"/>
        </w:rPr>
      </w:pPr>
      <w:r w:rsidRPr="00E3427C">
        <w:rPr>
          <w:rFonts w:ascii="Calibri" w:hAnsi="Calibri" w:cs="Calibri"/>
          <w:sz w:val="24"/>
          <w:szCs w:val="24"/>
        </w:rPr>
        <w:t>Horizontální téma udržitelný rozvoj bude zohledněno ve výběrových kritériích jednotlivých subprogramů podpory OP PIK</w:t>
      </w:r>
      <w:r>
        <w:rPr>
          <w:rFonts w:ascii="Calibri" w:hAnsi="Calibri" w:cs="Calibri"/>
          <w:sz w:val="24"/>
          <w:szCs w:val="24"/>
        </w:rPr>
        <w:t xml:space="preserve">. Povinnost respektovat udržitelný rozvoj bude stanovena již ve specifikaci podmínek podpory, které budou obsahovat část týkající se horizontálních ukazatelů předkládaného projektu. </w:t>
      </w:r>
      <w:r w:rsidRPr="00625DE8">
        <w:rPr>
          <w:rFonts w:ascii="Calibri" w:hAnsi="Calibri" w:cs="Calibri"/>
          <w:sz w:val="24"/>
          <w:szCs w:val="24"/>
        </w:rPr>
        <w:t>Žadatel o podporu musí proto již v této fázi posoudit a v příslušné části žádosti popsat vliv projektu na udržitelný rozvoj, tj. určit, zda je projekt zaměřen zejména na podporu udržitelného rozvoje, popř. zda má projekt pozitivní dopad na udržitelný rozvoj či zda je z hlediska udržitelného rozvoje neutrální. Zohlednění tohoto horizontálního cíle v projektu bude následně rovněž předmětem hodnocení projektu v hodnotitelských komisích.</w:t>
      </w:r>
    </w:p>
    <w:p w:rsidR="00851C7E" w:rsidRPr="0071595D" w:rsidRDefault="00851C7E" w:rsidP="00851C7E">
      <w:pPr>
        <w:overflowPunct/>
        <w:jc w:val="both"/>
        <w:textAlignment w:val="auto"/>
        <w:rPr>
          <w:rFonts w:ascii="Calibri" w:hAnsi="Calibri" w:cs="Calibri"/>
          <w:sz w:val="24"/>
          <w:szCs w:val="24"/>
        </w:rPr>
      </w:pPr>
    </w:p>
    <w:p w:rsidR="00851C7E" w:rsidRPr="0071595D" w:rsidRDefault="0071595D" w:rsidP="00851D6E">
      <w:pPr>
        <w:pStyle w:val="Nadpis2"/>
      </w:pPr>
      <w:bookmarkStart w:id="167" w:name="_Toc351464445"/>
      <w:bookmarkStart w:id="168" w:name="_Toc352328412"/>
      <w:r w:rsidRPr="0071595D">
        <w:t>Rovné příležitosti a ochrana před diskriminací</w:t>
      </w:r>
      <w:r>
        <w:t xml:space="preserve"> (</w:t>
      </w:r>
      <w:r w:rsidRPr="0071595D">
        <w:t>7.12.2)</w:t>
      </w:r>
      <w:bookmarkEnd w:id="167"/>
      <w:bookmarkEnd w:id="168"/>
    </w:p>
    <w:p w:rsidR="005C372A" w:rsidRPr="00FB794B" w:rsidRDefault="005C372A" w:rsidP="005C372A">
      <w:pPr>
        <w:overflowPunct/>
        <w:spacing w:after="120"/>
        <w:jc w:val="both"/>
        <w:textAlignment w:val="auto"/>
        <w:rPr>
          <w:rFonts w:ascii="Calibri" w:hAnsi="Calibri" w:cs="Calibri"/>
          <w:bCs/>
          <w:sz w:val="24"/>
          <w:szCs w:val="24"/>
        </w:rPr>
      </w:pPr>
      <w:r>
        <w:rPr>
          <w:rFonts w:ascii="Calibri" w:hAnsi="Calibri" w:cs="Calibri"/>
          <w:bCs/>
          <w:sz w:val="24"/>
          <w:szCs w:val="24"/>
        </w:rPr>
        <w:t>Na základ</w:t>
      </w:r>
      <w:r w:rsidRPr="00FB794B">
        <w:rPr>
          <w:rFonts w:ascii="Calibri" w:hAnsi="Calibri" w:cs="Calibri"/>
          <w:bCs/>
          <w:sz w:val="24"/>
          <w:szCs w:val="24"/>
        </w:rPr>
        <w:t>ě čl. 7 návrhu obecného nařízení přijmou členské státy a Komise vhodná opatření, aby během přípravy a provádění programů nedocházelo k diskriminaci na základě pohlaví, rasového nebo etnického původu, náboženského vyznání nebo víry, zdravotního postižení, věku nebo sexuální orientace. Horizontální téma rovné příležitosti a ochrana před diskriminací slouží k dosažení cíle sociální spravedlnosti a soudržnosti a zakládá se na podpoře sociálního začlenění, dodržování základních lidských práv a zachování kulturní rozmanitosti.</w:t>
      </w:r>
    </w:p>
    <w:p w:rsidR="005C372A" w:rsidRPr="00FB794B" w:rsidRDefault="005C372A" w:rsidP="005C372A">
      <w:pPr>
        <w:spacing w:after="120"/>
        <w:jc w:val="both"/>
        <w:rPr>
          <w:rFonts w:ascii="Calibri" w:hAnsi="Calibri" w:cs="Calibri"/>
          <w:sz w:val="24"/>
          <w:szCs w:val="24"/>
        </w:rPr>
      </w:pPr>
      <w:r w:rsidRPr="00FB794B">
        <w:rPr>
          <w:rFonts w:ascii="Calibri" w:hAnsi="Calibri" w:cs="Calibri"/>
          <w:sz w:val="24"/>
        </w:rPr>
        <w:t xml:space="preserve">Stejně jako u udržitelného rozvoje bude stanovena podmínka respektovat rovné příležitosti již ve specifikaci podmínek k poskytnutí podpory v rámci jednotlivých subprogramů podpory. Žadatel o podporu bude muset již v této fázi posoudit a v příslušné části žádosti popsat vliv projektu na rovné příležitosti, tj. určit, zda je projekt zaměřen zejména na podporu rovných příležitostí, popř. zda má projekt pozitivní dopad na rovné příležitosti či zda je z hlediska rovných příležitostí neutrální. </w:t>
      </w:r>
      <w:r w:rsidRPr="00FB794B">
        <w:rPr>
          <w:rFonts w:ascii="Calibri" w:hAnsi="Calibri" w:cs="Calibri"/>
          <w:sz w:val="24"/>
          <w:szCs w:val="24"/>
        </w:rPr>
        <w:t>Horizontální téma rovné příležitosti a ochrana před diskriminací bude zohledněno ve výběrových kritériích jednotlivých subprogramů podpory OP PIK.</w:t>
      </w:r>
    </w:p>
    <w:p w:rsidR="00851C7E" w:rsidRPr="00FB794B" w:rsidRDefault="005C372A" w:rsidP="005C372A">
      <w:pPr>
        <w:overflowPunct/>
        <w:textAlignment w:val="auto"/>
        <w:rPr>
          <w:rFonts w:ascii="Calibri" w:hAnsi="Calibri" w:cs="Calibri"/>
          <w:b/>
          <w:bCs/>
          <w:sz w:val="24"/>
          <w:szCs w:val="24"/>
        </w:rPr>
      </w:pPr>
      <w:r w:rsidRPr="00FB794B">
        <w:rPr>
          <w:rFonts w:ascii="Calibri" w:hAnsi="Calibri" w:cs="Calibri"/>
          <w:sz w:val="24"/>
        </w:rPr>
        <w:t>Vzhledem k zaměření OP PIK (podpora podnikání, inovací v podnikatelském sektoru, energetické úspory, ICT infrastruktury – nemá žádné speciální programy zaměřené na rovnost příležitostí. Tato oblast je řešena jinými operačními programy, využívajícími zejména prostředků Evropského sociálního fondu.</w:t>
      </w:r>
    </w:p>
    <w:p w:rsidR="00851C7E" w:rsidRPr="00FB794B" w:rsidRDefault="00851C7E" w:rsidP="00CF0F84">
      <w:pPr>
        <w:jc w:val="both"/>
        <w:rPr>
          <w:rFonts w:ascii="Calibri" w:hAnsi="Calibri" w:cs="Calibri"/>
          <w:sz w:val="24"/>
        </w:rPr>
      </w:pPr>
    </w:p>
    <w:p w:rsidR="00851C7E" w:rsidRPr="00FB794B" w:rsidRDefault="0071595D" w:rsidP="00851D6E">
      <w:pPr>
        <w:pStyle w:val="Nadpis2"/>
      </w:pPr>
      <w:bookmarkStart w:id="169" w:name="_Toc351464446"/>
      <w:bookmarkStart w:id="170" w:name="_Toc352328413"/>
      <w:r w:rsidRPr="00FB794B">
        <w:t>Rovnost žen a mužů (7.12.3)</w:t>
      </w:r>
      <w:bookmarkEnd w:id="169"/>
      <w:bookmarkEnd w:id="170"/>
    </w:p>
    <w:p w:rsidR="00851C7E" w:rsidRPr="0071595D" w:rsidRDefault="005C372A" w:rsidP="005C372A">
      <w:pPr>
        <w:overflowPunct/>
        <w:textAlignment w:val="auto"/>
        <w:rPr>
          <w:sz w:val="24"/>
        </w:rPr>
      </w:pPr>
      <w:r w:rsidRPr="00FB794B">
        <w:rPr>
          <w:rFonts w:asciiTheme="minorHAnsi" w:hAnsiTheme="minorHAnsi" w:cstheme="minorHAnsi"/>
          <w:sz w:val="24"/>
          <w:szCs w:val="24"/>
        </w:rPr>
        <w:t>Horizontální téma rovnost žen a mužů předpokládá článek 7 návrhu obecného nařízení. Dl</w:t>
      </w:r>
      <w:r>
        <w:rPr>
          <w:rFonts w:asciiTheme="minorHAnsi" w:hAnsiTheme="minorHAnsi" w:cstheme="minorHAnsi"/>
          <w:sz w:val="24"/>
          <w:szCs w:val="24"/>
        </w:rPr>
        <w:t>e tohoto článku členské státy a Komise zajistí podporu rovnosti žen a mužů a začlenění hlediska rovnosti pohlaví při přípravě a provádění programů. V rámci OP PIK budou mít ke všem programům podpory stejný přístup ženy i muži, zároveň rovnost žen a mužů bude zahrnuta do výběrových kritérií jednotlivých subprogramů podpory. Ve fázi implementace operačního programu bude rovnost mužů a žen zajištěna zejména ve složení Monitorovacího výboru OP PIK.</w:t>
      </w:r>
    </w:p>
    <w:p w:rsidR="00AA042C" w:rsidRPr="0071595D" w:rsidRDefault="00AA042C" w:rsidP="00851C7E">
      <w:pPr>
        <w:jc w:val="both"/>
        <w:rPr>
          <w:sz w:val="24"/>
        </w:rPr>
      </w:pPr>
    </w:p>
    <w:p w:rsidR="009E6172" w:rsidRPr="00851D6E" w:rsidRDefault="009E6172" w:rsidP="00851D6E">
      <w:pPr>
        <w:pStyle w:val="Nadpis1"/>
      </w:pPr>
      <w:bookmarkStart w:id="171" w:name="_Toc351464447"/>
      <w:bookmarkStart w:id="172" w:name="_Toc352328414"/>
      <w:r w:rsidRPr="00851D6E">
        <w:lastRenderedPageBreak/>
        <w:t>Přílohy Operačního programu</w:t>
      </w:r>
      <w:bookmarkEnd w:id="171"/>
      <w:bookmarkEnd w:id="172"/>
    </w:p>
    <w:p w:rsidR="00AA042C" w:rsidRPr="004731D0" w:rsidRDefault="00AA042C" w:rsidP="00AA042C">
      <w:pPr>
        <w:overflowPunct/>
        <w:jc w:val="both"/>
        <w:textAlignment w:val="auto"/>
        <w:rPr>
          <w:rFonts w:ascii="Calibri" w:hAnsi="Calibri" w:cs="Calibri"/>
          <w:b/>
          <w:bCs/>
          <w:sz w:val="28"/>
          <w:szCs w:val="28"/>
        </w:rPr>
      </w:pPr>
    </w:p>
    <w:p w:rsidR="0008119B" w:rsidRPr="002B0AB9" w:rsidRDefault="00AA042C" w:rsidP="00CB2B83">
      <w:pPr>
        <w:overflowPunct/>
        <w:jc w:val="both"/>
        <w:textAlignment w:val="auto"/>
        <w:rPr>
          <w:rFonts w:asciiTheme="minorHAnsi" w:hAnsiTheme="minorHAnsi" w:cstheme="minorHAnsi"/>
          <w:bCs/>
          <w:i/>
          <w:color w:val="FF0000"/>
          <w:sz w:val="24"/>
          <w:szCs w:val="24"/>
        </w:rPr>
      </w:pPr>
      <w:r w:rsidRPr="002B0AB9">
        <w:rPr>
          <w:rFonts w:asciiTheme="minorHAnsi" w:hAnsiTheme="minorHAnsi" w:cstheme="minorHAnsi"/>
          <w:i/>
          <w:color w:val="FF0000"/>
          <w:sz w:val="24"/>
          <w:szCs w:val="24"/>
        </w:rPr>
        <w:t xml:space="preserve">…………...viz EK Draft template / </w:t>
      </w:r>
      <w:r w:rsidR="00C8254F" w:rsidRPr="002B0AB9">
        <w:rPr>
          <w:rFonts w:asciiTheme="minorHAnsi" w:hAnsiTheme="minorHAnsi" w:cstheme="minorHAnsi"/>
          <w:i/>
          <w:color w:val="FF0000"/>
          <w:sz w:val="24"/>
          <w:szCs w:val="24"/>
        </w:rPr>
        <w:t xml:space="preserve">verze </w:t>
      </w:r>
      <w:r w:rsidRPr="002B0AB9">
        <w:rPr>
          <w:rFonts w:asciiTheme="minorHAnsi" w:hAnsiTheme="minorHAnsi" w:cstheme="minorHAnsi"/>
          <w:i/>
          <w:color w:val="FF0000"/>
          <w:sz w:val="24"/>
          <w:szCs w:val="24"/>
        </w:rPr>
        <w:t>leden 2013</w:t>
      </w:r>
      <w:r w:rsidR="00C8254F" w:rsidRPr="002B0AB9">
        <w:rPr>
          <w:rFonts w:asciiTheme="minorHAnsi" w:hAnsiTheme="minorHAnsi" w:cstheme="minorHAnsi"/>
          <w:i/>
          <w:color w:val="FF0000"/>
          <w:sz w:val="24"/>
          <w:szCs w:val="24"/>
        </w:rPr>
        <w:t xml:space="preserve"> (str. 42) a verze únor 2013 (str. 46) / </w:t>
      </w:r>
      <w:r w:rsidR="00C8254F" w:rsidRPr="002B0AB9">
        <w:rPr>
          <w:rFonts w:asciiTheme="minorHAnsi" w:hAnsiTheme="minorHAnsi" w:cstheme="minorHAnsi"/>
          <w:b/>
          <w:i/>
          <w:color w:val="FF0000"/>
          <w:sz w:val="24"/>
          <w:szCs w:val="24"/>
        </w:rPr>
        <w:t xml:space="preserve">sekce </w:t>
      </w:r>
      <w:smartTag w:uri="urn:schemas-microsoft-com:office:smarttags" w:element="metricconverter">
        <w:smartTagPr>
          <w:attr w:name="ProductID" w:val="13 a"/>
        </w:smartTagPr>
        <w:r w:rsidR="00C8254F" w:rsidRPr="002B0AB9">
          <w:rPr>
            <w:rFonts w:asciiTheme="minorHAnsi" w:hAnsiTheme="minorHAnsi" w:cstheme="minorHAnsi"/>
            <w:b/>
            <w:i/>
            <w:color w:val="FF0000"/>
            <w:sz w:val="24"/>
            <w:szCs w:val="24"/>
          </w:rPr>
          <w:t>13</w:t>
        </w:r>
        <w:r w:rsidR="00C8254F" w:rsidRPr="002B0AB9">
          <w:rPr>
            <w:rFonts w:asciiTheme="minorHAnsi" w:hAnsiTheme="minorHAnsi" w:cstheme="minorHAnsi"/>
            <w:i/>
            <w:color w:val="FF0000"/>
            <w:sz w:val="24"/>
            <w:szCs w:val="24"/>
          </w:rPr>
          <w:t xml:space="preserve"> a</w:t>
        </w:r>
      </w:smartTag>
      <w:r w:rsidR="00C8254F" w:rsidRPr="002B0AB9">
        <w:rPr>
          <w:rFonts w:asciiTheme="minorHAnsi" w:hAnsiTheme="minorHAnsi" w:cstheme="minorHAnsi"/>
          <w:i/>
          <w:color w:val="FF0000"/>
          <w:sz w:val="24"/>
          <w:szCs w:val="24"/>
        </w:rPr>
        <w:t xml:space="preserve"> </w:t>
      </w:r>
      <w:r w:rsidR="0008119B" w:rsidRPr="002B0AB9">
        <w:rPr>
          <w:rFonts w:asciiTheme="minorHAnsi" w:hAnsiTheme="minorHAnsi" w:cstheme="minorHAnsi"/>
          <w:i/>
          <w:color w:val="FF0000"/>
          <w:sz w:val="24"/>
          <w:szCs w:val="24"/>
        </w:rPr>
        <w:t>Metodika, verze 1.0</w:t>
      </w:r>
      <w:r w:rsidR="00C8254F" w:rsidRPr="002B0AB9">
        <w:rPr>
          <w:rFonts w:asciiTheme="minorHAnsi" w:hAnsiTheme="minorHAnsi" w:cstheme="minorHAnsi"/>
          <w:i/>
          <w:color w:val="FF0000"/>
          <w:sz w:val="24"/>
          <w:szCs w:val="24"/>
        </w:rPr>
        <w:t xml:space="preserve"> </w:t>
      </w:r>
      <w:r w:rsidR="00CB2B83" w:rsidRPr="002B0AB9">
        <w:rPr>
          <w:rFonts w:asciiTheme="minorHAnsi" w:hAnsiTheme="minorHAnsi" w:cstheme="minorHAnsi"/>
          <w:i/>
          <w:color w:val="FF0000"/>
          <w:sz w:val="24"/>
          <w:szCs w:val="24"/>
        </w:rPr>
        <w:t>únor 2013</w:t>
      </w:r>
      <w:r w:rsidR="00C8254F" w:rsidRPr="002B0AB9">
        <w:rPr>
          <w:rFonts w:asciiTheme="minorHAnsi" w:hAnsiTheme="minorHAnsi" w:cstheme="minorHAnsi"/>
          <w:i/>
          <w:color w:val="FF0000"/>
          <w:sz w:val="24"/>
          <w:szCs w:val="24"/>
        </w:rPr>
        <w:t xml:space="preserve"> / </w:t>
      </w:r>
      <w:r w:rsidR="00CB2B83" w:rsidRPr="002B0AB9">
        <w:rPr>
          <w:rFonts w:asciiTheme="minorHAnsi" w:hAnsiTheme="minorHAnsi" w:cstheme="minorHAnsi"/>
          <w:b/>
          <w:i/>
          <w:color w:val="FF0000"/>
          <w:sz w:val="24"/>
          <w:szCs w:val="24"/>
        </w:rPr>
        <w:t>kap. 7.13</w:t>
      </w:r>
      <w:r w:rsidR="00C8254F" w:rsidRPr="002B0AB9">
        <w:rPr>
          <w:rFonts w:asciiTheme="minorHAnsi" w:hAnsiTheme="minorHAnsi" w:cstheme="minorHAnsi"/>
          <w:i/>
          <w:color w:val="FF0000"/>
          <w:sz w:val="24"/>
          <w:szCs w:val="24"/>
        </w:rPr>
        <w:t xml:space="preserve"> / </w:t>
      </w:r>
      <w:r w:rsidR="00CB2B83" w:rsidRPr="002B0AB9">
        <w:rPr>
          <w:rFonts w:asciiTheme="minorHAnsi" w:hAnsiTheme="minorHAnsi" w:cstheme="minorHAnsi"/>
          <w:i/>
          <w:color w:val="FF0000"/>
          <w:sz w:val="24"/>
          <w:szCs w:val="24"/>
        </w:rPr>
        <w:t>str. 115</w:t>
      </w:r>
    </w:p>
    <w:p w:rsidR="00AA042C" w:rsidRPr="002B0AB9" w:rsidRDefault="00AA042C" w:rsidP="0008119B">
      <w:pPr>
        <w:overflowPunct/>
        <w:jc w:val="both"/>
        <w:textAlignment w:val="auto"/>
        <w:rPr>
          <w:rFonts w:asciiTheme="minorHAnsi" w:hAnsiTheme="minorHAnsi" w:cstheme="minorHAnsi"/>
          <w:color w:val="FF0000"/>
          <w:sz w:val="24"/>
          <w:szCs w:val="24"/>
        </w:rPr>
      </w:pPr>
    </w:p>
    <w:p w:rsidR="00AA042C" w:rsidRPr="002B0AB9" w:rsidRDefault="0071595D" w:rsidP="00851D6E">
      <w:pPr>
        <w:pStyle w:val="Nadpis2"/>
        <w:rPr>
          <w:rFonts w:asciiTheme="minorHAnsi" w:hAnsiTheme="minorHAnsi" w:cstheme="minorHAnsi"/>
        </w:rPr>
      </w:pPr>
      <w:bookmarkStart w:id="173" w:name="_Toc351464448"/>
      <w:bookmarkStart w:id="174" w:name="_Toc352328415"/>
      <w:r w:rsidRPr="002B0AB9">
        <w:rPr>
          <w:rFonts w:asciiTheme="minorHAnsi" w:hAnsiTheme="minorHAnsi" w:cstheme="minorHAnsi"/>
        </w:rPr>
        <w:t xml:space="preserve">Seznam </w:t>
      </w:r>
      <w:r w:rsidR="006C634D" w:rsidRPr="002B0AB9">
        <w:rPr>
          <w:rFonts w:asciiTheme="minorHAnsi" w:hAnsiTheme="minorHAnsi" w:cstheme="minorHAnsi"/>
        </w:rPr>
        <w:t>velkých projektů, jejichž realizace je v průběhu programového období plánována (7.13.1)</w:t>
      </w:r>
      <w:bookmarkEnd w:id="173"/>
      <w:bookmarkEnd w:id="174"/>
    </w:p>
    <w:p w:rsidR="006C634D" w:rsidRPr="002B0AB9" w:rsidRDefault="006C634D" w:rsidP="006C634D">
      <w:pPr>
        <w:overflowPunct/>
        <w:jc w:val="both"/>
        <w:textAlignment w:val="auto"/>
        <w:rPr>
          <w:rFonts w:asciiTheme="minorHAnsi" w:hAnsiTheme="minorHAnsi" w:cstheme="minorHAnsi"/>
          <w:b/>
          <w:bCs/>
          <w:color w:val="FF0000"/>
          <w:sz w:val="28"/>
          <w:szCs w:val="28"/>
        </w:rPr>
      </w:pPr>
    </w:p>
    <w:p w:rsidR="006C634D" w:rsidRPr="002B0AB9" w:rsidRDefault="006C634D" w:rsidP="00022228">
      <w:pPr>
        <w:rPr>
          <w:rFonts w:asciiTheme="minorHAnsi" w:hAnsiTheme="minorHAnsi" w:cstheme="minorHAnsi"/>
          <w:sz w:val="24"/>
          <w:szCs w:val="24"/>
        </w:rPr>
      </w:pPr>
      <w:r w:rsidRPr="002B0AB9" w:rsidDel="0057730E">
        <w:rPr>
          <w:rFonts w:asciiTheme="minorHAnsi" w:hAnsiTheme="minorHAnsi" w:cstheme="minorHAnsi"/>
          <w:sz w:val="24"/>
          <w:szCs w:val="24"/>
        </w:rPr>
        <w:t xml:space="preserve">Operační program bude obsahovat seznam velkých projektů, </w:t>
      </w:r>
      <w:r w:rsidRPr="002B0AB9">
        <w:rPr>
          <w:rFonts w:asciiTheme="minorHAnsi" w:hAnsiTheme="minorHAnsi" w:cstheme="minorHAnsi"/>
          <w:sz w:val="24"/>
          <w:szCs w:val="24"/>
        </w:rPr>
        <w:t>jejichž</w:t>
      </w:r>
      <w:r w:rsidRPr="002B0AB9" w:rsidDel="0057730E">
        <w:rPr>
          <w:rFonts w:asciiTheme="minorHAnsi" w:hAnsiTheme="minorHAnsi" w:cstheme="minorHAnsi"/>
          <w:sz w:val="24"/>
          <w:szCs w:val="24"/>
        </w:rPr>
        <w:t xml:space="preserve"> realizace </w:t>
      </w:r>
      <w:r w:rsidRPr="002B0AB9">
        <w:rPr>
          <w:rFonts w:asciiTheme="minorHAnsi" w:hAnsiTheme="minorHAnsi" w:cstheme="minorHAnsi"/>
          <w:sz w:val="24"/>
          <w:szCs w:val="24"/>
        </w:rPr>
        <w:t xml:space="preserve">je </w:t>
      </w:r>
      <w:r w:rsidRPr="002B0AB9" w:rsidDel="0057730E">
        <w:rPr>
          <w:rFonts w:asciiTheme="minorHAnsi" w:hAnsiTheme="minorHAnsi" w:cstheme="minorHAnsi"/>
          <w:sz w:val="24"/>
          <w:szCs w:val="24"/>
        </w:rPr>
        <w:t>plánována během programového období. Blíže viz kap. 6.</w:t>
      </w:r>
      <w:r w:rsidRPr="002B0AB9">
        <w:rPr>
          <w:rFonts w:asciiTheme="minorHAnsi" w:hAnsiTheme="minorHAnsi" w:cstheme="minorHAnsi"/>
          <w:sz w:val="24"/>
          <w:szCs w:val="24"/>
        </w:rPr>
        <w:t>10</w:t>
      </w:r>
      <w:r w:rsidRPr="002B0AB9" w:rsidDel="0057730E">
        <w:rPr>
          <w:rFonts w:asciiTheme="minorHAnsi" w:hAnsiTheme="minorHAnsi" w:cstheme="minorHAnsi"/>
          <w:sz w:val="24"/>
          <w:szCs w:val="24"/>
        </w:rPr>
        <w:t>.</w:t>
      </w:r>
      <w:r w:rsidRPr="002B0AB9">
        <w:rPr>
          <w:rFonts w:asciiTheme="minorHAnsi" w:hAnsiTheme="minorHAnsi" w:cstheme="minorHAnsi"/>
          <w:sz w:val="24"/>
          <w:szCs w:val="24"/>
        </w:rPr>
        <w:t xml:space="preserve"> Metodiky </w:t>
      </w:r>
    </w:p>
    <w:p w:rsidR="006C634D" w:rsidRPr="006C634D" w:rsidRDefault="006C634D" w:rsidP="006C634D">
      <w:pPr>
        <w:spacing w:before="60" w:after="60" w:line="288" w:lineRule="auto"/>
        <w:rPr>
          <w:rFonts w:ascii="Arial" w:hAnsi="Arial" w:cs="Arial"/>
          <w:b/>
          <w:sz w:val="24"/>
          <w:szCs w:val="24"/>
        </w:rPr>
      </w:pPr>
    </w:p>
    <w:p w:rsidR="006C634D" w:rsidRPr="002B0AB9" w:rsidRDefault="006C634D" w:rsidP="00821D0D">
      <w:pPr>
        <w:spacing w:before="60"/>
        <w:rPr>
          <w:rFonts w:asciiTheme="minorHAnsi" w:hAnsiTheme="minorHAnsi" w:cstheme="minorHAnsi"/>
          <w:b/>
          <w:sz w:val="24"/>
          <w:szCs w:val="24"/>
        </w:rPr>
      </w:pPr>
      <w:r w:rsidRPr="00FB794B">
        <w:rPr>
          <w:rFonts w:asciiTheme="minorHAnsi" w:hAnsiTheme="minorHAnsi" w:cstheme="minorHAnsi"/>
          <w:b/>
          <w:sz w:val="24"/>
          <w:szCs w:val="24"/>
        </w:rPr>
        <w:t xml:space="preserve">Tabulka </w:t>
      </w:r>
      <w:r w:rsidR="002B0AB9" w:rsidRPr="00FB794B">
        <w:rPr>
          <w:rFonts w:asciiTheme="minorHAnsi" w:hAnsiTheme="minorHAnsi" w:cstheme="minorHAnsi"/>
          <w:b/>
          <w:sz w:val="24"/>
          <w:szCs w:val="24"/>
        </w:rPr>
        <w:t>xx</w:t>
      </w:r>
      <w:r w:rsidRPr="00FB794B">
        <w:rPr>
          <w:rFonts w:asciiTheme="minorHAnsi" w:hAnsiTheme="minorHAnsi" w:cstheme="minorHAnsi"/>
          <w:b/>
          <w:sz w:val="24"/>
          <w:szCs w:val="24"/>
        </w:rPr>
        <w:t>: Se</w:t>
      </w:r>
      <w:r w:rsidRPr="002B0AB9">
        <w:rPr>
          <w:rFonts w:asciiTheme="minorHAnsi" w:hAnsiTheme="minorHAnsi" w:cstheme="minorHAnsi"/>
          <w:b/>
          <w:sz w:val="24"/>
          <w:szCs w:val="24"/>
        </w:rPr>
        <w:t>znam velkých projektů</w:t>
      </w:r>
    </w:p>
    <w:p w:rsidR="006C634D" w:rsidRPr="002B0AB9" w:rsidRDefault="006C634D" w:rsidP="00821D0D">
      <w:pPr>
        <w:spacing w:after="120"/>
        <w:rPr>
          <w:rFonts w:asciiTheme="minorHAnsi" w:hAnsiTheme="minorHAnsi" w:cstheme="minorHAnsi"/>
          <w:color w:val="FF0000"/>
          <w:sz w:val="24"/>
          <w:szCs w:val="24"/>
        </w:rPr>
      </w:pPr>
      <w:r w:rsidRPr="002B0AB9">
        <w:rPr>
          <w:rFonts w:asciiTheme="minorHAnsi" w:hAnsiTheme="minorHAnsi" w:cstheme="minorHAnsi"/>
          <w:color w:val="FF0000"/>
          <w:sz w:val="24"/>
          <w:szCs w:val="24"/>
        </w:rPr>
        <w:t>(viz Table 29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985"/>
        <w:gridCol w:w="2341"/>
        <w:gridCol w:w="1856"/>
        <w:gridCol w:w="1856"/>
      </w:tblGrid>
      <w:tr w:rsidR="006C634D" w:rsidRPr="002B0AB9">
        <w:tc>
          <w:tcPr>
            <w:tcW w:w="1242" w:type="dxa"/>
            <w:shd w:val="clear" w:color="auto" w:fill="auto"/>
          </w:tcPr>
          <w:p w:rsidR="006C634D" w:rsidRPr="002B0AB9" w:rsidRDefault="006C634D" w:rsidP="004B5A6C">
            <w:pPr>
              <w:jc w:val="center"/>
              <w:rPr>
                <w:rFonts w:asciiTheme="minorHAnsi" w:hAnsiTheme="minorHAnsi" w:cstheme="minorHAnsi"/>
                <w:b/>
                <w:sz w:val="22"/>
                <w:szCs w:val="22"/>
              </w:rPr>
            </w:pPr>
            <w:r w:rsidRPr="002B0AB9">
              <w:rPr>
                <w:rFonts w:asciiTheme="minorHAnsi" w:hAnsiTheme="minorHAnsi" w:cstheme="minorHAnsi"/>
                <w:b/>
                <w:sz w:val="22"/>
                <w:szCs w:val="22"/>
              </w:rPr>
              <w:t>Název</w:t>
            </w:r>
          </w:p>
        </w:tc>
        <w:tc>
          <w:tcPr>
            <w:tcW w:w="1985" w:type="dxa"/>
            <w:shd w:val="clear" w:color="auto" w:fill="auto"/>
          </w:tcPr>
          <w:p w:rsidR="006C634D" w:rsidRPr="002B0AB9" w:rsidRDefault="006C634D" w:rsidP="004B5A6C">
            <w:pPr>
              <w:jc w:val="center"/>
              <w:rPr>
                <w:rFonts w:asciiTheme="minorHAnsi" w:hAnsiTheme="minorHAnsi" w:cstheme="minorHAnsi"/>
                <w:b/>
                <w:sz w:val="22"/>
                <w:szCs w:val="22"/>
              </w:rPr>
            </w:pPr>
            <w:r w:rsidRPr="002B0AB9">
              <w:rPr>
                <w:rFonts w:asciiTheme="minorHAnsi" w:hAnsiTheme="minorHAnsi" w:cstheme="minorHAnsi"/>
                <w:b/>
                <w:sz w:val="22"/>
                <w:szCs w:val="22"/>
              </w:rPr>
              <w:t>Plánováno posouzení nezávislým expertem:</w:t>
            </w:r>
          </w:p>
          <w:p w:rsidR="006C634D" w:rsidRPr="002B0AB9" w:rsidRDefault="006C634D" w:rsidP="004B5A6C">
            <w:pPr>
              <w:jc w:val="center"/>
              <w:rPr>
                <w:rFonts w:asciiTheme="minorHAnsi" w:hAnsiTheme="minorHAnsi" w:cstheme="minorHAnsi"/>
                <w:b/>
                <w:sz w:val="22"/>
                <w:szCs w:val="22"/>
              </w:rPr>
            </w:pPr>
            <w:r w:rsidRPr="002B0AB9">
              <w:rPr>
                <w:rFonts w:asciiTheme="minorHAnsi" w:hAnsiTheme="minorHAnsi" w:cstheme="minorHAnsi"/>
                <w:b/>
                <w:sz w:val="22"/>
                <w:szCs w:val="22"/>
              </w:rPr>
              <w:t>Ano / Ne</w:t>
            </w:r>
          </w:p>
        </w:tc>
        <w:tc>
          <w:tcPr>
            <w:tcW w:w="2341" w:type="dxa"/>
            <w:shd w:val="clear" w:color="auto" w:fill="auto"/>
          </w:tcPr>
          <w:p w:rsidR="006C634D" w:rsidRPr="002B0AB9" w:rsidRDefault="006C634D" w:rsidP="004B5A6C">
            <w:pPr>
              <w:jc w:val="center"/>
              <w:rPr>
                <w:rFonts w:asciiTheme="minorHAnsi" w:hAnsiTheme="minorHAnsi" w:cstheme="minorHAnsi"/>
                <w:b/>
                <w:sz w:val="22"/>
                <w:szCs w:val="22"/>
              </w:rPr>
            </w:pPr>
            <w:r w:rsidRPr="002B0AB9">
              <w:rPr>
                <w:rFonts w:asciiTheme="minorHAnsi" w:hAnsiTheme="minorHAnsi" w:cstheme="minorHAnsi"/>
                <w:b/>
                <w:sz w:val="22"/>
                <w:szCs w:val="22"/>
              </w:rPr>
              <w:t xml:space="preserve">Indikativní datum sdělení / předložení žádosti o velký projekt Komisi </w:t>
            </w:r>
          </w:p>
          <w:p w:rsidR="006C634D" w:rsidRPr="002B0AB9" w:rsidRDefault="006C634D" w:rsidP="004B5A6C">
            <w:pPr>
              <w:jc w:val="center"/>
              <w:rPr>
                <w:rFonts w:asciiTheme="minorHAnsi" w:hAnsiTheme="minorHAnsi" w:cstheme="minorHAnsi"/>
                <w:b/>
                <w:sz w:val="22"/>
                <w:szCs w:val="22"/>
              </w:rPr>
            </w:pPr>
            <w:r w:rsidRPr="002B0AB9">
              <w:rPr>
                <w:rFonts w:asciiTheme="minorHAnsi" w:hAnsiTheme="minorHAnsi" w:cstheme="minorHAnsi"/>
                <w:b/>
                <w:sz w:val="22"/>
                <w:szCs w:val="22"/>
              </w:rPr>
              <w:t>(rok, čtvrtletí)</w:t>
            </w:r>
          </w:p>
        </w:tc>
        <w:tc>
          <w:tcPr>
            <w:tcW w:w="1856" w:type="dxa"/>
            <w:shd w:val="clear" w:color="auto" w:fill="auto"/>
          </w:tcPr>
          <w:p w:rsidR="006C634D" w:rsidRPr="002B0AB9" w:rsidRDefault="006C634D" w:rsidP="004B5A6C">
            <w:pPr>
              <w:jc w:val="center"/>
              <w:rPr>
                <w:rFonts w:asciiTheme="minorHAnsi" w:hAnsiTheme="minorHAnsi" w:cstheme="minorHAnsi"/>
                <w:b/>
                <w:sz w:val="22"/>
                <w:szCs w:val="22"/>
              </w:rPr>
            </w:pPr>
            <w:r w:rsidRPr="002B0AB9">
              <w:rPr>
                <w:rFonts w:asciiTheme="minorHAnsi" w:hAnsiTheme="minorHAnsi" w:cstheme="minorHAnsi"/>
                <w:b/>
                <w:sz w:val="22"/>
                <w:szCs w:val="22"/>
              </w:rPr>
              <w:t>Orientační datum zahájení implementace (rok, čtvrtletí)</w:t>
            </w:r>
          </w:p>
        </w:tc>
        <w:tc>
          <w:tcPr>
            <w:tcW w:w="1856" w:type="dxa"/>
            <w:shd w:val="clear" w:color="auto" w:fill="auto"/>
          </w:tcPr>
          <w:p w:rsidR="006C634D" w:rsidRPr="002B0AB9" w:rsidRDefault="006C634D" w:rsidP="004B5A6C">
            <w:pPr>
              <w:jc w:val="center"/>
              <w:rPr>
                <w:rFonts w:asciiTheme="minorHAnsi" w:hAnsiTheme="minorHAnsi" w:cstheme="minorHAnsi"/>
                <w:b/>
                <w:sz w:val="22"/>
                <w:szCs w:val="22"/>
              </w:rPr>
            </w:pPr>
            <w:r w:rsidRPr="002B0AB9">
              <w:rPr>
                <w:rFonts w:asciiTheme="minorHAnsi" w:hAnsiTheme="minorHAnsi" w:cstheme="minorHAnsi"/>
                <w:b/>
                <w:sz w:val="22"/>
                <w:szCs w:val="22"/>
              </w:rPr>
              <w:t>Orientační datum ukončení implementace (rok, čtvrtletí)</w:t>
            </w:r>
          </w:p>
        </w:tc>
      </w:tr>
      <w:tr w:rsidR="006C634D" w:rsidRPr="002B0AB9">
        <w:tc>
          <w:tcPr>
            <w:tcW w:w="1242" w:type="dxa"/>
            <w:shd w:val="clear" w:color="auto" w:fill="auto"/>
          </w:tcPr>
          <w:p w:rsidR="006C634D" w:rsidRPr="002B0AB9" w:rsidRDefault="006C634D" w:rsidP="001419C6">
            <w:pPr>
              <w:spacing w:before="60" w:after="60" w:line="288" w:lineRule="auto"/>
              <w:jc w:val="center"/>
              <w:rPr>
                <w:rFonts w:asciiTheme="minorHAnsi" w:hAnsiTheme="minorHAnsi" w:cstheme="minorHAnsi"/>
              </w:rPr>
            </w:pPr>
          </w:p>
        </w:tc>
        <w:tc>
          <w:tcPr>
            <w:tcW w:w="1985" w:type="dxa"/>
            <w:shd w:val="clear" w:color="auto" w:fill="auto"/>
          </w:tcPr>
          <w:p w:rsidR="006C634D" w:rsidRPr="002B0AB9" w:rsidRDefault="006C634D" w:rsidP="001419C6">
            <w:pPr>
              <w:spacing w:before="60" w:after="60" w:line="288" w:lineRule="auto"/>
              <w:jc w:val="center"/>
              <w:rPr>
                <w:rFonts w:asciiTheme="minorHAnsi" w:hAnsiTheme="minorHAnsi" w:cstheme="minorHAnsi"/>
              </w:rPr>
            </w:pPr>
          </w:p>
        </w:tc>
        <w:tc>
          <w:tcPr>
            <w:tcW w:w="2341" w:type="dxa"/>
            <w:shd w:val="clear" w:color="auto" w:fill="auto"/>
          </w:tcPr>
          <w:p w:rsidR="006C634D" w:rsidRPr="002B0AB9" w:rsidRDefault="006C634D" w:rsidP="001419C6">
            <w:pPr>
              <w:spacing w:before="60" w:after="60" w:line="288" w:lineRule="auto"/>
              <w:jc w:val="center"/>
              <w:rPr>
                <w:rFonts w:asciiTheme="minorHAnsi" w:hAnsiTheme="minorHAnsi" w:cstheme="minorHAnsi"/>
              </w:rPr>
            </w:pPr>
          </w:p>
        </w:tc>
        <w:tc>
          <w:tcPr>
            <w:tcW w:w="1856" w:type="dxa"/>
            <w:shd w:val="clear" w:color="auto" w:fill="auto"/>
          </w:tcPr>
          <w:p w:rsidR="006C634D" w:rsidRPr="002B0AB9" w:rsidRDefault="006C634D" w:rsidP="001419C6">
            <w:pPr>
              <w:spacing w:before="60" w:after="60" w:line="288" w:lineRule="auto"/>
              <w:jc w:val="center"/>
              <w:rPr>
                <w:rFonts w:asciiTheme="minorHAnsi" w:hAnsiTheme="minorHAnsi" w:cstheme="minorHAnsi"/>
              </w:rPr>
            </w:pPr>
          </w:p>
        </w:tc>
        <w:tc>
          <w:tcPr>
            <w:tcW w:w="1856" w:type="dxa"/>
            <w:shd w:val="clear" w:color="auto" w:fill="auto"/>
          </w:tcPr>
          <w:p w:rsidR="006C634D" w:rsidRPr="002B0AB9" w:rsidRDefault="006C634D" w:rsidP="001419C6">
            <w:pPr>
              <w:spacing w:before="60" w:after="60" w:line="288" w:lineRule="auto"/>
              <w:jc w:val="center"/>
              <w:rPr>
                <w:rFonts w:asciiTheme="minorHAnsi" w:hAnsiTheme="minorHAnsi" w:cstheme="minorHAnsi"/>
              </w:rPr>
            </w:pPr>
          </w:p>
        </w:tc>
      </w:tr>
    </w:tbl>
    <w:p w:rsidR="00AA042C" w:rsidRPr="002B0AB9" w:rsidRDefault="00AA042C" w:rsidP="00AA042C">
      <w:pPr>
        <w:overflowPunct/>
        <w:textAlignment w:val="auto"/>
        <w:rPr>
          <w:rFonts w:asciiTheme="minorHAnsi" w:hAnsiTheme="minorHAnsi" w:cstheme="minorHAnsi"/>
          <w:b/>
          <w:bCs/>
          <w:color w:val="FF0000"/>
          <w:sz w:val="24"/>
          <w:szCs w:val="24"/>
        </w:rPr>
      </w:pPr>
    </w:p>
    <w:p w:rsidR="00AA042C" w:rsidRPr="00022228" w:rsidRDefault="006C634D" w:rsidP="00851D6E">
      <w:pPr>
        <w:pStyle w:val="Nadpis2"/>
      </w:pPr>
      <w:bookmarkStart w:id="175" w:name="_Toc351464449"/>
      <w:bookmarkStart w:id="176" w:name="_Toc352328416"/>
      <w:r w:rsidRPr="00022228">
        <w:t>Výkonnostní rámec operačního programu (7.13.2)</w:t>
      </w:r>
      <w:bookmarkEnd w:id="175"/>
      <w:bookmarkEnd w:id="176"/>
    </w:p>
    <w:p w:rsidR="00AA042C" w:rsidRPr="00022228" w:rsidRDefault="00AA042C" w:rsidP="00AA042C">
      <w:pPr>
        <w:overflowPunct/>
        <w:jc w:val="both"/>
        <w:textAlignment w:val="auto"/>
        <w:rPr>
          <w:iCs/>
          <w:sz w:val="28"/>
          <w:szCs w:val="28"/>
        </w:rPr>
      </w:pPr>
    </w:p>
    <w:p w:rsidR="006C634D" w:rsidRPr="002B0AB9" w:rsidRDefault="006C634D" w:rsidP="00813A80">
      <w:pPr>
        <w:spacing w:before="60" w:after="60" w:line="288" w:lineRule="auto"/>
        <w:jc w:val="both"/>
        <w:rPr>
          <w:rFonts w:asciiTheme="minorHAnsi" w:hAnsiTheme="minorHAnsi" w:cstheme="minorHAnsi"/>
          <w:sz w:val="24"/>
          <w:szCs w:val="24"/>
        </w:rPr>
      </w:pPr>
      <w:r w:rsidRPr="002B0AB9">
        <w:rPr>
          <w:rFonts w:asciiTheme="minorHAnsi" w:hAnsiTheme="minorHAnsi" w:cstheme="minorHAnsi"/>
          <w:sz w:val="24"/>
          <w:szCs w:val="24"/>
        </w:rPr>
        <w:t>Přehledová tabulka je generována automaticky ze SFC na základě tabulek k jednotlivým prioritním osám.</w:t>
      </w:r>
    </w:p>
    <w:p w:rsidR="004B5A6C" w:rsidRPr="002B0AB9" w:rsidRDefault="004B5A6C" w:rsidP="006C634D">
      <w:pPr>
        <w:spacing w:before="60" w:after="60" w:line="288" w:lineRule="auto"/>
        <w:rPr>
          <w:rFonts w:asciiTheme="minorHAnsi" w:hAnsiTheme="minorHAnsi" w:cstheme="minorHAnsi"/>
          <w:sz w:val="24"/>
          <w:szCs w:val="24"/>
        </w:rPr>
      </w:pPr>
    </w:p>
    <w:p w:rsidR="006C634D" w:rsidRPr="002B0AB9" w:rsidRDefault="006C634D" w:rsidP="00821D0D">
      <w:pPr>
        <w:spacing w:before="60" w:after="120"/>
        <w:rPr>
          <w:rFonts w:asciiTheme="minorHAnsi" w:hAnsiTheme="minorHAnsi" w:cstheme="minorHAnsi"/>
          <w:b/>
          <w:sz w:val="24"/>
          <w:szCs w:val="24"/>
        </w:rPr>
      </w:pPr>
      <w:r w:rsidRPr="00FB794B">
        <w:rPr>
          <w:rFonts w:asciiTheme="minorHAnsi" w:hAnsiTheme="minorHAnsi" w:cstheme="minorHAnsi"/>
          <w:b/>
          <w:sz w:val="24"/>
          <w:szCs w:val="24"/>
        </w:rPr>
        <w:t xml:space="preserve">Tabulka </w:t>
      </w:r>
      <w:r w:rsidR="002B0AB9" w:rsidRPr="00FB794B">
        <w:rPr>
          <w:rFonts w:asciiTheme="minorHAnsi" w:hAnsiTheme="minorHAnsi" w:cstheme="minorHAnsi"/>
          <w:b/>
          <w:sz w:val="24"/>
          <w:szCs w:val="24"/>
        </w:rPr>
        <w:t>xx</w:t>
      </w:r>
      <w:r w:rsidRPr="00FB794B">
        <w:rPr>
          <w:rFonts w:asciiTheme="minorHAnsi" w:hAnsiTheme="minorHAnsi" w:cstheme="minorHAnsi"/>
          <w:b/>
          <w:sz w:val="24"/>
          <w:szCs w:val="24"/>
        </w:rPr>
        <w:t>: Výkonno</w:t>
      </w:r>
      <w:r w:rsidRPr="002B0AB9">
        <w:rPr>
          <w:rFonts w:asciiTheme="minorHAnsi" w:hAnsiTheme="minorHAnsi" w:cstheme="minorHAnsi"/>
          <w:b/>
          <w:sz w:val="24"/>
          <w:szCs w:val="24"/>
        </w:rPr>
        <w:t>stní rámec operačního programu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9"/>
        <w:gridCol w:w="1367"/>
        <w:gridCol w:w="1634"/>
        <w:gridCol w:w="1201"/>
        <w:gridCol w:w="1701"/>
        <w:gridCol w:w="2233"/>
      </w:tblGrid>
      <w:tr w:rsidR="006C634D" w:rsidRPr="002B0AB9">
        <w:trPr>
          <w:trHeight w:val="1029"/>
        </w:trPr>
        <w:tc>
          <w:tcPr>
            <w:tcW w:w="1009" w:type="dxa"/>
            <w:shd w:val="clear" w:color="auto" w:fill="auto"/>
            <w:tcMar>
              <w:top w:w="0" w:type="dxa"/>
              <w:left w:w="108" w:type="dxa"/>
              <w:bottom w:w="0" w:type="dxa"/>
              <w:right w:w="108" w:type="dxa"/>
            </w:tcMar>
          </w:tcPr>
          <w:p w:rsidR="006C634D" w:rsidRPr="002B0AB9" w:rsidRDefault="006C634D" w:rsidP="004B5A6C">
            <w:pPr>
              <w:pStyle w:val="TextMetodika"/>
              <w:spacing w:before="0" w:after="0" w:line="240" w:lineRule="auto"/>
              <w:jc w:val="center"/>
              <w:rPr>
                <w:rFonts w:asciiTheme="minorHAnsi" w:hAnsiTheme="minorHAnsi" w:cstheme="minorHAnsi"/>
                <w:b/>
                <w:sz w:val="22"/>
                <w:szCs w:val="22"/>
              </w:rPr>
            </w:pPr>
            <w:r w:rsidRPr="002B0AB9">
              <w:rPr>
                <w:rFonts w:asciiTheme="minorHAnsi" w:hAnsiTheme="minorHAnsi" w:cstheme="minorHAnsi"/>
                <w:b/>
                <w:sz w:val="22"/>
                <w:szCs w:val="22"/>
              </w:rPr>
              <w:t>Prioritní osa</w:t>
            </w:r>
          </w:p>
        </w:tc>
        <w:tc>
          <w:tcPr>
            <w:tcW w:w="1367" w:type="dxa"/>
            <w:shd w:val="clear" w:color="auto" w:fill="auto"/>
            <w:tcMar>
              <w:top w:w="0" w:type="dxa"/>
              <w:left w:w="108" w:type="dxa"/>
              <w:bottom w:w="0" w:type="dxa"/>
              <w:right w:w="108" w:type="dxa"/>
            </w:tcMar>
          </w:tcPr>
          <w:p w:rsidR="006C634D" w:rsidRPr="002B0AB9" w:rsidRDefault="006C634D" w:rsidP="004B5A6C">
            <w:pPr>
              <w:pStyle w:val="TextMetodika"/>
              <w:spacing w:before="0" w:after="0" w:line="240" w:lineRule="auto"/>
              <w:jc w:val="center"/>
              <w:rPr>
                <w:rFonts w:asciiTheme="minorHAnsi" w:hAnsiTheme="minorHAnsi" w:cstheme="minorHAnsi"/>
                <w:b/>
                <w:sz w:val="22"/>
                <w:szCs w:val="22"/>
              </w:rPr>
            </w:pPr>
            <w:r w:rsidRPr="002B0AB9">
              <w:rPr>
                <w:rFonts w:asciiTheme="minorHAnsi" w:hAnsiTheme="minorHAnsi" w:cstheme="minorHAnsi"/>
                <w:b/>
                <w:sz w:val="22"/>
                <w:szCs w:val="22"/>
              </w:rPr>
              <w:t>Název milníku*</w:t>
            </w:r>
          </w:p>
        </w:tc>
        <w:tc>
          <w:tcPr>
            <w:tcW w:w="1634" w:type="dxa"/>
            <w:shd w:val="clear" w:color="auto" w:fill="auto"/>
            <w:tcMar>
              <w:top w:w="0" w:type="dxa"/>
              <w:left w:w="108" w:type="dxa"/>
              <w:bottom w:w="0" w:type="dxa"/>
              <w:right w:w="108" w:type="dxa"/>
            </w:tcMar>
          </w:tcPr>
          <w:p w:rsidR="006C634D" w:rsidRPr="002B0AB9" w:rsidRDefault="006C634D" w:rsidP="004B5A6C">
            <w:pPr>
              <w:pStyle w:val="TextMetodika"/>
              <w:spacing w:before="0" w:after="0" w:line="240" w:lineRule="auto"/>
              <w:jc w:val="center"/>
              <w:rPr>
                <w:rFonts w:asciiTheme="minorHAnsi" w:hAnsiTheme="minorHAnsi" w:cstheme="minorHAnsi"/>
                <w:b/>
                <w:bCs/>
                <w:sz w:val="22"/>
                <w:szCs w:val="22"/>
              </w:rPr>
            </w:pPr>
            <w:r w:rsidRPr="002B0AB9">
              <w:rPr>
                <w:rFonts w:asciiTheme="minorHAnsi" w:hAnsiTheme="minorHAnsi" w:cstheme="minorHAnsi"/>
                <w:b/>
                <w:bCs/>
                <w:sz w:val="22"/>
                <w:szCs w:val="22"/>
              </w:rPr>
              <w:t>Definice milníku a měrná jednotka*</w:t>
            </w:r>
          </w:p>
        </w:tc>
        <w:tc>
          <w:tcPr>
            <w:tcW w:w="1201" w:type="dxa"/>
            <w:shd w:val="clear" w:color="auto" w:fill="auto"/>
            <w:tcMar>
              <w:top w:w="0" w:type="dxa"/>
              <w:left w:w="108" w:type="dxa"/>
              <w:bottom w:w="0" w:type="dxa"/>
              <w:right w:w="108" w:type="dxa"/>
            </w:tcMar>
          </w:tcPr>
          <w:p w:rsidR="006C634D" w:rsidRPr="002B0AB9" w:rsidRDefault="006C634D" w:rsidP="004B5A6C">
            <w:pPr>
              <w:pStyle w:val="TextMetodika"/>
              <w:spacing w:before="0" w:after="0" w:line="240" w:lineRule="auto"/>
              <w:jc w:val="center"/>
              <w:rPr>
                <w:rFonts w:asciiTheme="minorHAnsi" w:hAnsiTheme="minorHAnsi" w:cstheme="minorHAnsi"/>
                <w:b/>
                <w:sz w:val="22"/>
                <w:szCs w:val="22"/>
              </w:rPr>
            </w:pPr>
            <w:r w:rsidRPr="002B0AB9">
              <w:rPr>
                <w:rFonts w:asciiTheme="minorHAnsi" w:hAnsiTheme="minorHAnsi" w:cstheme="minorHAnsi"/>
                <w:b/>
                <w:sz w:val="22"/>
                <w:szCs w:val="22"/>
              </w:rPr>
              <w:t>Hodnota milníku v r.   2018</w:t>
            </w:r>
          </w:p>
        </w:tc>
        <w:tc>
          <w:tcPr>
            <w:tcW w:w="1701" w:type="dxa"/>
            <w:shd w:val="clear" w:color="auto" w:fill="auto"/>
            <w:tcMar>
              <w:top w:w="0" w:type="dxa"/>
              <w:left w:w="108" w:type="dxa"/>
              <w:bottom w:w="0" w:type="dxa"/>
              <w:right w:w="108" w:type="dxa"/>
            </w:tcMar>
          </w:tcPr>
          <w:p w:rsidR="006C634D" w:rsidRPr="002B0AB9" w:rsidRDefault="006C634D" w:rsidP="004B5A6C">
            <w:pPr>
              <w:pStyle w:val="TextMetodika"/>
              <w:spacing w:before="0" w:after="0" w:line="240" w:lineRule="auto"/>
              <w:jc w:val="center"/>
              <w:rPr>
                <w:rFonts w:asciiTheme="minorHAnsi" w:hAnsiTheme="minorHAnsi" w:cstheme="minorHAnsi"/>
                <w:b/>
                <w:sz w:val="22"/>
                <w:szCs w:val="22"/>
              </w:rPr>
            </w:pPr>
            <w:r w:rsidRPr="002B0AB9">
              <w:rPr>
                <w:rFonts w:asciiTheme="minorHAnsi" w:hAnsiTheme="minorHAnsi" w:cstheme="minorHAnsi"/>
                <w:b/>
                <w:sz w:val="22"/>
                <w:szCs w:val="22"/>
              </w:rPr>
              <w:t>Cílová hodnota milníku k roku 2022</w:t>
            </w:r>
          </w:p>
        </w:tc>
        <w:tc>
          <w:tcPr>
            <w:tcW w:w="2233" w:type="dxa"/>
            <w:shd w:val="clear" w:color="auto" w:fill="auto"/>
            <w:tcMar>
              <w:top w:w="0" w:type="dxa"/>
              <w:left w:w="108" w:type="dxa"/>
              <w:bottom w:w="0" w:type="dxa"/>
              <w:right w:w="108" w:type="dxa"/>
            </w:tcMar>
          </w:tcPr>
          <w:p w:rsidR="006C634D" w:rsidRPr="002B0AB9" w:rsidRDefault="006C634D" w:rsidP="004B5A6C">
            <w:pPr>
              <w:pStyle w:val="TextMetodika"/>
              <w:spacing w:before="0" w:after="0" w:line="240" w:lineRule="auto"/>
              <w:jc w:val="center"/>
              <w:rPr>
                <w:rFonts w:asciiTheme="minorHAnsi" w:hAnsiTheme="minorHAnsi" w:cstheme="minorHAnsi"/>
                <w:b/>
                <w:sz w:val="22"/>
                <w:szCs w:val="22"/>
              </w:rPr>
            </w:pPr>
            <w:r w:rsidRPr="002B0AB9">
              <w:rPr>
                <w:rFonts w:asciiTheme="minorHAnsi" w:hAnsiTheme="minorHAnsi" w:cstheme="minorHAnsi"/>
                <w:b/>
                <w:sz w:val="22"/>
                <w:szCs w:val="22"/>
              </w:rPr>
              <w:t>Odůvodnění, jakým způsobem byly hodnoty stanoveny</w:t>
            </w:r>
          </w:p>
        </w:tc>
      </w:tr>
      <w:tr w:rsidR="006C634D" w:rsidRPr="002B0AB9">
        <w:tc>
          <w:tcPr>
            <w:tcW w:w="1009"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367"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634"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bCs/>
              </w:rPr>
            </w:pPr>
          </w:p>
        </w:tc>
        <w:tc>
          <w:tcPr>
            <w:tcW w:w="1201"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701"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2233"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r>
      <w:tr w:rsidR="006C634D" w:rsidRPr="002B0AB9">
        <w:tc>
          <w:tcPr>
            <w:tcW w:w="1009"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367"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634"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bCs/>
              </w:rPr>
            </w:pPr>
          </w:p>
        </w:tc>
        <w:tc>
          <w:tcPr>
            <w:tcW w:w="1201"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701"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2233"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r>
      <w:tr w:rsidR="006C634D" w:rsidRPr="002B0AB9">
        <w:tc>
          <w:tcPr>
            <w:tcW w:w="1009"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367"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634"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bCs/>
              </w:rPr>
            </w:pPr>
          </w:p>
        </w:tc>
        <w:tc>
          <w:tcPr>
            <w:tcW w:w="1201"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1701"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c>
          <w:tcPr>
            <w:tcW w:w="2233" w:type="dxa"/>
            <w:shd w:val="clear" w:color="auto" w:fill="auto"/>
            <w:tcMar>
              <w:top w:w="0" w:type="dxa"/>
              <w:left w:w="108" w:type="dxa"/>
              <w:bottom w:w="0" w:type="dxa"/>
              <w:right w:w="108" w:type="dxa"/>
            </w:tcMar>
          </w:tcPr>
          <w:p w:rsidR="006C634D" w:rsidRPr="002B0AB9" w:rsidRDefault="006C634D" w:rsidP="001419C6">
            <w:pPr>
              <w:pStyle w:val="TextMetodika"/>
              <w:jc w:val="center"/>
              <w:rPr>
                <w:rFonts w:asciiTheme="minorHAnsi" w:hAnsiTheme="minorHAnsi" w:cstheme="minorHAnsi"/>
              </w:rPr>
            </w:pPr>
          </w:p>
        </w:tc>
      </w:tr>
    </w:tbl>
    <w:p w:rsidR="00AA042C" w:rsidRPr="00A815D1" w:rsidRDefault="00AA042C" w:rsidP="00AA042C">
      <w:pPr>
        <w:overflowPunct/>
        <w:textAlignment w:val="auto"/>
        <w:rPr>
          <w:rFonts w:ascii="Calibri" w:hAnsi="Calibri" w:cs="Calibri"/>
          <w:b/>
          <w:bCs/>
        </w:rPr>
      </w:pPr>
    </w:p>
    <w:p w:rsidR="007F55D2" w:rsidRDefault="007F55D2" w:rsidP="007F55D2">
      <w:pPr>
        <w:overflowPunct/>
        <w:ind w:left="705" w:hanging="705"/>
        <w:textAlignment w:val="auto"/>
        <w:rPr>
          <w:rFonts w:ascii="Calibri" w:hAnsi="Calibri" w:cs="Calibri"/>
          <w:b/>
          <w:bCs/>
          <w:color w:val="FF0000"/>
          <w:sz w:val="28"/>
          <w:szCs w:val="28"/>
        </w:rPr>
      </w:pPr>
    </w:p>
    <w:p w:rsidR="00D564D3" w:rsidRDefault="00D564D3" w:rsidP="007F55D2">
      <w:pPr>
        <w:overflowPunct/>
        <w:ind w:left="705" w:hanging="705"/>
        <w:textAlignment w:val="auto"/>
        <w:rPr>
          <w:rFonts w:ascii="Calibri" w:hAnsi="Calibri" w:cs="Calibri"/>
          <w:b/>
          <w:bCs/>
          <w:color w:val="FF0000"/>
          <w:sz w:val="28"/>
          <w:szCs w:val="28"/>
        </w:rPr>
      </w:pPr>
    </w:p>
    <w:p w:rsidR="00AA042C" w:rsidRPr="003E384D" w:rsidRDefault="007F55D2" w:rsidP="003E384D">
      <w:pPr>
        <w:pStyle w:val="Nadpis2"/>
      </w:pPr>
      <w:bookmarkStart w:id="177" w:name="_Toc351464450"/>
      <w:bookmarkStart w:id="178" w:name="_Toc352328417"/>
      <w:r w:rsidRPr="003E384D">
        <w:t>Další přílohy</w:t>
      </w:r>
      <w:bookmarkEnd w:id="177"/>
      <w:bookmarkEnd w:id="178"/>
    </w:p>
    <w:p w:rsidR="007F55D2" w:rsidRPr="007F55D2" w:rsidRDefault="007F55D2" w:rsidP="002B0AB9">
      <w:pPr>
        <w:overflowPunct/>
        <w:ind w:left="705" w:hanging="705"/>
        <w:textAlignment w:val="auto"/>
        <w:rPr>
          <w:rFonts w:ascii="Calibri" w:hAnsi="Calibri" w:cs="Calibri"/>
          <w:b/>
          <w:bCs/>
          <w:color w:val="FF0000"/>
          <w:sz w:val="24"/>
          <w:szCs w:val="24"/>
        </w:rPr>
      </w:pPr>
    </w:p>
    <w:p w:rsidR="007F55D2" w:rsidRDefault="007F55D2" w:rsidP="00722EC8">
      <w:pPr>
        <w:overflowPunct/>
        <w:ind w:left="703" w:hanging="703"/>
        <w:textAlignment w:val="auto"/>
        <w:rPr>
          <w:rFonts w:ascii="Calibri" w:hAnsi="Calibri" w:cs="Calibri"/>
          <w:b/>
          <w:bCs/>
          <w:sz w:val="24"/>
          <w:szCs w:val="24"/>
        </w:rPr>
      </w:pPr>
      <w:r w:rsidRPr="00722EC8">
        <w:rPr>
          <w:rFonts w:ascii="Calibri" w:hAnsi="Calibri" w:cs="Calibri"/>
          <w:b/>
          <w:bCs/>
          <w:sz w:val="24"/>
          <w:szCs w:val="24"/>
        </w:rPr>
        <w:t xml:space="preserve">Sociální a hospodářští partneři </w:t>
      </w:r>
    </w:p>
    <w:p w:rsidR="00722EC8" w:rsidRPr="00722EC8" w:rsidRDefault="00722EC8" w:rsidP="00722EC8">
      <w:pPr>
        <w:overflowPunct/>
        <w:ind w:left="703" w:hanging="703"/>
        <w:textAlignment w:val="auto"/>
        <w:rPr>
          <w:rFonts w:ascii="Calibri" w:hAnsi="Calibri" w:cs="Calibri"/>
          <w:b/>
          <w:bCs/>
          <w:sz w:val="24"/>
          <w:szCs w:val="24"/>
        </w:rPr>
      </w:pPr>
    </w:p>
    <w:p w:rsidR="007F55D2" w:rsidRPr="00722EC8" w:rsidRDefault="007F55D2" w:rsidP="00722EC8">
      <w:pPr>
        <w:overflowPunct/>
        <w:ind w:left="703"/>
        <w:textAlignment w:val="auto"/>
        <w:rPr>
          <w:rFonts w:ascii="Calibri" w:hAnsi="Calibri" w:cs="Calibri"/>
          <w:b/>
          <w:bCs/>
          <w:sz w:val="24"/>
          <w:szCs w:val="24"/>
        </w:rPr>
      </w:pPr>
      <w:r w:rsidRPr="00722EC8">
        <w:rPr>
          <w:rFonts w:ascii="Calibri" w:hAnsi="Calibri" w:cs="Calibri"/>
          <w:b/>
          <w:bCs/>
          <w:sz w:val="24"/>
          <w:szCs w:val="24"/>
        </w:rPr>
        <w:t>Platforma</w:t>
      </w:r>
      <w:r w:rsidR="00435275" w:rsidRPr="00722EC8">
        <w:rPr>
          <w:rFonts w:ascii="Calibri" w:hAnsi="Calibri" w:cs="Calibri"/>
          <w:b/>
          <w:bCs/>
          <w:sz w:val="24"/>
          <w:szCs w:val="24"/>
        </w:rPr>
        <w:t xml:space="preserve"> MPO pro přípravu OP PIK</w:t>
      </w:r>
    </w:p>
    <w:p w:rsidR="007F55D2" w:rsidRPr="00722EC8" w:rsidRDefault="007F55D2" w:rsidP="002B0AB9">
      <w:pPr>
        <w:overflowPunct/>
        <w:ind w:left="705"/>
        <w:textAlignment w:val="auto"/>
        <w:rPr>
          <w:rFonts w:ascii="Calibri" w:hAnsi="Calibri" w:cs="Calibri"/>
          <w:b/>
          <w:bCs/>
          <w:sz w:val="24"/>
          <w:szCs w:val="24"/>
        </w:rPr>
      </w:pPr>
    </w:p>
    <w:p w:rsidR="007F55D2" w:rsidRPr="00722EC8" w:rsidRDefault="007F55D2" w:rsidP="002B0AB9">
      <w:pPr>
        <w:overflowPunct/>
        <w:ind w:left="705"/>
        <w:textAlignment w:val="auto"/>
        <w:rPr>
          <w:rFonts w:ascii="Calibri" w:hAnsi="Calibri" w:cs="Calibri"/>
          <w:b/>
          <w:bCs/>
          <w:sz w:val="24"/>
          <w:szCs w:val="24"/>
        </w:rPr>
      </w:pPr>
      <w:r w:rsidRPr="00722EC8">
        <w:rPr>
          <w:rFonts w:ascii="Calibri" w:hAnsi="Calibri" w:cs="Calibri"/>
          <w:b/>
          <w:bCs/>
          <w:sz w:val="24"/>
          <w:szCs w:val="24"/>
        </w:rPr>
        <w:t>Pracovní skupiny</w:t>
      </w:r>
      <w:r w:rsidR="00435275" w:rsidRPr="00722EC8">
        <w:rPr>
          <w:rFonts w:ascii="Calibri" w:hAnsi="Calibri" w:cs="Calibri"/>
          <w:b/>
          <w:bCs/>
          <w:sz w:val="24"/>
          <w:szCs w:val="24"/>
        </w:rPr>
        <w:t xml:space="preserve"> pro rozpracování prioritních os OP PIK</w:t>
      </w:r>
    </w:p>
    <w:p w:rsidR="007F55D2" w:rsidRPr="00722EC8" w:rsidRDefault="007F55D2" w:rsidP="002B0AB9">
      <w:pPr>
        <w:overflowPunct/>
        <w:ind w:left="705"/>
        <w:textAlignment w:val="auto"/>
        <w:rPr>
          <w:rFonts w:ascii="Calibri" w:hAnsi="Calibri" w:cs="Calibri"/>
          <w:b/>
          <w:bCs/>
          <w:sz w:val="24"/>
          <w:szCs w:val="24"/>
        </w:rPr>
      </w:pPr>
    </w:p>
    <w:p w:rsidR="007F55D2" w:rsidRDefault="007F55D2" w:rsidP="002B0AB9">
      <w:pPr>
        <w:overflowPunct/>
        <w:ind w:left="705" w:hanging="705"/>
        <w:textAlignment w:val="auto"/>
        <w:rPr>
          <w:rFonts w:ascii="Calibri" w:hAnsi="Calibri" w:cs="Calibri"/>
          <w:b/>
          <w:bCs/>
          <w:sz w:val="24"/>
          <w:szCs w:val="24"/>
        </w:rPr>
      </w:pPr>
      <w:r w:rsidRPr="00722EC8">
        <w:rPr>
          <w:rFonts w:ascii="Calibri" w:hAnsi="Calibri" w:cs="Calibri"/>
          <w:b/>
          <w:bCs/>
          <w:sz w:val="24"/>
          <w:szCs w:val="24"/>
        </w:rPr>
        <w:t>Seznam grafů</w:t>
      </w:r>
    </w:p>
    <w:p w:rsidR="00722EC8" w:rsidRPr="00722EC8" w:rsidRDefault="00722EC8" w:rsidP="002B0AB9">
      <w:pPr>
        <w:overflowPunct/>
        <w:ind w:left="705" w:hanging="705"/>
        <w:textAlignment w:val="auto"/>
        <w:rPr>
          <w:rFonts w:ascii="Calibri" w:hAnsi="Calibri" w:cs="Calibri"/>
          <w:b/>
          <w:bCs/>
          <w:sz w:val="24"/>
          <w:szCs w:val="24"/>
        </w:rPr>
      </w:pPr>
    </w:p>
    <w:p w:rsidR="007F55D2" w:rsidRPr="00722EC8" w:rsidRDefault="007F55D2" w:rsidP="002B0AB9">
      <w:pPr>
        <w:overflowPunct/>
        <w:ind w:left="705" w:hanging="705"/>
        <w:textAlignment w:val="auto"/>
        <w:rPr>
          <w:rFonts w:ascii="Calibri" w:hAnsi="Calibri" w:cs="Calibri"/>
          <w:b/>
          <w:bCs/>
          <w:sz w:val="24"/>
          <w:szCs w:val="24"/>
        </w:rPr>
      </w:pPr>
    </w:p>
    <w:p w:rsidR="007F55D2" w:rsidRDefault="007F55D2" w:rsidP="002B0AB9">
      <w:pPr>
        <w:overflowPunct/>
        <w:ind w:left="705" w:hanging="705"/>
        <w:textAlignment w:val="auto"/>
        <w:rPr>
          <w:rFonts w:ascii="Calibri" w:hAnsi="Calibri" w:cs="Calibri"/>
          <w:b/>
          <w:bCs/>
          <w:sz w:val="24"/>
          <w:szCs w:val="24"/>
        </w:rPr>
      </w:pPr>
      <w:r w:rsidRPr="00722EC8">
        <w:rPr>
          <w:rFonts w:ascii="Calibri" w:hAnsi="Calibri" w:cs="Calibri"/>
          <w:b/>
          <w:bCs/>
          <w:sz w:val="24"/>
          <w:szCs w:val="24"/>
        </w:rPr>
        <w:t xml:space="preserve">Seznam tabulek </w:t>
      </w:r>
    </w:p>
    <w:p w:rsidR="00722EC8" w:rsidRPr="00722EC8" w:rsidRDefault="00722EC8" w:rsidP="002B0AB9">
      <w:pPr>
        <w:overflowPunct/>
        <w:ind w:left="705" w:hanging="705"/>
        <w:textAlignment w:val="auto"/>
        <w:rPr>
          <w:rFonts w:ascii="Calibri" w:hAnsi="Calibri" w:cs="Calibri"/>
          <w:b/>
          <w:bCs/>
          <w:sz w:val="24"/>
          <w:szCs w:val="24"/>
        </w:rPr>
      </w:pPr>
    </w:p>
    <w:p w:rsidR="007F55D2" w:rsidRPr="00722EC8" w:rsidRDefault="007F55D2" w:rsidP="002B0AB9">
      <w:pPr>
        <w:overflowPunct/>
        <w:ind w:left="705" w:hanging="705"/>
        <w:textAlignment w:val="auto"/>
        <w:rPr>
          <w:rFonts w:ascii="Calibri" w:hAnsi="Calibri" w:cs="Calibri"/>
          <w:b/>
          <w:bCs/>
          <w:sz w:val="24"/>
          <w:szCs w:val="24"/>
        </w:rPr>
      </w:pPr>
    </w:p>
    <w:p w:rsidR="007F55D2" w:rsidRDefault="007F55D2" w:rsidP="002B0AB9">
      <w:pPr>
        <w:overflowPunct/>
        <w:ind w:left="705" w:hanging="705"/>
        <w:textAlignment w:val="auto"/>
        <w:rPr>
          <w:rFonts w:ascii="Calibri" w:hAnsi="Calibri" w:cs="Calibri"/>
          <w:b/>
          <w:bCs/>
          <w:sz w:val="24"/>
          <w:szCs w:val="24"/>
        </w:rPr>
      </w:pPr>
      <w:r w:rsidRPr="00722EC8">
        <w:rPr>
          <w:rFonts w:ascii="Calibri" w:hAnsi="Calibri" w:cs="Calibri"/>
          <w:b/>
          <w:bCs/>
          <w:sz w:val="24"/>
          <w:szCs w:val="24"/>
        </w:rPr>
        <w:t>Seznam obrázků</w:t>
      </w:r>
    </w:p>
    <w:p w:rsidR="00722EC8" w:rsidRPr="00722EC8" w:rsidRDefault="00722EC8" w:rsidP="002B0AB9">
      <w:pPr>
        <w:overflowPunct/>
        <w:ind w:left="705" w:hanging="705"/>
        <w:textAlignment w:val="auto"/>
        <w:rPr>
          <w:rFonts w:ascii="Calibri" w:hAnsi="Calibri" w:cs="Calibri"/>
          <w:b/>
          <w:bCs/>
          <w:sz w:val="24"/>
          <w:szCs w:val="24"/>
        </w:rPr>
      </w:pPr>
    </w:p>
    <w:p w:rsidR="007F55D2" w:rsidRPr="00722EC8" w:rsidRDefault="007F55D2" w:rsidP="002B0AB9">
      <w:pPr>
        <w:overflowPunct/>
        <w:ind w:left="705" w:hanging="705"/>
        <w:textAlignment w:val="auto"/>
        <w:rPr>
          <w:rFonts w:ascii="Calibri" w:hAnsi="Calibri" w:cs="Calibri"/>
          <w:b/>
          <w:bCs/>
          <w:sz w:val="24"/>
          <w:szCs w:val="24"/>
        </w:rPr>
      </w:pPr>
    </w:p>
    <w:p w:rsidR="007F55D2" w:rsidRDefault="007F55D2" w:rsidP="002B0AB9">
      <w:pPr>
        <w:overflowPunct/>
        <w:spacing w:after="120"/>
        <w:ind w:left="703" w:hanging="703"/>
        <w:textAlignment w:val="auto"/>
        <w:rPr>
          <w:rFonts w:ascii="Calibri" w:hAnsi="Calibri" w:cs="Calibri"/>
          <w:b/>
          <w:bCs/>
          <w:sz w:val="24"/>
          <w:szCs w:val="24"/>
        </w:rPr>
      </w:pPr>
      <w:r w:rsidRPr="00722EC8">
        <w:rPr>
          <w:rFonts w:ascii="Calibri" w:hAnsi="Calibri" w:cs="Calibri"/>
          <w:b/>
          <w:bCs/>
          <w:sz w:val="24"/>
          <w:szCs w:val="24"/>
        </w:rPr>
        <w:t>Seznam zkratek</w:t>
      </w:r>
    </w:p>
    <w:p w:rsidR="00722EC8" w:rsidRPr="00722EC8" w:rsidRDefault="00722EC8" w:rsidP="002B0AB9">
      <w:pPr>
        <w:overflowPunct/>
        <w:spacing w:after="120"/>
        <w:ind w:left="703" w:hanging="703"/>
        <w:textAlignment w:val="auto"/>
        <w:rPr>
          <w:rFonts w:ascii="Calibri" w:hAnsi="Calibri" w:cs="Calibri"/>
          <w:b/>
          <w:bCs/>
          <w:sz w:val="24"/>
          <w:szCs w:val="24"/>
        </w:rPr>
      </w:pPr>
    </w:p>
    <w:sectPr w:rsidR="00722EC8" w:rsidRPr="00722EC8" w:rsidSect="00A72DFD">
      <w:headerReference w:type="default" r:id="rId45"/>
      <w:footerReference w:type="default" r:id="rId46"/>
      <w:type w:val="continuous"/>
      <w:pgSz w:w="11906" w:h="16838"/>
      <w:pgMar w:top="1418" w:right="1276" w:bottom="1276"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0E5" w:rsidRDefault="000560E5" w:rsidP="00F03E3C">
      <w:r>
        <w:separator/>
      </w:r>
    </w:p>
  </w:endnote>
  <w:endnote w:type="continuationSeparator" w:id="0">
    <w:p w:rsidR="000560E5" w:rsidRDefault="000560E5" w:rsidP="00F0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FSquareSansPro-Bold">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97A5A">
    <w:pPr>
      <w:pStyle w:val="Zpat"/>
      <w:tabs>
        <w:tab w:val="clear" w:pos="9072"/>
        <w:tab w:val="left" w:pos="6549"/>
        <w:tab w:val="left" w:pos="7137"/>
        <w:tab w:val="right" w:pos="9212"/>
      </w:tabs>
      <w:jc w:val="left"/>
    </w:pPr>
    <w:r>
      <w:rPr>
        <w:noProof/>
      </w:rPr>
      <w:drawing>
        <wp:anchor distT="0" distB="0" distL="114300" distR="114300" simplePos="0" relativeHeight="251649024" behindDoc="1" locked="0" layoutInCell="1" allowOverlap="0">
          <wp:simplePos x="0" y="0"/>
          <wp:positionH relativeFrom="column">
            <wp:posOffset>4018280</wp:posOffset>
          </wp:positionH>
          <wp:positionV relativeFrom="page">
            <wp:posOffset>9901555</wp:posOffset>
          </wp:positionV>
          <wp:extent cx="1846580" cy="359410"/>
          <wp:effectExtent l="0" t="0" r="1270" b="2540"/>
          <wp:wrapTight wrapText="bothSides">
            <wp:wrapPolygon edited="0">
              <wp:start x="0" y="0"/>
              <wp:lineTo x="0" y="20608"/>
              <wp:lineTo x="21392" y="20608"/>
              <wp:lineTo x="21392" y="0"/>
              <wp:lineTo x="0" y="0"/>
            </wp:wrapPolygon>
          </wp:wrapTight>
          <wp:docPr id="44"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r>
      <w:tab/>
    </w:r>
    <w:r>
      <w:tab/>
    </w:r>
    <w:r>
      <w:tab/>
    </w:r>
    <w:r>
      <w:tab/>
    </w:r>
    <w:fldSimple w:instr="PAGE   \* MERGEFORMAT">
      <w:r w:rsidR="00E80E77">
        <w:rPr>
          <w:noProof/>
        </w:rPr>
        <w:t>38</w:t>
      </w:r>
    </w:fldSimple>
  </w:p>
  <w:p w:rsidR="000560E5" w:rsidRDefault="000560E5" w:rsidP="0056085D">
    <w:pPr>
      <w:pStyle w:val="Zpat"/>
      <w:tabs>
        <w:tab w:val="left" w:pos="6274"/>
        <w:tab w:val="left" w:pos="6585"/>
        <w:tab w:val="left" w:pos="7515"/>
        <w:tab w:val="left" w:pos="8370"/>
      </w:tabs>
      <w:jc w:val="left"/>
    </w:pPr>
    <w:r>
      <w:tab/>
    </w:r>
    <w:r>
      <w:tab/>
      <w:t xml:space="preserve"> </w:t>
    </w:r>
    <w:r>
      <w:tab/>
    </w:r>
    <w:r>
      <w:tab/>
    </w:r>
    <w:r>
      <w:tab/>
    </w:r>
    <w:r>
      <w:tab/>
    </w:r>
    <w: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698176" behindDoc="1" locked="0" layoutInCell="1" allowOverlap="0">
          <wp:simplePos x="0" y="0"/>
          <wp:positionH relativeFrom="column">
            <wp:posOffset>7138035</wp:posOffset>
          </wp:positionH>
          <wp:positionV relativeFrom="page">
            <wp:posOffset>6761480</wp:posOffset>
          </wp:positionV>
          <wp:extent cx="1846580" cy="359410"/>
          <wp:effectExtent l="0" t="0" r="1270" b="2540"/>
          <wp:wrapTight wrapText="bothSides">
            <wp:wrapPolygon edited="0">
              <wp:start x="0" y="0"/>
              <wp:lineTo x="0" y="20608"/>
              <wp:lineTo x="21392" y="20608"/>
              <wp:lineTo x="21392" y="0"/>
              <wp:lineTo x="0" y="0"/>
            </wp:wrapPolygon>
          </wp:wrapTigh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123</w:t>
      </w:r>
    </w:fldSimple>
  </w:p>
  <w:p w:rsidR="000560E5" w:rsidRDefault="000560E5" w:rsidP="00305C77">
    <w:pPr>
      <w:pStyle w:val="Zpat"/>
      <w:tabs>
        <w:tab w:val="left" w:pos="6274"/>
        <w:tab w:val="left" w:pos="6585"/>
        <w:tab w:val="left" w:pos="7515"/>
        <w:tab w:val="left" w:pos="7719"/>
        <w:tab w:val="left" w:pos="8370"/>
      </w:tabs>
      <w:jc w:val="left"/>
    </w:pPr>
    <w:r>
      <w:tab/>
    </w:r>
    <w:r>
      <w:tab/>
      <w:t xml:space="preserve"> </w:t>
    </w:r>
    <w:r>
      <w:tab/>
    </w:r>
    <w:r>
      <w:tab/>
    </w:r>
    <w:r>
      <w:tab/>
    </w:r>
    <w:r>
      <w:tab/>
    </w:r>
    <w:r>
      <w:tab/>
    </w: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704320" behindDoc="1" locked="0" layoutInCell="1" allowOverlap="0">
          <wp:simplePos x="0" y="0"/>
          <wp:positionH relativeFrom="column">
            <wp:posOffset>4012565</wp:posOffset>
          </wp:positionH>
          <wp:positionV relativeFrom="page">
            <wp:posOffset>9893935</wp:posOffset>
          </wp:positionV>
          <wp:extent cx="1846580" cy="359410"/>
          <wp:effectExtent l="0" t="0" r="1270" b="2540"/>
          <wp:wrapTight wrapText="bothSides">
            <wp:wrapPolygon edited="0">
              <wp:start x="0" y="0"/>
              <wp:lineTo x="0" y="20608"/>
              <wp:lineTo x="21392" y="20608"/>
              <wp:lineTo x="21392"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124</w:t>
      </w:r>
    </w:fldSimple>
  </w:p>
  <w:p w:rsidR="000560E5" w:rsidRDefault="000560E5" w:rsidP="00305C77">
    <w:pPr>
      <w:pStyle w:val="Zpat"/>
      <w:tabs>
        <w:tab w:val="left" w:pos="6274"/>
        <w:tab w:val="left" w:pos="6585"/>
        <w:tab w:val="left" w:pos="7515"/>
        <w:tab w:val="left" w:pos="7719"/>
        <w:tab w:val="left" w:pos="8370"/>
      </w:tabs>
      <w:jc w:val="left"/>
    </w:pPr>
    <w:r>
      <w:tab/>
    </w:r>
    <w:r>
      <w:tab/>
      <w:t xml:space="preserve"> </w:t>
    </w:r>
    <w:r>
      <w:tab/>
    </w:r>
    <w:r>
      <w:tab/>
    </w:r>
    <w:r>
      <w:tab/>
    </w:r>
    <w:r>
      <w:tab/>
    </w:r>
    <w:r>
      <w:tab/>
    </w: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692032" behindDoc="1" locked="0" layoutInCell="1" allowOverlap="0">
          <wp:simplePos x="0" y="0"/>
          <wp:positionH relativeFrom="column">
            <wp:posOffset>7141845</wp:posOffset>
          </wp:positionH>
          <wp:positionV relativeFrom="page">
            <wp:posOffset>6759575</wp:posOffset>
          </wp:positionV>
          <wp:extent cx="1846580" cy="359410"/>
          <wp:effectExtent l="0" t="0" r="1270" b="2540"/>
          <wp:wrapTight wrapText="bothSides">
            <wp:wrapPolygon edited="0">
              <wp:start x="0" y="0"/>
              <wp:lineTo x="0" y="20608"/>
              <wp:lineTo x="21392" y="20608"/>
              <wp:lineTo x="21392" y="0"/>
              <wp:lineTo x="0" y="0"/>
            </wp:wrapPolygon>
          </wp:wrapTight>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148</w:t>
      </w:r>
    </w:fldSimple>
  </w:p>
  <w:p w:rsidR="000560E5" w:rsidRDefault="000560E5" w:rsidP="00305C77">
    <w:pPr>
      <w:pStyle w:val="Zpat"/>
      <w:tabs>
        <w:tab w:val="left" w:pos="6274"/>
        <w:tab w:val="left" w:pos="6585"/>
        <w:tab w:val="left" w:pos="7515"/>
        <w:tab w:val="left" w:pos="7719"/>
        <w:tab w:val="left" w:pos="8370"/>
      </w:tabs>
      <w:jc w:val="left"/>
    </w:pPr>
    <w:r>
      <w:tab/>
    </w:r>
    <w:r>
      <w:tab/>
      <w:t xml:space="preserve"> </w:t>
    </w:r>
    <w:r>
      <w:tab/>
    </w:r>
    <w:r>
      <w:tab/>
    </w:r>
    <w:r>
      <w:tab/>
    </w:r>
    <w:r>
      <w:tab/>
    </w:r>
    <w:r>
      <w:tab/>
    </w: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689984" behindDoc="1" locked="0" layoutInCell="1" allowOverlap="0">
          <wp:simplePos x="0" y="0"/>
          <wp:positionH relativeFrom="column">
            <wp:posOffset>4012565</wp:posOffset>
          </wp:positionH>
          <wp:positionV relativeFrom="page">
            <wp:posOffset>9893935</wp:posOffset>
          </wp:positionV>
          <wp:extent cx="1846580" cy="359410"/>
          <wp:effectExtent l="0" t="0" r="1270" b="2540"/>
          <wp:wrapTight wrapText="bothSides">
            <wp:wrapPolygon edited="0">
              <wp:start x="0" y="0"/>
              <wp:lineTo x="0" y="20608"/>
              <wp:lineTo x="21392" y="20608"/>
              <wp:lineTo x="21392" y="0"/>
              <wp:lineTo x="0" y="0"/>
            </wp:wrapPolygon>
          </wp:wrapTight>
          <wp:docPr id="1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153</w:t>
      </w:r>
    </w:fldSimple>
  </w:p>
  <w:p w:rsidR="000560E5" w:rsidRDefault="000560E5" w:rsidP="00305C77">
    <w:pPr>
      <w:pStyle w:val="Zpat"/>
      <w:tabs>
        <w:tab w:val="left" w:pos="6274"/>
        <w:tab w:val="left" w:pos="6585"/>
        <w:tab w:val="left" w:pos="7515"/>
        <w:tab w:val="left" w:pos="7719"/>
        <w:tab w:val="left" w:pos="8370"/>
      </w:tabs>
      <w:jc w:val="left"/>
    </w:pPr>
    <w:r>
      <w:tab/>
    </w:r>
    <w:r>
      <w:tab/>
      <w:t xml:space="preserve"> </w:t>
    </w:r>
    <w:r>
      <w:tab/>
    </w:r>
    <w:r>
      <w:tab/>
    </w:r>
    <w:r>
      <w:tab/>
    </w: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Pr="00B9670E" w:rsidRDefault="000560E5" w:rsidP="00B9670E">
    <w:pPr>
      <w:pStyle w:val="Zpat"/>
      <w:jc w:val="center"/>
      <w:rPr>
        <w:sz w:val="20"/>
      </w:rPr>
    </w:pPr>
    <w:r w:rsidRPr="00B9670E">
      <w:rPr>
        <w:sz w:val="20"/>
      </w:rPr>
      <w:t>OPPIK_verze_</w:t>
    </w:r>
    <w:r>
      <w:rPr>
        <w:sz w:val="20"/>
      </w:rPr>
      <w:t>1</w:t>
    </w:r>
    <w:r w:rsidRPr="00B9670E">
      <w:rPr>
        <w:sz w:val="20"/>
      </w:rPr>
      <w:t>-</w:t>
    </w:r>
    <w:r>
      <w:rPr>
        <w:sz w:val="20"/>
      </w:rPr>
      <w:t>2</w:t>
    </w:r>
    <w:r w:rsidRPr="00B9670E">
      <w:rPr>
        <w:sz w:val="20"/>
      </w:rPr>
      <w:t>_</w:t>
    </w:r>
    <w:r>
      <w:rPr>
        <w:sz w:val="20"/>
      </w:rPr>
      <w:t>MMR_</w:t>
    </w:r>
    <w:r w:rsidRPr="00B9670E">
      <w:rPr>
        <w:sz w:val="20"/>
      </w:rPr>
      <w:t>03-2013.docx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926525">
    <w:pPr>
      <w:pStyle w:val="Zpat"/>
      <w:tabs>
        <w:tab w:val="clear" w:pos="9072"/>
      </w:tabs>
      <w:jc w:val="right"/>
    </w:pPr>
    <w:r>
      <w:rPr>
        <w:noProof/>
      </w:rPr>
      <w:drawing>
        <wp:anchor distT="0" distB="0" distL="114300" distR="114300" simplePos="0" relativeHeight="251651072" behindDoc="1" locked="0" layoutInCell="1" allowOverlap="1">
          <wp:simplePos x="0" y="0"/>
          <wp:positionH relativeFrom="column">
            <wp:posOffset>4009390</wp:posOffset>
          </wp:positionH>
          <wp:positionV relativeFrom="paragraph">
            <wp:posOffset>36195</wp:posOffset>
          </wp:positionV>
          <wp:extent cx="1847850" cy="358775"/>
          <wp:effectExtent l="0" t="0" r="0" b="0"/>
          <wp:wrapTight wrapText="bothSides">
            <wp:wrapPolygon edited="0">
              <wp:start x="0" y="0"/>
              <wp:lineTo x="0" y="20644"/>
              <wp:lineTo x="21377" y="20644"/>
              <wp:lineTo x="21377" y="0"/>
              <wp:lineTo x="0" y="0"/>
            </wp:wrapPolygon>
          </wp:wrapTight>
          <wp:docPr id="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358775"/>
                  </a:xfrm>
                  <a:prstGeom prst="rect">
                    <a:avLst/>
                  </a:prstGeom>
                  <a:noFill/>
                  <a:ln>
                    <a:noFill/>
                  </a:ln>
                </pic:spPr>
              </pic:pic>
            </a:graphicData>
          </a:graphic>
        </wp:anchor>
      </w:drawing>
    </w:r>
    <w:r>
      <w:tab/>
    </w:r>
    <w:r>
      <w:tab/>
    </w:r>
    <w:r>
      <w:tab/>
      <w:t xml:space="preserve">   </w:t>
    </w:r>
    <w:fldSimple w:instr="PAGE   \* MERGEFORMAT">
      <w:r w:rsidR="00E80E77">
        <w:rPr>
          <w:noProof/>
        </w:rPr>
        <w:t>2</w:t>
      </w:r>
    </w:fldSimple>
  </w:p>
  <w:p w:rsidR="000560E5" w:rsidRDefault="000560E5" w:rsidP="0022503D">
    <w:pPr>
      <w:pStyle w:val="Zpat"/>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926525">
    <w:pPr>
      <w:pStyle w:val="Zpat"/>
      <w:tabs>
        <w:tab w:val="clear" w:pos="9072"/>
      </w:tabs>
      <w:jc w:val="right"/>
    </w:pPr>
    <w:r>
      <w:rPr>
        <w:noProof/>
      </w:rPr>
      <w:drawing>
        <wp:anchor distT="0" distB="0" distL="114300" distR="114300" simplePos="0" relativeHeight="251656192" behindDoc="1" locked="0" layoutInCell="1" allowOverlap="0">
          <wp:simplePos x="0" y="0"/>
          <wp:positionH relativeFrom="column">
            <wp:posOffset>7149465</wp:posOffset>
          </wp:positionH>
          <wp:positionV relativeFrom="page">
            <wp:posOffset>6761480</wp:posOffset>
          </wp:positionV>
          <wp:extent cx="1846580" cy="359410"/>
          <wp:effectExtent l="0" t="0" r="1270" b="2540"/>
          <wp:wrapTight wrapText="bothSides">
            <wp:wrapPolygon edited="0">
              <wp:start x="0" y="0"/>
              <wp:lineTo x="0" y="20608"/>
              <wp:lineTo x="21392" y="20608"/>
              <wp:lineTo x="21392" y="0"/>
              <wp:lineTo x="0" y="0"/>
            </wp:wrapPolygon>
          </wp:wrapTight>
          <wp:docPr id="2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40</w:t>
      </w:r>
    </w:fldSimple>
  </w:p>
  <w:p w:rsidR="000560E5" w:rsidRDefault="000560E5" w:rsidP="0056085D">
    <w:pPr>
      <w:pStyle w:val="Zpat"/>
      <w:tabs>
        <w:tab w:val="left" w:pos="6274"/>
        <w:tab w:val="left" w:pos="6585"/>
        <w:tab w:val="left" w:pos="7515"/>
        <w:tab w:val="left" w:pos="8370"/>
      </w:tabs>
      <w:jc w:val="left"/>
    </w:pPr>
    <w:r>
      <w:tab/>
    </w:r>
    <w:r>
      <w:tab/>
      <w:t xml:space="preserve"> </w:t>
    </w:r>
    <w:r>
      <w:tab/>
    </w:r>
    <w:r>
      <w:tab/>
    </w:r>
    <w:r>
      <w:tab/>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8534F0" w:rsidP="00FA5EE8">
    <w:pPr>
      <w:pStyle w:val="Zpat"/>
      <w:tabs>
        <w:tab w:val="clear" w:pos="9072"/>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28.2pt;margin-top:286.85pt;width:541pt;height:98.35pt;rotation:315;z-index:-251640832;mso-position-horizontal-relative:margin;mso-position-vertical-relative:margin" o:allowincell="f" fillcolor="silver" stroked="f">
          <v:fill opacity=".5"/>
          <v:textpath style="font-family:&quot;Times New Roman&quot;;font-size:1pt" string="DRAFT MPO"/>
          <w10:wrap anchorx="margin" anchory="margin"/>
        </v:shape>
      </w:pict>
    </w:r>
    <w:r w:rsidR="000560E5">
      <w:rPr>
        <w:noProof/>
      </w:rPr>
      <w:drawing>
        <wp:anchor distT="0" distB="0" distL="114300" distR="114300" simplePos="0" relativeHeight="251663360" behindDoc="1" locked="0" layoutInCell="1" allowOverlap="0">
          <wp:simplePos x="0" y="0"/>
          <wp:positionH relativeFrom="column">
            <wp:posOffset>4017645</wp:posOffset>
          </wp:positionH>
          <wp:positionV relativeFrom="page">
            <wp:posOffset>9885680</wp:posOffset>
          </wp:positionV>
          <wp:extent cx="1846580" cy="359410"/>
          <wp:effectExtent l="0" t="0" r="1270" b="2540"/>
          <wp:wrapTight wrapText="bothSides">
            <wp:wrapPolygon edited="0">
              <wp:start x="0" y="0"/>
              <wp:lineTo x="0" y="20608"/>
              <wp:lineTo x="21392" y="20608"/>
              <wp:lineTo x="21392"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49</w:t>
      </w:r>
    </w:fldSimple>
  </w:p>
  <w:p w:rsidR="000560E5" w:rsidRDefault="000560E5" w:rsidP="00FA5EE8">
    <w:pPr>
      <w:pStyle w:val="Zpat"/>
      <w:tabs>
        <w:tab w:val="left" w:pos="6274"/>
        <w:tab w:val="left" w:pos="6585"/>
        <w:tab w:val="left" w:pos="7515"/>
        <w:tab w:val="left" w:pos="7719"/>
        <w:tab w:val="left" w:pos="8370"/>
        <w:tab w:val="left" w:pos="9204"/>
        <w:tab w:val="left" w:pos="11475"/>
      </w:tabs>
      <w:jc w:val="left"/>
    </w:pPr>
    <w:r>
      <w:tab/>
    </w:r>
    <w:r>
      <w:tab/>
      <w:t xml:space="preserve"> </w:t>
    </w:r>
    <w:r>
      <w:tab/>
    </w:r>
    <w:r>
      <w:tab/>
    </w:r>
    <w:r>
      <w:tab/>
    </w:r>
    <w:r>
      <w:tab/>
    </w:r>
    <w:r>
      <w:tab/>
    </w:r>
    <w:r>
      <w:tab/>
    </w: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671552" behindDoc="1" locked="0" layoutInCell="1" allowOverlap="0">
          <wp:simplePos x="0" y="0"/>
          <wp:positionH relativeFrom="column">
            <wp:posOffset>7149465</wp:posOffset>
          </wp:positionH>
          <wp:positionV relativeFrom="page">
            <wp:posOffset>6761480</wp:posOffset>
          </wp:positionV>
          <wp:extent cx="1846580" cy="359410"/>
          <wp:effectExtent l="0" t="0" r="1270" b="2540"/>
          <wp:wrapTight wrapText="bothSides">
            <wp:wrapPolygon edited="0">
              <wp:start x="0" y="0"/>
              <wp:lineTo x="0" y="20608"/>
              <wp:lineTo x="21392" y="20608"/>
              <wp:lineTo x="21392" y="0"/>
              <wp:lineTo x="0" y="0"/>
            </wp:wrapPolygon>
          </wp:wrapTigh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55</w:t>
      </w:r>
    </w:fldSimple>
  </w:p>
  <w:p w:rsidR="000560E5" w:rsidRDefault="000560E5" w:rsidP="00FA5EE8">
    <w:pPr>
      <w:pStyle w:val="Zpat"/>
      <w:tabs>
        <w:tab w:val="left" w:pos="6274"/>
        <w:tab w:val="left" w:pos="6585"/>
        <w:tab w:val="left" w:pos="7515"/>
        <w:tab w:val="left" w:pos="7719"/>
        <w:tab w:val="left" w:pos="8370"/>
        <w:tab w:val="left" w:pos="9204"/>
        <w:tab w:val="left" w:pos="11475"/>
      </w:tabs>
      <w:jc w:val="left"/>
    </w:pPr>
    <w:r>
      <w:tab/>
    </w:r>
    <w:r>
      <w:tab/>
      <w:t xml:space="preserve"> </w:t>
    </w:r>
    <w:r>
      <w:tab/>
    </w:r>
    <w:r>
      <w:tab/>
    </w:r>
    <w:r>
      <w:tab/>
    </w:r>
    <w:r>
      <w:tab/>
    </w:r>
    <w:r>
      <w:tab/>
    </w:r>
    <w:r>
      <w:tab/>
    </w: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666432" behindDoc="1" locked="0" layoutInCell="1" allowOverlap="0">
          <wp:simplePos x="0" y="0"/>
          <wp:positionH relativeFrom="column">
            <wp:posOffset>4012565</wp:posOffset>
          </wp:positionH>
          <wp:positionV relativeFrom="page">
            <wp:posOffset>9893935</wp:posOffset>
          </wp:positionV>
          <wp:extent cx="1846580" cy="359410"/>
          <wp:effectExtent l="0" t="0" r="1270" b="2540"/>
          <wp:wrapTight wrapText="bothSides">
            <wp:wrapPolygon edited="0">
              <wp:start x="0" y="0"/>
              <wp:lineTo x="0" y="20608"/>
              <wp:lineTo x="21392" y="20608"/>
              <wp:lineTo x="21392" y="0"/>
              <wp:lineTo x="0" y="0"/>
            </wp:wrapPolygon>
          </wp:wrapTight>
          <wp:docPr id="35"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56</w:t>
      </w:r>
    </w:fldSimple>
  </w:p>
  <w:p w:rsidR="000560E5" w:rsidRDefault="000560E5" w:rsidP="00FA5EE8">
    <w:pPr>
      <w:pStyle w:val="Zpat"/>
      <w:tabs>
        <w:tab w:val="left" w:pos="6274"/>
        <w:tab w:val="left" w:pos="6585"/>
        <w:tab w:val="left" w:pos="7515"/>
        <w:tab w:val="left" w:pos="7719"/>
        <w:tab w:val="left" w:pos="8370"/>
        <w:tab w:val="left" w:pos="9204"/>
        <w:tab w:val="left" w:pos="11475"/>
      </w:tabs>
      <w:jc w:val="left"/>
    </w:pPr>
    <w:r>
      <w:tab/>
    </w:r>
    <w:r>
      <w:tab/>
      <w:t xml:space="preserve"> </w:t>
    </w:r>
    <w:r>
      <w:tab/>
    </w:r>
    <w:r>
      <w:tab/>
    </w:r>
    <w:r>
      <w:tab/>
    </w:r>
    <w:r>
      <w:tab/>
    </w:r>
    <w:r>
      <w:tab/>
    </w:r>
    <w:r>
      <w:tab/>
    </w: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665408" behindDoc="1" locked="0" layoutInCell="1" allowOverlap="0">
          <wp:simplePos x="0" y="0"/>
          <wp:positionH relativeFrom="column">
            <wp:posOffset>7149465</wp:posOffset>
          </wp:positionH>
          <wp:positionV relativeFrom="page">
            <wp:posOffset>6761480</wp:posOffset>
          </wp:positionV>
          <wp:extent cx="1846580" cy="359410"/>
          <wp:effectExtent l="0" t="0" r="1270" b="2540"/>
          <wp:wrapTight wrapText="bothSides">
            <wp:wrapPolygon edited="0">
              <wp:start x="0" y="0"/>
              <wp:lineTo x="0" y="20608"/>
              <wp:lineTo x="21392" y="20608"/>
              <wp:lineTo x="21392" y="0"/>
              <wp:lineTo x="0" y="0"/>
            </wp:wrapPolygon>
          </wp:wrapTight>
          <wp:docPr id="3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61</w:t>
      </w:r>
    </w:fldSimple>
  </w:p>
  <w:p w:rsidR="000560E5" w:rsidRDefault="000560E5" w:rsidP="00FA5EE8">
    <w:pPr>
      <w:pStyle w:val="Zpat"/>
      <w:tabs>
        <w:tab w:val="left" w:pos="6274"/>
        <w:tab w:val="left" w:pos="6585"/>
        <w:tab w:val="left" w:pos="7515"/>
        <w:tab w:val="left" w:pos="7719"/>
        <w:tab w:val="left" w:pos="8370"/>
        <w:tab w:val="left" w:pos="9204"/>
        <w:tab w:val="left" w:pos="11475"/>
      </w:tabs>
      <w:jc w:val="left"/>
    </w:pPr>
    <w:r>
      <w:tab/>
    </w:r>
    <w:r>
      <w:tab/>
      <w:t xml:space="preserve"> </w:t>
    </w:r>
    <w:r>
      <w:tab/>
    </w:r>
    <w:r>
      <w:tab/>
    </w:r>
    <w:r>
      <w:tab/>
    </w:r>
    <w:r>
      <w:tab/>
    </w:r>
    <w:r>
      <w:tab/>
    </w:r>
    <w:r>
      <w:tab/>
    </w: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FA5EE8">
    <w:pPr>
      <w:pStyle w:val="Zpat"/>
      <w:tabs>
        <w:tab w:val="clear" w:pos="9072"/>
      </w:tabs>
      <w:jc w:val="right"/>
    </w:pPr>
    <w:r>
      <w:rPr>
        <w:noProof/>
      </w:rPr>
      <w:drawing>
        <wp:anchor distT="0" distB="0" distL="114300" distR="114300" simplePos="0" relativeHeight="251664384" behindDoc="1" locked="0" layoutInCell="1" allowOverlap="0">
          <wp:simplePos x="0" y="0"/>
          <wp:positionH relativeFrom="column">
            <wp:posOffset>4012565</wp:posOffset>
          </wp:positionH>
          <wp:positionV relativeFrom="page">
            <wp:posOffset>9893935</wp:posOffset>
          </wp:positionV>
          <wp:extent cx="1846580" cy="359410"/>
          <wp:effectExtent l="0" t="0" r="1270" b="2540"/>
          <wp:wrapTight wrapText="bothSides">
            <wp:wrapPolygon edited="0">
              <wp:start x="0" y="0"/>
              <wp:lineTo x="0" y="20608"/>
              <wp:lineTo x="21392" y="20608"/>
              <wp:lineTo x="21392" y="0"/>
              <wp:lineTo x="0" y="0"/>
            </wp:wrapPolygon>
          </wp:wrapTight>
          <wp:docPr id="70"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6580" cy="359410"/>
                  </a:xfrm>
                  <a:prstGeom prst="rect">
                    <a:avLst/>
                  </a:prstGeom>
                  <a:noFill/>
                  <a:ln>
                    <a:noFill/>
                  </a:ln>
                </pic:spPr>
              </pic:pic>
            </a:graphicData>
          </a:graphic>
        </wp:anchor>
      </w:drawing>
    </w:r>
    <w:fldSimple w:instr="PAGE   \* MERGEFORMAT">
      <w:r w:rsidR="00E80E77">
        <w:rPr>
          <w:noProof/>
        </w:rPr>
        <w:t>79</w:t>
      </w:r>
    </w:fldSimple>
  </w:p>
  <w:p w:rsidR="000560E5" w:rsidRDefault="000560E5" w:rsidP="00305C77">
    <w:pPr>
      <w:pStyle w:val="Zpat"/>
      <w:tabs>
        <w:tab w:val="left" w:pos="6274"/>
        <w:tab w:val="left" w:pos="6585"/>
        <w:tab w:val="left" w:pos="7515"/>
        <w:tab w:val="left" w:pos="7719"/>
        <w:tab w:val="left" w:pos="8370"/>
      </w:tabs>
      <w:jc w:val="left"/>
    </w:pPr>
    <w:r>
      <w:tab/>
    </w:r>
    <w:r>
      <w:tab/>
      <w:t xml:space="preserve"> </w:t>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0E5" w:rsidRDefault="000560E5" w:rsidP="00F03E3C">
      <w:r>
        <w:separator/>
      </w:r>
    </w:p>
  </w:footnote>
  <w:footnote w:type="continuationSeparator" w:id="0">
    <w:p w:rsidR="000560E5" w:rsidRDefault="000560E5" w:rsidP="00F03E3C">
      <w:r>
        <w:continuationSeparator/>
      </w:r>
    </w:p>
  </w:footnote>
  <w:footnote w:id="1">
    <w:p w:rsidR="000560E5" w:rsidRPr="00D8599E" w:rsidRDefault="000560E5" w:rsidP="009B17B4">
      <w:pPr>
        <w:pStyle w:val="Textpoznpodarou"/>
        <w:rPr>
          <w:rFonts w:ascii="Times New Roman" w:hAnsi="Times New Roman"/>
          <w:sz w:val="20"/>
        </w:rPr>
      </w:pPr>
      <w:r w:rsidRPr="00456806">
        <w:rPr>
          <w:rStyle w:val="Znakapoznpodarou"/>
          <w:rFonts w:ascii="Times New Roman" w:hAnsi="Times New Roman"/>
          <w:sz w:val="20"/>
        </w:rPr>
        <w:footnoteRef/>
      </w:r>
      <w:r w:rsidRPr="00456806">
        <w:rPr>
          <w:rFonts w:ascii="Times New Roman" w:hAnsi="Times New Roman"/>
          <w:sz w:val="20"/>
        </w:rPr>
        <w:t xml:space="preserve"> Metodi</w:t>
      </w:r>
      <w:r w:rsidRPr="00D8599E">
        <w:rPr>
          <w:rFonts w:ascii="Times New Roman" w:hAnsi="Times New Roman"/>
          <w:sz w:val="20"/>
        </w:rPr>
        <w:t>cký pokyn pro přípravu programových dokumentů pro programové období 2014 – 2020, MMR, 2013</w:t>
      </w:r>
    </w:p>
  </w:footnote>
  <w:footnote w:id="2">
    <w:p w:rsidR="000560E5" w:rsidRPr="00264A0F" w:rsidRDefault="000560E5" w:rsidP="00F02FD8">
      <w:pPr>
        <w:pStyle w:val="Textpoznpodarou"/>
        <w:rPr>
          <w:rFonts w:ascii="Calibri" w:hAnsi="Calibri" w:cs="Calibri"/>
          <w:sz w:val="20"/>
        </w:rPr>
      </w:pPr>
      <w:r w:rsidRPr="00760884">
        <w:rPr>
          <w:rStyle w:val="Znakapoznpodarou"/>
          <w:rFonts w:ascii="Calibri" w:hAnsi="Calibri" w:cs="Calibri"/>
          <w:sz w:val="20"/>
        </w:rPr>
        <w:footnoteRef/>
      </w:r>
      <w:r w:rsidRPr="00760884">
        <w:rPr>
          <w:rFonts w:ascii="Calibri" w:hAnsi="Calibri" w:cs="Calibri"/>
          <w:sz w:val="20"/>
        </w:rPr>
        <w:t xml:space="preserve"> K</w:t>
      </w:r>
      <w:r w:rsidRPr="00264A0F">
        <w:rPr>
          <w:rFonts w:ascii="Calibri" w:hAnsi="Calibri" w:cs="Calibri"/>
          <w:sz w:val="20"/>
        </w:rPr>
        <w:t>OM (2010) 2020 ze 3. 3. 2010</w:t>
      </w:r>
    </w:p>
    <w:p w:rsidR="000560E5" w:rsidRDefault="000560E5" w:rsidP="00F02FD8">
      <w:pPr>
        <w:pStyle w:val="Textpoznpodarou"/>
      </w:pPr>
    </w:p>
  </w:footnote>
  <w:footnote w:id="3">
    <w:p w:rsidR="000560E5" w:rsidRPr="00D66FF7" w:rsidRDefault="000560E5">
      <w:pPr>
        <w:pStyle w:val="Textpoznpodarou"/>
        <w:rPr>
          <w:rFonts w:ascii="Times New Roman" w:hAnsi="Times New Roman"/>
          <w:sz w:val="20"/>
        </w:rPr>
      </w:pPr>
      <w:r w:rsidRPr="00456806">
        <w:rPr>
          <w:rStyle w:val="Znakapoznpodarou"/>
          <w:sz w:val="20"/>
        </w:rPr>
        <w:footnoteRef/>
      </w:r>
      <w:r w:rsidRPr="00456806">
        <w:rPr>
          <w:sz w:val="20"/>
        </w:rPr>
        <w:t xml:space="preserve"> </w:t>
      </w:r>
      <w:r w:rsidRPr="00456806">
        <w:rPr>
          <w:rFonts w:ascii="Times New Roman" w:hAnsi="Times New Roman"/>
          <w:sz w:val="20"/>
        </w:rPr>
        <w:t>Stano</w:t>
      </w:r>
      <w:r w:rsidRPr="00D66FF7">
        <w:rPr>
          <w:rFonts w:ascii="Times New Roman" w:hAnsi="Times New Roman"/>
          <w:sz w:val="20"/>
        </w:rPr>
        <w:t>visko útvarů Komise k vývoji v oblasti Dohody o partnerství programů v České republice pro období 2014 – 2020, EK, říjen 2012</w:t>
      </w:r>
    </w:p>
  </w:footnote>
  <w:footnote w:id="4">
    <w:p w:rsidR="000560E5" w:rsidRPr="0084403D" w:rsidRDefault="000560E5" w:rsidP="0084403D">
      <w:pPr>
        <w:jc w:val="both"/>
        <w:rPr>
          <w:color w:val="FF0000"/>
        </w:rPr>
      </w:pPr>
      <w:r w:rsidRPr="00456806">
        <w:rPr>
          <w:rStyle w:val="Znakapoznpodarou"/>
        </w:rPr>
        <w:footnoteRef/>
      </w:r>
      <w:r w:rsidRPr="00456806">
        <w:rPr>
          <w:rFonts w:ascii="Calibri" w:hAnsi="Calibri" w:cs="Calibri"/>
          <w:sz w:val="24"/>
        </w:rPr>
        <w:t xml:space="preserve"> </w:t>
      </w:r>
      <w:r w:rsidRPr="00456806">
        <w:rPr>
          <w:rFonts w:ascii="Arial" w:hAnsi="Arial"/>
        </w:rPr>
        <w:t>Tento</w:t>
      </w:r>
      <w:r w:rsidRPr="00D66FF7">
        <w:rPr>
          <w:rFonts w:ascii="Arial" w:hAnsi="Arial"/>
        </w:rPr>
        <w:t xml:space="preserve"> fakt potvrdila i analýza vývoje podnikatelského sektoru za uplynulé desetiletí provedená poradenskou společností BermanGroup použitá při první analýze priorit MPO pro nové programovací období 2014-2020: „</w:t>
      </w:r>
      <w:r w:rsidRPr="00D66FF7">
        <w:rPr>
          <w:rFonts w:ascii="Calibri" w:hAnsi="Calibri" w:cs="Calibri"/>
          <w:bCs/>
        </w:rPr>
        <w:t xml:space="preserve">Analýza věcných priorit a potřeb jednotlivých oblastí v působnosti MPO pro zaměření podpory ze strukturálních fondů v příštím programovacím období (2014+)“, </w:t>
      </w:r>
      <w:r w:rsidRPr="00D66FF7">
        <w:rPr>
          <w:rFonts w:ascii="Calibri" w:hAnsi="Calibri" w:cs="Calibri"/>
        </w:rPr>
        <w:t xml:space="preserve">BermanGroup, 2010: </w:t>
      </w:r>
      <w:r w:rsidRPr="00D66FF7">
        <w:t xml:space="preserve"> http://www.mpo.cz/dokument82084.html</w:t>
      </w:r>
    </w:p>
  </w:footnote>
  <w:footnote w:id="5">
    <w:p w:rsidR="000560E5" w:rsidRPr="000C6C38" w:rsidRDefault="000560E5" w:rsidP="004F250E">
      <w:pPr>
        <w:pStyle w:val="Textpoznpodarou"/>
        <w:rPr>
          <w:sz w:val="20"/>
        </w:rPr>
      </w:pPr>
      <w:r w:rsidRPr="00456806">
        <w:rPr>
          <w:rStyle w:val="Znakapoznpodarou"/>
          <w:sz w:val="20"/>
        </w:rPr>
        <w:footnoteRef/>
      </w:r>
      <w:r w:rsidRPr="00456806">
        <w:rPr>
          <w:sz w:val="20"/>
        </w:rPr>
        <w:t xml:space="preserve"> J – Inf</w:t>
      </w:r>
      <w:r w:rsidRPr="000C6C38">
        <w:rPr>
          <w:sz w:val="20"/>
        </w:rPr>
        <w:t>ormační a komunikační činnosti , K- Peněžnictví a pojišťovnictví</w:t>
      </w:r>
    </w:p>
  </w:footnote>
  <w:footnote w:id="6">
    <w:p w:rsidR="000560E5" w:rsidRPr="007768F1" w:rsidRDefault="000560E5">
      <w:pPr>
        <w:pStyle w:val="Textpoznpodarou"/>
        <w:rPr>
          <w:sz w:val="20"/>
        </w:rPr>
      </w:pPr>
      <w:r w:rsidRPr="00760884">
        <w:rPr>
          <w:rStyle w:val="Znakapoznpodarou"/>
          <w:sz w:val="20"/>
        </w:rPr>
        <w:footnoteRef/>
      </w:r>
      <w:r w:rsidRPr="00760884">
        <w:rPr>
          <w:sz w:val="20"/>
        </w:rPr>
        <w:t xml:space="preserve"> Info</w:t>
      </w:r>
      <w:r w:rsidRPr="007768F1">
        <w:rPr>
          <w:sz w:val="20"/>
        </w:rPr>
        <w:t>rmace pro tuto analýzu čerpány především z podkladů Společnosti vědeckotechnických parků a studie společnosti BermanGroup „Analýza věcných priorit a potřeb jednotlivých oblastí v působnosti MPO pro zaměření podpory ze strukturálních fondů EU v příštím programovacím období 2014+</w:t>
      </w:r>
      <w:r>
        <w:rPr>
          <w:sz w:val="20"/>
        </w:rPr>
        <w:t>“</w:t>
      </w:r>
    </w:p>
  </w:footnote>
  <w:footnote w:id="7">
    <w:p w:rsidR="000560E5" w:rsidRPr="00BC53A8" w:rsidRDefault="000560E5" w:rsidP="007A778A">
      <w:pPr>
        <w:pStyle w:val="Textpoznpodarou"/>
        <w:rPr>
          <w:sz w:val="20"/>
        </w:rPr>
      </w:pPr>
      <w:r w:rsidRPr="008B49A9">
        <w:rPr>
          <w:rStyle w:val="Znakapoznpodarou"/>
          <w:sz w:val="20"/>
        </w:rPr>
        <w:footnoteRef/>
      </w:r>
      <w:r w:rsidRPr="008B49A9">
        <w:rPr>
          <w:sz w:val="20"/>
        </w:rPr>
        <w:t xml:space="preserve"> </w:t>
      </w:r>
      <w:r w:rsidRPr="008B49A9">
        <w:rPr>
          <w:rFonts w:ascii="Times New Roman" w:hAnsi="Times New Roman"/>
          <w:sz w:val="20"/>
        </w:rPr>
        <w:t>COM(2</w:t>
      </w:r>
      <w:r w:rsidRPr="00BC53A8">
        <w:rPr>
          <w:rFonts w:ascii="Times New Roman" w:hAnsi="Times New Roman"/>
          <w:sz w:val="20"/>
        </w:rPr>
        <w:t>010) 245 final/2, ‘A Digital Agenda for Europe’</w:t>
      </w:r>
    </w:p>
  </w:footnote>
  <w:footnote w:id="8">
    <w:p w:rsidR="000560E5" w:rsidRPr="00506B31" w:rsidRDefault="000560E5" w:rsidP="00F02FD8">
      <w:pPr>
        <w:pStyle w:val="Textpoznpodarou"/>
        <w:rPr>
          <w:sz w:val="20"/>
        </w:rPr>
      </w:pPr>
      <w:r w:rsidRPr="008B49A9">
        <w:rPr>
          <w:rStyle w:val="Znakapoznpodarou"/>
          <w:sz w:val="20"/>
        </w:rPr>
        <w:footnoteRef/>
      </w:r>
      <w:r w:rsidRPr="008B49A9">
        <w:rPr>
          <w:sz w:val="20"/>
        </w:rPr>
        <w:t xml:space="preserve"> Analýza</w:t>
      </w:r>
      <w:r w:rsidRPr="00506B31">
        <w:rPr>
          <w:sz w:val="20"/>
        </w:rPr>
        <w:t xml:space="preserve"> konkurenceschopnosti ČR, MPO, 2010</w:t>
      </w:r>
    </w:p>
  </w:footnote>
  <w:footnote w:id="9">
    <w:p w:rsidR="000560E5" w:rsidRDefault="000560E5">
      <w:pPr>
        <w:pStyle w:val="Textpoznpodarou"/>
      </w:pPr>
      <w:r>
        <w:rPr>
          <w:rStyle w:val="Znakapoznpodarou"/>
        </w:rPr>
        <w:footnoteRef/>
      </w:r>
      <w:r>
        <w:t xml:space="preserve"> Vybrané podpůrné aktivity jsou řešeny v rámci Prioritní osy 2.</w:t>
      </w:r>
    </w:p>
  </w:footnote>
  <w:footnote w:id="10">
    <w:p w:rsidR="000560E5" w:rsidRPr="004B5745" w:rsidRDefault="000560E5" w:rsidP="00FF3BA2">
      <w:pPr>
        <w:pStyle w:val="Textpoznpodarou"/>
        <w:rPr>
          <w:rFonts w:asciiTheme="minorHAnsi" w:hAnsiTheme="minorHAnsi" w:cstheme="minorHAnsi"/>
          <w:sz w:val="20"/>
          <w:lang w:val="en-GB"/>
        </w:rPr>
      </w:pPr>
      <w:r w:rsidRPr="00611B39">
        <w:rPr>
          <w:rStyle w:val="Znakapoznpodarou"/>
          <w:rFonts w:asciiTheme="minorHAnsi" w:hAnsiTheme="minorHAnsi" w:cstheme="minorHAnsi"/>
          <w:sz w:val="20"/>
        </w:rPr>
        <w:footnoteRef/>
      </w:r>
      <w:r w:rsidRPr="00611B39">
        <w:rPr>
          <w:rFonts w:asciiTheme="minorHAnsi" w:hAnsiTheme="minorHAnsi" w:cstheme="minorHAnsi"/>
          <w:sz w:val="20"/>
        </w:rPr>
        <w:t xml:space="preserve"> Např. Studie Mezinárodní telekomunikační unie „</w:t>
      </w:r>
      <w:r>
        <w:rPr>
          <w:rFonts w:asciiTheme="minorHAnsi" w:hAnsiTheme="minorHAnsi" w:cstheme="minorHAnsi"/>
          <w:sz w:val="20"/>
          <w:lang w:val="en-GB"/>
        </w:rPr>
        <w:t>The Impact of Broadband on the Economy</w:t>
      </w:r>
      <w:r w:rsidRPr="00611B39">
        <w:rPr>
          <w:rFonts w:asciiTheme="minorHAnsi" w:hAnsiTheme="minorHAnsi" w:cstheme="minorHAnsi"/>
          <w:sz w:val="20"/>
        </w:rPr>
        <w:t>“ a studie Velké Británie „</w:t>
      </w:r>
      <w:r>
        <w:rPr>
          <w:rFonts w:asciiTheme="minorHAnsi" w:hAnsiTheme="minorHAnsi" w:cstheme="minorHAnsi"/>
          <w:sz w:val="20"/>
        </w:rPr>
        <w:t xml:space="preserve">UK </w:t>
      </w:r>
      <w:r w:rsidRPr="00611B39">
        <w:rPr>
          <w:rFonts w:asciiTheme="minorHAnsi" w:hAnsiTheme="minorHAnsi" w:cstheme="minorHAnsi"/>
          <w:sz w:val="20"/>
          <w:lang w:val="en-GB"/>
        </w:rPr>
        <w:t xml:space="preserve">Broadband </w:t>
      </w:r>
      <w:r>
        <w:rPr>
          <w:rFonts w:asciiTheme="minorHAnsi" w:hAnsiTheme="minorHAnsi" w:cstheme="minorHAnsi"/>
          <w:sz w:val="20"/>
          <w:lang w:val="en-GB"/>
        </w:rPr>
        <w:t>I</w:t>
      </w:r>
      <w:r w:rsidRPr="00611B39">
        <w:rPr>
          <w:rFonts w:asciiTheme="minorHAnsi" w:hAnsiTheme="minorHAnsi" w:cstheme="minorHAnsi"/>
          <w:sz w:val="20"/>
          <w:lang w:val="en-GB"/>
        </w:rPr>
        <w:t xml:space="preserve">mpact </w:t>
      </w:r>
      <w:r>
        <w:rPr>
          <w:rFonts w:asciiTheme="minorHAnsi" w:hAnsiTheme="minorHAnsi" w:cstheme="minorHAnsi"/>
          <w:sz w:val="20"/>
          <w:lang w:val="en-GB"/>
        </w:rPr>
        <w:t>S</w:t>
      </w:r>
      <w:r w:rsidRPr="00611B39">
        <w:rPr>
          <w:rFonts w:asciiTheme="minorHAnsi" w:hAnsiTheme="minorHAnsi" w:cstheme="minorHAnsi"/>
          <w:sz w:val="20"/>
          <w:lang w:val="en-GB"/>
        </w:rPr>
        <w:t>tudy</w:t>
      </w:r>
      <w:r w:rsidRPr="00611B39">
        <w:rPr>
          <w:rFonts w:asciiTheme="minorHAnsi" w:hAnsiTheme="minorHAnsi" w:cstheme="minorHAnsi"/>
          <w:sz w:val="20"/>
        </w:rPr>
        <w:t>“.</w:t>
      </w:r>
    </w:p>
  </w:footnote>
  <w:footnote w:id="11">
    <w:p w:rsidR="000560E5" w:rsidRPr="005A73C0" w:rsidRDefault="000560E5" w:rsidP="00FF3BA2">
      <w:pPr>
        <w:pStyle w:val="Textpoznpodarou"/>
        <w:rPr>
          <w:sz w:val="20"/>
        </w:rPr>
      </w:pPr>
      <w:r w:rsidRPr="005A73C0">
        <w:rPr>
          <w:rStyle w:val="Znakapoznpodarou"/>
          <w:sz w:val="20"/>
        </w:rPr>
        <w:footnoteRef/>
      </w:r>
      <w:r w:rsidRPr="005A73C0">
        <w:rPr>
          <w:sz w:val="20"/>
        </w:rPr>
        <w:t xml:space="preserve"> </w:t>
      </w:r>
      <w:r w:rsidRPr="005A73C0">
        <w:rPr>
          <w:rFonts w:ascii="Calibri" w:hAnsi="Calibri" w:cs="Calibri"/>
          <w:sz w:val="20"/>
        </w:rPr>
        <w:t xml:space="preserve">Skoková změna se vyjádří porovnáním stávající infrastruktury a plánované, kvalitativně lepší infrastruktury.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48000" behindDoc="0" locked="0" layoutInCell="1" allowOverlap="1">
          <wp:simplePos x="0" y="0"/>
          <wp:positionH relativeFrom="column">
            <wp:posOffset>4554855</wp:posOffset>
          </wp:positionH>
          <wp:positionV relativeFrom="paragraph">
            <wp:posOffset>18415</wp:posOffset>
          </wp:positionV>
          <wp:extent cx="1301115" cy="445770"/>
          <wp:effectExtent l="0" t="0" r="0" b="0"/>
          <wp:wrapNone/>
          <wp:docPr id="39"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50048"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4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49.2pt;margin-top:298.85pt;width:541pt;height:98.35pt;rotation:315;z-index:-251642880;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94080" behindDoc="0" locked="0" layoutInCell="1" allowOverlap="1">
          <wp:simplePos x="0" y="0"/>
          <wp:positionH relativeFrom="column">
            <wp:posOffset>7713609</wp:posOffset>
          </wp:positionH>
          <wp:positionV relativeFrom="paragraph">
            <wp:posOffset>22135</wp:posOffset>
          </wp:positionV>
          <wp:extent cx="1301115" cy="445770"/>
          <wp:effectExtent l="0" t="0" r="0" b="0"/>
          <wp:wrapNone/>
          <wp:docPr id="5"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95104"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60.65pt;margin-top:152.8pt;width:541pt;height:98.35pt;rotation:315;z-index:-251620352;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700224" behindDoc="0" locked="0" layoutInCell="1" allowOverlap="1">
          <wp:simplePos x="0" y="0"/>
          <wp:positionH relativeFrom="column">
            <wp:posOffset>4554855</wp:posOffset>
          </wp:positionH>
          <wp:positionV relativeFrom="paragraph">
            <wp:posOffset>18415</wp:posOffset>
          </wp:positionV>
          <wp:extent cx="1301115" cy="445770"/>
          <wp:effectExtent l="0" t="0" r="0" b="0"/>
          <wp:wrapNone/>
          <wp:docPr id="19"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701248"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2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20.7pt;margin-top:310.85pt;width:541pt;height:98.35pt;rotation:315;z-index:-251614208;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85888" behindDoc="0" locked="0" layoutInCell="1" allowOverlap="1">
          <wp:simplePos x="0" y="0"/>
          <wp:positionH relativeFrom="column">
            <wp:posOffset>7689479</wp:posOffset>
          </wp:positionH>
          <wp:positionV relativeFrom="paragraph">
            <wp:posOffset>18415</wp:posOffset>
          </wp:positionV>
          <wp:extent cx="1301115" cy="445770"/>
          <wp:effectExtent l="0" t="0" r="0" b="0"/>
          <wp:wrapNone/>
          <wp:docPr id="71"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86912"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7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75.6pt;margin-top:150.9pt;width:541pt;height:98.35pt;rotation:315;z-index:-251628544;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81792" behindDoc="0" locked="0" layoutInCell="1" allowOverlap="1">
          <wp:simplePos x="0" y="0"/>
          <wp:positionH relativeFrom="column">
            <wp:posOffset>4554855</wp:posOffset>
          </wp:positionH>
          <wp:positionV relativeFrom="paragraph">
            <wp:posOffset>18415</wp:posOffset>
          </wp:positionV>
          <wp:extent cx="1301115" cy="445770"/>
          <wp:effectExtent l="0" t="0" r="0" b="0"/>
          <wp:wrapNone/>
          <wp:docPr id="3"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82816"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0.7pt;margin-top:310.85pt;width:541pt;height:98.35pt;rotation:315;z-index:-251632640;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41pt;height:98.35pt;rotation:315;z-index:-251646976;mso-position-horizontal:center;mso-position-horizontal-relative:margin;mso-position-vertical:center;mso-position-vertical-relative:margin" o:allowincell="f" fillcolor="silver" stroked="f">
          <v:fill opacity=".5"/>
          <v:textpath style="font-family:&quot;Times New Roman&quot;;font-size:1pt" string="DRAFT MPO"/>
          <w10:wrap anchorx="margin" anchory="margin"/>
        </v:shape>
      </w:pict>
    </w:r>
  </w:p>
  <w:p w:rsidR="000560E5" w:rsidRDefault="000560E5" w:rsidP="0022503D">
    <w:pPr>
      <w:pStyle w:val="Zhlav"/>
    </w:pPr>
    <w:r>
      <w:rPr>
        <w:noProof/>
      </w:rPr>
      <w:drawing>
        <wp:anchor distT="0" distB="0" distL="114300" distR="114300" simplePos="0" relativeHeight="251645952" behindDoc="0" locked="0" layoutInCell="1" allowOverlap="1">
          <wp:simplePos x="0" y="0"/>
          <wp:positionH relativeFrom="column">
            <wp:posOffset>4531995</wp:posOffset>
          </wp:positionH>
          <wp:positionV relativeFrom="paragraph">
            <wp:posOffset>94615</wp:posOffset>
          </wp:positionV>
          <wp:extent cx="1301115" cy="445770"/>
          <wp:effectExtent l="0" t="0" r="0" b="0"/>
          <wp:wrapNone/>
          <wp:docPr id="50" name="Obrázek 9"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22503D">
    <w:pPr>
      <w:pStyle w:val="Zhlav"/>
    </w:pPr>
    <w:r>
      <w:rPr>
        <w:noProof/>
      </w:rPr>
      <w:drawing>
        <wp:anchor distT="0" distB="0" distL="114300" distR="114300" simplePos="0" relativeHeight="251646976"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5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Pr="009B666C" w:rsidRDefault="008534F0" w:rsidP="009B666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1.65pt;margin-top:294.05pt;width:541pt;height:98.35pt;rotation:315;z-index:-251643904;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52096" behindDoc="0" locked="0" layoutInCell="1" allowOverlap="1">
          <wp:simplePos x="0" y="0"/>
          <wp:positionH relativeFrom="column">
            <wp:posOffset>7723357</wp:posOffset>
          </wp:positionH>
          <wp:positionV relativeFrom="paragraph">
            <wp:posOffset>20563</wp:posOffset>
          </wp:positionV>
          <wp:extent cx="1301115" cy="445770"/>
          <wp:effectExtent l="0" t="0" r="0" b="0"/>
          <wp:wrapNone/>
          <wp:docPr id="24"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53120"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25"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57.65pt;margin-top:134.6pt;width:541pt;height:98.35pt;rotation:315;z-index:-251641856;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54144" behindDoc="0" locked="0" layoutInCell="1" allowOverlap="1">
          <wp:simplePos x="0" y="0"/>
          <wp:positionH relativeFrom="column">
            <wp:posOffset>4554855</wp:posOffset>
          </wp:positionH>
          <wp:positionV relativeFrom="paragraph">
            <wp:posOffset>18415</wp:posOffset>
          </wp:positionV>
          <wp:extent cx="1301115" cy="445770"/>
          <wp:effectExtent l="0" t="0" r="0" b="0"/>
          <wp:wrapNone/>
          <wp:docPr id="27"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55168"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28"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0560E5" w:rsidP="0022503D">
    <w:pPr>
      <w:pStyle w:val="Zhlav"/>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57216" behindDoc="0" locked="0" layoutInCell="1" allowOverlap="1">
          <wp:simplePos x="0" y="0"/>
          <wp:positionH relativeFrom="column">
            <wp:posOffset>7755255</wp:posOffset>
          </wp:positionH>
          <wp:positionV relativeFrom="paragraph">
            <wp:posOffset>18415</wp:posOffset>
          </wp:positionV>
          <wp:extent cx="1301115" cy="445770"/>
          <wp:effectExtent l="0" t="0" r="0" b="0"/>
          <wp:wrapNone/>
          <wp:docPr id="30"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58240"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3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55.1pt;margin-top:159.05pt;width:541pt;height:98.35pt;rotation:315;z-index:-251639808;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16.2pt;margin-top:298.85pt;width:541pt;height:98.35pt;rotation:315;z-index:-251638784;mso-position-horizontal-relative:margin;mso-position-vertical-relative:margin" o:allowincell="f" fillcolor="silver" stroked="f">
          <v:fill opacity=".5"/>
          <v:textpath style="font-family:&quot;Times New Roman&quot;;font-size:1pt" string="DRAFT MPO"/>
          <w10:wrap anchorx="margin" anchory="margin"/>
        </v:shape>
      </w:pict>
    </w:r>
  </w:p>
  <w:p w:rsidR="000560E5" w:rsidRDefault="000560E5" w:rsidP="0022503D">
    <w:pPr>
      <w:pStyle w:val="Zhlav"/>
    </w:pPr>
    <w:r>
      <w:rPr>
        <w:noProof/>
      </w:rPr>
      <w:drawing>
        <wp:anchor distT="0" distB="0" distL="114300" distR="114300" simplePos="0" relativeHeight="251661312" behindDoc="0" locked="0" layoutInCell="1" allowOverlap="1">
          <wp:simplePos x="0" y="0"/>
          <wp:positionH relativeFrom="column">
            <wp:posOffset>4554855</wp:posOffset>
          </wp:positionH>
          <wp:positionV relativeFrom="paragraph">
            <wp:posOffset>18415</wp:posOffset>
          </wp:positionV>
          <wp:extent cx="1301115" cy="445770"/>
          <wp:effectExtent l="0" t="0" r="0" b="0"/>
          <wp:wrapNone/>
          <wp:docPr id="33"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62336"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34"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0560E5" w:rsidP="0022503D">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67456" behindDoc="0" locked="0" layoutInCell="1" allowOverlap="1">
          <wp:simplePos x="0" y="0"/>
          <wp:positionH relativeFrom="column">
            <wp:posOffset>7698105</wp:posOffset>
          </wp:positionH>
          <wp:positionV relativeFrom="paragraph">
            <wp:posOffset>18415</wp:posOffset>
          </wp:positionV>
          <wp:extent cx="1301115" cy="445770"/>
          <wp:effectExtent l="0" t="0" r="0" b="0"/>
          <wp:wrapNone/>
          <wp:docPr id="36"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68480"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3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48.65pt;margin-top:155.55pt;width:541pt;height:98.35pt;rotation:315;z-index:-251637760;mso-position-horizontal-relative:margin;mso-position-vertical-relative:margin" o:allowincell="f" fillcolor="silver" stroked="f">
          <v:fill opacity=".5"/>
          <v:textpath style="font-family:&quot;Times New Roman&quot;;font-size:1pt" string="DRAFT MPO"/>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E5" w:rsidRDefault="000560E5" w:rsidP="0022503D">
    <w:pPr>
      <w:pStyle w:val="Zhlav"/>
    </w:pPr>
  </w:p>
  <w:p w:rsidR="000560E5" w:rsidRDefault="000560E5" w:rsidP="0022503D">
    <w:pPr>
      <w:pStyle w:val="Zhlav"/>
    </w:pPr>
    <w:r>
      <w:rPr>
        <w:noProof/>
      </w:rPr>
      <w:drawing>
        <wp:anchor distT="0" distB="0" distL="114300" distR="114300" simplePos="0" relativeHeight="251659264" behindDoc="0" locked="0" layoutInCell="1" allowOverlap="1">
          <wp:simplePos x="0" y="0"/>
          <wp:positionH relativeFrom="column">
            <wp:posOffset>4554855</wp:posOffset>
          </wp:positionH>
          <wp:positionV relativeFrom="paragraph">
            <wp:posOffset>18415</wp:posOffset>
          </wp:positionV>
          <wp:extent cx="1301115" cy="445770"/>
          <wp:effectExtent l="0" t="0" r="0" b="0"/>
          <wp:wrapNone/>
          <wp:docPr id="68" name="Obrázek 14" descr="Popis: Popis: Popis: Popis: Popis: Logo EU_ERDF_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Popis: Popis: Popis: Popis: Popis: Logo EU_ERDF_CJ"/>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1115" cy="445770"/>
                  </a:xfrm>
                  <a:prstGeom prst="rect">
                    <a:avLst/>
                  </a:prstGeom>
                  <a:noFill/>
                  <a:ln>
                    <a:noFill/>
                  </a:ln>
                </pic:spPr>
              </pic:pic>
            </a:graphicData>
          </a:graphic>
        </wp:anchor>
      </w:drawing>
    </w:r>
  </w:p>
  <w:p w:rsidR="000560E5" w:rsidRDefault="000560E5" w:rsidP="009B666C">
    <w:pPr>
      <w:pStyle w:val="Zhlav"/>
    </w:pPr>
    <w:r>
      <w:rPr>
        <w:noProof/>
      </w:rPr>
      <w:drawing>
        <wp:anchor distT="0" distB="0" distL="114300" distR="114300" simplePos="0" relativeHeight="251660288" behindDoc="1" locked="0" layoutInCell="1" allowOverlap="1">
          <wp:simplePos x="0" y="0"/>
          <wp:positionH relativeFrom="column">
            <wp:posOffset>-37465</wp:posOffset>
          </wp:positionH>
          <wp:positionV relativeFrom="paragraph">
            <wp:posOffset>-309880</wp:posOffset>
          </wp:positionV>
          <wp:extent cx="1383030" cy="739775"/>
          <wp:effectExtent l="0" t="0" r="0" b="0"/>
          <wp:wrapNone/>
          <wp:docPr id="6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739775"/>
                  </a:xfrm>
                  <a:prstGeom prst="rect">
                    <a:avLst/>
                  </a:prstGeom>
                  <a:noFill/>
                  <a:ln>
                    <a:noFill/>
                  </a:ln>
                </pic:spPr>
              </pic:pic>
            </a:graphicData>
          </a:graphic>
        </wp:anchor>
      </w:drawing>
    </w:r>
    <w:r>
      <w:tab/>
    </w:r>
    <w:r>
      <w:tab/>
    </w:r>
  </w:p>
  <w:p w:rsidR="000560E5" w:rsidRDefault="000560E5" w:rsidP="0022503D">
    <w:pPr>
      <w:pStyle w:val="Zhlav"/>
    </w:pPr>
  </w:p>
  <w:p w:rsidR="000560E5" w:rsidRDefault="008534F0" w:rsidP="0022503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0.7pt;margin-top:310.85pt;width:541pt;height:98.35pt;rotation:315;z-index:-251636736;mso-position-horizontal-relative:margin;mso-position-vertical-relative:margin" o:allowincell="f" fillcolor="silver" stroked="f">
          <v:fill opacity=".5"/>
          <v:textpath style="font-family:&quot;Times New Roman&quot;;font-size:1pt" string="DRAFT MP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0C374E"/>
    <w:lvl w:ilvl="0">
      <w:start w:val="1"/>
      <w:numFmt w:val="bullet"/>
      <w:pStyle w:val="TabNad"/>
      <w:lvlText w:val=""/>
      <w:lvlJc w:val="left"/>
      <w:pPr>
        <w:tabs>
          <w:tab w:val="num" w:pos="360"/>
        </w:tabs>
        <w:ind w:left="360" w:hanging="360"/>
      </w:pPr>
      <w:rPr>
        <w:rFonts w:ascii="Symbol" w:hAnsi="Symbol" w:cs="Symbol" w:hint="default"/>
      </w:rPr>
    </w:lvl>
  </w:abstractNum>
  <w:abstractNum w:abstractNumId="1">
    <w:nsid w:val="0E434A94"/>
    <w:multiLevelType w:val="hybridMultilevel"/>
    <w:tmpl w:val="9104A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C33644"/>
    <w:multiLevelType w:val="hybridMultilevel"/>
    <w:tmpl w:val="14625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9F6E30"/>
    <w:multiLevelType w:val="hybridMultilevel"/>
    <w:tmpl w:val="704A4D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7541F8"/>
    <w:multiLevelType w:val="hybridMultilevel"/>
    <w:tmpl w:val="18A83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A544FA"/>
    <w:multiLevelType w:val="hybridMultilevel"/>
    <w:tmpl w:val="D77684B0"/>
    <w:lvl w:ilvl="0" w:tplc="B2BEC1BE">
      <w:start w:val="1"/>
      <w:numFmt w:val="bullet"/>
      <w:lvlText w:val=""/>
      <w:lvlJc w:val="left"/>
      <w:pPr>
        <w:tabs>
          <w:tab w:val="num" w:pos="720"/>
        </w:tabs>
        <w:ind w:left="720" w:hanging="360"/>
      </w:pPr>
      <w:rPr>
        <w:rFonts w:ascii="Symbol" w:hAnsi="Symbol" w:hint="default"/>
      </w:rPr>
    </w:lvl>
    <w:lvl w:ilvl="1" w:tplc="0B52CC98">
      <w:start w:val="1"/>
      <w:numFmt w:val="bullet"/>
      <w:lvlText w:val=""/>
      <w:lvlJc w:val="left"/>
      <w:pPr>
        <w:tabs>
          <w:tab w:val="num" w:pos="1440"/>
        </w:tabs>
        <w:ind w:left="1440" w:hanging="360"/>
      </w:pPr>
      <w:rPr>
        <w:rFonts w:ascii="Symbol" w:hAnsi="Symbol" w:hint="default"/>
      </w:rPr>
    </w:lvl>
    <w:lvl w:ilvl="2" w:tplc="6902CA06">
      <w:start w:val="1"/>
      <w:numFmt w:val="bullet"/>
      <w:lvlText w:val=""/>
      <w:lvlJc w:val="left"/>
      <w:pPr>
        <w:tabs>
          <w:tab w:val="num" w:pos="2160"/>
        </w:tabs>
        <w:ind w:left="2160" w:hanging="360"/>
      </w:pPr>
      <w:rPr>
        <w:rFonts w:ascii="Symbol" w:hAnsi="Symbol" w:hint="default"/>
      </w:rPr>
    </w:lvl>
    <w:lvl w:ilvl="3" w:tplc="D9AC1E56" w:tentative="1">
      <w:start w:val="1"/>
      <w:numFmt w:val="bullet"/>
      <w:lvlText w:val=""/>
      <w:lvlJc w:val="left"/>
      <w:pPr>
        <w:tabs>
          <w:tab w:val="num" w:pos="2880"/>
        </w:tabs>
        <w:ind w:left="2880" w:hanging="360"/>
      </w:pPr>
      <w:rPr>
        <w:rFonts w:ascii="Symbol" w:hAnsi="Symbol" w:hint="default"/>
      </w:rPr>
    </w:lvl>
    <w:lvl w:ilvl="4" w:tplc="2156402A" w:tentative="1">
      <w:start w:val="1"/>
      <w:numFmt w:val="bullet"/>
      <w:lvlText w:val=""/>
      <w:lvlJc w:val="left"/>
      <w:pPr>
        <w:tabs>
          <w:tab w:val="num" w:pos="3600"/>
        </w:tabs>
        <w:ind w:left="3600" w:hanging="360"/>
      </w:pPr>
      <w:rPr>
        <w:rFonts w:ascii="Symbol" w:hAnsi="Symbol" w:hint="default"/>
      </w:rPr>
    </w:lvl>
    <w:lvl w:ilvl="5" w:tplc="03D437AE" w:tentative="1">
      <w:start w:val="1"/>
      <w:numFmt w:val="bullet"/>
      <w:lvlText w:val=""/>
      <w:lvlJc w:val="left"/>
      <w:pPr>
        <w:tabs>
          <w:tab w:val="num" w:pos="4320"/>
        </w:tabs>
        <w:ind w:left="4320" w:hanging="360"/>
      </w:pPr>
      <w:rPr>
        <w:rFonts w:ascii="Symbol" w:hAnsi="Symbol" w:hint="default"/>
      </w:rPr>
    </w:lvl>
    <w:lvl w:ilvl="6" w:tplc="7DD26C70" w:tentative="1">
      <w:start w:val="1"/>
      <w:numFmt w:val="bullet"/>
      <w:lvlText w:val=""/>
      <w:lvlJc w:val="left"/>
      <w:pPr>
        <w:tabs>
          <w:tab w:val="num" w:pos="5040"/>
        </w:tabs>
        <w:ind w:left="5040" w:hanging="360"/>
      </w:pPr>
      <w:rPr>
        <w:rFonts w:ascii="Symbol" w:hAnsi="Symbol" w:hint="default"/>
      </w:rPr>
    </w:lvl>
    <w:lvl w:ilvl="7" w:tplc="99C22D78" w:tentative="1">
      <w:start w:val="1"/>
      <w:numFmt w:val="bullet"/>
      <w:lvlText w:val=""/>
      <w:lvlJc w:val="left"/>
      <w:pPr>
        <w:tabs>
          <w:tab w:val="num" w:pos="5760"/>
        </w:tabs>
        <w:ind w:left="5760" w:hanging="360"/>
      </w:pPr>
      <w:rPr>
        <w:rFonts w:ascii="Symbol" w:hAnsi="Symbol" w:hint="default"/>
      </w:rPr>
    </w:lvl>
    <w:lvl w:ilvl="8" w:tplc="D6C26FF4" w:tentative="1">
      <w:start w:val="1"/>
      <w:numFmt w:val="bullet"/>
      <w:lvlText w:val=""/>
      <w:lvlJc w:val="left"/>
      <w:pPr>
        <w:tabs>
          <w:tab w:val="num" w:pos="6480"/>
        </w:tabs>
        <w:ind w:left="6480" w:hanging="360"/>
      </w:pPr>
      <w:rPr>
        <w:rFonts w:ascii="Symbol" w:hAnsi="Symbol" w:hint="default"/>
      </w:rPr>
    </w:lvl>
  </w:abstractNum>
  <w:abstractNum w:abstractNumId="6">
    <w:nsid w:val="1F750375"/>
    <w:multiLevelType w:val="hybridMultilevel"/>
    <w:tmpl w:val="AD7610E2"/>
    <w:lvl w:ilvl="0" w:tplc="04050001">
      <w:start w:val="1"/>
      <w:numFmt w:val="bullet"/>
      <w:lvlText w:val=""/>
      <w:lvlJc w:val="left"/>
      <w:pPr>
        <w:tabs>
          <w:tab w:val="num" w:pos="1797"/>
        </w:tabs>
        <w:ind w:left="1797" w:hanging="360"/>
      </w:pPr>
      <w:rPr>
        <w:rFonts w:ascii="Symbol" w:hAnsi="Symbol" w:hint="default"/>
      </w:rPr>
    </w:lvl>
    <w:lvl w:ilvl="1" w:tplc="04050003" w:tentative="1">
      <w:start w:val="1"/>
      <w:numFmt w:val="bullet"/>
      <w:lvlText w:val="o"/>
      <w:lvlJc w:val="left"/>
      <w:pPr>
        <w:tabs>
          <w:tab w:val="num" w:pos="2517"/>
        </w:tabs>
        <w:ind w:left="2517" w:hanging="360"/>
      </w:pPr>
      <w:rPr>
        <w:rFonts w:ascii="Courier New" w:hAnsi="Courier New" w:cs="Courier New" w:hint="default"/>
      </w:rPr>
    </w:lvl>
    <w:lvl w:ilvl="2" w:tplc="04050005" w:tentative="1">
      <w:start w:val="1"/>
      <w:numFmt w:val="bullet"/>
      <w:lvlText w:val=""/>
      <w:lvlJc w:val="left"/>
      <w:pPr>
        <w:tabs>
          <w:tab w:val="num" w:pos="3237"/>
        </w:tabs>
        <w:ind w:left="3237" w:hanging="360"/>
      </w:pPr>
      <w:rPr>
        <w:rFonts w:ascii="Wingdings" w:hAnsi="Wingdings" w:hint="default"/>
      </w:rPr>
    </w:lvl>
    <w:lvl w:ilvl="3" w:tplc="04050001" w:tentative="1">
      <w:start w:val="1"/>
      <w:numFmt w:val="bullet"/>
      <w:lvlText w:val=""/>
      <w:lvlJc w:val="left"/>
      <w:pPr>
        <w:tabs>
          <w:tab w:val="num" w:pos="3957"/>
        </w:tabs>
        <w:ind w:left="3957" w:hanging="360"/>
      </w:pPr>
      <w:rPr>
        <w:rFonts w:ascii="Symbol" w:hAnsi="Symbol" w:hint="default"/>
      </w:rPr>
    </w:lvl>
    <w:lvl w:ilvl="4" w:tplc="04050003" w:tentative="1">
      <w:start w:val="1"/>
      <w:numFmt w:val="bullet"/>
      <w:lvlText w:val="o"/>
      <w:lvlJc w:val="left"/>
      <w:pPr>
        <w:tabs>
          <w:tab w:val="num" w:pos="4677"/>
        </w:tabs>
        <w:ind w:left="4677" w:hanging="360"/>
      </w:pPr>
      <w:rPr>
        <w:rFonts w:ascii="Courier New" w:hAnsi="Courier New" w:cs="Courier New" w:hint="default"/>
      </w:rPr>
    </w:lvl>
    <w:lvl w:ilvl="5" w:tplc="04050005" w:tentative="1">
      <w:start w:val="1"/>
      <w:numFmt w:val="bullet"/>
      <w:lvlText w:val=""/>
      <w:lvlJc w:val="left"/>
      <w:pPr>
        <w:tabs>
          <w:tab w:val="num" w:pos="5397"/>
        </w:tabs>
        <w:ind w:left="5397" w:hanging="360"/>
      </w:pPr>
      <w:rPr>
        <w:rFonts w:ascii="Wingdings" w:hAnsi="Wingdings" w:hint="default"/>
      </w:rPr>
    </w:lvl>
    <w:lvl w:ilvl="6" w:tplc="04050001" w:tentative="1">
      <w:start w:val="1"/>
      <w:numFmt w:val="bullet"/>
      <w:lvlText w:val=""/>
      <w:lvlJc w:val="left"/>
      <w:pPr>
        <w:tabs>
          <w:tab w:val="num" w:pos="6117"/>
        </w:tabs>
        <w:ind w:left="6117" w:hanging="360"/>
      </w:pPr>
      <w:rPr>
        <w:rFonts w:ascii="Symbol" w:hAnsi="Symbol" w:hint="default"/>
      </w:rPr>
    </w:lvl>
    <w:lvl w:ilvl="7" w:tplc="04050003" w:tentative="1">
      <w:start w:val="1"/>
      <w:numFmt w:val="bullet"/>
      <w:lvlText w:val="o"/>
      <w:lvlJc w:val="left"/>
      <w:pPr>
        <w:tabs>
          <w:tab w:val="num" w:pos="6837"/>
        </w:tabs>
        <w:ind w:left="6837" w:hanging="360"/>
      </w:pPr>
      <w:rPr>
        <w:rFonts w:ascii="Courier New" w:hAnsi="Courier New" w:cs="Courier New" w:hint="default"/>
      </w:rPr>
    </w:lvl>
    <w:lvl w:ilvl="8" w:tplc="04050005" w:tentative="1">
      <w:start w:val="1"/>
      <w:numFmt w:val="bullet"/>
      <w:lvlText w:val=""/>
      <w:lvlJc w:val="left"/>
      <w:pPr>
        <w:tabs>
          <w:tab w:val="num" w:pos="7557"/>
        </w:tabs>
        <w:ind w:left="7557" w:hanging="360"/>
      </w:pPr>
      <w:rPr>
        <w:rFonts w:ascii="Wingdings" w:hAnsi="Wingdings" w:hint="default"/>
      </w:rPr>
    </w:lvl>
  </w:abstractNum>
  <w:abstractNum w:abstractNumId="7">
    <w:nsid w:val="268B6F0F"/>
    <w:multiLevelType w:val="hybridMultilevel"/>
    <w:tmpl w:val="CA50114C"/>
    <w:lvl w:ilvl="0" w:tplc="C786FB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EF2972"/>
    <w:multiLevelType w:val="hybridMultilevel"/>
    <w:tmpl w:val="6C789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732D70"/>
    <w:multiLevelType w:val="hybridMultilevel"/>
    <w:tmpl w:val="A3A69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2223B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nsid w:val="32A34CC6"/>
    <w:multiLevelType w:val="hybridMultilevel"/>
    <w:tmpl w:val="404CF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1108CF"/>
    <w:multiLevelType w:val="hybridMultilevel"/>
    <w:tmpl w:val="C3321098"/>
    <w:lvl w:ilvl="0" w:tplc="76AAE1B0">
      <w:numFmt w:val="bullet"/>
      <w:lvlText w:val="–"/>
      <w:lvlJc w:val="left"/>
      <w:pPr>
        <w:ind w:left="720" w:hanging="360"/>
      </w:pPr>
      <w:rPr>
        <w:rFonts w:ascii="Palatino Linotype" w:eastAsia="Times New Roman" w:hAnsi="Palatino Linotype" w:hint="default"/>
      </w:rPr>
    </w:lvl>
    <w:lvl w:ilvl="1" w:tplc="0562F8C8">
      <w:start w:val="1"/>
      <w:numFmt w:val="bullet"/>
      <w:lvlText w:val="o"/>
      <w:lvlJc w:val="left"/>
      <w:pPr>
        <w:tabs>
          <w:tab w:val="num" w:pos="1353"/>
        </w:tabs>
        <w:ind w:left="1353" w:hanging="360"/>
      </w:pPr>
      <w:rPr>
        <w:rFonts w:ascii="Courier New" w:hAnsi="Courier New" w:cs="Courier New" w:hint="default"/>
      </w:rPr>
    </w:lvl>
    <w:lvl w:ilvl="2" w:tplc="B3428702">
      <w:start w:val="1"/>
      <w:numFmt w:val="bullet"/>
      <w:lvlText w:val=""/>
      <w:lvlJc w:val="left"/>
      <w:pPr>
        <w:ind w:left="2160" w:hanging="360"/>
      </w:pPr>
      <w:rPr>
        <w:rFonts w:ascii="Wingdings" w:hAnsi="Wingdings" w:cs="Wingdings" w:hint="default"/>
      </w:rPr>
    </w:lvl>
    <w:lvl w:ilvl="3" w:tplc="B7002DD2">
      <w:start w:val="1"/>
      <w:numFmt w:val="bullet"/>
      <w:lvlText w:val=""/>
      <w:lvlJc w:val="left"/>
      <w:pPr>
        <w:ind w:left="2880" w:hanging="360"/>
      </w:pPr>
      <w:rPr>
        <w:rFonts w:ascii="Symbol" w:hAnsi="Symbol" w:cs="Symbol" w:hint="default"/>
      </w:rPr>
    </w:lvl>
    <w:lvl w:ilvl="4" w:tplc="28E8C142">
      <w:start w:val="1"/>
      <w:numFmt w:val="bullet"/>
      <w:lvlText w:val="o"/>
      <w:lvlJc w:val="left"/>
      <w:pPr>
        <w:ind w:left="3600" w:hanging="360"/>
      </w:pPr>
      <w:rPr>
        <w:rFonts w:ascii="Courier New" w:hAnsi="Courier New" w:cs="Courier New" w:hint="default"/>
      </w:rPr>
    </w:lvl>
    <w:lvl w:ilvl="5" w:tplc="87E4DDD0">
      <w:start w:val="1"/>
      <w:numFmt w:val="bullet"/>
      <w:lvlText w:val=""/>
      <w:lvlJc w:val="left"/>
      <w:pPr>
        <w:ind w:left="4320" w:hanging="360"/>
      </w:pPr>
      <w:rPr>
        <w:rFonts w:ascii="Wingdings" w:hAnsi="Wingdings" w:cs="Wingdings" w:hint="default"/>
      </w:rPr>
    </w:lvl>
    <w:lvl w:ilvl="6" w:tplc="1C3C8448">
      <w:start w:val="1"/>
      <w:numFmt w:val="bullet"/>
      <w:lvlText w:val=""/>
      <w:lvlJc w:val="left"/>
      <w:pPr>
        <w:ind w:left="5040" w:hanging="360"/>
      </w:pPr>
      <w:rPr>
        <w:rFonts w:ascii="Symbol" w:hAnsi="Symbol" w:cs="Symbol" w:hint="default"/>
      </w:rPr>
    </w:lvl>
    <w:lvl w:ilvl="7" w:tplc="376A6B36">
      <w:start w:val="1"/>
      <w:numFmt w:val="bullet"/>
      <w:lvlText w:val="o"/>
      <w:lvlJc w:val="left"/>
      <w:pPr>
        <w:ind w:left="5760" w:hanging="360"/>
      </w:pPr>
      <w:rPr>
        <w:rFonts w:ascii="Courier New" w:hAnsi="Courier New" w:cs="Courier New" w:hint="default"/>
      </w:rPr>
    </w:lvl>
    <w:lvl w:ilvl="8" w:tplc="5BA076A0">
      <w:start w:val="1"/>
      <w:numFmt w:val="bullet"/>
      <w:lvlText w:val=""/>
      <w:lvlJc w:val="left"/>
      <w:pPr>
        <w:ind w:left="6480" w:hanging="360"/>
      </w:pPr>
      <w:rPr>
        <w:rFonts w:ascii="Wingdings" w:hAnsi="Wingdings" w:cs="Wingdings" w:hint="default"/>
      </w:rPr>
    </w:lvl>
  </w:abstractNum>
  <w:abstractNum w:abstractNumId="13">
    <w:nsid w:val="3C32798F"/>
    <w:multiLevelType w:val="hybridMultilevel"/>
    <w:tmpl w:val="83F276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F5865AC"/>
    <w:multiLevelType w:val="hybridMultilevel"/>
    <w:tmpl w:val="551EB7AA"/>
    <w:lvl w:ilvl="0" w:tplc="CD329128">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E5556A"/>
    <w:multiLevelType w:val="hybridMultilevel"/>
    <w:tmpl w:val="00BC6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DE6D24"/>
    <w:multiLevelType w:val="hybridMultilevel"/>
    <w:tmpl w:val="76784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503481F"/>
    <w:multiLevelType w:val="hybridMultilevel"/>
    <w:tmpl w:val="18781F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3510C7"/>
    <w:multiLevelType w:val="hybridMultilevel"/>
    <w:tmpl w:val="C7908D6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10C751D"/>
    <w:multiLevelType w:val="hybridMultilevel"/>
    <w:tmpl w:val="39F4D3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4B3145B"/>
    <w:multiLevelType w:val="hybridMultilevel"/>
    <w:tmpl w:val="3254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A427D"/>
    <w:multiLevelType w:val="multilevel"/>
    <w:tmpl w:val="B9687EC0"/>
    <w:lvl w:ilvl="0">
      <w:start w:val="5"/>
      <w:numFmt w:val="decimal"/>
      <w:lvlText w:val="%1."/>
      <w:lvlJc w:val="left"/>
      <w:pPr>
        <w:ind w:left="540" w:hanging="540"/>
      </w:pPr>
      <w:rPr>
        <w:rFonts w:hint="default"/>
      </w:rPr>
    </w:lvl>
    <w:lvl w:ilvl="1">
      <w:start w:val="1"/>
      <w:numFmt w:val="decimal"/>
      <w:pStyle w:val="NadpisNOK2"/>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22">
    <w:nsid w:val="5A3F75FD"/>
    <w:multiLevelType w:val="hybridMultilevel"/>
    <w:tmpl w:val="6E6A4E30"/>
    <w:lvl w:ilvl="0" w:tplc="3B045752">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9826F7"/>
    <w:multiLevelType w:val="hybridMultilevel"/>
    <w:tmpl w:val="0D92E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44A088A"/>
    <w:multiLevelType w:val="hybridMultilevel"/>
    <w:tmpl w:val="A1D4B4CA"/>
    <w:lvl w:ilvl="0" w:tplc="04050005">
      <w:start w:val="1"/>
      <w:numFmt w:val="bullet"/>
      <w:lvlText w:val=""/>
      <w:lvlJc w:val="left"/>
      <w:pPr>
        <w:tabs>
          <w:tab w:val="num" w:pos="1779"/>
        </w:tabs>
        <w:ind w:left="1779"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7B360F00"/>
    <w:multiLevelType w:val="hybridMultilevel"/>
    <w:tmpl w:val="AF028A58"/>
    <w:lvl w:ilvl="0" w:tplc="04050001">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26">
    <w:nsid w:val="7CF22EB7"/>
    <w:multiLevelType w:val="hybridMultilevel"/>
    <w:tmpl w:val="DE8A0D9E"/>
    <w:lvl w:ilvl="0" w:tplc="A104C544">
      <w:start w:val="1"/>
      <w:numFmt w:val="decimal"/>
      <w:lvlText w:val="%1)"/>
      <w:lvlJc w:val="left"/>
      <w:pPr>
        <w:tabs>
          <w:tab w:val="num" w:pos="720"/>
        </w:tabs>
        <w:ind w:left="720" w:hanging="360"/>
      </w:pPr>
    </w:lvl>
    <w:lvl w:ilvl="1" w:tplc="5964BC48" w:tentative="1">
      <w:start w:val="1"/>
      <w:numFmt w:val="decimal"/>
      <w:lvlText w:val="%2)"/>
      <w:lvlJc w:val="left"/>
      <w:pPr>
        <w:tabs>
          <w:tab w:val="num" w:pos="1440"/>
        </w:tabs>
        <w:ind w:left="1440" w:hanging="360"/>
      </w:pPr>
    </w:lvl>
    <w:lvl w:ilvl="2" w:tplc="870C71BA" w:tentative="1">
      <w:start w:val="1"/>
      <w:numFmt w:val="decimal"/>
      <w:lvlText w:val="%3)"/>
      <w:lvlJc w:val="left"/>
      <w:pPr>
        <w:tabs>
          <w:tab w:val="num" w:pos="2160"/>
        </w:tabs>
        <w:ind w:left="2160" w:hanging="360"/>
      </w:pPr>
    </w:lvl>
    <w:lvl w:ilvl="3" w:tplc="5BA2DB28" w:tentative="1">
      <w:start w:val="1"/>
      <w:numFmt w:val="decimal"/>
      <w:lvlText w:val="%4)"/>
      <w:lvlJc w:val="left"/>
      <w:pPr>
        <w:tabs>
          <w:tab w:val="num" w:pos="2880"/>
        </w:tabs>
        <w:ind w:left="2880" w:hanging="360"/>
      </w:pPr>
    </w:lvl>
    <w:lvl w:ilvl="4" w:tplc="517EDD90" w:tentative="1">
      <w:start w:val="1"/>
      <w:numFmt w:val="decimal"/>
      <w:lvlText w:val="%5)"/>
      <w:lvlJc w:val="left"/>
      <w:pPr>
        <w:tabs>
          <w:tab w:val="num" w:pos="3600"/>
        </w:tabs>
        <w:ind w:left="3600" w:hanging="360"/>
      </w:pPr>
    </w:lvl>
    <w:lvl w:ilvl="5" w:tplc="5FC0C3A4" w:tentative="1">
      <w:start w:val="1"/>
      <w:numFmt w:val="decimal"/>
      <w:lvlText w:val="%6)"/>
      <w:lvlJc w:val="left"/>
      <w:pPr>
        <w:tabs>
          <w:tab w:val="num" w:pos="4320"/>
        </w:tabs>
        <w:ind w:left="4320" w:hanging="360"/>
      </w:pPr>
    </w:lvl>
    <w:lvl w:ilvl="6" w:tplc="130ACEB6" w:tentative="1">
      <w:start w:val="1"/>
      <w:numFmt w:val="decimal"/>
      <w:lvlText w:val="%7)"/>
      <w:lvlJc w:val="left"/>
      <w:pPr>
        <w:tabs>
          <w:tab w:val="num" w:pos="5040"/>
        </w:tabs>
        <w:ind w:left="5040" w:hanging="360"/>
      </w:pPr>
    </w:lvl>
    <w:lvl w:ilvl="7" w:tplc="9E7A5410" w:tentative="1">
      <w:start w:val="1"/>
      <w:numFmt w:val="decimal"/>
      <w:lvlText w:val="%8)"/>
      <w:lvlJc w:val="left"/>
      <w:pPr>
        <w:tabs>
          <w:tab w:val="num" w:pos="5760"/>
        </w:tabs>
        <w:ind w:left="5760" w:hanging="360"/>
      </w:pPr>
    </w:lvl>
    <w:lvl w:ilvl="8" w:tplc="6F66137E" w:tentative="1">
      <w:start w:val="1"/>
      <w:numFmt w:val="decimal"/>
      <w:lvlText w:val="%9)"/>
      <w:lvlJc w:val="left"/>
      <w:pPr>
        <w:tabs>
          <w:tab w:val="num" w:pos="6480"/>
        </w:tabs>
        <w:ind w:left="6480" w:hanging="360"/>
      </w:pPr>
    </w:lvl>
  </w:abstractNum>
  <w:abstractNum w:abstractNumId="27">
    <w:nsid w:val="7E142BDE"/>
    <w:multiLevelType w:val="hybridMultilevel"/>
    <w:tmpl w:val="BE6CEFF0"/>
    <w:lvl w:ilvl="0" w:tplc="2D8EFEE8">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3"/>
  </w:num>
  <w:num w:numId="4">
    <w:abstractNumId w:val="8"/>
  </w:num>
  <w:num w:numId="5">
    <w:abstractNumId w:val="20"/>
  </w:num>
  <w:num w:numId="6">
    <w:abstractNumId w:val="15"/>
  </w:num>
  <w:num w:numId="7">
    <w:abstractNumId w:val="26"/>
  </w:num>
  <w:num w:numId="8">
    <w:abstractNumId w:val="5"/>
  </w:num>
  <w:num w:numId="9">
    <w:abstractNumId w:val="24"/>
  </w:num>
  <w:num w:numId="10">
    <w:abstractNumId w:val="2"/>
  </w:num>
  <w:num w:numId="11">
    <w:abstractNumId w:val="10"/>
    <w:lvlOverride w:ilvl="0">
      <w:startOverride w:val="3"/>
    </w:lvlOverride>
    <w:lvlOverride w:ilvl="1">
      <w:startOverride w:val="2"/>
    </w:lvlOverride>
  </w:num>
  <w:num w:numId="12">
    <w:abstractNumId w:val="19"/>
  </w:num>
  <w:num w:numId="13">
    <w:abstractNumId w:val="21"/>
  </w:num>
  <w:num w:numId="14">
    <w:abstractNumId w:val="0"/>
  </w:num>
  <w:num w:numId="15">
    <w:abstractNumId w:val="12"/>
  </w:num>
  <w:num w:numId="16">
    <w:abstractNumId w:val="25"/>
  </w:num>
  <w:num w:numId="17">
    <w:abstractNumId w:val="16"/>
  </w:num>
  <w:num w:numId="18">
    <w:abstractNumId w:val="6"/>
  </w:num>
  <w:num w:numId="19">
    <w:abstractNumId w:val="18"/>
  </w:num>
  <w:num w:numId="20">
    <w:abstractNumId w:val="7"/>
  </w:num>
  <w:num w:numId="21">
    <w:abstractNumId w:val="11"/>
  </w:num>
  <w:num w:numId="22">
    <w:abstractNumId w:val="1"/>
  </w:num>
  <w:num w:numId="23">
    <w:abstractNumId w:val="3"/>
  </w:num>
  <w:num w:numId="24">
    <w:abstractNumId w:val="9"/>
  </w:num>
  <w:num w:numId="25">
    <w:abstractNumId w:val="13"/>
  </w:num>
  <w:num w:numId="26">
    <w:abstractNumId w:val="17"/>
  </w:num>
  <w:num w:numId="27">
    <w:abstractNumId w:val="22"/>
  </w:num>
  <w:num w:numId="28">
    <w:abstractNumId w:val="27"/>
  </w:num>
  <w:num w:numId="29">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trackRevision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
  <w:rsids>
    <w:rsidRoot w:val="001C0D6A"/>
    <w:rsid w:val="0000126A"/>
    <w:rsid w:val="00001B83"/>
    <w:rsid w:val="00003615"/>
    <w:rsid w:val="0000679D"/>
    <w:rsid w:val="00007D50"/>
    <w:rsid w:val="000123E0"/>
    <w:rsid w:val="00012F9F"/>
    <w:rsid w:val="00015AFA"/>
    <w:rsid w:val="00020185"/>
    <w:rsid w:val="00020BD2"/>
    <w:rsid w:val="000220B9"/>
    <w:rsid w:val="0002217B"/>
    <w:rsid w:val="00022228"/>
    <w:rsid w:val="00022856"/>
    <w:rsid w:val="00022D48"/>
    <w:rsid w:val="0003571F"/>
    <w:rsid w:val="00036843"/>
    <w:rsid w:val="0004199E"/>
    <w:rsid w:val="00047389"/>
    <w:rsid w:val="00047CEE"/>
    <w:rsid w:val="0005408E"/>
    <w:rsid w:val="00054159"/>
    <w:rsid w:val="000560E5"/>
    <w:rsid w:val="0005757C"/>
    <w:rsid w:val="000603C7"/>
    <w:rsid w:val="000610C4"/>
    <w:rsid w:val="000646C0"/>
    <w:rsid w:val="000672B4"/>
    <w:rsid w:val="00067FC5"/>
    <w:rsid w:val="00072C64"/>
    <w:rsid w:val="0007453C"/>
    <w:rsid w:val="00075073"/>
    <w:rsid w:val="0007562B"/>
    <w:rsid w:val="000757E9"/>
    <w:rsid w:val="00076EC0"/>
    <w:rsid w:val="00081051"/>
    <w:rsid w:val="0008119B"/>
    <w:rsid w:val="00096C52"/>
    <w:rsid w:val="000978F9"/>
    <w:rsid w:val="000A02E8"/>
    <w:rsid w:val="000A073D"/>
    <w:rsid w:val="000A3524"/>
    <w:rsid w:val="000A3C70"/>
    <w:rsid w:val="000A54B7"/>
    <w:rsid w:val="000A72AA"/>
    <w:rsid w:val="000B47C0"/>
    <w:rsid w:val="000B5AFD"/>
    <w:rsid w:val="000B73E1"/>
    <w:rsid w:val="000B7605"/>
    <w:rsid w:val="000C5CD5"/>
    <w:rsid w:val="000C6BEF"/>
    <w:rsid w:val="000C6C38"/>
    <w:rsid w:val="000C6EF2"/>
    <w:rsid w:val="000D1F5D"/>
    <w:rsid w:val="000D6113"/>
    <w:rsid w:val="000E346C"/>
    <w:rsid w:val="000E34B1"/>
    <w:rsid w:val="000F27C1"/>
    <w:rsid w:val="000F3A2E"/>
    <w:rsid w:val="000F778E"/>
    <w:rsid w:val="000F7A57"/>
    <w:rsid w:val="0010210A"/>
    <w:rsid w:val="001028DE"/>
    <w:rsid w:val="00104286"/>
    <w:rsid w:val="001059FF"/>
    <w:rsid w:val="00105F19"/>
    <w:rsid w:val="00112D3A"/>
    <w:rsid w:val="0011565A"/>
    <w:rsid w:val="001174FF"/>
    <w:rsid w:val="0012001C"/>
    <w:rsid w:val="00120489"/>
    <w:rsid w:val="00120EC2"/>
    <w:rsid w:val="001245C0"/>
    <w:rsid w:val="00125ED9"/>
    <w:rsid w:val="001269C3"/>
    <w:rsid w:val="001341FC"/>
    <w:rsid w:val="001419C6"/>
    <w:rsid w:val="00144E13"/>
    <w:rsid w:val="00150310"/>
    <w:rsid w:val="00150B70"/>
    <w:rsid w:val="00151666"/>
    <w:rsid w:val="0015444C"/>
    <w:rsid w:val="00154A8F"/>
    <w:rsid w:val="00160E8B"/>
    <w:rsid w:val="001636E5"/>
    <w:rsid w:val="0016532E"/>
    <w:rsid w:val="001653A7"/>
    <w:rsid w:val="001668E3"/>
    <w:rsid w:val="00170DAF"/>
    <w:rsid w:val="0017264F"/>
    <w:rsid w:val="00173FEB"/>
    <w:rsid w:val="00177CDA"/>
    <w:rsid w:val="00186B37"/>
    <w:rsid w:val="001871BE"/>
    <w:rsid w:val="00191DFF"/>
    <w:rsid w:val="001925CB"/>
    <w:rsid w:val="00194C25"/>
    <w:rsid w:val="00195DD6"/>
    <w:rsid w:val="00197326"/>
    <w:rsid w:val="00197F7C"/>
    <w:rsid w:val="001A228C"/>
    <w:rsid w:val="001A27FC"/>
    <w:rsid w:val="001A4C8F"/>
    <w:rsid w:val="001A794C"/>
    <w:rsid w:val="001C0D6A"/>
    <w:rsid w:val="001C1B2C"/>
    <w:rsid w:val="001C1F65"/>
    <w:rsid w:val="001C52A9"/>
    <w:rsid w:val="001D0934"/>
    <w:rsid w:val="001D33A3"/>
    <w:rsid w:val="001D3A37"/>
    <w:rsid w:val="001E2583"/>
    <w:rsid w:val="001F045D"/>
    <w:rsid w:val="001F2BBC"/>
    <w:rsid w:val="001F3224"/>
    <w:rsid w:val="001F5742"/>
    <w:rsid w:val="00203552"/>
    <w:rsid w:val="00205224"/>
    <w:rsid w:val="00205BB2"/>
    <w:rsid w:val="00206150"/>
    <w:rsid w:val="0020636D"/>
    <w:rsid w:val="002104FB"/>
    <w:rsid w:val="0021052F"/>
    <w:rsid w:val="00211207"/>
    <w:rsid w:val="00211F8E"/>
    <w:rsid w:val="002135F1"/>
    <w:rsid w:val="00213AA3"/>
    <w:rsid w:val="00213B3B"/>
    <w:rsid w:val="00216426"/>
    <w:rsid w:val="00220F73"/>
    <w:rsid w:val="00221E40"/>
    <w:rsid w:val="0022325B"/>
    <w:rsid w:val="0022384B"/>
    <w:rsid w:val="0022503D"/>
    <w:rsid w:val="00225806"/>
    <w:rsid w:val="0023359B"/>
    <w:rsid w:val="002363E7"/>
    <w:rsid w:val="0023642B"/>
    <w:rsid w:val="002379A9"/>
    <w:rsid w:val="0024089E"/>
    <w:rsid w:val="00242229"/>
    <w:rsid w:val="002474C1"/>
    <w:rsid w:val="00250A5D"/>
    <w:rsid w:val="0025142D"/>
    <w:rsid w:val="00251F30"/>
    <w:rsid w:val="00252D4F"/>
    <w:rsid w:val="002572F4"/>
    <w:rsid w:val="0026132C"/>
    <w:rsid w:val="00264A0F"/>
    <w:rsid w:val="002676EF"/>
    <w:rsid w:val="002771D5"/>
    <w:rsid w:val="00280384"/>
    <w:rsid w:val="002803F9"/>
    <w:rsid w:val="00280786"/>
    <w:rsid w:val="00281F90"/>
    <w:rsid w:val="00285DCF"/>
    <w:rsid w:val="0029795B"/>
    <w:rsid w:val="00297A5A"/>
    <w:rsid w:val="002A10E0"/>
    <w:rsid w:val="002A3BA8"/>
    <w:rsid w:val="002A5D41"/>
    <w:rsid w:val="002B0AB9"/>
    <w:rsid w:val="002B5411"/>
    <w:rsid w:val="002C07FB"/>
    <w:rsid w:val="002C0B9C"/>
    <w:rsid w:val="002C4477"/>
    <w:rsid w:val="002C4DA9"/>
    <w:rsid w:val="002C7C18"/>
    <w:rsid w:val="002D2F2D"/>
    <w:rsid w:val="002D5206"/>
    <w:rsid w:val="002D6BE5"/>
    <w:rsid w:val="002E3E02"/>
    <w:rsid w:val="002E4CA7"/>
    <w:rsid w:val="002E5B8A"/>
    <w:rsid w:val="002F2718"/>
    <w:rsid w:val="002F5DB8"/>
    <w:rsid w:val="002F6CB3"/>
    <w:rsid w:val="00300283"/>
    <w:rsid w:val="0030206C"/>
    <w:rsid w:val="0030405B"/>
    <w:rsid w:val="00305A9C"/>
    <w:rsid w:val="00305C77"/>
    <w:rsid w:val="00321533"/>
    <w:rsid w:val="00323B67"/>
    <w:rsid w:val="003252E1"/>
    <w:rsid w:val="00330E3C"/>
    <w:rsid w:val="0033186D"/>
    <w:rsid w:val="0033467C"/>
    <w:rsid w:val="00334B73"/>
    <w:rsid w:val="003427EC"/>
    <w:rsid w:val="003435B9"/>
    <w:rsid w:val="003435F1"/>
    <w:rsid w:val="00343AD6"/>
    <w:rsid w:val="00344427"/>
    <w:rsid w:val="0035086B"/>
    <w:rsid w:val="00350F5A"/>
    <w:rsid w:val="00351F2F"/>
    <w:rsid w:val="003520F2"/>
    <w:rsid w:val="00355C62"/>
    <w:rsid w:val="003568A9"/>
    <w:rsid w:val="003569E6"/>
    <w:rsid w:val="00357531"/>
    <w:rsid w:val="00357B33"/>
    <w:rsid w:val="0036474D"/>
    <w:rsid w:val="00364CAA"/>
    <w:rsid w:val="00365E60"/>
    <w:rsid w:val="0036610F"/>
    <w:rsid w:val="00366E8D"/>
    <w:rsid w:val="0037051E"/>
    <w:rsid w:val="00374E75"/>
    <w:rsid w:val="0037684D"/>
    <w:rsid w:val="00377E31"/>
    <w:rsid w:val="00380F31"/>
    <w:rsid w:val="003858C4"/>
    <w:rsid w:val="0038738E"/>
    <w:rsid w:val="00391928"/>
    <w:rsid w:val="003952AE"/>
    <w:rsid w:val="00397D72"/>
    <w:rsid w:val="003A0CCD"/>
    <w:rsid w:val="003A22CC"/>
    <w:rsid w:val="003B096F"/>
    <w:rsid w:val="003B4AD3"/>
    <w:rsid w:val="003B6929"/>
    <w:rsid w:val="003B71C2"/>
    <w:rsid w:val="003B795C"/>
    <w:rsid w:val="003C12DD"/>
    <w:rsid w:val="003C32E3"/>
    <w:rsid w:val="003C7B93"/>
    <w:rsid w:val="003D2733"/>
    <w:rsid w:val="003D5681"/>
    <w:rsid w:val="003E14D5"/>
    <w:rsid w:val="003E384D"/>
    <w:rsid w:val="003E3F4C"/>
    <w:rsid w:val="003E5CF9"/>
    <w:rsid w:val="003F2F6A"/>
    <w:rsid w:val="003F5937"/>
    <w:rsid w:val="003F59D2"/>
    <w:rsid w:val="00400319"/>
    <w:rsid w:val="004032A6"/>
    <w:rsid w:val="004038FF"/>
    <w:rsid w:val="00407815"/>
    <w:rsid w:val="00411440"/>
    <w:rsid w:val="00411CCA"/>
    <w:rsid w:val="00415776"/>
    <w:rsid w:val="00415837"/>
    <w:rsid w:val="0041588A"/>
    <w:rsid w:val="004170ED"/>
    <w:rsid w:val="0042083D"/>
    <w:rsid w:val="00424089"/>
    <w:rsid w:val="004251CE"/>
    <w:rsid w:val="0042545A"/>
    <w:rsid w:val="00434475"/>
    <w:rsid w:val="00435275"/>
    <w:rsid w:val="00435528"/>
    <w:rsid w:val="00435DD0"/>
    <w:rsid w:val="004360D5"/>
    <w:rsid w:val="004366E3"/>
    <w:rsid w:val="00437671"/>
    <w:rsid w:val="00441488"/>
    <w:rsid w:val="004433ED"/>
    <w:rsid w:val="004445C2"/>
    <w:rsid w:val="004460E9"/>
    <w:rsid w:val="004564C3"/>
    <w:rsid w:val="00456806"/>
    <w:rsid w:val="00465E51"/>
    <w:rsid w:val="004731D0"/>
    <w:rsid w:val="00473446"/>
    <w:rsid w:val="0047425B"/>
    <w:rsid w:val="00476967"/>
    <w:rsid w:val="00482990"/>
    <w:rsid w:val="00483234"/>
    <w:rsid w:val="00483F48"/>
    <w:rsid w:val="004862A0"/>
    <w:rsid w:val="004917E9"/>
    <w:rsid w:val="00492022"/>
    <w:rsid w:val="0049211A"/>
    <w:rsid w:val="0049315C"/>
    <w:rsid w:val="0049432A"/>
    <w:rsid w:val="00495B3E"/>
    <w:rsid w:val="004A1CD5"/>
    <w:rsid w:val="004A756B"/>
    <w:rsid w:val="004B0D33"/>
    <w:rsid w:val="004B2D7D"/>
    <w:rsid w:val="004B321F"/>
    <w:rsid w:val="004B3C30"/>
    <w:rsid w:val="004B5801"/>
    <w:rsid w:val="004B5A6C"/>
    <w:rsid w:val="004B787D"/>
    <w:rsid w:val="004C042F"/>
    <w:rsid w:val="004C08A9"/>
    <w:rsid w:val="004C1B90"/>
    <w:rsid w:val="004C2491"/>
    <w:rsid w:val="004C345F"/>
    <w:rsid w:val="004C4C46"/>
    <w:rsid w:val="004C54D5"/>
    <w:rsid w:val="004D277D"/>
    <w:rsid w:val="004D39C5"/>
    <w:rsid w:val="004D488E"/>
    <w:rsid w:val="004D5AB4"/>
    <w:rsid w:val="004D6E40"/>
    <w:rsid w:val="004D7EA4"/>
    <w:rsid w:val="004E17AA"/>
    <w:rsid w:val="004E218D"/>
    <w:rsid w:val="004E4383"/>
    <w:rsid w:val="004E4E46"/>
    <w:rsid w:val="004F07E6"/>
    <w:rsid w:val="004F250E"/>
    <w:rsid w:val="004F368A"/>
    <w:rsid w:val="004F385E"/>
    <w:rsid w:val="004F438F"/>
    <w:rsid w:val="004F4533"/>
    <w:rsid w:val="004F4735"/>
    <w:rsid w:val="00500D0E"/>
    <w:rsid w:val="00501D54"/>
    <w:rsid w:val="00505570"/>
    <w:rsid w:val="00506650"/>
    <w:rsid w:val="00506B31"/>
    <w:rsid w:val="005137F3"/>
    <w:rsid w:val="005172DD"/>
    <w:rsid w:val="005218DA"/>
    <w:rsid w:val="00524E40"/>
    <w:rsid w:val="00527055"/>
    <w:rsid w:val="005275B9"/>
    <w:rsid w:val="00527A16"/>
    <w:rsid w:val="00527A4C"/>
    <w:rsid w:val="00530623"/>
    <w:rsid w:val="00531D61"/>
    <w:rsid w:val="00535FC5"/>
    <w:rsid w:val="005362CD"/>
    <w:rsid w:val="00536678"/>
    <w:rsid w:val="00536688"/>
    <w:rsid w:val="005378FD"/>
    <w:rsid w:val="005407AC"/>
    <w:rsid w:val="0054260A"/>
    <w:rsid w:val="005447D8"/>
    <w:rsid w:val="00544CBA"/>
    <w:rsid w:val="00547B2C"/>
    <w:rsid w:val="005566D0"/>
    <w:rsid w:val="005566D2"/>
    <w:rsid w:val="005567F7"/>
    <w:rsid w:val="005572A3"/>
    <w:rsid w:val="0056085D"/>
    <w:rsid w:val="005653CC"/>
    <w:rsid w:val="00566D94"/>
    <w:rsid w:val="00572B69"/>
    <w:rsid w:val="0057331F"/>
    <w:rsid w:val="00574E65"/>
    <w:rsid w:val="005759C2"/>
    <w:rsid w:val="00581110"/>
    <w:rsid w:val="00583219"/>
    <w:rsid w:val="00587C2D"/>
    <w:rsid w:val="00593839"/>
    <w:rsid w:val="00596062"/>
    <w:rsid w:val="005A20B4"/>
    <w:rsid w:val="005A27CF"/>
    <w:rsid w:val="005A2D48"/>
    <w:rsid w:val="005A5CFF"/>
    <w:rsid w:val="005B37F7"/>
    <w:rsid w:val="005B550A"/>
    <w:rsid w:val="005B7AE8"/>
    <w:rsid w:val="005C0606"/>
    <w:rsid w:val="005C1BA7"/>
    <w:rsid w:val="005C372A"/>
    <w:rsid w:val="005C6726"/>
    <w:rsid w:val="005C6C53"/>
    <w:rsid w:val="005D67DD"/>
    <w:rsid w:val="005D6A0A"/>
    <w:rsid w:val="005E0C42"/>
    <w:rsid w:val="005E12AF"/>
    <w:rsid w:val="005E3597"/>
    <w:rsid w:val="005F49F6"/>
    <w:rsid w:val="005F5593"/>
    <w:rsid w:val="005F5F0A"/>
    <w:rsid w:val="005F61B3"/>
    <w:rsid w:val="006038B8"/>
    <w:rsid w:val="00603C1E"/>
    <w:rsid w:val="00604263"/>
    <w:rsid w:val="006065A2"/>
    <w:rsid w:val="00610E01"/>
    <w:rsid w:val="00611C97"/>
    <w:rsid w:val="00616148"/>
    <w:rsid w:val="0061630C"/>
    <w:rsid w:val="00620C3A"/>
    <w:rsid w:val="006222F9"/>
    <w:rsid w:val="00624855"/>
    <w:rsid w:val="00624911"/>
    <w:rsid w:val="0063236A"/>
    <w:rsid w:val="0063253C"/>
    <w:rsid w:val="00640467"/>
    <w:rsid w:val="00641EA3"/>
    <w:rsid w:val="006429CD"/>
    <w:rsid w:val="00642A20"/>
    <w:rsid w:val="00644BC8"/>
    <w:rsid w:val="00646DF8"/>
    <w:rsid w:val="006517B3"/>
    <w:rsid w:val="006525D0"/>
    <w:rsid w:val="00652AAB"/>
    <w:rsid w:val="00653DEE"/>
    <w:rsid w:val="00654375"/>
    <w:rsid w:val="006553AB"/>
    <w:rsid w:val="00655DC1"/>
    <w:rsid w:val="006568FC"/>
    <w:rsid w:val="006615DA"/>
    <w:rsid w:val="00664D06"/>
    <w:rsid w:val="00666C81"/>
    <w:rsid w:val="0067008A"/>
    <w:rsid w:val="00671B9B"/>
    <w:rsid w:val="00675BC0"/>
    <w:rsid w:val="00676C59"/>
    <w:rsid w:val="00677BC0"/>
    <w:rsid w:val="0068016C"/>
    <w:rsid w:val="0068032B"/>
    <w:rsid w:val="00682A1E"/>
    <w:rsid w:val="006851AA"/>
    <w:rsid w:val="00685DCD"/>
    <w:rsid w:val="006A127B"/>
    <w:rsid w:val="006A14BF"/>
    <w:rsid w:val="006A4BC7"/>
    <w:rsid w:val="006B0099"/>
    <w:rsid w:val="006B0BF0"/>
    <w:rsid w:val="006B1039"/>
    <w:rsid w:val="006B36F6"/>
    <w:rsid w:val="006B41A8"/>
    <w:rsid w:val="006B7AB3"/>
    <w:rsid w:val="006C0BF1"/>
    <w:rsid w:val="006C27F1"/>
    <w:rsid w:val="006C634D"/>
    <w:rsid w:val="006D08D8"/>
    <w:rsid w:val="006D13A1"/>
    <w:rsid w:val="006D1D59"/>
    <w:rsid w:val="006D2C35"/>
    <w:rsid w:val="006D3D67"/>
    <w:rsid w:val="006D5926"/>
    <w:rsid w:val="006D7DBE"/>
    <w:rsid w:val="006E086A"/>
    <w:rsid w:val="006E0C32"/>
    <w:rsid w:val="006E4E18"/>
    <w:rsid w:val="006E7D09"/>
    <w:rsid w:val="006F1161"/>
    <w:rsid w:val="006F3601"/>
    <w:rsid w:val="006F4590"/>
    <w:rsid w:val="006F5CA2"/>
    <w:rsid w:val="007005A2"/>
    <w:rsid w:val="0070139F"/>
    <w:rsid w:val="00701CA2"/>
    <w:rsid w:val="007025C5"/>
    <w:rsid w:val="0071595D"/>
    <w:rsid w:val="007173FC"/>
    <w:rsid w:val="00721EE4"/>
    <w:rsid w:val="00722E2A"/>
    <w:rsid w:val="00722EC8"/>
    <w:rsid w:val="00722F74"/>
    <w:rsid w:val="007232DA"/>
    <w:rsid w:val="0072468D"/>
    <w:rsid w:val="00724A93"/>
    <w:rsid w:val="0073167C"/>
    <w:rsid w:val="007359FB"/>
    <w:rsid w:val="007368E6"/>
    <w:rsid w:val="007408D9"/>
    <w:rsid w:val="0074208D"/>
    <w:rsid w:val="0074273A"/>
    <w:rsid w:val="00754B1E"/>
    <w:rsid w:val="007575BF"/>
    <w:rsid w:val="00760884"/>
    <w:rsid w:val="00761E15"/>
    <w:rsid w:val="00762C1B"/>
    <w:rsid w:val="0076346A"/>
    <w:rsid w:val="007635A2"/>
    <w:rsid w:val="00764394"/>
    <w:rsid w:val="00764502"/>
    <w:rsid w:val="00770B82"/>
    <w:rsid w:val="00770F4B"/>
    <w:rsid w:val="00771E47"/>
    <w:rsid w:val="00773F1E"/>
    <w:rsid w:val="007744E0"/>
    <w:rsid w:val="00774A13"/>
    <w:rsid w:val="0077553D"/>
    <w:rsid w:val="00775795"/>
    <w:rsid w:val="007768F1"/>
    <w:rsid w:val="007810B6"/>
    <w:rsid w:val="00783114"/>
    <w:rsid w:val="00784526"/>
    <w:rsid w:val="00787800"/>
    <w:rsid w:val="00787E39"/>
    <w:rsid w:val="007A451D"/>
    <w:rsid w:val="007A4F55"/>
    <w:rsid w:val="007A7549"/>
    <w:rsid w:val="007A778A"/>
    <w:rsid w:val="007B1DAF"/>
    <w:rsid w:val="007B21A9"/>
    <w:rsid w:val="007B4354"/>
    <w:rsid w:val="007C0FCD"/>
    <w:rsid w:val="007C134F"/>
    <w:rsid w:val="007C65C1"/>
    <w:rsid w:val="007D0179"/>
    <w:rsid w:val="007D18F0"/>
    <w:rsid w:val="007D2BCB"/>
    <w:rsid w:val="007D502C"/>
    <w:rsid w:val="007E3732"/>
    <w:rsid w:val="007E5845"/>
    <w:rsid w:val="007E646A"/>
    <w:rsid w:val="007E77AA"/>
    <w:rsid w:val="007F169C"/>
    <w:rsid w:val="007F2A83"/>
    <w:rsid w:val="007F38CC"/>
    <w:rsid w:val="007F55D2"/>
    <w:rsid w:val="007F61BF"/>
    <w:rsid w:val="007F749C"/>
    <w:rsid w:val="007F7C7F"/>
    <w:rsid w:val="008037DE"/>
    <w:rsid w:val="008046C9"/>
    <w:rsid w:val="00810903"/>
    <w:rsid w:val="00813A80"/>
    <w:rsid w:val="00821D0D"/>
    <w:rsid w:val="00823B94"/>
    <w:rsid w:val="00823ED6"/>
    <w:rsid w:val="00824EF5"/>
    <w:rsid w:val="0082506C"/>
    <w:rsid w:val="00826891"/>
    <w:rsid w:val="008304E2"/>
    <w:rsid w:val="0084403D"/>
    <w:rsid w:val="008517A3"/>
    <w:rsid w:val="00851C7E"/>
    <w:rsid w:val="00851D6E"/>
    <w:rsid w:val="008521CD"/>
    <w:rsid w:val="008534F0"/>
    <w:rsid w:val="00853A45"/>
    <w:rsid w:val="00855CCA"/>
    <w:rsid w:val="008628BE"/>
    <w:rsid w:val="0086479D"/>
    <w:rsid w:val="00865DC2"/>
    <w:rsid w:val="00871C11"/>
    <w:rsid w:val="00874107"/>
    <w:rsid w:val="008813D4"/>
    <w:rsid w:val="00883588"/>
    <w:rsid w:val="008847D5"/>
    <w:rsid w:val="00885F01"/>
    <w:rsid w:val="00892E28"/>
    <w:rsid w:val="0089457F"/>
    <w:rsid w:val="0089502D"/>
    <w:rsid w:val="008A0216"/>
    <w:rsid w:val="008A50E3"/>
    <w:rsid w:val="008A7CB8"/>
    <w:rsid w:val="008B336C"/>
    <w:rsid w:val="008B49A9"/>
    <w:rsid w:val="008B4B8B"/>
    <w:rsid w:val="008B778F"/>
    <w:rsid w:val="008C16AE"/>
    <w:rsid w:val="008C6853"/>
    <w:rsid w:val="008C6BAE"/>
    <w:rsid w:val="008D1A7B"/>
    <w:rsid w:val="008D1E32"/>
    <w:rsid w:val="008D2962"/>
    <w:rsid w:val="008D2D25"/>
    <w:rsid w:val="008D4BCB"/>
    <w:rsid w:val="008D5022"/>
    <w:rsid w:val="008D7D66"/>
    <w:rsid w:val="008E00B1"/>
    <w:rsid w:val="008E2C73"/>
    <w:rsid w:val="008E56A2"/>
    <w:rsid w:val="008E6C8D"/>
    <w:rsid w:val="008F0551"/>
    <w:rsid w:val="008F1C30"/>
    <w:rsid w:val="008F33E4"/>
    <w:rsid w:val="008F5E72"/>
    <w:rsid w:val="008F6F9C"/>
    <w:rsid w:val="008F722C"/>
    <w:rsid w:val="00901F96"/>
    <w:rsid w:val="00902E7F"/>
    <w:rsid w:val="00904F34"/>
    <w:rsid w:val="009072F3"/>
    <w:rsid w:val="00913B7F"/>
    <w:rsid w:val="00914CD5"/>
    <w:rsid w:val="009176DD"/>
    <w:rsid w:val="00921043"/>
    <w:rsid w:val="009216AE"/>
    <w:rsid w:val="009222E7"/>
    <w:rsid w:val="00923B75"/>
    <w:rsid w:val="00926525"/>
    <w:rsid w:val="00931C6C"/>
    <w:rsid w:val="00932A10"/>
    <w:rsid w:val="009338C3"/>
    <w:rsid w:val="00937FD5"/>
    <w:rsid w:val="00941343"/>
    <w:rsid w:val="00942840"/>
    <w:rsid w:val="0094415D"/>
    <w:rsid w:val="00946068"/>
    <w:rsid w:val="00946D70"/>
    <w:rsid w:val="009470BE"/>
    <w:rsid w:val="00947D42"/>
    <w:rsid w:val="00953D65"/>
    <w:rsid w:val="00954327"/>
    <w:rsid w:val="0096272B"/>
    <w:rsid w:val="009640A7"/>
    <w:rsid w:val="00966162"/>
    <w:rsid w:val="00967BBD"/>
    <w:rsid w:val="009721E9"/>
    <w:rsid w:val="00974E22"/>
    <w:rsid w:val="00977285"/>
    <w:rsid w:val="0097753A"/>
    <w:rsid w:val="00982B69"/>
    <w:rsid w:val="009865C9"/>
    <w:rsid w:val="00986D8F"/>
    <w:rsid w:val="00987B30"/>
    <w:rsid w:val="00987EE8"/>
    <w:rsid w:val="009974EB"/>
    <w:rsid w:val="00997654"/>
    <w:rsid w:val="00997996"/>
    <w:rsid w:val="009A0366"/>
    <w:rsid w:val="009A045E"/>
    <w:rsid w:val="009A1A2D"/>
    <w:rsid w:val="009A1ACE"/>
    <w:rsid w:val="009A1F3B"/>
    <w:rsid w:val="009A2305"/>
    <w:rsid w:val="009A2908"/>
    <w:rsid w:val="009A2D0A"/>
    <w:rsid w:val="009A52BE"/>
    <w:rsid w:val="009B17B4"/>
    <w:rsid w:val="009B3FA2"/>
    <w:rsid w:val="009B4BC9"/>
    <w:rsid w:val="009B666C"/>
    <w:rsid w:val="009B705E"/>
    <w:rsid w:val="009C00F3"/>
    <w:rsid w:val="009C015B"/>
    <w:rsid w:val="009C1BA4"/>
    <w:rsid w:val="009C2F1F"/>
    <w:rsid w:val="009C3891"/>
    <w:rsid w:val="009C5D0C"/>
    <w:rsid w:val="009C7603"/>
    <w:rsid w:val="009C7965"/>
    <w:rsid w:val="009C7BE0"/>
    <w:rsid w:val="009D2D1F"/>
    <w:rsid w:val="009D3A76"/>
    <w:rsid w:val="009D6254"/>
    <w:rsid w:val="009E16DC"/>
    <w:rsid w:val="009E4A89"/>
    <w:rsid w:val="009E6172"/>
    <w:rsid w:val="009E62A8"/>
    <w:rsid w:val="009E62E0"/>
    <w:rsid w:val="009E6401"/>
    <w:rsid w:val="009E6C70"/>
    <w:rsid w:val="009F2255"/>
    <w:rsid w:val="009F289D"/>
    <w:rsid w:val="00A01ABB"/>
    <w:rsid w:val="00A11BD1"/>
    <w:rsid w:val="00A12CE0"/>
    <w:rsid w:val="00A13ECF"/>
    <w:rsid w:val="00A14859"/>
    <w:rsid w:val="00A15EF7"/>
    <w:rsid w:val="00A1672F"/>
    <w:rsid w:val="00A20B81"/>
    <w:rsid w:val="00A2151E"/>
    <w:rsid w:val="00A21982"/>
    <w:rsid w:val="00A220D2"/>
    <w:rsid w:val="00A22C63"/>
    <w:rsid w:val="00A26AA3"/>
    <w:rsid w:val="00A3013F"/>
    <w:rsid w:val="00A314A7"/>
    <w:rsid w:val="00A329B4"/>
    <w:rsid w:val="00A3600A"/>
    <w:rsid w:val="00A3622B"/>
    <w:rsid w:val="00A4132D"/>
    <w:rsid w:val="00A41F04"/>
    <w:rsid w:val="00A430E3"/>
    <w:rsid w:val="00A43D4D"/>
    <w:rsid w:val="00A448F1"/>
    <w:rsid w:val="00A45D8B"/>
    <w:rsid w:val="00A47BFF"/>
    <w:rsid w:val="00A51DAD"/>
    <w:rsid w:val="00A53702"/>
    <w:rsid w:val="00A55FB8"/>
    <w:rsid w:val="00A72DFD"/>
    <w:rsid w:val="00A74A71"/>
    <w:rsid w:val="00A762E1"/>
    <w:rsid w:val="00A811B0"/>
    <w:rsid w:val="00A815D1"/>
    <w:rsid w:val="00A87C08"/>
    <w:rsid w:val="00A87F9B"/>
    <w:rsid w:val="00A92FCB"/>
    <w:rsid w:val="00A93061"/>
    <w:rsid w:val="00A93D30"/>
    <w:rsid w:val="00A94DCE"/>
    <w:rsid w:val="00A95777"/>
    <w:rsid w:val="00A9734B"/>
    <w:rsid w:val="00AA042C"/>
    <w:rsid w:val="00AA19CB"/>
    <w:rsid w:val="00AA51C4"/>
    <w:rsid w:val="00AA5B29"/>
    <w:rsid w:val="00AB0B45"/>
    <w:rsid w:val="00AB23B5"/>
    <w:rsid w:val="00AB70D2"/>
    <w:rsid w:val="00AC3680"/>
    <w:rsid w:val="00AC375A"/>
    <w:rsid w:val="00AC4B89"/>
    <w:rsid w:val="00AC57C9"/>
    <w:rsid w:val="00AC779C"/>
    <w:rsid w:val="00AD17E4"/>
    <w:rsid w:val="00AD1D90"/>
    <w:rsid w:val="00AD25DD"/>
    <w:rsid w:val="00AD36B1"/>
    <w:rsid w:val="00AD53A3"/>
    <w:rsid w:val="00AD6BEC"/>
    <w:rsid w:val="00AE0AB9"/>
    <w:rsid w:val="00AE1B69"/>
    <w:rsid w:val="00AE66EE"/>
    <w:rsid w:val="00AE697E"/>
    <w:rsid w:val="00AF1ABD"/>
    <w:rsid w:val="00AF44B2"/>
    <w:rsid w:val="00AF4670"/>
    <w:rsid w:val="00B01286"/>
    <w:rsid w:val="00B01561"/>
    <w:rsid w:val="00B05D09"/>
    <w:rsid w:val="00B07512"/>
    <w:rsid w:val="00B1484D"/>
    <w:rsid w:val="00B15408"/>
    <w:rsid w:val="00B15ECB"/>
    <w:rsid w:val="00B16ABD"/>
    <w:rsid w:val="00B247A2"/>
    <w:rsid w:val="00B24986"/>
    <w:rsid w:val="00B265E4"/>
    <w:rsid w:val="00B31C9C"/>
    <w:rsid w:val="00B3641A"/>
    <w:rsid w:val="00B4254E"/>
    <w:rsid w:val="00B434A8"/>
    <w:rsid w:val="00B469F6"/>
    <w:rsid w:val="00B47FEC"/>
    <w:rsid w:val="00B5460D"/>
    <w:rsid w:val="00B551B5"/>
    <w:rsid w:val="00B55F0A"/>
    <w:rsid w:val="00B56593"/>
    <w:rsid w:val="00B576FD"/>
    <w:rsid w:val="00B57C6B"/>
    <w:rsid w:val="00B66684"/>
    <w:rsid w:val="00B719D2"/>
    <w:rsid w:val="00B74422"/>
    <w:rsid w:val="00B85EE3"/>
    <w:rsid w:val="00B867E4"/>
    <w:rsid w:val="00B86914"/>
    <w:rsid w:val="00B95B86"/>
    <w:rsid w:val="00B9670E"/>
    <w:rsid w:val="00B971DA"/>
    <w:rsid w:val="00B9727C"/>
    <w:rsid w:val="00B97C39"/>
    <w:rsid w:val="00BA0D99"/>
    <w:rsid w:val="00BA0E77"/>
    <w:rsid w:val="00BA1F9A"/>
    <w:rsid w:val="00BA5449"/>
    <w:rsid w:val="00BA5462"/>
    <w:rsid w:val="00BA734D"/>
    <w:rsid w:val="00BA7CCC"/>
    <w:rsid w:val="00BB0427"/>
    <w:rsid w:val="00BB1BB1"/>
    <w:rsid w:val="00BB7B26"/>
    <w:rsid w:val="00BC4DA5"/>
    <w:rsid w:val="00BC51AF"/>
    <w:rsid w:val="00BC53A8"/>
    <w:rsid w:val="00BC6B01"/>
    <w:rsid w:val="00BD32E4"/>
    <w:rsid w:val="00BD4DEE"/>
    <w:rsid w:val="00BE1A34"/>
    <w:rsid w:val="00BE77F5"/>
    <w:rsid w:val="00BF322A"/>
    <w:rsid w:val="00BF3EC2"/>
    <w:rsid w:val="00BF3FE5"/>
    <w:rsid w:val="00BF5615"/>
    <w:rsid w:val="00BF5655"/>
    <w:rsid w:val="00BF6B8C"/>
    <w:rsid w:val="00BF6E57"/>
    <w:rsid w:val="00C0084E"/>
    <w:rsid w:val="00C04969"/>
    <w:rsid w:val="00C05167"/>
    <w:rsid w:val="00C1122D"/>
    <w:rsid w:val="00C12D01"/>
    <w:rsid w:val="00C14092"/>
    <w:rsid w:val="00C14364"/>
    <w:rsid w:val="00C1460F"/>
    <w:rsid w:val="00C16A07"/>
    <w:rsid w:val="00C2088B"/>
    <w:rsid w:val="00C3351A"/>
    <w:rsid w:val="00C342B3"/>
    <w:rsid w:val="00C36073"/>
    <w:rsid w:val="00C424CF"/>
    <w:rsid w:val="00C446EB"/>
    <w:rsid w:val="00C45BCA"/>
    <w:rsid w:val="00C45CD5"/>
    <w:rsid w:val="00C46CB7"/>
    <w:rsid w:val="00C479E8"/>
    <w:rsid w:val="00C508FA"/>
    <w:rsid w:val="00C52CB9"/>
    <w:rsid w:val="00C5386D"/>
    <w:rsid w:val="00C54374"/>
    <w:rsid w:val="00C561C7"/>
    <w:rsid w:val="00C60681"/>
    <w:rsid w:val="00C667F9"/>
    <w:rsid w:val="00C67A5B"/>
    <w:rsid w:val="00C704C7"/>
    <w:rsid w:val="00C71326"/>
    <w:rsid w:val="00C73758"/>
    <w:rsid w:val="00C7403F"/>
    <w:rsid w:val="00C76C10"/>
    <w:rsid w:val="00C811FF"/>
    <w:rsid w:val="00C8254F"/>
    <w:rsid w:val="00C82CBA"/>
    <w:rsid w:val="00C83747"/>
    <w:rsid w:val="00C8384E"/>
    <w:rsid w:val="00C85220"/>
    <w:rsid w:val="00C87771"/>
    <w:rsid w:val="00C91AFE"/>
    <w:rsid w:val="00C92DA4"/>
    <w:rsid w:val="00CA009B"/>
    <w:rsid w:val="00CA3658"/>
    <w:rsid w:val="00CA4076"/>
    <w:rsid w:val="00CA43DA"/>
    <w:rsid w:val="00CA4AEC"/>
    <w:rsid w:val="00CA58C2"/>
    <w:rsid w:val="00CB2B83"/>
    <w:rsid w:val="00CB3045"/>
    <w:rsid w:val="00CB4569"/>
    <w:rsid w:val="00CC129D"/>
    <w:rsid w:val="00CC1315"/>
    <w:rsid w:val="00CC299F"/>
    <w:rsid w:val="00CC2A6D"/>
    <w:rsid w:val="00CC3C7D"/>
    <w:rsid w:val="00CC424E"/>
    <w:rsid w:val="00CC4614"/>
    <w:rsid w:val="00CC4819"/>
    <w:rsid w:val="00CC539E"/>
    <w:rsid w:val="00CC607A"/>
    <w:rsid w:val="00CC6745"/>
    <w:rsid w:val="00CC6B42"/>
    <w:rsid w:val="00CD1E6A"/>
    <w:rsid w:val="00CD2DF7"/>
    <w:rsid w:val="00CD4084"/>
    <w:rsid w:val="00CD4E32"/>
    <w:rsid w:val="00CD574B"/>
    <w:rsid w:val="00CD5981"/>
    <w:rsid w:val="00CD61B1"/>
    <w:rsid w:val="00CD7C90"/>
    <w:rsid w:val="00CE0A9D"/>
    <w:rsid w:val="00CE0F51"/>
    <w:rsid w:val="00CE255D"/>
    <w:rsid w:val="00CE30C0"/>
    <w:rsid w:val="00CE535B"/>
    <w:rsid w:val="00CE58B1"/>
    <w:rsid w:val="00CF0F84"/>
    <w:rsid w:val="00CF21CE"/>
    <w:rsid w:val="00CF2511"/>
    <w:rsid w:val="00CF3942"/>
    <w:rsid w:val="00CF4409"/>
    <w:rsid w:val="00CF5C63"/>
    <w:rsid w:val="00CF5E63"/>
    <w:rsid w:val="00CF5E91"/>
    <w:rsid w:val="00CF6368"/>
    <w:rsid w:val="00CF7B55"/>
    <w:rsid w:val="00D0664E"/>
    <w:rsid w:val="00D06860"/>
    <w:rsid w:val="00D06AAC"/>
    <w:rsid w:val="00D12496"/>
    <w:rsid w:val="00D14A24"/>
    <w:rsid w:val="00D23089"/>
    <w:rsid w:val="00D25653"/>
    <w:rsid w:val="00D308AD"/>
    <w:rsid w:val="00D31D82"/>
    <w:rsid w:val="00D3249B"/>
    <w:rsid w:val="00D36A59"/>
    <w:rsid w:val="00D402C6"/>
    <w:rsid w:val="00D40CE0"/>
    <w:rsid w:val="00D4164A"/>
    <w:rsid w:val="00D4236A"/>
    <w:rsid w:val="00D43DD8"/>
    <w:rsid w:val="00D4641B"/>
    <w:rsid w:val="00D47D87"/>
    <w:rsid w:val="00D51A6D"/>
    <w:rsid w:val="00D52A1C"/>
    <w:rsid w:val="00D564D3"/>
    <w:rsid w:val="00D56A50"/>
    <w:rsid w:val="00D56EC7"/>
    <w:rsid w:val="00D572A5"/>
    <w:rsid w:val="00D60328"/>
    <w:rsid w:val="00D62F1C"/>
    <w:rsid w:val="00D63D1F"/>
    <w:rsid w:val="00D66D82"/>
    <w:rsid w:val="00D66F1D"/>
    <w:rsid w:val="00D66FF7"/>
    <w:rsid w:val="00D71D90"/>
    <w:rsid w:val="00D71ECB"/>
    <w:rsid w:val="00D71FB4"/>
    <w:rsid w:val="00D732FC"/>
    <w:rsid w:val="00D75429"/>
    <w:rsid w:val="00D8197A"/>
    <w:rsid w:val="00D8289A"/>
    <w:rsid w:val="00D84E3F"/>
    <w:rsid w:val="00D84F1C"/>
    <w:rsid w:val="00D87DB5"/>
    <w:rsid w:val="00D92A26"/>
    <w:rsid w:val="00D935D2"/>
    <w:rsid w:val="00D9466C"/>
    <w:rsid w:val="00D94A07"/>
    <w:rsid w:val="00D95F88"/>
    <w:rsid w:val="00D97F09"/>
    <w:rsid w:val="00DA18C6"/>
    <w:rsid w:val="00DA20C1"/>
    <w:rsid w:val="00DA2CA9"/>
    <w:rsid w:val="00DA4FEE"/>
    <w:rsid w:val="00DA53F7"/>
    <w:rsid w:val="00DA6D53"/>
    <w:rsid w:val="00DB0279"/>
    <w:rsid w:val="00DB1C37"/>
    <w:rsid w:val="00DB2F35"/>
    <w:rsid w:val="00DB6EA4"/>
    <w:rsid w:val="00DB73B5"/>
    <w:rsid w:val="00DC1E83"/>
    <w:rsid w:val="00DC46E8"/>
    <w:rsid w:val="00DC70D9"/>
    <w:rsid w:val="00DD04E7"/>
    <w:rsid w:val="00DD0FDA"/>
    <w:rsid w:val="00DD1A9D"/>
    <w:rsid w:val="00DD21FE"/>
    <w:rsid w:val="00DD2DF6"/>
    <w:rsid w:val="00DD2E32"/>
    <w:rsid w:val="00DD2FF9"/>
    <w:rsid w:val="00DD6A7B"/>
    <w:rsid w:val="00DE0BE1"/>
    <w:rsid w:val="00DE4884"/>
    <w:rsid w:val="00DE48A0"/>
    <w:rsid w:val="00DF0297"/>
    <w:rsid w:val="00DF0ED6"/>
    <w:rsid w:val="00DF3241"/>
    <w:rsid w:val="00DF38AE"/>
    <w:rsid w:val="00DF6AF3"/>
    <w:rsid w:val="00DF7EE1"/>
    <w:rsid w:val="00E0053D"/>
    <w:rsid w:val="00E02CA1"/>
    <w:rsid w:val="00E04DC9"/>
    <w:rsid w:val="00E05E07"/>
    <w:rsid w:val="00E05E23"/>
    <w:rsid w:val="00E07570"/>
    <w:rsid w:val="00E10173"/>
    <w:rsid w:val="00E13778"/>
    <w:rsid w:val="00E14186"/>
    <w:rsid w:val="00E14CE0"/>
    <w:rsid w:val="00E1750A"/>
    <w:rsid w:val="00E21928"/>
    <w:rsid w:val="00E22091"/>
    <w:rsid w:val="00E2405F"/>
    <w:rsid w:val="00E265A5"/>
    <w:rsid w:val="00E3522E"/>
    <w:rsid w:val="00E40039"/>
    <w:rsid w:val="00E4075A"/>
    <w:rsid w:val="00E4355C"/>
    <w:rsid w:val="00E44378"/>
    <w:rsid w:val="00E45000"/>
    <w:rsid w:val="00E472B8"/>
    <w:rsid w:val="00E50E09"/>
    <w:rsid w:val="00E512C6"/>
    <w:rsid w:val="00E51330"/>
    <w:rsid w:val="00E51BE3"/>
    <w:rsid w:val="00E556A8"/>
    <w:rsid w:val="00E56293"/>
    <w:rsid w:val="00E6002F"/>
    <w:rsid w:val="00E6089A"/>
    <w:rsid w:val="00E62C17"/>
    <w:rsid w:val="00E736C4"/>
    <w:rsid w:val="00E73CBB"/>
    <w:rsid w:val="00E74CF8"/>
    <w:rsid w:val="00E760B8"/>
    <w:rsid w:val="00E7684B"/>
    <w:rsid w:val="00E80E77"/>
    <w:rsid w:val="00E841B7"/>
    <w:rsid w:val="00E84A09"/>
    <w:rsid w:val="00E858DD"/>
    <w:rsid w:val="00E8631E"/>
    <w:rsid w:val="00E92E3A"/>
    <w:rsid w:val="00E92EEC"/>
    <w:rsid w:val="00E94B3A"/>
    <w:rsid w:val="00E95423"/>
    <w:rsid w:val="00E963F0"/>
    <w:rsid w:val="00E97461"/>
    <w:rsid w:val="00E975F8"/>
    <w:rsid w:val="00EA0CBF"/>
    <w:rsid w:val="00EA1ADF"/>
    <w:rsid w:val="00EB14B5"/>
    <w:rsid w:val="00EB5C8C"/>
    <w:rsid w:val="00EB6FC8"/>
    <w:rsid w:val="00EC3883"/>
    <w:rsid w:val="00EC5BE4"/>
    <w:rsid w:val="00EC6DD0"/>
    <w:rsid w:val="00EC794F"/>
    <w:rsid w:val="00ED6CB7"/>
    <w:rsid w:val="00ED7249"/>
    <w:rsid w:val="00ED7BEB"/>
    <w:rsid w:val="00EE245E"/>
    <w:rsid w:val="00EE2A92"/>
    <w:rsid w:val="00EE384A"/>
    <w:rsid w:val="00EE4DAA"/>
    <w:rsid w:val="00EE60C9"/>
    <w:rsid w:val="00EE63FE"/>
    <w:rsid w:val="00EE71B7"/>
    <w:rsid w:val="00EE7713"/>
    <w:rsid w:val="00EF0708"/>
    <w:rsid w:val="00EF5660"/>
    <w:rsid w:val="00EF629F"/>
    <w:rsid w:val="00F02FD8"/>
    <w:rsid w:val="00F0310D"/>
    <w:rsid w:val="00F03112"/>
    <w:rsid w:val="00F03325"/>
    <w:rsid w:val="00F03E3C"/>
    <w:rsid w:val="00F0484B"/>
    <w:rsid w:val="00F0637C"/>
    <w:rsid w:val="00F0761B"/>
    <w:rsid w:val="00F140AE"/>
    <w:rsid w:val="00F14974"/>
    <w:rsid w:val="00F14EDC"/>
    <w:rsid w:val="00F16D0D"/>
    <w:rsid w:val="00F20211"/>
    <w:rsid w:val="00F21458"/>
    <w:rsid w:val="00F258CA"/>
    <w:rsid w:val="00F2715A"/>
    <w:rsid w:val="00F34580"/>
    <w:rsid w:val="00F37D90"/>
    <w:rsid w:val="00F40A4B"/>
    <w:rsid w:val="00F421F4"/>
    <w:rsid w:val="00F52712"/>
    <w:rsid w:val="00F5283D"/>
    <w:rsid w:val="00F6117D"/>
    <w:rsid w:val="00F73509"/>
    <w:rsid w:val="00F76EA7"/>
    <w:rsid w:val="00F8206A"/>
    <w:rsid w:val="00FA5E46"/>
    <w:rsid w:val="00FA5EE8"/>
    <w:rsid w:val="00FA6022"/>
    <w:rsid w:val="00FB0C9A"/>
    <w:rsid w:val="00FB2288"/>
    <w:rsid w:val="00FB488F"/>
    <w:rsid w:val="00FB4DAE"/>
    <w:rsid w:val="00FB5FA2"/>
    <w:rsid w:val="00FB6BDB"/>
    <w:rsid w:val="00FB794B"/>
    <w:rsid w:val="00FB7AF1"/>
    <w:rsid w:val="00FC1CF8"/>
    <w:rsid w:val="00FC2088"/>
    <w:rsid w:val="00FC2F0E"/>
    <w:rsid w:val="00FC704D"/>
    <w:rsid w:val="00FC76F9"/>
    <w:rsid w:val="00FD240F"/>
    <w:rsid w:val="00FD259D"/>
    <w:rsid w:val="00FD2D4C"/>
    <w:rsid w:val="00FE0041"/>
    <w:rsid w:val="00FE31DE"/>
    <w:rsid w:val="00FE69DD"/>
    <w:rsid w:val="00FF0393"/>
    <w:rsid w:val="00FF1544"/>
    <w:rsid w:val="00FF1673"/>
    <w:rsid w:val="00FF1C9C"/>
    <w:rsid w:val="00FF25A4"/>
    <w:rsid w:val="00FF2C3B"/>
    <w:rsid w:val="00FF32D0"/>
    <w:rsid w:val="00FF3BA2"/>
    <w:rsid w:val="00FF59EF"/>
    <w:rsid w:val="00FF610D"/>
    <w:rsid w:val="00FF63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42083D"/>
    <w:pPr>
      <w:overflowPunct w:val="0"/>
      <w:autoSpaceDE w:val="0"/>
      <w:autoSpaceDN w:val="0"/>
      <w:adjustRightInd w:val="0"/>
      <w:textAlignment w:val="baseline"/>
    </w:pPr>
  </w:style>
  <w:style w:type="paragraph" w:styleId="Nadpis1">
    <w:name w:val="heading 1"/>
    <w:basedOn w:val="Normln"/>
    <w:next w:val="Normln"/>
    <w:link w:val="Nadpis1Char"/>
    <w:qFormat/>
    <w:rsid w:val="00150B70"/>
    <w:pPr>
      <w:keepNext/>
      <w:pageBreakBefore/>
      <w:numPr>
        <w:numId w:val="1"/>
      </w:numPr>
      <w:overflowPunct/>
      <w:autoSpaceDE/>
      <w:autoSpaceDN/>
      <w:adjustRightInd/>
      <w:spacing w:before="120" w:after="60" w:line="276" w:lineRule="auto"/>
      <w:ind w:left="431" w:hanging="431"/>
      <w:jc w:val="both"/>
      <w:textAlignment w:val="auto"/>
      <w:outlineLvl w:val="0"/>
    </w:pPr>
    <w:rPr>
      <w:rFonts w:asciiTheme="minorHAnsi" w:hAnsiTheme="minorHAnsi"/>
      <w:b/>
      <w:bCs/>
      <w:caps/>
      <w:kern w:val="32"/>
      <w:sz w:val="28"/>
      <w:szCs w:val="32"/>
    </w:rPr>
  </w:style>
  <w:style w:type="paragraph" w:styleId="Nadpis2">
    <w:name w:val="heading 2"/>
    <w:basedOn w:val="Normln"/>
    <w:next w:val="Normln"/>
    <w:link w:val="Nadpis2Char"/>
    <w:qFormat/>
    <w:rsid w:val="00150B70"/>
    <w:pPr>
      <w:keepNext/>
      <w:numPr>
        <w:ilvl w:val="1"/>
        <w:numId w:val="1"/>
      </w:numPr>
      <w:overflowPunct/>
      <w:autoSpaceDE/>
      <w:autoSpaceDN/>
      <w:adjustRightInd/>
      <w:spacing w:before="240" w:after="120" w:line="276" w:lineRule="auto"/>
      <w:ind w:left="578" w:hanging="578"/>
      <w:jc w:val="both"/>
      <w:textAlignment w:val="auto"/>
      <w:outlineLvl w:val="1"/>
    </w:pPr>
    <w:rPr>
      <w:rFonts w:ascii="Calibri" w:hAnsi="Calibri"/>
      <w:b/>
      <w:bCs/>
      <w:iCs/>
      <w:caps/>
      <w:sz w:val="26"/>
      <w:szCs w:val="28"/>
    </w:rPr>
  </w:style>
  <w:style w:type="paragraph" w:styleId="Nadpis3">
    <w:name w:val="heading 3"/>
    <w:basedOn w:val="Normln"/>
    <w:next w:val="Normln"/>
    <w:link w:val="Nadpis3Char"/>
    <w:qFormat/>
    <w:rsid w:val="00987B30"/>
    <w:pPr>
      <w:keepNext/>
      <w:keepLines/>
      <w:numPr>
        <w:ilvl w:val="2"/>
        <w:numId w:val="1"/>
      </w:numPr>
      <w:overflowPunct/>
      <w:autoSpaceDE/>
      <w:autoSpaceDN/>
      <w:adjustRightInd/>
      <w:spacing w:before="240" w:after="120" w:line="276" w:lineRule="auto"/>
      <w:jc w:val="both"/>
      <w:textAlignment w:val="auto"/>
      <w:outlineLvl w:val="2"/>
    </w:pPr>
    <w:rPr>
      <w:rFonts w:asciiTheme="minorHAnsi" w:hAnsiTheme="minorHAnsi"/>
      <w:b/>
      <w:bCs/>
      <w:sz w:val="24"/>
    </w:rPr>
  </w:style>
  <w:style w:type="paragraph" w:styleId="Nadpis4">
    <w:name w:val="heading 4"/>
    <w:basedOn w:val="Normln"/>
    <w:next w:val="Normln"/>
    <w:link w:val="Nadpis4Char"/>
    <w:qFormat/>
    <w:rsid w:val="00047389"/>
    <w:pPr>
      <w:keepNext/>
      <w:keepLines/>
      <w:numPr>
        <w:ilvl w:val="3"/>
        <w:numId w:val="1"/>
      </w:numPr>
      <w:overflowPunct/>
      <w:autoSpaceDE/>
      <w:autoSpaceDN/>
      <w:adjustRightInd/>
      <w:spacing w:before="200" w:after="120" w:line="276" w:lineRule="auto"/>
      <w:ind w:left="862" w:hanging="862"/>
      <w:jc w:val="both"/>
      <w:textAlignment w:val="auto"/>
      <w:outlineLvl w:val="3"/>
    </w:pPr>
    <w:rPr>
      <w:rFonts w:asciiTheme="minorHAnsi" w:hAnsiTheme="minorHAnsi"/>
      <w:b/>
      <w:bCs/>
      <w:i/>
      <w:iCs/>
      <w:sz w:val="24"/>
    </w:rPr>
  </w:style>
  <w:style w:type="paragraph" w:styleId="Nadpis5">
    <w:name w:val="heading 5"/>
    <w:basedOn w:val="Normln"/>
    <w:next w:val="Normln"/>
    <w:link w:val="Nadpis5Char"/>
    <w:qFormat/>
    <w:rsid w:val="00B15ECB"/>
    <w:pPr>
      <w:keepNext/>
      <w:keepLines/>
      <w:numPr>
        <w:ilvl w:val="4"/>
        <w:numId w:val="1"/>
      </w:numPr>
      <w:overflowPunct/>
      <w:autoSpaceDE/>
      <w:autoSpaceDN/>
      <w:adjustRightInd/>
      <w:spacing w:before="200" w:after="120" w:line="276" w:lineRule="auto"/>
      <w:jc w:val="both"/>
      <w:textAlignment w:val="auto"/>
      <w:outlineLvl w:val="4"/>
    </w:pPr>
    <w:rPr>
      <w:rFonts w:asciiTheme="minorHAnsi" w:hAnsiTheme="minorHAnsi"/>
      <w:i/>
      <w:sz w:val="24"/>
    </w:rPr>
  </w:style>
  <w:style w:type="paragraph" w:styleId="Nadpis6">
    <w:name w:val="heading 6"/>
    <w:basedOn w:val="Normln"/>
    <w:next w:val="Normln"/>
    <w:link w:val="Nadpis6Char"/>
    <w:qFormat/>
    <w:rsid w:val="00F03E3C"/>
    <w:pPr>
      <w:keepNext/>
      <w:keepLines/>
      <w:numPr>
        <w:ilvl w:val="5"/>
        <w:numId w:val="1"/>
      </w:numPr>
      <w:overflowPunct/>
      <w:autoSpaceDE/>
      <w:autoSpaceDN/>
      <w:adjustRightInd/>
      <w:spacing w:before="200" w:line="276" w:lineRule="auto"/>
      <w:jc w:val="both"/>
      <w:textAlignment w:val="auto"/>
      <w:outlineLvl w:val="5"/>
    </w:pPr>
    <w:rPr>
      <w:rFonts w:ascii="Cambria" w:hAnsi="Cambria"/>
      <w:i/>
      <w:iCs/>
      <w:color w:val="243F60"/>
      <w:sz w:val="24"/>
    </w:rPr>
  </w:style>
  <w:style w:type="paragraph" w:styleId="Nadpis7">
    <w:name w:val="heading 7"/>
    <w:basedOn w:val="Normln"/>
    <w:next w:val="Normln"/>
    <w:link w:val="Nadpis7Char"/>
    <w:qFormat/>
    <w:rsid w:val="00F03E3C"/>
    <w:pPr>
      <w:keepNext/>
      <w:keepLines/>
      <w:numPr>
        <w:ilvl w:val="6"/>
        <w:numId w:val="1"/>
      </w:numPr>
      <w:overflowPunct/>
      <w:autoSpaceDE/>
      <w:autoSpaceDN/>
      <w:adjustRightInd/>
      <w:spacing w:before="200" w:line="276" w:lineRule="auto"/>
      <w:jc w:val="both"/>
      <w:textAlignment w:val="auto"/>
      <w:outlineLvl w:val="6"/>
    </w:pPr>
    <w:rPr>
      <w:rFonts w:ascii="Cambria" w:hAnsi="Cambria"/>
      <w:i/>
      <w:iCs/>
      <w:color w:val="404040"/>
      <w:sz w:val="24"/>
    </w:rPr>
  </w:style>
  <w:style w:type="paragraph" w:styleId="Nadpis8">
    <w:name w:val="heading 8"/>
    <w:basedOn w:val="Normln"/>
    <w:next w:val="Normln"/>
    <w:link w:val="Nadpis8Char"/>
    <w:qFormat/>
    <w:rsid w:val="00F03E3C"/>
    <w:pPr>
      <w:keepNext/>
      <w:keepLines/>
      <w:numPr>
        <w:ilvl w:val="7"/>
        <w:numId w:val="1"/>
      </w:numPr>
      <w:overflowPunct/>
      <w:autoSpaceDE/>
      <w:autoSpaceDN/>
      <w:adjustRightInd/>
      <w:spacing w:before="200" w:line="276" w:lineRule="auto"/>
      <w:jc w:val="both"/>
      <w:textAlignment w:val="auto"/>
      <w:outlineLvl w:val="7"/>
    </w:pPr>
    <w:rPr>
      <w:rFonts w:ascii="Cambria" w:hAnsi="Cambria"/>
      <w:color w:val="404040"/>
    </w:rPr>
  </w:style>
  <w:style w:type="paragraph" w:styleId="Nadpis9">
    <w:name w:val="heading 9"/>
    <w:basedOn w:val="Normln"/>
    <w:next w:val="Normln"/>
    <w:link w:val="Nadpis9Char"/>
    <w:qFormat/>
    <w:rsid w:val="00F03E3C"/>
    <w:pPr>
      <w:keepNext/>
      <w:keepLines/>
      <w:numPr>
        <w:ilvl w:val="8"/>
        <w:numId w:val="1"/>
      </w:numPr>
      <w:overflowPunct/>
      <w:autoSpaceDE/>
      <w:autoSpaceDN/>
      <w:adjustRightInd/>
      <w:spacing w:before="200" w:line="276" w:lineRule="auto"/>
      <w:jc w:val="both"/>
      <w:textAlignment w:val="auto"/>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50B70"/>
    <w:rPr>
      <w:rFonts w:asciiTheme="minorHAnsi" w:hAnsiTheme="minorHAnsi"/>
      <w:b/>
      <w:bCs/>
      <w:caps/>
      <w:kern w:val="32"/>
      <w:sz w:val="28"/>
      <w:szCs w:val="32"/>
    </w:rPr>
  </w:style>
  <w:style w:type="character" w:customStyle="1" w:styleId="Nadpis2Char">
    <w:name w:val="Nadpis 2 Char"/>
    <w:link w:val="Nadpis2"/>
    <w:rsid w:val="00150B70"/>
    <w:rPr>
      <w:rFonts w:ascii="Calibri" w:hAnsi="Calibri"/>
      <w:b/>
      <w:bCs/>
      <w:iCs/>
      <w:caps/>
      <w:sz w:val="26"/>
      <w:szCs w:val="28"/>
    </w:rPr>
  </w:style>
  <w:style w:type="character" w:customStyle="1" w:styleId="Nadpis3Char">
    <w:name w:val="Nadpis 3 Char"/>
    <w:link w:val="Nadpis3"/>
    <w:rsid w:val="00987B30"/>
    <w:rPr>
      <w:rFonts w:asciiTheme="minorHAnsi" w:hAnsiTheme="minorHAnsi"/>
      <w:b/>
      <w:bCs/>
      <w:sz w:val="24"/>
    </w:rPr>
  </w:style>
  <w:style w:type="character" w:customStyle="1" w:styleId="Nadpis4Char">
    <w:name w:val="Nadpis 4 Char"/>
    <w:link w:val="Nadpis4"/>
    <w:rsid w:val="00047389"/>
    <w:rPr>
      <w:rFonts w:asciiTheme="minorHAnsi" w:hAnsiTheme="minorHAnsi"/>
      <w:b/>
      <w:bCs/>
      <w:i/>
      <w:iCs/>
      <w:sz w:val="24"/>
    </w:rPr>
  </w:style>
  <w:style w:type="character" w:customStyle="1" w:styleId="Nadpis5Char">
    <w:name w:val="Nadpis 5 Char"/>
    <w:link w:val="Nadpis5"/>
    <w:rsid w:val="00B15ECB"/>
    <w:rPr>
      <w:rFonts w:asciiTheme="minorHAnsi" w:hAnsiTheme="minorHAnsi"/>
      <w:i/>
      <w:sz w:val="24"/>
    </w:rPr>
  </w:style>
  <w:style w:type="character" w:customStyle="1" w:styleId="Nadpis6Char">
    <w:name w:val="Nadpis 6 Char"/>
    <w:link w:val="Nadpis6"/>
    <w:rsid w:val="00F03E3C"/>
    <w:rPr>
      <w:rFonts w:ascii="Cambria" w:hAnsi="Cambria"/>
      <w:i/>
      <w:iCs/>
      <w:color w:val="243F60"/>
      <w:sz w:val="24"/>
    </w:rPr>
  </w:style>
  <w:style w:type="character" w:customStyle="1" w:styleId="Nadpis7Char">
    <w:name w:val="Nadpis 7 Char"/>
    <w:link w:val="Nadpis7"/>
    <w:rsid w:val="00F03E3C"/>
    <w:rPr>
      <w:rFonts w:ascii="Cambria" w:hAnsi="Cambria"/>
      <w:i/>
      <w:iCs/>
      <w:color w:val="404040"/>
      <w:sz w:val="24"/>
    </w:rPr>
  </w:style>
  <w:style w:type="character" w:customStyle="1" w:styleId="Nadpis8Char">
    <w:name w:val="Nadpis 8 Char"/>
    <w:link w:val="Nadpis8"/>
    <w:rsid w:val="00F03E3C"/>
    <w:rPr>
      <w:rFonts w:ascii="Cambria" w:hAnsi="Cambria"/>
      <w:color w:val="404040"/>
    </w:rPr>
  </w:style>
  <w:style w:type="character" w:customStyle="1" w:styleId="Nadpis9Char">
    <w:name w:val="Nadpis 9 Char"/>
    <w:link w:val="Nadpis9"/>
    <w:rsid w:val="00F03E3C"/>
    <w:rPr>
      <w:rFonts w:ascii="Cambria" w:hAnsi="Cambria"/>
      <w:i/>
      <w:iCs/>
      <w:color w:val="404040"/>
    </w:rPr>
  </w:style>
  <w:style w:type="paragraph" w:styleId="Odstavecseseznamem">
    <w:name w:val="List Paragraph"/>
    <w:basedOn w:val="Normln"/>
    <w:link w:val="OdstavecseseznamemChar"/>
    <w:uiPriority w:val="34"/>
    <w:qFormat/>
    <w:rsid w:val="00FB5FA2"/>
    <w:pPr>
      <w:ind w:left="720"/>
      <w:contextualSpacing/>
    </w:pPr>
  </w:style>
  <w:style w:type="paragraph" w:styleId="Titulek">
    <w:name w:val="caption"/>
    <w:basedOn w:val="Normln"/>
    <w:next w:val="Normln"/>
    <w:qFormat/>
    <w:rsid w:val="00C446EB"/>
    <w:pPr>
      <w:spacing w:after="200"/>
    </w:pPr>
    <w:rPr>
      <w:b/>
      <w:bCs/>
      <w:color w:val="4F81BD"/>
      <w:sz w:val="18"/>
      <w:szCs w:val="18"/>
    </w:rPr>
  </w:style>
  <w:style w:type="paragraph" w:styleId="Textpoznpodarou">
    <w:name w:val="footnote text"/>
    <w:aliases w:val="Schriftart: 9 pt,Schriftart: 10 pt,Schriftart: 8 pt, Char,Char,Text pozn. pod čarou1,Char Char Char1,Char Char1,Footnote Text Char1,Text poznámky pod čiarou 007,Footnote,Fußnotentextf,Geneva 9,Font: Geneva 9,Boston 10,f,o"/>
    <w:basedOn w:val="Normln"/>
    <w:link w:val="TextpoznpodarouChar"/>
    <w:uiPriority w:val="99"/>
    <w:rsid w:val="00F03E3C"/>
    <w:pPr>
      <w:overflowPunct/>
      <w:autoSpaceDE/>
      <w:autoSpaceDN/>
      <w:adjustRightInd/>
      <w:spacing w:after="120" w:line="288" w:lineRule="auto"/>
      <w:jc w:val="both"/>
      <w:textAlignment w:val="auto"/>
    </w:pPr>
    <w:rPr>
      <w:rFonts w:ascii="Arial" w:hAnsi="Arial"/>
      <w:sz w:val="16"/>
    </w:rPr>
  </w:style>
  <w:style w:type="character" w:customStyle="1" w:styleId="TextpoznpodarouChar">
    <w:name w:val="Text pozn. pod čarou Char"/>
    <w:aliases w:val="Schriftart: 9 pt Char,Schriftart: 10 pt Char,Schriftart: 8 pt Char, Char Char,Char Char,Text pozn. pod čarou1 Char,Char Char Char1 Char,Char Char1 Char,Footnote Text Char1 Char,Text poznámky pod čiarou 007 Char,Footnote Char"/>
    <w:link w:val="Textpoznpodarou"/>
    <w:uiPriority w:val="99"/>
    <w:rsid w:val="00F03E3C"/>
    <w:rPr>
      <w:rFonts w:ascii="Arial" w:hAnsi="Arial"/>
      <w:sz w:val="16"/>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
    <w:uiPriority w:val="99"/>
    <w:semiHidden/>
    <w:rsid w:val="00F03E3C"/>
    <w:rPr>
      <w:vertAlign w:val="superscript"/>
    </w:rPr>
  </w:style>
  <w:style w:type="character" w:customStyle="1" w:styleId="ZkladntextChar">
    <w:name w:val="Základní text Char"/>
    <w:aliases w:val="Standard paragraph Char,Body Text1 Char,Char1 Char"/>
    <w:link w:val="Zkladntext"/>
    <w:semiHidden/>
    <w:locked/>
    <w:rsid w:val="00F03E3C"/>
    <w:rPr>
      <w:b/>
      <w:bCs/>
      <w:sz w:val="24"/>
    </w:rPr>
  </w:style>
  <w:style w:type="paragraph" w:styleId="Zkladntext">
    <w:name w:val="Body Text"/>
    <w:aliases w:val="Standard paragraph,Body Text1,Char1"/>
    <w:basedOn w:val="Normln"/>
    <w:link w:val="ZkladntextChar"/>
    <w:semiHidden/>
    <w:unhideWhenUsed/>
    <w:rsid w:val="00F03E3C"/>
    <w:pPr>
      <w:jc w:val="both"/>
      <w:textAlignment w:val="auto"/>
    </w:pPr>
    <w:rPr>
      <w:b/>
      <w:bCs/>
      <w:sz w:val="24"/>
    </w:rPr>
  </w:style>
  <w:style w:type="character" w:customStyle="1" w:styleId="ZkladntextChar1">
    <w:name w:val="Základní text Char1"/>
    <w:basedOn w:val="Standardnpsmoodstavce"/>
    <w:uiPriority w:val="99"/>
    <w:semiHidden/>
    <w:rsid w:val="00F03E3C"/>
  </w:style>
  <w:style w:type="paragraph" w:styleId="Obsah1">
    <w:name w:val="toc 1"/>
    <w:basedOn w:val="Normln"/>
    <w:next w:val="Normln"/>
    <w:autoRedefine/>
    <w:uiPriority w:val="39"/>
    <w:unhideWhenUsed/>
    <w:rsid w:val="002E4CA7"/>
    <w:pPr>
      <w:overflowPunct/>
      <w:autoSpaceDE/>
      <w:autoSpaceDN/>
      <w:adjustRightInd/>
      <w:spacing w:before="200" w:after="100" w:line="276" w:lineRule="auto"/>
      <w:jc w:val="both"/>
      <w:textAlignment w:val="auto"/>
    </w:pPr>
    <w:rPr>
      <w:rFonts w:ascii="Calibri" w:hAnsi="Calibri"/>
      <w:b/>
      <w:sz w:val="24"/>
    </w:rPr>
  </w:style>
  <w:style w:type="paragraph" w:styleId="Obsah3">
    <w:name w:val="toc 3"/>
    <w:basedOn w:val="Normln"/>
    <w:next w:val="Normln"/>
    <w:autoRedefine/>
    <w:uiPriority w:val="39"/>
    <w:unhideWhenUsed/>
    <w:rsid w:val="002E4CA7"/>
    <w:pPr>
      <w:overflowPunct/>
      <w:autoSpaceDE/>
      <w:autoSpaceDN/>
      <w:adjustRightInd/>
      <w:spacing w:before="200" w:after="100" w:line="276" w:lineRule="auto"/>
      <w:ind w:left="480"/>
      <w:jc w:val="both"/>
      <w:textAlignment w:val="auto"/>
    </w:pPr>
    <w:rPr>
      <w:rFonts w:ascii="Calibri" w:hAnsi="Calibri"/>
      <w:i/>
      <w:sz w:val="24"/>
    </w:rPr>
  </w:style>
  <w:style w:type="paragraph" w:styleId="Obsah2">
    <w:name w:val="toc 2"/>
    <w:basedOn w:val="Normln"/>
    <w:next w:val="Normln"/>
    <w:autoRedefine/>
    <w:uiPriority w:val="39"/>
    <w:unhideWhenUsed/>
    <w:rsid w:val="00F03E3C"/>
    <w:pPr>
      <w:overflowPunct/>
      <w:autoSpaceDE/>
      <w:autoSpaceDN/>
      <w:adjustRightInd/>
      <w:spacing w:before="200" w:after="100" w:line="276" w:lineRule="auto"/>
      <w:ind w:left="240"/>
      <w:jc w:val="both"/>
      <w:textAlignment w:val="auto"/>
    </w:pPr>
    <w:rPr>
      <w:rFonts w:ascii="Calibri" w:hAnsi="Calibri"/>
      <w:sz w:val="24"/>
    </w:rPr>
  </w:style>
  <w:style w:type="character" w:styleId="Hypertextovodkaz">
    <w:name w:val="Hyperlink"/>
    <w:uiPriority w:val="99"/>
    <w:unhideWhenUsed/>
    <w:rsid w:val="00F03E3C"/>
    <w:rPr>
      <w:color w:val="0000FF"/>
      <w:u w:val="single"/>
    </w:rPr>
  </w:style>
  <w:style w:type="paragraph" w:customStyle="1" w:styleId="Point0number">
    <w:name w:val="Point 0 (number)"/>
    <w:basedOn w:val="Normln"/>
    <w:rsid w:val="00F03E3C"/>
    <w:pPr>
      <w:tabs>
        <w:tab w:val="num" w:pos="850"/>
      </w:tabs>
      <w:overflowPunct/>
      <w:autoSpaceDE/>
      <w:autoSpaceDN/>
      <w:adjustRightInd/>
      <w:spacing w:before="120" w:after="120"/>
      <w:ind w:left="850" w:hanging="850"/>
      <w:jc w:val="both"/>
      <w:textAlignment w:val="auto"/>
    </w:pPr>
    <w:rPr>
      <w:sz w:val="24"/>
      <w:szCs w:val="24"/>
      <w:lang w:val="en-GB" w:eastAsia="en-US"/>
    </w:rPr>
  </w:style>
  <w:style w:type="paragraph" w:customStyle="1" w:styleId="Point1number">
    <w:name w:val="Point 1 (number)"/>
    <w:basedOn w:val="Normln"/>
    <w:rsid w:val="00F03E3C"/>
    <w:pPr>
      <w:tabs>
        <w:tab w:val="num" w:pos="1417"/>
      </w:tabs>
      <w:overflowPunct/>
      <w:autoSpaceDE/>
      <w:autoSpaceDN/>
      <w:adjustRightInd/>
      <w:spacing w:before="120" w:after="120"/>
      <w:ind w:left="1417" w:hanging="567"/>
      <w:jc w:val="both"/>
      <w:textAlignment w:val="auto"/>
    </w:pPr>
    <w:rPr>
      <w:sz w:val="24"/>
      <w:szCs w:val="24"/>
      <w:lang w:val="en-GB" w:eastAsia="en-US"/>
    </w:rPr>
  </w:style>
  <w:style w:type="paragraph" w:customStyle="1" w:styleId="Point2number">
    <w:name w:val="Point 2 (number)"/>
    <w:basedOn w:val="Normln"/>
    <w:rsid w:val="00F03E3C"/>
    <w:pPr>
      <w:tabs>
        <w:tab w:val="num" w:pos="1984"/>
      </w:tabs>
      <w:overflowPunct/>
      <w:autoSpaceDE/>
      <w:autoSpaceDN/>
      <w:adjustRightInd/>
      <w:spacing w:before="120" w:after="120"/>
      <w:ind w:left="1984" w:hanging="567"/>
      <w:jc w:val="both"/>
      <w:textAlignment w:val="auto"/>
    </w:pPr>
    <w:rPr>
      <w:sz w:val="24"/>
      <w:szCs w:val="24"/>
      <w:lang w:val="en-GB" w:eastAsia="en-US"/>
    </w:rPr>
  </w:style>
  <w:style w:type="paragraph" w:customStyle="1" w:styleId="Point3number">
    <w:name w:val="Point 3 (number)"/>
    <w:basedOn w:val="Normln"/>
    <w:rsid w:val="00F03E3C"/>
    <w:pPr>
      <w:tabs>
        <w:tab w:val="num" w:pos="2551"/>
      </w:tabs>
      <w:overflowPunct/>
      <w:autoSpaceDE/>
      <w:autoSpaceDN/>
      <w:adjustRightInd/>
      <w:spacing w:before="120" w:after="120"/>
      <w:ind w:left="2551" w:hanging="567"/>
      <w:jc w:val="both"/>
      <w:textAlignment w:val="auto"/>
    </w:pPr>
    <w:rPr>
      <w:sz w:val="24"/>
      <w:szCs w:val="24"/>
      <w:lang w:val="en-GB" w:eastAsia="en-US"/>
    </w:rPr>
  </w:style>
  <w:style w:type="paragraph" w:customStyle="1" w:styleId="Point0letter">
    <w:name w:val="Point 0 (letter)"/>
    <w:basedOn w:val="Normln"/>
    <w:rsid w:val="00F03E3C"/>
    <w:pPr>
      <w:tabs>
        <w:tab w:val="num" w:pos="850"/>
      </w:tabs>
      <w:overflowPunct/>
      <w:autoSpaceDE/>
      <w:autoSpaceDN/>
      <w:adjustRightInd/>
      <w:spacing w:before="120" w:after="120"/>
      <w:ind w:left="850" w:hanging="850"/>
      <w:jc w:val="both"/>
      <w:textAlignment w:val="auto"/>
    </w:pPr>
    <w:rPr>
      <w:sz w:val="24"/>
      <w:szCs w:val="24"/>
      <w:lang w:val="en-GB" w:eastAsia="en-US"/>
    </w:rPr>
  </w:style>
  <w:style w:type="paragraph" w:customStyle="1" w:styleId="Point1letter">
    <w:name w:val="Point 1 (letter)"/>
    <w:basedOn w:val="Normln"/>
    <w:rsid w:val="00F03E3C"/>
    <w:pPr>
      <w:tabs>
        <w:tab w:val="num" w:pos="1417"/>
      </w:tabs>
      <w:overflowPunct/>
      <w:autoSpaceDE/>
      <w:autoSpaceDN/>
      <w:adjustRightInd/>
      <w:spacing w:before="120" w:after="120"/>
      <w:ind w:left="1417" w:hanging="567"/>
      <w:jc w:val="both"/>
      <w:textAlignment w:val="auto"/>
    </w:pPr>
    <w:rPr>
      <w:sz w:val="24"/>
      <w:szCs w:val="24"/>
      <w:lang w:val="en-GB" w:eastAsia="en-US"/>
    </w:rPr>
  </w:style>
  <w:style w:type="paragraph" w:customStyle="1" w:styleId="Point2letter">
    <w:name w:val="Point 2 (letter)"/>
    <w:basedOn w:val="Normln"/>
    <w:rsid w:val="00F03E3C"/>
    <w:pPr>
      <w:tabs>
        <w:tab w:val="num" w:pos="1984"/>
      </w:tabs>
      <w:overflowPunct/>
      <w:autoSpaceDE/>
      <w:autoSpaceDN/>
      <w:adjustRightInd/>
      <w:spacing w:before="120" w:after="120"/>
      <w:ind w:left="1984" w:hanging="567"/>
      <w:jc w:val="both"/>
      <w:textAlignment w:val="auto"/>
    </w:pPr>
    <w:rPr>
      <w:sz w:val="24"/>
      <w:szCs w:val="24"/>
      <w:lang w:val="en-GB" w:eastAsia="en-US"/>
    </w:rPr>
  </w:style>
  <w:style w:type="paragraph" w:customStyle="1" w:styleId="Point3letter">
    <w:name w:val="Point 3 (letter)"/>
    <w:basedOn w:val="Normln"/>
    <w:rsid w:val="00F03E3C"/>
    <w:pPr>
      <w:tabs>
        <w:tab w:val="num" w:pos="2551"/>
      </w:tabs>
      <w:overflowPunct/>
      <w:autoSpaceDE/>
      <w:autoSpaceDN/>
      <w:adjustRightInd/>
      <w:spacing w:before="120" w:after="120"/>
      <w:ind w:left="2551" w:hanging="567"/>
      <w:jc w:val="both"/>
      <w:textAlignment w:val="auto"/>
    </w:pPr>
    <w:rPr>
      <w:sz w:val="24"/>
      <w:szCs w:val="24"/>
      <w:lang w:val="en-GB" w:eastAsia="en-US"/>
    </w:rPr>
  </w:style>
  <w:style w:type="paragraph" w:customStyle="1" w:styleId="Point4letter">
    <w:name w:val="Point 4 (letter)"/>
    <w:basedOn w:val="Normln"/>
    <w:rsid w:val="00F03E3C"/>
    <w:pPr>
      <w:tabs>
        <w:tab w:val="num" w:pos="3118"/>
      </w:tabs>
      <w:overflowPunct/>
      <w:autoSpaceDE/>
      <w:autoSpaceDN/>
      <w:adjustRightInd/>
      <w:spacing w:before="120" w:after="120"/>
      <w:ind w:left="3118" w:hanging="567"/>
      <w:jc w:val="both"/>
      <w:textAlignment w:val="auto"/>
    </w:pPr>
    <w:rPr>
      <w:sz w:val="24"/>
      <w:szCs w:val="24"/>
      <w:lang w:val="en-GB" w:eastAsia="en-US"/>
    </w:rPr>
  </w:style>
  <w:style w:type="paragraph" w:styleId="Normlnweb">
    <w:name w:val="Normal (Web)"/>
    <w:basedOn w:val="Normln"/>
    <w:uiPriority w:val="99"/>
    <w:unhideWhenUsed/>
    <w:rsid w:val="00F03E3C"/>
    <w:pPr>
      <w:overflowPunct/>
      <w:autoSpaceDE/>
      <w:autoSpaceDN/>
      <w:adjustRightInd/>
      <w:spacing w:before="100" w:beforeAutospacing="1" w:after="100" w:afterAutospacing="1"/>
      <w:textAlignment w:val="auto"/>
    </w:pPr>
    <w:rPr>
      <w:sz w:val="24"/>
      <w:szCs w:val="24"/>
    </w:rPr>
  </w:style>
  <w:style w:type="paragraph" w:customStyle="1" w:styleId="beznytext">
    <w:name w:val="bezny_text"/>
    <w:basedOn w:val="Normln"/>
    <w:rsid w:val="00F03E3C"/>
    <w:pPr>
      <w:overflowPunct/>
      <w:autoSpaceDE/>
      <w:autoSpaceDN/>
      <w:adjustRightInd/>
      <w:spacing w:before="100" w:beforeAutospacing="1" w:after="100" w:afterAutospacing="1"/>
      <w:textAlignment w:val="auto"/>
    </w:pPr>
    <w:rPr>
      <w:sz w:val="24"/>
      <w:szCs w:val="24"/>
    </w:rPr>
  </w:style>
  <w:style w:type="paragraph" w:styleId="Bezmezer">
    <w:name w:val="No Spacing"/>
    <w:link w:val="BezmezerChar"/>
    <w:uiPriority w:val="1"/>
    <w:qFormat/>
    <w:rsid w:val="00F03E3C"/>
    <w:rPr>
      <w:rFonts w:ascii="Calibri" w:hAnsi="Calibri"/>
      <w:sz w:val="22"/>
      <w:szCs w:val="22"/>
    </w:rPr>
  </w:style>
  <w:style w:type="character" w:customStyle="1" w:styleId="BezmezerChar">
    <w:name w:val="Bez mezer Char"/>
    <w:link w:val="Bezmezer"/>
    <w:uiPriority w:val="1"/>
    <w:rsid w:val="00F03E3C"/>
    <w:rPr>
      <w:rFonts w:ascii="Calibri" w:eastAsia="Times New Roman" w:hAnsi="Calibri" w:cs="Times New Roman"/>
      <w:sz w:val="22"/>
      <w:szCs w:val="22"/>
    </w:rPr>
  </w:style>
  <w:style w:type="paragraph" w:styleId="Zhlav">
    <w:name w:val="header"/>
    <w:basedOn w:val="Normln"/>
    <w:link w:val="ZhlavChar"/>
    <w:uiPriority w:val="99"/>
    <w:unhideWhenUsed/>
    <w:rsid w:val="00F03E3C"/>
    <w:pPr>
      <w:tabs>
        <w:tab w:val="center" w:pos="4536"/>
        <w:tab w:val="right" w:pos="9072"/>
      </w:tabs>
      <w:overflowPunct/>
      <w:autoSpaceDE/>
      <w:autoSpaceDN/>
      <w:adjustRightInd/>
      <w:jc w:val="both"/>
      <w:textAlignment w:val="auto"/>
    </w:pPr>
    <w:rPr>
      <w:rFonts w:ascii="Calibri" w:hAnsi="Calibri"/>
      <w:sz w:val="24"/>
    </w:rPr>
  </w:style>
  <w:style w:type="character" w:customStyle="1" w:styleId="ZhlavChar">
    <w:name w:val="Záhlaví Char"/>
    <w:link w:val="Zhlav"/>
    <w:uiPriority w:val="99"/>
    <w:rsid w:val="00F03E3C"/>
    <w:rPr>
      <w:rFonts w:ascii="Calibri" w:hAnsi="Calibri"/>
      <w:sz w:val="24"/>
    </w:rPr>
  </w:style>
  <w:style w:type="paragraph" w:styleId="Zpat">
    <w:name w:val="footer"/>
    <w:basedOn w:val="Normln"/>
    <w:link w:val="ZpatChar"/>
    <w:uiPriority w:val="99"/>
    <w:unhideWhenUsed/>
    <w:rsid w:val="00F03E3C"/>
    <w:pPr>
      <w:tabs>
        <w:tab w:val="center" w:pos="4536"/>
        <w:tab w:val="right" w:pos="9072"/>
      </w:tabs>
      <w:overflowPunct/>
      <w:autoSpaceDE/>
      <w:autoSpaceDN/>
      <w:adjustRightInd/>
      <w:jc w:val="both"/>
      <w:textAlignment w:val="auto"/>
    </w:pPr>
    <w:rPr>
      <w:rFonts w:ascii="Calibri" w:hAnsi="Calibri"/>
      <w:sz w:val="24"/>
    </w:rPr>
  </w:style>
  <w:style w:type="character" w:customStyle="1" w:styleId="ZpatChar">
    <w:name w:val="Zápatí Char"/>
    <w:link w:val="Zpat"/>
    <w:uiPriority w:val="99"/>
    <w:rsid w:val="00F03E3C"/>
    <w:rPr>
      <w:rFonts w:ascii="Calibri" w:hAnsi="Calibri"/>
      <w:sz w:val="24"/>
    </w:rPr>
  </w:style>
  <w:style w:type="character" w:customStyle="1" w:styleId="TextbublinyChar">
    <w:name w:val="Text bubliny Char"/>
    <w:link w:val="Textbubliny"/>
    <w:uiPriority w:val="99"/>
    <w:semiHidden/>
    <w:rsid w:val="00F03E3C"/>
    <w:rPr>
      <w:rFonts w:ascii="Tahoma" w:hAnsi="Tahoma" w:cs="Tahoma"/>
      <w:sz w:val="16"/>
      <w:szCs w:val="16"/>
    </w:rPr>
  </w:style>
  <w:style w:type="paragraph" w:styleId="Textbubliny">
    <w:name w:val="Balloon Text"/>
    <w:basedOn w:val="Normln"/>
    <w:link w:val="TextbublinyChar"/>
    <w:uiPriority w:val="99"/>
    <w:semiHidden/>
    <w:unhideWhenUsed/>
    <w:rsid w:val="00F03E3C"/>
    <w:pPr>
      <w:overflowPunct/>
      <w:autoSpaceDE/>
      <w:autoSpaceDN/>
      <w:adjustRightInd/>
      <w:jc w:val="both"/>
      <w:textAlignment w:val="auto"/>
    </w:pPr>
    <w:rPr>
      <w:rFonts w:ascii="Tahoma" w:hAnsi="Tahoma" w:cs="Tahoma"/>
      <w:sz w:val="16"/>
      <w:szCs w:val="16"/>
    </w:rPr>
  </w:style>
  <w:style w:type="character" w:customStyle="1" w:styleId="TextkomenteChar">
    <w:name w:val="Text komentáře Char"/>
    <w:link w:val="Textkomente"/>
    <w:uiPriority w:val="99"/>
    <w:semiHidden/>
    <w:rsid w:val="00F03E3C"/>
    <w:rPr>
      <w:rFonts w:ascii="Calibri" w:hAnsi="Calibri"/>
    </w:rPr>
  </w:style>
  <w:style w:type="paragraph" w:styleId="Textkomente">
    <w:name w:val="annotation text"/>
    <w:basedOn w:val="Normln"/>
    <w:link w:val="TextkomenteChar"/>
    <w:uiPriority w:val="99"/>
    <w:semiHidden/>
    <w:unhideWhenUsed/>
    <w:rsid w:val="00F03E3C"/>
    <w:pPr>
      <w:overflowPunct/>
      <w:autoSpaceDE/>
      <w:autoSpaceDN/>
      <w:adjustRightInd/>
      <w:spacing w:before="200" w:after="200"/>
      <w:jc w:val="both"/>
      <w:textAlignment w:val="auto"/>
    </w:pPr>
    <w:rPr>
      <w:rFonts w:ascii="Calibri" w:hAnsi="Calibri"/>
    </w:rPr>
  </w:style>
  <w:style w:type="character" w:customStyle="1" w:styleId="PedmtkomenteChar">
    <w:name w:val="Předmět komentáře Char"/>
    <w:link w:val="Pedmtkomente"/>
    <w:uiPriority w:val="99"/>
    <w:semiHidden/>
    <w:rsid w:val="00F03E3C"/>
    <w:rPr>
      <w:rFonts w:ascii="Calibri" w:hAnsi="Calibri"/>
      <w:b/>
      <w:bCs/>
    </w:rPr>
  </w:style>
  <w:style w:type="paragraph" w:styleId="Pedmtkomente">
    <w:name w:val="annotation subject"/>
    <w:basedOn w:val="Textkomente"/>
    <w:next w:val="Textkomente"/>
    <w:link w:val="PedmtkomenteChar"/>
    <w:uiPriority w:val="99"/>
    <w:semiHidden/>
    <w:unhideWhenUsed/>
    <w:rsid w:val="00F03E3C"/>
    <w:rPr>
      <w:b/>
      <w:bCs/>
    </w:rPr>
  </w:style>
  <w:style w:type="paragraph" w:customStyle="1" w:styleId="Zdroj">
    <w:name w:val="Zdroj"/>
    <w:basedOn w:val="Normln"/>
    <w:next w:val="Normln"/>
    <w:link w:val="ZdrojChar"/>
    <w:rsid w:val="00F03E3C"/>
    <w:pPr>
      <w:overflowPunct/>
      <w:autoSpaceDE/>
      <w:autoSpaceDN/>
      <w:adjustRightInd/>
      <w:spacing w:after="120" w:line="288" w:lineRule="auto"/>
      <w:jc w:val="both"/>
      <w:textAlignment w:val="auto"/>
    </w:pPr>
    <w:rPr>
      <w:rFonts w:ascii="Arial" w:hAnsi="Arial"/>
      <w:sz w:val="18"/>
      <w:szCs w:val="24"/>
    </w:rPr>
  </w:style>
  <w:style w:type="character" w:customStyle="1" w:styleId="ZdrojChar">
    <w:name w:val="Zdroj Char"/>
    <w:link w:val="Zdroj"/>
    <w:rsid w:val="00F03E3C"/>
    <w:rPr>
      <w:rFonts w:ascii="Arial" w:hAnsi="Arial"/>
      <w:sz w:val="18"/>
      <w:szCs w:val="24"/>
    </w:rPr>
  </w:style>
  <w:style w:type="paragraph" w:styleId="Nzev">
    <w:name w:val="Title"/>
    <w:basedOn w:val="Normln"/>
    <w:link w:val="NzevChar"/>
    <w:qFormat/>
    <w:rsid w:val="00F03E3C"/>
    <w:pPr>
      <w:jc w:val="center"/>
    </w:pPr>
    <w:rPr>
      <w:b/>
      <w:bCs/>
      <w:sz w:val="24"/>
    </w:rPr>
  </w:style>
  <w:style w:type="character" w:customStyle="1" w:styleId="NzevChar">
    <w:name w:val="Název Char"/>
    <w:link w:val="Nzev"/>
    <w:rsid w:val="00F03E3C"/>
    <w:rPr>
      <w:b/>
      <w:bCs/>
      <w:sz w:val="24"/>
    </w:rPr>
  </w:style>
  <w:style w:type="paragraph" w:customStyle="1" w:styleId="OdrazkaIsouhlas">
    <w:name w:val="Odrazka_I_souhlas"/>
    <w:basedOn w:val="Normln"/>
    <w:rsid w:val="00F03E3C"/>
    <w:pPr>
      <w:tabs>
        <w:tab w:val="left" w:pos="284"/>
      </w:tabs>
      <w:overflowPunct/>
      <w:autoSpaceDE/>
      <w:autoSpaceDN/>
      <w:adjustRightInd/>
      <w:spacing w:before="40" w:after="40"/>
      <w:ind w:left="1069" w:hanging="360"/>
      <w:textAlignment w:val="auto"/>
    </w:pPr>
    <w:rPr>
      <w:rFonts w:ascii="Arial" w:hAnsi="Arial" w:cs="Arial"/>
    </w:rPr>
  </w:style>
  <w:style w:type="paragraph" w:customStyle="1" w:styleId="Default">
    <w:name w:val="Default"/>
    <w:rsid w:val="00F03E3C"/>
    <w:pPr>
      <w:tabs>
        <w:tab w:val="left" w:pos="708"/>
      </w:tabs>
      <w:suppressAutoHyphens/>
      <w:overflowPunct w:val="0"/>
      <w:autoSpaceDE w:val="0"/>
      <w:spacing w:line="200" w:lineRule="atLeast"/>
      <w:textAlignment w:val="baseline"/>
    </w:pPr>
    <w:rPr>
      <w:rFonts w:ascii="Calibri" w:eastAsia="MS Mincho" w:hAnsi="Calibri" w:cs="Calibri"/>
      <w:lang w:eastAsia="en-US"/>
    </w:rPr>
  </w:style>
  <w:style w:type="paragraph" w:customStyle="1" w:styleId="bezmezer1">
    <w:name w:val="bezmezer1"/>
    <w:basedOn w:val="Bezmezer"/>
    <w:qFormat/>
    <w:rsid w:val="00F03E3C"/>
    <w:rPr>
      <w:rFonts w:ascii="Times New Roman" w:eastAsia="Calibri" w:hAnsi="Times New Roman"/>
      <w:sz w:val="24"/>
      <w:szCs w:val="24"/>
      <w:lang w:eastAsia="en-US"/>
    </w:rPr>
  </w:style>
  <w:style w:type="paragraph" w:styleId="Zkladntext3">
    <w:name w:val="Body Text 3"/>
    <w:basedOn w:val="Normln"/>
    <w:link w:val="Zkladntext3Char"/>
    <w:uiPriority w:val="99"/>
    <w:semiHidden/>
    <w:unhideWhenUsed/>
    <w:rsid w:val="00F03E3C"/>
    <w:pPr>
      <w:overflowPunct/>
      <w:autoSpaceDE/>
      <w:autoSpaceDN/>
      <w:adjustRightInd/>
      <w:spacing w:before="200" w:after="120" w:line="276" w:lineRule="auto"/>
      <w:jc w:val="both"/>
      <w:textAlignment w:val="auto"/>
    </w:pPr>
    <w:rPr>
      <w:rFonts w:ascii="Calibri" w:hAnsi="Calibri"/>
      <w:sz w:val="16"/>
      <w:szCs w:val="16"/>
    </w:rPr>
  </w:style>
  <w:style w:type="character" w:customStyle="1" w:styleId="Zkladntext3Char">
    <w:name w:val="Základní text 3 Char"/>
    <w:link w:val="Zkladntext3"/>
    <w:uiPriority w:val="99"/>
    <w:semiHidden/>
    <w:rsid w:val="00F03E3C"/>
    <w:rPr>
      <w:rFonts w:ascii="Calibri" w:hAnsi="Calibri"/>
      <w:sz w:val="16"/>
      <w:szCs w:val="16"/>
    </w:rPr>
  </w:style>
  <w:style w:type="paragraph" w:customStyle="1" w:styleId="normln0">
    <w:name w:val="normální"/>
    <w:basedOn w:val="Normln"/>
    <w:qFormat/>
    <w:rsid w:val="00F03E3C"/>
    <w:pPr>
      <w:overflowPunct/>
      <w:autoSpaceDE/>
      <w:autoSpaceDN/>
      <w:adjustRightInd/>
      <w:spacing w:after="200" w:line="276" w:lineRule="auto"/>
      <w:jc w:val="both"/>
      <w:textAlignment w:val="auto"/>
    </w:pPr>
    <w:rPr>
      <w:rFonts w:eastAsia="Calibri"/>
      <w:sz w:val="24"/>
      <w:szCs w:val="24"/>
      <w:lang w:eastAsia="en-US"/>
    </w:rPr>
  </w:style>
  <w:style w:type="paragraph" w:customStyle="1" w:styleId="Odstavecodsazen">
    <w:name w:val="Odstavec odsazený"/>
    <w:basedOn w:val="Normln"/>
    <w:rsid w:val="00F03E3C"/>
    <w:pPr>
      <w:tabs>
        <w:tab w:val="left" w:pos="709"/>
      </w:tabs>
      <w:overflowPunct/>
      <w:autoSpaceDE/>
      <w:autoSpaceDN/>
      <w:adjustRightInd/>
      <w:spacing w:after="120" w:line="360" w:lineRule="auto"/>
      <w:ind w:left="357" w:firstLine="352"/>
      <w:jc w:val="both"/>
      <w:textAlignment w:val="auto"/>
    </w:pPr>
    <w:rPr>
      <w:sz w:val="24"/>
    </w:rPr>
  </w:style>
  <w:style w:type="paragraph" w:styleId="Podpise-mailu">
    <w:name w:val="E-mail Signature"/>
    <w:basedOn w:val="Normln"/>
    <w:link w:val="Podpise-mailuChar"/>
    <w:rsid w:val="00F03E3C"/>
    <w:pPr>
      <w:tabs>
        <w:tab w:val="num" w:pos="720"/>
      </w:tabs>
      <w:overflowPunct/>
      <w:autoSpaceDE/>
      <w:autoSpaceDN/>
      <w:adjustRightInd/>
      <w:spacing w:before="40" w:after="120" w:line="288" w:lineRule="auto"/>
      <w:jc w:val="both"/>
      <w:textAlignment w:val="auto"/>
    </w:pPr>
    <w:rPr>
      <w:rFonts w:ascii="Arial" w:hAnsi="Arial"/>
      <w:szCs w:val="24"/>
    </w:rPr>
  </w:style>
  <w:style w:type="character" w:customStyle="1" w:styleId="Podpise-mailuChar">
    <w:name w:val="Podpis e-mailu Char"/>
    <w:link w:val="Podpise-mailu"/>
    <w:rsid w:val="00F03E3C"/>
    <w:rPr>
      <w:rFonts w:ascii="Arial" w:hAnsi="Arial"/>
      <w:szCs w:val="24"/>
    </w:rPr>
  </w:style>
  <w:style w:type="paragraph" w:styleId="Nadpisobsahu">
    <w:name w:val="TOC Heading"/>
    <w:basedOn w:val="Nadpis1"/>
    <w:next w:val="Normln"/>
    <w:uiPriority w:val="39"/>
    <w:qFormat/>
    <w:rsid w:val="005566D0"/>
    <w:pPr>
      <w:keepLines/>
      <w:pageBreakBefore w:val="0"/>
      <w:numPr>
        <w:numId w:val="0"/>
      </w:numPr>
      <w:spacing w:before="480" w:after="0"/>
      <w:jc w:val="left"/>
      <w:outlineLvl w:val="9"/>
    </w:pPr>
    <w:rPr>
      <w:color w:val="365F91"/>
      <w:kern w:val="0"/>
      <w:szCs w:val="28"/>
    </w:rPr>
  </w:style>
  <w:style w:type="paragraph" w:styleId="Obsah4">
    <w:name w:val="toc 4"/>
    <w:basedOn w:val="Normln"/>
    <w:next w:val="Normln"/>
    <w:autoRedefine/>
    <w:uiPriority w:val="39"/>
    <w:unhideWhenUsed/>
    <w:rsid w:val="005566D0"/>
    <w:pPr>
      <w:spacing w:after="100"/>
      <w:ind w:left="600"/>
    </w:pPr>
  </w:style>
  <w:style w:type="table" w:styleId="Mkatabulky">
    <w:name w:val="Table Grid"/>
    <w:basedOn w:val="Normlntabulka"/>
    <w:rsid w:val="009072F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semiHidden/>
    <w:rsid w:val="00604263"/>
    <w:rPr>
      <w:sz w:val="16"/>
      <w:szCs w:val="16"/>
    </w:rPr>
  </w:style>
  <w:style w:type="character" w:customStyle="1" w:styleId="CharChar5">
    <w:name w:val="Char Char5"/>
    <w:semiHidden/>
    <w:locked/>
    <w:rsid w:val="006D08D8"/>
    <w:rPr>
      <w:rFonts w:ascii="Calibri" w:hAnsi="Calibri"/>
      <w:lang w:bidi="ar-SA"/>
    </w:rPr>
  </w:style>
  <w:style w:type="paragraph" w:customStyle="1" w:styleId="TextNOK">
    <w:name w:val="Text NOK"/>
    <w:basedOn w:val="Normln"/>
    <w:link w:val="TextNOKChar"/>
    <w:qFormat/>
    <w:rsid w:val="004C042F"/>
    <w:pPr>
      <w:overflowPunct/>
      <w:autoSpaceDE/>
      <w:autoSpaceDN/>
      <w:adjustRightInd/>
      <w:spacing w:after="120" w:line="288" w:lineRule="auto"/>
      <w:jc w:val="both"/>
      <w:textAlignment w:val="auto"/>
    </w:pPr>
    <w:rPr>
      <w:rFonts w:ascii="Arial" w:hAnsi="Arial"/>
      <w:szCs w:val="22"/>
    </w:rPr>
  </w:style>
  <w:style w:type="character" w:customStyle="1" w:styleId="TextNOKChar">
    <w:name w:val="Text NOK Char"/>
    <w:link w:val="TextNOK"/>
    <w:rsid w:val="004C042F"/>
    <w:rPr>
      <w:rFonts w:ascii="Arial" w:hAnsi="Arial"/>
      <w:szCs w:val="22"/>
      <w:lang w:val="cs-CZ" w:eastAsia="cs-CZ" w:bidi="ar-SA"/>
    </w:rPr>
  </w:style>
  <w:style w:type="character" w:customStyle="1" w:styleId="TextMetodikaChar">
    <w:name w:val="Text Metodika Char"/>
    <w:link w:val="TextMetodika"/>
    <w:locked/>
    <w:rsid w:val="004C042F"/>
    <w:rPr>
      <w:rFonts w:ascii="Arial" w:hAnsi="Arial"/>
      <w:lang w:bidi="ar-SA"/>
    </w:rPr>
  </w:style>
  <w:style w:type="paragraph" w:customStyle="1" w:styleId="TextMetodika">
    <w:name w:val="Text Metodika"/>
    <w:basedOn w:val="Normln"/>
    <w:link w:val="TextMetodikaChar"/>
    <w:qFormat/>
    <w:rsid w:val="004C042F"/>
    <w:pPr>
      <w:overflowPunct/>
      <w:autoSpaceDE/>
      <w:autoSpaceDN/>
      <w:adjustRightInd/>
      <w:spacing w:before="120" w:after="120" w:line="312" w:lineRule="auto"/>
      <w:jc w:val="both"/>
      <w:textAlignment w:val="auto"/>
    </w:pPr>
    <w:rPr>
      <w:rFonts w:ascii="Arial" w:hAnsi="Arial"/>
    </w:rPr>
  </w:style>
  <w:style w:type="paragraph" w:styleId="Seznamsodrkami">
    <w:name w:val="List Bullet"/>
    <w:basedOn w:val="Normln"/>
    <w:autoRedefine/>
    <w:rsid w:val="00E40039"/>
    <w:pPr>
      <w:overflowPunct/>
      <w:autoSpaceDE/>
      <w:autoSpaceDN/>
      <w:adjustRightInd/>
      <w:jc w:val="both"/>
      <w:textAlignment w:val="auto"/>
    </w:pPr>
    <w:rPr>
      <w:rFonts w:asciiTheme="minorHAnsi" w:hAnsiTheme="minorHAnsi" w:cstheme="minorHAnsi"/>
      <w:sz w:val="24"/>
      <w:szCs w:val="24"/>
      <w:lang w:eastAsia="en-US"/>
    </w:rPr>
  </w:style>
  <w:style w:type="character" w:customStyle="1" w:styleId="OdstavecseseznamemChar">
    <w:name w:val="Odstavec se seznamem Char"/>
    <w:link w:val="Odstavecseseznamem"/>
    <w:uiPriority w:val="34"/>
    <w:rsid w:val="004B5A6C"/>
    <w:rPr>
      <w:lang w:val="cs-CZ" w:eastAsia="cs-CZ" w:bidi="ar-SA"/>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pozn. pod čarou Char3,Char Char3"/>
    <w:uiPriority w:val="99"/>
    <w:rsid w:val="00E45000"/>
    <w:rPr>
      <w:lang w:val="cs-CZ" w:eastAsia="cs-CZ"/>
    </w:rPr>
  </w:style>
  <w:style w:type="paragraph" w:customStyle="1" w:styleId="NadpisNOK2">
    <w:name w:val="Nadpis NOK 2"/>
    <w:basedOn w:val="Nadpis2"/>
    <w:qFormat/>
    <w:rsid w:val="00AA5B29"/>
    <w:pPr>
      <w:numPr>
        <w:numId w:val="13"/>
      </w:numPr>
      <w:spacing w:after="240" w:line="240" w:lineRule="auto"/>
    </w:pPr>
    <w:rPr>
      <w:rFonts w:ascii="Arial Narrow" w:hAnsi="Arial Narrow" w:cs="Arial Narrow"/>
      <w:iCs w:val="0"/>
      <w:caps w:val="0"/>
      <w:color w:val="003366"/>
      <w:sz w:val="40"/>
      <w:szCs w:val="40"/>
    </w:rPr>
  </w:style>
  <w:style w:type="paragraph" w:customStyle="1" w:styleId="CM4">
    <w:name w:val="CM4"/>
    <w:basedOn w:val="Default"/>
    <w:next w:val="Default"/>
    <w:rsid w:val="00E10173"/>
    <w:pPr>
      <w:tabs>
        <w:tab w:val="clear" w:pos="708"/>
      </w:tabs>
      <w:suppressAutoHyphens w:val="0"/>
      <w:overflowPunct/>
      <w:autoSpaceDN w:val="0"/>
      <w:adjustRightInd w:val="0"/>
      <w:spacing w:line="240" w:lineRule="auto"/>
      <w:textAlignment w:val="auto"/>
    </w:pPr>
    <w:rPr>
      <w:rFonts w:ascii="EUAlbertina" w:eastAsia="Calibri" w:hAnsi="EUAlbertina" w:cs="Times New Roman"/>
      <w:sz w:val="24"/>
      <w:szCs w:val="24"/>
    </w:rPr>
  </w:style>
  <w:style w:type="paragraph" w:customStyle="1" w:styleId="TabNad">
    <w:name w:val="TabNad"/>
    <w:basedOn w:val="Normln"/>
    <w:uiPriority w:val="99"/>
    <w:rsid w:val="00415837"/>
    <w:pPr>
      <w:numPr>
        <w:numId w:val="14"/>
      </w:numPr>
      <w:tabs>
        <w:tab w:val="clear" w:pos="360"/>
      </w:tabs>
      <w:overflowPunct/>
      <w:autoSpaceDE/>
      <w:autoSpaceDN/>
      <w:adjustRightInd/>
      <w:ind w:left="907" w:hanging="907"/>
      <w:textAlignment w:val="auto"/>
    </w:pPr>
    <w:rPr>
      <w:b/>
      <w:bCs/>
      <w:sz w:val="22"/>
      <w:szCs w:val="22"/>
    </w:rPr>
  </w:style>
  <w:style w:type="paragraph" w:styleId="Revize">
    <w:name w:val="Revision"/>
    <w:hidden/>
    <w:uiPriority w:val="99"/>
    <w:semiHidden/>
    <w:rsid w:val="00977285"/>
  </w:style>
  <w:style w:type="character" w:styleId="Siln">
    <w:name w:val="Strong"/>
    <w:basedOn w:val="Standardnpsmoodstavce"/>
    <w:qFormat/>
    <w:rsid w:val="007F61BF"/>
    <w:rPr>
      <w:b/>
      <w:bCs/>
      <w:color w:val="58585A"/>
    </w:rPr>
  </w:style>
  <w:style w:type="paragraph" w:styleId="Obsah5">
    <w:name w:val="toc 5"/>
    <w:basedOn w:val="Normln"/>
    <w:next w:val="Normln"/>
    <w:autoRedefine/>
    <w:uiPriority w:val="39"/>
    <w:unhideWhenUsed/>
    <w:rsid w:val="00150B70"/>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50B70"/>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50B70"/>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50B70"/>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50B70"/>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paragraph" w:styleId="Textvysvtlivek">
    <w:name w:val="endnote text"/>
    <w:basedOn w:val="Normln"/>
    <w:link w:val="TextvysvtlivekChar"/>
    <w:rsid w:val="00A72DFD"/>
  </w:style>
  <w:style w:type="character" w:customStyle="1" w:styleId="TextvysvtlivekChar">
    <w:name w:val="Text vysvětlivek Char"/>
    <w:basedOn w:val="Standardnpsmoodstavce"/>
    <w:link w:val="Textvysvtlivek"/>
    <w:rsid w:val="00A72DFD"/>
  </w:style>
  <w:style w:type="character" w:styleId="Odkaznavysvtlivky">
    <w:name w:val="endnote reference"/>
    <w:basedOn w:val="Standardnpsmoodstavce"/>
    <w:rsid w:val="00A72DFD"/>
    <w:rPr>
      <w:vertAlign w:val="superscript"/>
    </w:rPr>
  </w:style>
  <w:style w:type="character" w:customStyle="1" w:styleId="st1">
    <w:name w:val="st1"/>
    <w:basedOn w:val="Standardnpsmoodstavce"/>
    <w:rsid w:val="00527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42083D"/>
    <w:pPr>
      <w:overflowPunct w:val="0"/>
      <w:autoSpaceDE w:val="0"/>
      <w:autoSpaceDN w:val="0"/>
      <w:adjustRightInd w:val="0"/>
      <w:textAlignment w:val="baseline"/>
    </w:pPr>
  </w:style>
  <w:style w:type="paragraph" w:styleId="Nadpis1">
    <w:name w:val="heading 1"/>
    <w:basedOn w:val="Normln"/>
    <w:next w:val="Normln"/>
    <w:link w:val="Nadpis1Char"/>
    <w:qFormat/>
    <w:rsid w:val="00150B70"/>
    <w:pPr>
      <w:keepNext/>
      <w:pageBreakBefore/>
      <w:numPr>
        <w:numId w:val="1"/>
      </w:numPr>
      <w:overflowPunct/>
      <w:autoSpaceDE/>
      <w:autoSpaceDN/>
      <w:adjustRightInd/>
      <w:spacing w:before="120" w:after="60" w:line="276" w:lineRule="auto"/>
      <w:ind w:left="431" w:hanging="431"/>
      <w:jc w:val="both"/>
      <w:textAlignment w:val="auto"/>
      <w:outlineLvl w:val="0"/>
    </w:pPr>
    <w:rPr>
      <w:rFonts w:asciiTheme="minorHAnsi" w:hAnsiTheme="minorHAnsi"/>
      <w:b/>
      <w:bCs/>
      <w:caps/>
      <w:kern w:val="32"/>
      <w:sz w:val="28"/>
      <w:szCs w:val="32"/>
    </w:rPr>
  </w:style>
  <w:style w:type="paragraph" w:styleId="Nadpis2">
    <w:name w:val="heading 2"/>
    <w:basedOn w:val="Normln"/>
    <w:next w:val="Normln"/>
    <w:link w:val="Nadpis2Char"/>
    <w:qFormat/>
    <w:rsid w:val="00150B70"/>
    <w:pPr>
      <w:keepNext/>
      <w:numPr>
        <w:ilvl w:val="1"/>
        <w:numId w:val="1"/>
      </w:numPr>
      <w:overflowPunct/>
      <w:autoSpaceDE/>
      <w:autoSpaceDN/>
      <w:adjustRightInd/>
      <w:spacing w:before="240" w:after="120" w:line="276" w:lineRule="auto"/>
      <w:ind w:left="578" w:hanging="578"/>
      <w:jc w:val="both"/>
      <w:textAlignment w:val="auto"/>
      <w:outlineLvl w:val="1"/>
    </w:pPr>
    <w:rPr>
      <w:rFonts w:ascii="Calibri" w:hAnsi="Calibri"/>
      <w:b/>
      <w:bCs/>
      <w:iCs/>
      <w:caps/>
      <w:sz w:val="26"/>
      <w:szCs w:val="28"/>
    </w:rPr>
  </w:style>
  <w:style w:type="paragraph" w:styleId="Nadpis3">
    <w:name w:val="heading 3"/>
    <w:basedOn w:val="Normln"/>
    <w:next w:val="Normln"/>
    <w:link w:val="Nadpis3Char"/>
    <w:qFormat/>
    <w:rsid w:val="00987B30"/>
    <w:pPr>
      <w:keepNext/>
      <w:keepLines/>
      <w:numPr>
        <w:ilvl w:val="2"/>
        <w:numId w:val="1"/>
      </w:numPr>
      <w:overflowPunct/>
      <w:autoSpaceDE/>
      <w:autoSpaceDN/>
      <w:adjustRightInd/>
      <w:spacing w:before="240" w:after="120" w:line="276" w:lineRule="auto"/>
      <w:jc w:val="both"/>
      <w:textAlignment w:val="auto"/>
      <w:outlineLvl w:val="2"/>
    </w:pPr>
    <w:rPr>
      <w:rFonts w:asciiTheme="minorHAnsi" w:hAnsiTheme="minorHAnsi"/>
      <w:b/>
      <w:bCs/>
      <w:sz w:val="24"/>
    </w:rPr>
  </w:style>
  <w:style w:type="paragraph" w:styleId="Nadpis4">
    <w:name w:val="heading 4"/>
    <w:basedOn w:val="Normln"/>
    <w:next w:val="Normln"/>
    <w:link w:val="Nadpis4Char"/>
    <w:qFormat/>
    <w:rsid w:val="00047389"/>
    <w:pPr>
      <w:keepNext/>
      <w:keepLines/>
      <w:numPr>
        <w:ilvl w:val="3"/>
        <w:numId w:val="1"/>
      </w:numPr>
      <w:overflowPunct/>
      <w:autoSpaceDE/>
      <w:autoSpaceDN/>
      <w:adjustRightInd/>
      <w:spacing w:before="200" w:after="120" w:line="276" w:lineRule="auto"/>
      <w:ind w:left="862" w:hanging="862"/>
      <w:jc w:val="both"/>
      <w:textAlignment w:val="auto"/>
      <w:outlineLvl w:val="3"/>
    </w:pPr>
    <w:rPr>
      <w:rFonts w:asciiTheme="minorHAnsi" w:hAnsiTheme="minorHAnsi"/>
      <w:b/>
      <w:bCs/>
      <w:i/>
      <w:iCs/>
      <w:sz w:val="24"/>
    </w:rPr>
  </w:style>
  <w:style w:type="paragraph" w:styleId="Nadpis5">
    <w:name w:val="heading 5"/>
    <w:basedOn w:val="Normln"/>
    <w:next w:val="Normln"/>
    <w:link w:val="Nadpis5Char"/>
    <w:qFormat/>
    <w:rsid w:val="00B15ECB"/>
    <w:pPr>
      <w:keepNext/>
      <w:keepLines/>
      <w:numPr>
        <w:ilvl w:val="4"/>
        <w:numId w:val="1"/>
      </w:numPr>
      <w:overflowPunct/>
      <w:autoSpaceDE/>
      <w:autoSpaceDN/>
      <w:adjustRightInd/>
      <w:spacing w:before="200" w:after="120" w:line="276" w:lineRule="auto"/>
      <w:jc w:val="both"/>
      <w:textAlignment w:val="auto"/>
      <w:outlineLvl w:val="4"/>
    </w:pPr>
    <w:rPr>
      <w:rFonts w:asciiTheme="minorHAnsi" w:hAnsiTheme="minorHAnsi"/>
      <w:i/>
      <w:sz w:val="24"/>
    </w:rPr>
  </w:style>
  <w:style w:type="paragraph" w:styleId="Nadpis6">
    <w:name w:val="heading 6"/>
    <w:basedOn w:val="Normln"/>
    <w:next w:val="Normln"/>
    <w:link w:val="Nadpis6Char"/>
    <w:qFormat/>
    <w:rsid w:val="00F03E3C"/>
    <w:pPr>
      <w:keepNext/>
      <w:keepLines/>
      <w:numPr>
        <w:ilvl w:val="5"/>
        <w:numId w:val="1"/>
      </w:numPr>
      <w:overflowPunct/>
      <w:autoSpaceDE/>
      <w:autoSpaceDN/>
      <w:adjustRightInd/>
      <w:spacing w:before="200" w:line="276" w:lineRule="auto"/>
      <w:jc w:val="both"/>
      <w:textAlignment w:val="auto"/>
      <w:outlineLvl w:val="5"/>
    </w:pPr>
    <w:rPr>
      <w:rFonts w:ascii="Cambria" w:hAnsi="Cambria"/>
      <w:i/>
      <w:iCs/>
      <w:color w:val="243F60"/>
      <w:sz w:val="24"/>
    </w:rPr>
  </w:style>
  <w:style w:type="paragraph" w:styleId="Nadpis7">
    <w:name w:val="heading 7"/>
    <w:basedOn w:val="Normln"/>
    <w:next w:val="Normln"/>
    <w:link w:val="Nadpis7Char"/>
    <w:qFormat/>
    <w:rsid w:val="00F03E3C"/>
    <w:pPr>
      <w:keepNext/>
      <w:keepLines/>
      <w:numPr>
        <w:ilvl w:val="6"/>
        <w:numId w:val="1"/>
      </w:numPr>
      <w:overflowPunct/>
      <w:autoSpaceDE/>
      <w:autoSpaceDN/>
      <w:adjustRightInd/>
      <w:spacing w:before="200" w:line="276" w:lineRule="auto"/>
      <w:jc w:val="both"/>
      <w:textAlignment w:val="auto"/>
      <w:outlineLvl w:val="6"/>
    </w:pPr>
    <w:rPr>
      <w:rFonts w:ascii="Cambria" w:hAnsi="Cambria"/>
      <w:i/>
      <w:iCs/>
      <w:color w:val="404040"/>
      <w:sz w:val="24"/>
    </w:rPr>
  </w:style>
  <w:style w:type="paragraph" w:styleId="Nadpis8">
    <w:name w:val="heading 8"/>
    <w:basedOn w:val="Normln"/>
    <w:next w:val="Normln"/>
    <w:link w:val="Nadpis8Char"/>
    <w:qFormat/>
    <w:rsid w:val="00F03E3C"/>
    <w:pPr>
      <w:keepNext/>
      <w:keepLines/>
      <w:numPr>
        <w:ilvl w:val="7"/>
        <w:numId w:val="1"/>
      </w:numPr>
      <w:overflowPunct/>
      <w:autoSpaceDE/>
      <w:autoSpaceDN/>
      <w:adjustRightInd/>
      <w:spacing w:before="200" w:line="276" w:lineRule="auto"/>
      <w:jc w:val="both"/>
      <w:textAlignment w:val="auto"/>
      <w:outlineLvl w:val="7"/>
    </w:pPr>
    <w:rPr>
      <w:rFonts w:ascii="Cambria" w:hAnsi="Cambria"/>
      <w:color w:val="404040"/>
    </w:rPr>
  </w:style>
  <w:style w:type="paragraph" w:styleId="Nadpis9">
    <w:name w:val="heading 9"/>
    <w:basedOn w:val="Normln"/>
    <w:next w:val="Normln"/>
    <w:link w:val="Nadpis9Char"/>
    <w:qFormat/>
    <w:rsid w:val="00F03E3C"/>
    <w:pPr>
      <w:keepNext/>
      <w:keepLines/>
      <w:numPr>
        <w:ilvl w:val="8"/>
        <w:numId w:val="1"/>
      </w:numPr>
      <w:overflowPunct/>
      <w:autoSpaceDE/>
      <w:autoSpaceDN/>
      <w:adjustRightInd/>
      <w:spacing w:before="200" w:line="276" w:lineRule="auto"/>
      <w:jc w:val="both"/>
      <w:textAlignment w:val="auto"/>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50B70"/>
    <w:rPr>
      <w:rFonts w:asciiTheme="minorHAnsi" w:hAnsiTheme="minorHAnsi"/>
      <w:b/>
      <w:bCs/>
      <w:caps/>
      <w:kern w:val="32"/>
      <w:sz w:val="28"/>
      <w:szCs w:val="32"/>
    </w:rPr>
  </w:style>
  <w:style w:type="character" w:customStyle="1" w:styleId="Nadpis2Char">
    <w:name w:val="Nadpis 2 Char"/>
    <w:link w:val="Nadpis2"/>
    <w:rsid w:val="00150B70"/>
    <w:rPr>
      <w:rFonts w:ascii="Calibri" w:hAnsi="Calibri"/>
      <w:b/>
      <w:bCs/>
      <w:iCs/>
      <w:caps/>
      <w:sz w:val="26"/>
      <w:szCs w:val="28"/>
    </w:rPr>
  </w:style>
  <w:style w:type="character" w:customStyle="1" w:styleId="Nadpis3Char">
    <w:name w:val="Nadpis 3 Char"/>
    <w:link w:val="Nadpis3"/>
    <w:rsid w:val="00987B30"/>
    <w:rPr>
      <w:rFonts w:asciiTheme="minorHAnsi" w:hAnsiTheme="minorHAnsi"/>
      <w:b/>
      <w:bCs/>
      <w:sz w:val="24"/>
    </w:rPr>
  </w:style>
  <w:style w:type="character" w:customStyle="1" w:styleId="Nadpis4Char">
    <w:name w:val="Nadpis 4 Char"/>
    <w:link w:val="Nadpis4"/>
    <w:rsid w:val="00047389"/>
    <w:rPr>
      <w:rFonts w:asciiTheme="minorHAnsi" w:hAnsiTheme="minorHAnsi"/>
      <w:b/>
      <w:bCs/>
      <w:i/>
      <w:iCs/>
      <w:sz w:val="24"/>
    </w:rPr>
  </w:style>
  <w:style w:type="character" w:customStyle="1" w:styleId="Nadpis5Char">
    <w:name w:val="Nadpis 5 Char"/>
    <w:link w:val="Nadpis5"/>
    <w:rsid w:val="00B15ECB"/>
    <w:rPr>
      <w:rFonts w:asciiTheme="minorHAnsi" w:hAnsiTheme="minorHAnsi"/>
      <w:i/>
      <w:sz w:val="24"/>
    </w:rPr>
  </w:style>
  <w:style w:type="character" w:customStyle="1" w:styleId="Nadpis6Char">
    <w:name w:val="Nadpis 6 Char"/>
    <w:link w:val="Nadpis6"/>
    <w:rsid w:val="00F03E3C"/>
    <w:rPr>
      <w:rFonts w:ascii="Cambria" w:hAnsi="Cambria"/>
      <w:i/>
      <w:iCs/>
      <w:color w:val="243F60"/>
      <w:sz w:val="24"/>
    </w:rPr>
  </w:style>
  <w:style w:type="character" w:customStyle="1" w:styleId="Nadpis7Char">
    <w:name w:val="Nadpis 7 Char"/>
    <w:link w:val="Nadpis7"/>
    <w:rsid w:val="00F03E3C"/>
    <w:rPr>
      <w:rFonts w:ascii="Cambria" w:hAnsi="Cambria"/>
      <w:i/>
      <w:iCs/>
      <w:color w:val="404040"/>
      <w:sz w:val="24"/>
    </w:rPr>
  </w:style>
  <w:style w:type="character" w:customStyle="1" w:styleId="Nadpis8Char">
    <w:name w:val="Nadpis 8 Char"/>
    <w:link w:val="Nadpis8"/>
    <w:rsid w:val="00F03E3C"/>
    <w:rPr>
      <w:rFonts w:ascii="Cambria" w:hAnsi="Cambria"/>
      <w:color w:val="404040"/>
    </w:rPr>
  </w:style>
  <w:style w:type="character" w:customStyle="1" w:styleId="Nadpis9Char">
    <w:name w:val="Nadpis 9 Char"/>
    <w:link w:val="Nadpis9"/>
    <w:rsid w:val="00F03E3C"/>
    <w:rPr>
      <w:rFonts w:ascii="Cambria" w:hAnsi="Cambria"/>
      <w:i/>
      <w:iCs/>
      <w:color w:val="404040"/>
    </w:rPr>
  </w:style>
  <w:style w:type="paragraph" w:styleId="Odstavecseseznamem">
    <w:name w:val="List Paragraph"/>
    <w:basedOn w:val="Normln"/>
    <w:link w:val="OdstavecseseznamemChar"/>
    <w:uiPriority w:val="34"/>
    <w:qFormat/>
    <w:rsid w:val="00FB5FA2"/>
    <w:pPr>
      <w:ind w:left="720"/>
      <w:contextualSpacing/>
    </w:pPr>
  </w:style>
  <w:style w:type="paragraph" w:styleId="Titulek">
    <w:name w:val="caption"/>
    <w:basedOn w:val="Normln"/>
    <w:next w:val="Normln"/>
    <w:qFormat/>
    <w:rsid w:val="00C446EB"/>
    <w:pPr>
      <w:spacing w:after="200"/>
    </w:pPr>
    <w:rPr>
      <w:b/>
      <w:bCs/>
      <w:color w:val="4F81BD"/>
      <w:sz w:val="18"/>
      <w:szCs w:val="18"/>
    </w:rPr>
  </w:style>
  <w:style w:type="paragraph" w:styleId="Textpoznpodarou">
    <w:name w:val="footnote text"/>
    <w:aliases w:val="Schriftart: 9 pt,Schriftart: 10 pt,Schriftart: 8 pt, Char,Char,Text pozn. pod čarou1,Char Char Char1,Char Char1,Footnote Text Char1,Text poznámky pod čiarou 007,Footnote,Fußnotentextf,Geneva 9,Font: Geneva 9,Boston 10,f,o"/>
    <w:basedOn w:val="Normln"/>
    <w:link w:val="TextpoznpodarouChar"/>
    <w:uiPriority w:val="99"/>
    <w:rsid w:val="00F03E3C"/>
    <w:pPr>
      <w:overflowPunct/>
      <w:autoSpaceDE/>
      <w:autoSpaceDN/>
      <w:adjustRightInd/>
      <w:spacing w:after="120" w:line="288" w:lineRule="auto"/>
      <w:jc w:val="both"/>
      <w:textAlignment w:val="auto"/>
    </w:pPr>
    <w:rPr>
      <w:rFonts w:ascii="Arial" w:hAnsi="Arial"/>
      <w:sz w:val="16"/>
    </w:rPr>
  </w:style>
  <w:style w:type="character" w:customStyle="1" w:styleId="TextpoznpodarouChar">
    <w:name w:val="Text pozn. pod čarou Char"/>
    <w:aliases w:val="Schriftart: 9 pt Char,Schriftart: 10 pt Char,Schriftart: 8 pt Char, Char Char,Char Char,Text pozn. pod čarou1 Char,Char Char Char1 Char,Char Char1 Char,Footnote Text Char1 Char,Text poznámky pod čiarou 007 Char,Footnote Char"/>
    <w:link w:val="Textpoznpodarou"/>
    <w:uiPriority w:val="99"/>
    <w:rsid w:val="00F03E3C"/>
    <w:rPr>
      <w:rFonts w:ascii="Arial" w:hAnsi="Arial"/>
      <w:sz w:val="16"/>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
    <w:uiPriority w:val="99"/>
    <w:semiHidden/>
    <w:rsid w:val="00F03E3C"/>
    <w:rPr>
      <w:vertAlign w:val="superscript"/>
    </w:rPr>
  </w:style>
  <w:style w:type="character" w:customStyle="1" w:styleId="ZkladntextChar">
    <w:name w:val="Základní text Char"/>
    <w:aliases w:val="Standard paragraph Char,Body Text1 Char,Char1 Char"/>
    <w:link w:val="Zkladntext"/>
    <w:semiHidden/>
    <w:locked/>
    <w:rsid w:val="00F03E3C"/>
    <w:rPr>
      <w:b/>
      <w:bCs/>
      <w:sz w:val="24"/>
    </w:rPr>
  </w:style>
  <w:style w:type="paragraph" w:styleId="Zkladntext">
    <w:name w:val="Body Text"/>
    <w:aliases w:val="Standard paragraph,Body Text1,Char1"/>
    <w:basedOn w:val="Normln"/>
    <w:link w:val="ZkladntextChar"/>
    <w:semiHidden/>
    <w:unhideWhenUsed/>
    <w:rsid w:val="00F03E3C"/>
    <w:pPr>
      <w:jc w:val="both"/>
      <w:textAlignment w:val="auto"/>
    </w:pPr>
    <w:rPr>
      <w:b/>
      <w:bCs/>
      <w:sz w:val="24"/>
    </w:rPr>
  </w:style>
  <w:style w:type="character" w:customStyle="1" w:styleId="ZkladntextChar1">
    <w:name w:val="Základní text Char1"/>
    <w:basedOn w:val="Standardnpsmoodstavce"/>
    <w:uiPriority w:val="99"/>
    <w:semiHidden/>
    <w:rsid w:val="00F03E3C"/>
  </w:style>
  <w:style w:type="paragraph" w:styleId="Obsah1">
    <w:name w:val="toc 1"/>
    <w:basedOn w:val="Normln"/>
    <w:next w:val="Normln"/>
    <w:autoRedefine/>
    <w:uiPriority w:val="39"/>
    <w:unhideWhenUsed/>
    <w:rsid w:val="002E4CA7"/>
    <w:pPr>
      <w:overflowPunct/>
      <w:autoSpaceDE/>
      <w:autoSpaceDN/>
      <w:adjustRightInd/>
      <w:spacing w:before="200" w:after="100" w:line="276" w:lineRule="auto"/>
      <w:jc w:val="both"/>
      <w:textAlignment w:val="auto"/>
    </w:pPr>
    <w:rPr>
      <w:rFonts w:ascii="Calibri" w:hAnsi="Calibri"/>
      <w:b/>
      <w:sz w:val="24"/>
    </w:rPr>
  </w:style>
  <w:style w:type="paragraph" w:styleId="Obsah3">
    <w:name w:val="toc 3"/>
    <w:basedOn w:val="Normln"/>
    <w:next w:val="Normln"/>
    <w:autoRedefine/>
    <w:uiPriority w:val="39"/>
    <w:unhideWhenUsed/>
    <w:rsid w:val="002E4CA7"/>
    <w:pPr>
      <w:overflowPunct/>
      <w:autoSpaceDE/>
      <w:autoSpaceDN/>
      <w:adjustRightInd/>
      <w:spacing w:before="200" w:after="100" w:line="276" w:lineRule="auto"/>
      <w:ind w:left="480"/>
      <w:jc w:val="both"/>
      <w:textAlignment w:val="auto"/>
    </w:pPr>
    <w:rPr>
      <w:rFonts w:ascii="Calibri" w:hAnsi="Calibri"/>
      <w:i/>
      <w:sz w:val="24"/>
    </w:rPr>
  </w:style>
  <w:style w:type="paragraph" w:styleId="Obsah2">
    <w:name w:val="toc 2"/>
    <w:basedOn w:val="Normln"/>
    <w:next w:val="Normln"/>
    <w:autoRedefine/>
    <w:uiPriority w:val="39"/>
    <w:unhideWhenUsed/>
    <w:rsid w:val="00F03E3C"/>
    <w:pPr>
      <w:overflowPunct/>
      <w:autoSpaceDE/>
      <w:autoSpaceDN/>
      <w:adjustRightInd/>
      <w:spacing w:before="200" w:after="100" w:line="276" w:lineRule="auto"/>
      <w:ind w:left="240"/>
      <w:jc w:val="both"/>
      <w:textAlignment w:val="auto"/>
    </w:pPr>
    <w:rPr>
      <w:rFonts w:ascii="Calibri" w:hAnsi="Calibri"/>
      <w:sz w:val="24"/>
    </w:rPr>
  </w:style>
  <w:style w:type="character" w:styleId="Hypertextovodkaz">
    <w:name w:val="Hyperlink"/>
    <w:uiPriority w:val="99"/>
    <w:unhideWhenUsed/>
    <w:rsid w:val="00F03E3C"/>
    <w:rPr>
      <w:color w:val="0000FF"/>
      <w:u w:val="single"/>
    </w:rPr>
  </w:style>
  <w:style w:type="paragraph" w:customStyle="1" w:styleId="Point0number">
    <w:name w:val="Point 0 (number)"/>
    <w:basedOn w:val="Normln"/>
    <w:rsid w:val="00F03E3C"/>
    <w:pPr>
      <w:tabs>
        <w:tab w:val="num" w:pos="850"/>
      </w:tabs>
      <w:overflowPunct/>
      <w:autoSpaceDE/>
      <w:autoSpaceDN/>
      <w:adjustRightInd/>
      <w:spacing w:before="120" w:after="120"/>
      <w:ind w:left="850" w:hanging="850"/>
      <w:jc w:val="both"/>
      <w:textAlignment w:val="auto"/>
    </w:pPr>
    <w:rPr>
      <w:sz w:val="24"/>
      <w:szCs w:val="24"/>
      <w:lang w:val="en-GB" w:eastAsia="en-US"/>
    </w:rPr>
  </w:style>
  <w:style w:type="paragraph" w:customStyle="1" w:styleId="Point1number">
    <w:name w:val="Point 1 (number)"/>
    <w:basedOn w:val="Normln"/>
    <w:rsid w:val="00F03E3C"/>
    <w:pPr>
      <w:tabs>
        <w:tab w:val="num" w:pos="1417"/>
      </w:tabs>
      <w:overflowPunct/>
      <w:autoSpaceDE/>
      <w:autoSpaceDN/>
      <w:adjustRightInd/>
      <w:spacing w:before="120" w:after="120"/>
      <w:ind w:left="1417" w:hanging="567"/>
      <w:jc w:val="both"/>
      <w:textAlignment w:val="auto"/>
    </w:pPr>
    <w:rPr>
      <w:sz w:val="24"/>
      <w:szCs w:val="24"/>
      <w:lang w:val="en-GB" w:eastAsia="en-US"/>
    </w:rPr>
  </w:style>
  <w:style w:type="paragraph" w:customStyle="1" w:styleId="Point2number">
    <w:name w:val="Point 2 (number)"/>
    <w:basedOn w:val="Normln"/>
    <w:rsid w:val="00F03E3C"/>
    <w:pPr>
      <w:tabs>
        <w:tab w:val="num" w:pos="1984"/>
      </w:tabs>
      <w:overflowPunct/>
      <w:autoSpaceDE/>
      <w:autoSpaceDN/>
      <w:adjustRightInd/>
      <w:spacing w:before="120" w:after="120"/>
      <w:ind w:left="1984" w:hanging="567"/>
      <w:jc w:val="both"/>
      <w:textAlignment w:val="auto"/>
    </w:pPr>
    <w:rPr>
      <w:sz w:val="24"/>
      <w:szCs w:val="24"/>
      <w:lang w:val="en-GB" w:eastAsia="en-US"/>
    </w:rPr>
  </w:style>
  <w:style w:type="paragraph" w:customStyle="1" w:styleId="Point3number">
    <w:name w:val="Point 3 (number)"/>
    <w:basedOn w:val="Normln"/>
    <w:rsid w:val="00F03E3C"/>
    <w:pPr>
      <w:tabs>
        <w:tab w:val="num" w:pos="2551"/>
      </w:tabs>
      <w:overflowPunct/>
      <w:autoSpaceDE/>
      <w:autoSpaceDN/>
      <w:adjustRightInd/>
      <w:spacing w:before="120" w:after="120"/>
      <w:ind w:left="2551" w:hanging="567"/>
      <w:jc w:val="both"/>
      <w:textAlignment w:val="auto"/>
    </w:pPr>
    <w:rPr>
      <w:sz w:val="24"/>
      <w:szCs w:val="24"/>
      <w:lang w:val="en-GB" w:eastAsia="en-US"/>
    </w:rPr>
  </w:style>
  <w:style w:type="paragraph" w:customStyle="1" w:styleId="Point0letter">
    <w:name w:val="Point 0 (letter)"/>
    <w:basedOn w:val="Normln"/>
    <w:rsid w:val="00F03E3C"/>
    <w:pPr>
      <w:tabs>
        <w:tab w:val="num" w:pos="850"/>
      </w:tabs>
      <w:overflowPunct/>
      <w:autoSpaceDE/>
      <w:autoSpaceDN/>
      <w:adjustRightInd/>
      <w:spacing w:before="120" w:after="120"/>
      <w:ind w:left="850" w:hanging="850"/>
      <w:jc w:val="both"/>
      <w:textAlignment w:val="auto"/>
    </w:pPr>
    <w:rPr>
      <w:sz w:val="24"/>
      <w:szCs w:val="24"/>
      <w:lang w:val="en-GB" w:eastAsia="en-US"/>
    </w:rPr>
  </w:style>
  <w:style w:type="paragraph" w:customStyle="1" w:styleId="Point1letter">
    <w:name w:val="Point 1 (letter)"/>
    <w:basedOn w:val="Normln"/>
    <w:rsid w:val="00F03E3C"/>
    <w:pPr>
      <w:tabs>
        <w:tab w:val="num" w:pos="1417"/>
      </w:tabs>
      <w:overflowPunct/>
      <w:autoSpaceDE/>
      <w:autoSpaceDN/>
      <w:adjustRightInd/>
      <w:spacing w:before="120" w:after="120"/>
      <w:ind w:left="1417" w:hanging="567"/>
      <w:jc w:val="both"/>
      <w:textAlignment w:val="auto"/>
    </w:pPr>
    <w:rPr>
      <w:sz w:val="24"/>
      <w:szCs w:val="24"/>
      <w:lang w:val="en-GB" w:eastAsia="en-US"/>
    </w:rPr>
  </w:style>
  <w:style w:type="paragraph" w:customStyle="1" w:styleId="Point2letter">
    <w:name w:val="Point 2 (letter)"/>
    <w:basedOn w:val="Normln"/>
    <w:rsid w:val="00F03E3C"/>
    <w:pPr>
      <w:tabs>
        <w:tab w:val="num" w:pos="1984"/>
      </w:tabs>
      <w:overflowPunct/>
      <w:autoSpaceDE/>
      <w:autoSpaceDN/>
      <w:adjustRightInd/>
      <w:spacing w:before="120" w:after="120"/>
      <w:ind w:left="1984" w:hanging="567"/>
      <w:jc w:val="both"/>
      <w:textAlignment w:val="auto"/>
    </w:pPr>
    <w:rPr>
      <w:sz w:val="24"/>
      <w:szCs w:val="24"/>
      <w:lang w:val="en-GB" w:eastAsia="en-US"/>
    </w:rPr>
  </w:style>
  <w:style w:type="paragraph" w:customStyle="1" w:styleId="Point3letter">
    <w:name w:val="Point 3 (letter)"/>
    <w:basedOn w:val="Normln"/>
    <w:rsid w:val="00F03E3C"/>
    <w:pPr>
      <w:tabs>
        <w:tab w:val="num" w:pos="2551"/>
      </w:tabs>
      <w:overflowPunct/>
      <w:autoSpaceDE/>
      <w:autoSpaceDN/>
      <w:adjustRightInd/>
      <w:spacing w:before="120" w:after="120"/>
      <w:ind w:left="2551" w:hanging="567"/>
      <w:jc w:val="both"/>
      <w:textAlignment w:val="auto"/>
    </w:pPr>
    <w:rPr>
      <w:sz w:val="24"/>
      <w:szCs w:val="24"/>
      <w:lang w:val="en-GB" w:eastAsia="en-US"/>
    </w:rPr>
  </w:style>
  <w:style w:type="paragraph" w:customStyle="1" w:styleId="Point4letter">
    <w:name w:val="Point 4 (letter)"/>
    <w:basedOn w:val="Normln"/>
    <w:rsid w:val="00F03E3C"/>
    <w:pPr>
      <w:tabs>
        <w:tab w:val="num" w:pos="3118"/>
      </w:tabs>
      <w:overflowPunct/>
      <w:autoSpaceDE/>
      <w:autoSpaceDN/>
      <w:adjustRightInd/>
      <w:spacing w:before="120" w:after="120"/>
      <w:ind w:left="3118" w:hanging="567"/>
      <w:jc w:val="both"/>
      <w:textAlignment w:val="auto"/>
    </w:pPr>
    <w:rPr>
      <w:sz w:val="24"/>
      <w:szCs w:val="24"/>
      <w:lang w:val="en-GB" w:eastAsia="en-US"/>
    </w:rPr>
  </w:style>
  <w:style w:type="paragraph" w:styleId="Normlnweb">
    <w:name w:val="Normal (Web)"/>
    <w:basedOn w:val="Normln"/>
    <w:uiPriority w:val="99"/>
    <w:unhideWhenUsed/>
    <w:rsid w:val="00F03E3C"/>
    <w:pPr>
      <w:overflowPunct/>
      <w:autoSpaceDE/>
      <w:autoSpaceDN/>
      <w:adjustRightInd/>
      <w:spacing w:before="100" w:beforeAutospacing="1" w:after="100" w:afterAutospacing="1"/>
      <w:textAlignment w:val="auto"/>
    </w:pPr>
    <w:rPr>
      <w:sz w:val="24"/>
      <w:szCs w:val="24"/>
    </w:rPr>
  </w:style>
  <w:style w:type="paragraph" w:customStyle="1" w:styleId="beznytext">
    <w:name w:val="bezny_text"/>
    <w:basedOn w:val="Normln"/>
    <w:rsid w:val="00F03E3C"/>
    <w:pPr>
      <w:overflowPunct/>
      <w:autoSpaceDE/>
      <w:autoSpaceDN/>
      <w:adjustRightInd/>
      <w:spacing w:before="100" w:beforeAutospacing="1" w:after="100" w:afterAutospacing="1"/>
      <w:textAlignment w:val="auto"/>
    </w:pPr>
    <w:rPr>
      <w:sz w:val="24"/>
      <w:szCs w:val="24"/>
    </w:rPr>
  </w:style>
  <w:style w:type="paragraph" w:styleId="Bezmezer">
    <w:name w:val="No Spacing"/>
    <w:link w:val="BezmezerChar"/>
    <w:uiPriority w:val="1"/>
    <w:qFormat/>
    <w:rsid w:val="00F03E3C"/>
    <w:rPr>
      <w:rFonts w:ascii="Calibri" w:hAnsi="Calibri"/>
      <w:sz w:val="22"/>
      <w:szCs w:val="22"/>
    </w:rPr>
  </w:style>
  <w:style w:type="character" w:customStyle="1" w:styleId="BezmezerChar">
    <w:name w:val="Bez mezer Char"/>
    <w:link w:val="Bezmezer"/>
    <w:uiPriority w:val="1"/>
    <w:rsid w:val="00F03E3C"/>
    <w:rPr>
      <w:rFonts w:ascii="Calibri" w:eastAsia="Times New Roman" w:hAnsi="Calibri" w:cs="Times New Roman"/>
      <w:sz w:val="22"/>
      <w:szCs w:val="22"/>
    </w:rPr>
  </w:style>
  <w:style w:type="paragraph" w:styleId="Zhlav">
    <w:name w:val="header"/>
    <w:basedOn w:val="Normln"/>
    <w:link w:val="ZhlavChar"/>
    <w:uiPriority w:val="99"/>
    <w:unhideWhenUsed/>
    <w:rsid w:val="00F03E3C"/>
    <w:pPr>
      <w:tabs>
        <w:tab w:val="center" w:pos="4536"/>
        <w:tab w:val="right" w:pos="9072"/>
      </w:tabs>
      <w:overflowPunct/>
      <w:autoSpaceDE/>
      <w:autoSpaceDN/>
      <w:adjustRightInd/>
      <w:jc w:val="both"/>
      <w:textAlignment w:val="auto"/>
    </w:pPr>
    <w:rPr>
      <w:rFonts w:ascii="Calibri" w:hAnsi="Calibri"/>
      <w:sz w:val="24"/>
    </w:rPr>
  </w:style>
  <w:style w:type="character" w:customStyle="1" w:styleId="ZhlavChar">
    <w:name w:val="Záhlaví Char"/>
    <w:link w:val="Zhlav"/>
    <w:uiPriority w:val="99"/>
    <w:rsid w:val="00F03E3C"/>
    <w:rPr>
      <w:rFonts w:ascii="Calibri" w:hAnsi="Calibri"/>
      <w:sz w:val="24"/>
    </w:rPr>
  </w:style>
  <w:style w:type="paragraph" w:styleId="Zpat">
    <w:name w:val="footer"/>
    <w:basedOn w:val="Normln"/>
    <w:link w:val="ZpatChar"/>
    <w:uiPriority w:val="99"/>
    <w:unhideWhenUsed/>
    <w:rsid w:val="00F03E3C"/>
    <w:pPr>
      <w:tabs>
        <w:tab w:val="center" w:pos="4536"/>
        <w:tab w:val="right" w:pos="9072"/>
      </w:tabs>
      <w:overflowPunct/>
      <w:autoSpaceDE/>
      <w:autoSpaceDN/>
      <w:adjustRightInd/>
      <w:jc w:val="both"/>
      <w:textAlignment w:val="auto"/>
    </w:pPr>
    <w:rPr>
      <w:rFonts w:ascii="Calibri" w:hAnsi="Calibri"/>
      <w:sz w:val="24"/>
    </w:rPr>
  </w:style>
  <w:style w:type="character" w:customStyle="1" w:styleId="ZpatChar">
    <w:name w:val="Zápatí Char"/>
    <w:link w:val="Zpat"/>
    <w:uiPriority w:val="99"/>
    <w:rsid w:val="00F03E3C"/>
    <w:rPr>
      <w:rFonts w:ascii="Calibri" w:hAnsi="Calibri"/>
      <w:sz w:val="24"/>
    </w:rPr>
  </w:style>
  <w:style w:type="character" w:customStyle="1" w:styleId="TextbublinyChar">
    <w:name w:val="Text bubliny Char"/>
    <w:link w:val="Textbubliny"/>
    <w:uiPriority w:val="99"/>
    <w:semiHidden/>
    <w:rsid w:val="00F03E3C"/>
    <w:rPr>
      <w:rFonts w:ascii="Tahoma" w:hAnsi="Tahoma" w:cs="Tahoma"/>
      <w:sz w:val="16"/>
      <w:szCs w:val="16"/>
    </w:rPr>
  </w:style>
  <w:style w:type="paragraph" w:styleId="Textbubliny">
    <w:name w:val="Balloon Text"/>
    <w:basedOn w:val="Normln"/>
    <w:link w:val="TextbublinyChar"/>
    <w:uiPriority w:val="99"/>
    <w:semiHidden/>
    <w:unhideWhenUsed/>
    <w:rsid w:val="00F03E3C"/>
    <w:pPr>
      <w:overflowPunct/>
      <w:autoSpaceDE/>
      <w:autoSpaceDN/>
      <w:adjustRightInd/>
      <w:jc w:val="both"/>
      <w:textAlignment w:val="auto"/>
    </w:pPr>
    <w:rPr>
      <w:rFonts w:ascii="Tahoma" w:hAnsi="Tahoma" w:cs="Tahoma"/>
      <w:sz w:val="16"/>
      <w:szCs w:val="16"/>
    </w:rPr>
  </w:style>
  <w:style w:type="character" w:customStyle="1" w:styleId="TextkomenteChar">
    <w:name w:val="Text komentáře Char"/>
    <w:link w:val="Textkomente"/>
    <w:uiPriority w:val="99"/>
    <w:semiHidden/>
    <w:rsid w:val="00F03E3C"/>
    <w:rPr>
      <w:rFonts w:ascii="Calibri" w:hAnsi="Calibri"/>
    </w:rPr>
  </w:style>
  <w:style w:type="paragraph" w:styleId="Textkomente">
    <w:name w:val="annotation text"/>
    <w:basedOn w:val="Normln"/>
    <w:link w:val="TextkomenteChar"/>
    <w:uiPriority w:val="99"/>
    <w:semiHidden/>
    <w:unhideWhenUsed/>
    <w:rsid w:val="00F03E3C"/>
    <w:pPr>
      <w:overflowPunct/>
      <w:autoSpaceDE/>
      <w:autoSpaceDN/>
      <w:adjustRightInd/>
      <w:spacing w:before="200" w:after="200"/>
      <w:jc w:val="both"/>
      <w:textAlignment w:val="auto"/>
    </w:pPr>
    <w:rPr>
      <w:rFonts w:ascii="Calibri" w:hAnsi="Calibri"/>
    </w:rPr>
  </w:style>
  <w:style w:type="character" w:customStyle="1" w:styleId="PedmtkomenteChar">
    <w:name w:val="Předmět komentáře Char"/>
    <w:link w:val="Pedmtkomente"/>
    <w:uiPriority w:val="99"/>
    <w:semiHidden/>
    <w:rsid w:val="00F03E3C"/>
    <w:rPr>
      <w:rFonts w:ascii="Calibri" w:hAnsi="Calibri"/>
      <w:b/>
      <w:bCs/>
    </w:rPr>
  </w:style>
  <w:style w:type="paragraph" w:styleId="Pedmtkomente">
    <w:name w:val="annotation subject"/>
    <w:basedOn w:val="Textkomente"/>
    <w:next w:val="Textkomente"/>
    <w:link w:val="PedmtkomenteChar"/>
    <w:uiPriority w:val="99"/>
    <w:semiHidden/>
    <w:unhideWhenUsed/>
    <w:rsid w:val="00F03E3C"/>
    <w:rPr>
      <w:b/>
      <w:bCs/>
    </w:rPr>
  </w:style>
  <w:style w:type="paragraph" w:customStyle="1" w:styleId="Zdroj">
    <w:name w:val="Zdroj"/>
    <w:basedOn w:val="Normln"/>
    <w:next w:val="Normln"/>
    <w:link w:val="ZdrojChar"/>
    <w:rsid w:val="00F03E3C"/>
    <w:pPr>
      <w:overflowPunct/>
      <w:autoSpaceDE/>
      <w:autoSpaceDN/>
      <w:adjustRightInd/>
      <w:spacing w:after="120" w:line="288" w:lineRule="auto"/>
      <w:jc w:val="both"/>
      <w:textAlignment w:val="auto"/>
    </w:pPr>
    <w:rPr>
      <w:rFonts w:ascii="Arial" w:hAnsi="Arial"/>
      <w:sz w:val="18"/>
      <w:szCs w:val="24"/>
    </w:rPr>
  </w:style>
  <w:style w:type="character" w:customStyle="1" w:styleId="ZdrojChar">
    <w:name w:val="Zdroj Char"/>
    <w:link w:val="Zdroj"/>
    <w:rsid w:val="00F03E3C"/>
    <w:rPr>
      <w:rFonts w:ascii="Arial" w:hAnsi="Arial"/>
      <w:sz w:val="18"/>
      <w:szCs w:val="24"/>
    </w:rPr>
  </w:style>
  <w:style w:type="paragraph" w:styleId="Nzev">
    <w:name w:val="Title"/>
    <w:basedOn w:val="Normln"/>
    <w:link w:val="NzevChar"/>
    <w:qFormat/>
    <w:rsid w:val="00F03E3C"/>
    <w:pPr>
      <w:jc w:val="center"/>
    </w:pPr>
    <w:rPr>
      <w:b/>
      <w:bCs/>
      <w:sz w:val="24"/>
    </w:rPr>
  </w:style>
  <w:style w:type="character" w:customStyle="1" w:styleId="NzevChar">
    <w:name w:val="Název Char"/>
    <w:link w:val="Nzev"/>
    <w:rsid w:val="00F03E3C"/>
    <w:rPr>
      <w:b/>
      <w:bCs/>
      <w:sz w:val="24"/>
    </w:rPr>
  </w:style>
  <w:style w:type="paragraph" w:customStyle="1" w:styleId="OdrazkaIsouhlas">
    <w:name w:val="Odrazka_I_souhlas"/>
    <w:basedOn w:val="Normln"/>
    <w:rsid w:val="00F03E3C"/>
    <w:pPr>
      <w:tabs>
        <w:tab w:val="left" w:pos="284"/>
      </w:tabs>
      <w:overflowPunct/>
      <w:autoSpaceDE/>
      <w:autoSpaceDN/>
      <w:adjustRightInd/>
      <w:spacing w:before="40" w:after="40"/>
      <w:ind w:left="1069" w:hanging="360"/>
      <w:textAlignment w:val="auto"/>
    </w:pPr>
    <w:rPr>
      <w:rFonts w:ascii="Arial" w:hAnsi="Arial" w:cs="Arial"/>
    </w:rPr>
  </w:style>
  <w:style w:type="paragraph" w:customStyle="1" w:styleId="Default">
    <w:name w:val="Default"/>
    <w:rsid w:val="00F03E3C"/>
    <w:pPr>
      <w:tabs>
        <w:tab w:val="left" w:pos="708"/>
      </w:tabs>
      <w:suppressAutoHyphens/>
      <w:overflowPunct w:val="0"/>
      <w:autoSpaceDE w:val="0"/>
      <w:spacing w:line="200" w:lineRule="atLeast"/>
      <w:textAlignment w:val="baseline"/>
    </w:pPr>
    <w:rPr>
      <w:rFonts w:ascii="Calibri" w:eastAsia="MS Mincho" w:hAnsi="Calibri" w:cs="Calibri"/>
      <w:lang w:eastAsia="en-US"/>
    </w:rPr>
  </w:style>
  <w:style w:type="paragraph" w:customStyle="1" w:styleId="bezmezer1">
    <w:name w:val="bezmezer1"/>
    <w:basedOn w:val="Bezmezer"/>
    <w:qFormat/>
    <w:rsid w:val="00F03E3C"/>
    <w:rPr>
      <w:rFonts w:ascii="Times New Roman" w:eastAsia="Calibri" w:hAnsi="Times New Roman"/>
      <w:sz w:val="24"/>
      <w:szCs w:val="24"/>
      <w:lang w:eastAsia="en-US"/>
    </w:rPr>
  </w:style>
  <w:style w:type="paragraph" w:styleId="Zkladntext3">
    <w:name w:val="Body Text 3"/>
    <w:basedOn w:val="Normln"/>
    <w:link w:val="Zkladntext3Char"/>
    <w:uiPriority w:val="99"/>
    <w:semiHidden/>
    <w:unhideWhenUsed/>
    <w:rsid w:val="00F03E3C"/>
    <w:pPr>
      <w:overflowPunct/>
      <w:autoSpaceDE/>
      <w:autoSpaceDN/>
      <w:adjustRightInd/>
      <w:spacing w:before="200" w:after="120" w:line="276" w:lineRule="auto"/>
      <w:jc w:val="both"/>
      <w:textAlignment w:val="auto"/>
    </w:pPr>
    <w:rPr>
      <w:rFonts w:ascii="Calibri" w:hAnsi="Calibri"/>
      <w:sz w:val="16"/>
      <w:szCs w:val="16"/>
    </w:rPr>
  </w:style>
  <w:style w:type="character" w:customStyle="1" w:styleId="Zkladntext3Char">
    <w:name w:val="Základní text 3 Char"/>
    <w:link w:val="Zkladntext3"/>
    <w:uiPriority w:val="99"/>
    <w:semiHidden/>
    <w:rsid w:val="00F03E3C"/>
    <w:rPr>
      <w:rFonts w:ascii="Calibri" w:hAnsi="Calibri"/>
      <w:sz w:val="16"/>
      <w:szCs w:val="16"/>
    </w:rPr>
  </w:style>
  <w:style w:type="paragraph" w:customStyle="1" w:styleId="normln0">
    <w:name w:val="normální"/>
    <w:basedOn w:val="Normln"/>
    <w:qFormat/>
    <w:rsid w:val="00F03E3C"/>
    <w:pPr>
      <w:overflowPunct/>
      <w:autoSpaceDE/>
      <w:autoSpaceDN/>
      <w:adjustRightInd/>
      <w:spacing w:after="200" w:line="276" w:lineRule="auto"/>
      <w:jc w:val="both"/>
      <w:textAlignment w:val="auto"/>
    </w:pPr>
    <w:rPr>
      <w:rFonts w:eastAsia="Calibri"/>
      <w:sz w:val="24"/>
      <w:szCs w:val="24"/>
      <w:lang w:eastAsia="en-US"/>
    </w:rPr>
  </w:style>
  <w:style w:type="paragraph" w:customStyle="1" w:styleId="Odstavecodsazen">
    <w:name w:val="Odstavec odsazený"/>
    <w:basedOn w:val="Normln"/>
    <w:rsid w:val="00F03E3C"/>
    <w:pPr>
      <w:tabs>
        <w:tab w:val="left" w:pos="709"/>
      </w:tabs>
      <w:overflowPunct/>
      <w:autoSpaceDE/>
      <w:autoSpaceDN/>
      <w:adjustRightInd/>
      <w:spacing w:after="120" w:line="360" w:lineRule="auto"/>
      <w:ind w:left="357" w:firstLine="352"/>
      <w:jc w:val="both"/>
      <w:textAlignment w:val="auto"/>
    </w:pPr>
    <w:rPr>
      <w:sz w:val="24"/>
    </w:rPr>
  </w:style>
  <w:style w:type="paragraph" w:styleId="Podpise-mailu">
    <w:name w:val="E-mail Signature"/>
    <w:basedOn w:val="Normln"/>
    <w:link w:val="Podpise-mailuChar"/>
    <w:rsid w:val="00F03E3C"/>
    <w:pPr>
      <w:tabs>
        <w:tab w:val="num" w:pos="720"/>
      </w:tabs>
      <w:overflowPunct/>
      <w:autoSpaceDE/>
      <w:autoSpaceDN/>
      <w:adjustRightInd/>
      <w:spacing w:before="40" w:after="120" w:line="288" w:lineRule="auto"/>
      <w:jc w:val="both"/>
      <w:textAlignment w:val="auto"/>
    </w:pPr>
    <w:rPr>
      <w:rFonts w:ascii="Arial" w:hAnsi="Arial"/>
      <w:szCs w:val="24"/>
    </w:rPr>
  </w:style>
  <w:style w:type="character" w:customStyle="1" w:styleId="Podpise-mailuChar">
    <w:name w:val="Podpis e-mailu Char"/>
    <w:link w:val="Podpise-mailu"/>
    <w:rsid w:val="00F03E3C"/>
    <w:rPr>
      <w:rFonts w:ascii="Arial" w:hAnsi="Arial"/>
      <w:szCs w:val="24"/>
    </w:rPr>
  </w:style>
  <w:style w:type="paragraph" w:styleId="Nadpisobsahu">
    <w:name w:val="TOC Heading"/>
    <w:basedOn w:val="Nadpis1"/>
    <w:next w:val="Normln"/>
    <w:uiPriority w:val="39"/>
    <w:qFormat/>
    <w:rsid w:val="005566D0"/>
    <w:pPr>
      <w:keepLines/>
      <w:pageBreakBefore w:val="0"/>
      <w:numPr>
        <w:numId w:val="0"/>
      </w:numPr>
      <w:spacing w:before="480" w:after="0"/>
      <w:jc w:val="left"/>
      <w:outlineLvl w:val="9"/>
    </w:pPr>
    <w:rPr>
      <w:color w:val="365F91"/>
      <w:kern w:val="0"/>
      <w:szCs w:val="28"/>
    </w:rPr>
  </w:style>
  <w:style w:type="paragraph" w:styleId="Obsah4">
    <w:name w:val="toc 4"/>
    <w:basedOn w:val="Normln"/>
    <w:next w:val="Normln"/>
    <w:autoRedefine/>
    <w:uiPriority w:val="39"/>
    <w:unhideWhenUsed/>
    <w:rsid w:val="005566D0"/>
    <w:pPr>
      <w:spacing w:after="100"/>
      <w:ind w:left="600"/>
    </w:pPr>
  </w:style>
  <w:style w:type="table" w:styleId="Mkatabulky">
    <w:name w:val="Table Grid"/>
    <w:basedOn w:val="Normlntabulka"/>
    <w:rsid w:val="009072F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semiHidden/>
    <w:rsid w:val="00604263"/>
    <w:rPr>
      <w:sz w:val="16"/>
      <w:szCs w:val="16"/>
    </w:rPr>
  </w:style>
  <w:style w:type="character" w:customStyle="1" w:styleId="CharChar5">
    <w:name w:val="Char Char5"/>
    <w:semiHidden/>
    <w:locked/>
    <w:rsid w:val="006D08D8"/>
    <w:rPr>
      <w:rFonts w:ascii="Calibri" w:hAnsi="Calibri"/>
      <w:lang w:bidi="ar-SA"/>
    </w:rPr>
  </w:style>
  <w:style w:type="paragraph" w:customStyle="1" w:styleId="TextNOK">
    <w:name w:val="Text NOK"/>
    <w:basedOn w:val="Normln"/>
    <w:link w:val="TextNOKChar"/>
    <w:qFormat/>
    <w:rsid w:val="004C042F"/>
    <w:pPr>
      <w:overflowPunct/>
      <w:autoSpaceDE/>
      <w:autoSpaceDN/>
      <w:adjustRightInd/>
      <w:spacing w:after="120" w:line="288" w:lineRule="auto"/>
      <w:jc w:val="both"/>
      <w:textAlignment w:val="auto"/>
    </w:pPr>
    <w:rPr>
      <w:rFonts w:ascii="Arial" w:hAnsi="Arial"/>
      <w:szCs w:val="22"/>
    </w:rPr>
  </w:style>
  <w:style w:type="character" w:customStyle="1" w:styleId="TextNOKChar">
    <w:name w:val="Text NOK Char"/>
    <w:link w:val="TextNOK"/>
    <w:rsid w:val="004C042F"/>
    <w:rPr>
      <w:rFonts w:ascii="Arial" w:hAnsi="Arial"/>
      <w:szCs w:val="22"/>
      <w:lang w:val="cs-CZ" w:eastAsia="cs-CZ" w:bidi="ar-SA"/>
    </w:rPr>
  </w:style>
  <w:style w:type="character" w:customStyle="1" w:styleId="TextMetodikaChar">
    <w:name w:val="Text Metodika Char"/>
    <w:link w:val="TextMetodika"/>
    <w:locked/>
    <w:rsid w:val="004C042F"/>
    <w:rPr>
      <w:rFonts w:ascii="Arial" w:hAnsi="Arial"/>
      <w:lang w:bidi="ar-SA"/>
    </w:rPr>
  </w:style>
  <w:style w:type="paragraph" w:customStyle="1" w:styleId="TextMetodika">
    <w:name w:val="Text Metodika"/>
    <w:basedOn w:val="Normln"/>
    <w:link w:val="TextMetodikaChar"/>
    <w:qFormat/>
    <w:rsid w:val="004C042F"/>
    <w:pPr>
      <w:overflowPunct/>
      <w:autoSpaceDE/>
      <w:autoSpaceDN/>
      <w:adjustRightInd/>
      <w:spacing w:before="120" w:after="120" w:line="312" w:lineRule="auto"/>
      <w:jc w:val="both"/>
      <w:textAlignment w:val="auto"/>
    </w:pPr>
    <w:rPr>
      <w:rFonts w:ascii="Arial" w:hAnsi="Arial"/>
    </w:rPr>
  </w:style>
  <w:style w:type="paragraph" w:styleId="Seznamsodrkami">
    <w:name w:val="List Bullet"/>
    <w:basedOn w:val="Normln"/>
    <w:autoRedefine/>
    <w:rsid w:val="00E40039"/>
    <w:pPr>
      <w:overflowPunct/>
      <w:autoSpaceDE/>
      <w:autoSpaceDN/>
      <w:adjustRightInd/>
      <w:jc w:val="both"/>
      <w:textAlignment w:val="auto"/>
    </w:pPr>
    <w:rPr>
      <w:rFonts w:asciiTheme="minorHAnsi" w:hAnsiTheme="minorHAnsi" w:cstheme="minorHAnsi"/>
      <w:sz w:val="24"/>
      <w:szCs w:val="24"/>
      <w:lang w:eastAsia="en-US"/>
    </w:rPr>
  </w:style>
  <w:style w:type="character" w:customStyle="1" w:styleId="OdstavecseseznamemChar">
    <w:name w:val="Odstavec se seznamem Char"/>
    <w:link w:val="Odstavecseseznamem"/>
    <w:uiPriority w:val="34"/>
    <w:rsid w:val="004B5A6C"/>
    <w:rPr>
      <w:lang w:val="cs-CZ" w:eastAsia="cs-CZ" w:bidi="ar-SA"/>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pozn. pod čarou Char3,Char Char3"/>
    <w:uiPriority w:val="99"/>
    <w:rsid w:val="00E45000"/>
    <w:rPr>
      <w:lang w:val="cs-CZ" w:eastAsia="cs-CZ"/>
    </w:rPr>
  </w:style>
  <w:style w:type="paragraph" w:customStyle="1" w:styleId="NadpisNOK2">
    <w:name w:val="Nadpis NOK 2"/>
    <w:basedOn w:val="Nadpis2"/>
    <w:qFormat/>
    <w:rsid w:val="00AA5B29"/>
    <w:pPr>
      <w:numPr>
        <w:numId w:val="13"/>
      </w:numPr>
      <w:spacing w:after="240" w:line="240" w:lineRule="auto"/>
    </w:pPr>
    <w:rPr>
      <w:rFonts w:ascii="Arial Narrow" w:hAnsi="Arial Narrow" w:cs="Arial Narrow"/>
      <w:iCs w:val="0"/>
      <w:caps w:val="0"/>
      <w:color w:val="003366"/>
      <w:sz w:val="40"/>
      <w:szCs w:val="40"/>
    </w:rPr>
  </w:style>
  <w:style w:type="paragraph" w:customStyle="1" w:styleId="CM4">
    <w:name w:val="CM4"/>
    <w:basedOn w:val="Default"/>
    <w:next w:val="Default"/>
    <w:rsid w:val="00E10173"/>
    <w:pPr>
      <w:tabs>
        <w:tab w:val="clear" w:pos="708"/>
      </w:tabs>
      <w:suppressAutoHyphens w:val="0"/>
      <w:overflowPunct/>
      <w:autoSpaceDN w:val="0"/>
      <w:adjustRightInd w:val="0"/>
      <w:spacing w:line="240" w:lineRule="auto"/>
      <w:textAlignment w:val="auto"/>
    </w:pPr>
    <w:rPr>
      <w:rFonts w:ascii="EUAlbertina" w:eastAsia="Calibri" w:hAnsi="EUAlbertina" w:cs="Times New Roman"/>
      <w:sz w:val="24"/>
      <w:szCs w:val="24"/>
    </w:rPr>
  </w:style>
  <w:style w:type="paragraph" w:customStyle="1" w:styleId="TabNad">
    <w:name w:val="TabNad"/>
    <w:basedOn w:val="Normln"/>
    <w:uiPriority w:val="99"/>
    <w:rsid w:val="00415837"/>
    <w:pPr>
      <w:numPr>
        <w:numId w:val="14"/>
      </w:numPr>
      <w:tabs>
        <w:tab w:val="clear" w:pos="360"/>
      </w:tabs>
      <w:overflowPunct/>
      <w:autoSpaceDE/>
      <w:autoSpaceDN/>
      <w:adjustRightInd/>
      <w:ind w:left="907" w:hanging="907"/>
      <w:textAlignment w:val="auto"/>
    </w:pPr>
    <w:rPr>
      <w:b/>
      <w:bCs/>
      <w:sz w:val="22"/>
      <w:szCs w:val="22"/>
    </w:rPr>
  </w:style>
  <w:style w:type="paragraph" w:styleId="Revize">
    <w:name w:val="Revision"/>
    <w:hidden/>
    <w:uiPriority w:val="99"/>
    <w:semiHidden/>
    <w:rsid w:val="00977285"/>
  </w:style>
  <w:style w:type="character" w:styleId="Siln">
    <w:name w:val="Strong"/>
    <w:basedOn w:val="Standardnpsmoodstavce"/>
    <w:qFormat/>
    <w:rsid w:val="007F61BF"/>
    <w:rPr>
      <w:b/>
      <w:bCs/>
      <w:color w:val="58585A"/>
    </w:rPr>
  </w:style>
  <w:style w:type="paragraph" w:styleId="Obsah5">
    <w:name w:val="toc 5"/>
    <w:basedOn w:val="Normln"/>
    <w:next w:val="Normln"/>
    <w:autoRedefine/>
    <w:uiPriority w:val="39"/>
    <w:unhideWhenUsed/>
    <w:rsid w:val="00150B70"/>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50B70"/>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50B70"/>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50B70"/>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50B70"/>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paragraph" w:styleId="Textvysvtlivek">
    <w:name w:val="endnote text"/>
    <w:basedOn w:val="Normln"/>
    <w:link w:val="TextvysvtlivekChar"/>
    <w:rsid w:val="00A72DFD"/>
  </w:style>
  <w:style w:type="character" w:customStyle="1" w:styleId="TextvysvtlivekChar">
    <w:name w:val="Text vysvětlivek Char"/>
    <w:basedOn w:val="Standardnpsmoodstavce"/>
    <w:link w:val="Textvysvtlivek"/>
    <w:rsid w:val="00A72DFD"/>
  </w:style>
  <w:style w:type="character" w:styleId="Odkaznavysvtlivky">
    <w:name w:val="endnote reference"/>
    <w:basedOn w:val="Standardnpsmoodstavce"/>
    <w:rsid w:val="00A72DFD"/>
    <w:rPr>
      <w:vertAlign w:val="superscript"/>
    </w:rPr>
  </w:style>
  <w:style w:type="character" w:customStyle="1" w:styleId="st1">
    <w:name w:val="st1"/>
    <w:basedOn w:val="Standardnpsmoodstavce"/>
    <w:rsid w:val="005275B9"/>
  </w:style>
</w:styles>
</file>

<file path=word/webSettings.xml><?xml version="1.0" encoding="utf-8"?>
<w:webSettings xmlns:r="http://schemas.openxmlformats.org/officeDocument/2006/relationships" xmlns:w="http://schemas.openxmlformats.org/wordprocessingml/2006/main">
  <w:divs>
    <w:div w:id="138571116">
      <w:bodyDiv w:val="1"/>
      <w:marLeft w:val="0"/>
      <w:marRight w:val="0"/>
      <w:marTop w:val="0"/>
      <w:marBottom w:val="0"/>
      <w:divBdr>
        <w:top w:val="none" w:sz="0" w:space="0" w:color="auto"/>
        <w:left w:val="none" w:sz="0" w:space="0" w:color="auto"/>
        <w:bottom w:val="none" w:sz="0" w:space="0" w:color="auto"/>
        <w:right w:val="none" w:sz="0" w:space="0" w:color="auto"/>
      </w:divBdr>
      <w:divsChild>
        <w:div w:id="960303252">
          <w:marLeft w:val="1685"/>
          <w:marRight w:val="0"/>
          <w:marTop w:val="120"/>
          <w:marBottom w:val="0"/>
          <w:divBdr>
            <w:top w:val="none" w:sz="0" w:space="0" w:color="auto"/>
            <w:left w:val="none" w:sz="0" w:space="0" w:color="auto"/>
            <w:bottom w:val="none" w:sz="0" w:space="0" w:color="auto"/>
            <w:right w:val="none" w:sz="0" w:space="0" w:color="auto"/>
          </w:divBdr>
        </w:div>
        <w:div w:id="1566333408">
          <w:marLeft w:val="1685"/>
          <w:marRight w:val="0"/>
          <w:marTop w:val="96"/>
          <w:marBottom w:val="120"/>
          <w:divBdr>
            <w:top w:val="none" w:sz="0" w:space="0" w:color="auto"/>
            <w:left w:val="none" w:sz="0" w:space="0" w:color="auto"/>
            <w:bottom w:val="none" w:sz="0" w:space="0" w:color="auto"/>
            <w:right w:val="none" w:sz="0" w:space="0" w:color="auto"/>
          </w:divBdr>
        </w:div>
      </w:divsChild>
    </w:div>
    <w:div w:id="168642100">
      <w:bodyDiv w:val="1"/>
      <w:marLeft w:val="0"/>
      <w:marRight w:val="0"/>
      <w:marTop w:val="0"/>
      <w:marBottom w:val="0"/>
      <w:divBdr>
        <w:top w:val="none" w:sz="0" w:space="0" w:color="auto"/>
        <w:left w:val="none" w:sz="0" w:space="0" w:color="auto"/>
        <w:bottom w:val="none" w:sz="0" w:space="0" w:color="auto"/>
        <w:right w:val="none" w:sz="0" w:space="0" w:color="auto"/>
      </w:divBdr>
    </w:div>
    <w:div w:id="179197756">
      <w:bodyDiv w:val="1"/>
      <w:marLeft w:val="0"/>
      <w:marRight w:val="0"/>
      <w:marTop w:val="0"/>
      <w:marBottom w:val="0"/>
      <w:divBdr>
        <w:top w:val="none" w:sz="0" w:space="0" w:color="auto"/>
        <w:left w:val="none" w:sz="0" w:space="0" w:color="auto"/>
        <w:bottom w:val="none" w:sz="0" w:space="0" w:color="auto"/>
        <w:right w:val="none" w:sz="0" w:space="0" w:color="auto"/>
      </w:divBdr>
    </w:div>
    <w:div w:id="339703314">
      <w:bodyDiv w:val="1"/>
      <w:marLeft w:val="0"/>
      <w:marRight w:val="0"/>
      <w:marTop w:val="0"/>
      <w:marBottom w:val="0"/>
      <w:divBdr>
        <w:top w:val="none" w:sz="0" w:space="0" w:color="auto"/>
        <w:left w:val="none" w:sz="0" w:space="0" w:color="auto"/>
        <w:bottom w:val="none" w:sz="0" w:space="0" w:color="auto"/>
        <w:right w:val="none" w:sz="0" w:space="0" w:color="auto"/>
      </w:divBdr>
    </w:div>
    <w:div w:id="388504413">
      <w:bodyDiv w:val="1"/>
      <w:marLeft w:val="0"/>
      <w:marRight w:val="0"/>
      <w:marTop w:val="0"/>
      <w:marBottom w:val="0"/>
      <w:divBdr>
        <w:top w:val="none" w:sz="0" w:space="0" w:color="auto"/>
        <w:left w:val="none" w:sz="0" w:space="0" w:color="auto"/>
        <w:bottom w:val="none" w:sz="0" w:space="0" w:color="auto"/>
        <w:right w:val="none" w:sz="0" w:space="0" w:color="auto"/>
      </w:divBdr>
    </w:div>
    <w:div w:id="411466775">
      <w:bodyDiv w:val="1"/>
      <w:marLeft w:val="0"/>
      <w:marRight w:val="0"/>
      <w:marTop w:val="0"/>
      <w:marBottom w:val="0"/>
      <w:divBdr>
        <w:top w:val="none" w:sz="0" w:space="0" w:color="auto"/>
        <w:left w:val="none" w:sz="0" w:space="0" w:color="auto"/>
        <w:bottom w:val="none" w:sz="0" w:space="0" w:color="auto"/>
        <w:right w:val="none" w:sz="0" w:space="0" w:color="auto"/>
      </w:divBdr>
      <w:divsChild>
        <w:div w:id="141361170">
          <w:marLeft w:val="1987"/>
          <w:marRight w:val="0"/>
          <w:marTop w:val="228"/>
          <w:marBottom w:val="0"/>
          <w:divBdr>
            <w:top w:val="none" w:sz="0" w:space="0" w:color="auto"/>
            <w:left w:val="none" w:sz="0" w:space="0" w:color="auto"/>
            <w:bottom w:val="none" w:sz="0" w:space="0" w:color="auto"/>
            <w:right w:val="none" w:sz="0" w:space="0" w:color="auto"/>
          </w:divBdr>
        </w:div>
        <w:div w:id="237520919">
          <w:marLeft w:val="1987"/>
          <w:marRight w:val="0"/>
          <w:marTop w:val="228"/>
          <w:marBottom w:val="0"/>
          <w:divBdr>
            <w:top w:val="none" w:sz="0" w:space="0" w:color="auto"/>
            <w:left w:val="none" w:sz="0" w:space="0" w:color="auto"/>
            <w:bottom w:val="none" w:sz="0" w:space="0" w:color="auto"/>
            <w:right w:val="none" w:sz="0" w:space="0" w:color="auto"/>
          </w:divBdr>
        </w:div>
        <w:div w:id="400713405">
          <w:marLeft w:val="1987"/>
          <w:marRight w:val="0"/>
          <w:marTop w:val="228"/>
          <w:marBottom w:val="0"/>
          <w:divBdr>
            <w:top w:val="none" w:sz="0" w:space="0" w:color="auto"/>
            <w:left w:val="none" w:sz="0" w:space="0" w:color="auto"/>
            <w:bottom w:val="none" w:sz="0" w:space="0" w:color="auto"/>
            <w:right w:val="none" w:sz="0" w:space="0" w:color="auto"/>
          </w:divBdr>
        </w:div>
        <w:div w:id="1011222477">
          <w:marLeft w:val="1987"/>
          <w:marRight w:val="0"/>
          <w:marTop w:val="228"/>
          <w:marBottom w:val="0"/>
          <w:divBdr>
            <w:top w:val="none" w:sz="0" w:space="0" w:color="auto"/>
            <w:left w:val="none" w:sz="0" w:space="0" w:color="auto"/>
            <w:bottom w:val="none" w:sz="0" w:space="0" w:color="auto"/>
            <w:right w:val="none" w:sz="0" w:space="0" w:color="auto"/>
          </w:divBdr>
        </w:div>
        <w:div w:id="1522472095">
          <w:marLeft w:val="1987"/>
          <w:marRight w:val="0"/>
          <w:marTop w:val="228"/>
          <w:marBottom w:val="0"/>
          <w:divBdr>
            <w:top w:val="none" w:sz="0" w:space="0" w:color="auto"/>
            <w:left w:val="none" w:sz="0" w:space="0" w:color="auto"/>
            <w:bottom w:val="none" w:sz="0" w:space="0" w:color="auto"/>
            <w:right w:val="none" w:sz="0" w:space="0" w:color="auto"/>
          </w:divBdr>
        </w:div>
      </w:divsChild>
    </w:div>
    <w:div w:id="569123853">
      <w:bodyDiv w:val="1"/>
      <w:marLeft w:val="0"/>
      <w:marRight w:val="0"/>
      <w:marTop w:val="0"/>
      <w:marBottom w:val="0"/>
      <w:divBdr>
        <w:top w:val="none" w:sz="0" w:space="0" w:color="auto"/>
        <w:left w:val="none" w:sz="0" w:space="0" w:color="auto"/>
        <w:bottom w:val="none" w:sz="0" w:space="0" w:color="auto"/>
        <w:right w:val="none" w:sz="0" w:space="0" w:color="auto"/>
      </w:divBdr>
    </w:div>
    <w:div w:id="803934705">
      <w:bodyDiv w:val="1"/>
      <w:marLeft w:val="0"/>
      <w:marRight w:val="0"/>
      <w:marTop w:val="0"/>
      <w:marBottom w:val="0"/>
      <w:divBdr>
        <w:top w:val="none" w:sz="0" w:space="0" w:color="auto"/>
        <w:left w:val="none" w:sz="0" w:space="0" w:color="auto"/>
        <w:bottom w:val="none" w:sz="0" w:space="0" w:color="auto"/>
        <w:right w:val="none" w:sz="0" w:space="0" w:color="auto"/>
      </w:divBdr>
      <w:divsChild>
        <w:div w:id="748574360">
          <w:marLeft w:val="562"/>
          <w:marRight w:val="0"/>
          <w:marTop w:val="67"/>
          <w:marBottom w:val="120"/>
          <w:divBdr>
            <w:top w:val="none" w:sz="0" w:space="0" w:color="auto"/>
            <w:left w:val="none" w:sz="0" w:space="0" w:color="auto"/>
            <w:bottom w:val="none" w:sz="0" w:space="0" w:color="auto"/>
            <w:right w:val="none" w:sz="0" w:space="0" w:color="auto"/>
          </w:divBdr>
        </w:div>
        <w:div w:id="872111083">
          <w:marLeft w:val="562"/>
          <w:marRight w:val="0"/>
          <w:marTop w:val="67"/>
          <w:marBottom w:val="120"/>
          <w:divBdr>
            <w:top w:val="none" w:sz="0" w:space="0" w:color="auto"/>
            <w:left w:val="none" w:sz="0" w:space="0" w:color="auto"/>
            <w:bottom w:val="none" w:sz="0" w:space="0" w:color="auto"/>
            <w:right w:val="none" w:sz="0" w:space="0" w:color="auto"/>
          </w:divBdr>
        </w:div>
        <w:div w:id="1067074890">
          <w:marLeft w:val="562"/>
          <w:marRight w:val="0"/>
          <w:marTop w:val="67"/>
          <w:marBottom w:val="360"/>
          <w:divBdr>
            <w:top w:val="none" w:sz="0" w:space="0" w:color="auto"/>
            <w:left w:val="none" w:sz="0" w:space="0" w:color="auto"/>
            <w:bottom w:val="none" w:sz="0" w:space="0" w:color="auto"/>
            <w:right w:val="none" w:sz="0" w:space="0" w:color="auto"/>
          </w:divBdr>
        </w:div>
        <w:div w:id="1467045074">
          <w:marLeft w:val="562"/>
          <w:marRight w:val="0"/>
          <w:marTop w:val="67"/>
          <w:marBottom w:val="0"/>
          <w:divBdr>
            <w:top w:val="none" w:sz="0" w:space="0" w:color="auto"/>
            <w:left w:val="none" w:sz="0" w:space="0" w:color="auto"/>
            <w:bottom w:val="none" w:sz="0" w:space="0" w:color="auto"/>
            <w:right w:val="none" w:sz="0" w:space="0" w:color="auto"/>
          </w:divBdr>
        </w:div>
      </w:divsChild>
    </w:div>
    <w:div w:id="830682930">
      <w:bodyDiv w:val="1"/>
      <w:marLeft w:val="0"/>
      <w:marRight w:val="0"/>
      <w:marTop w:val="0"/>
      <w:marBottom w:val="0"/>
      <w:divBdr>
        <w:top w:val="none" w:sz="0" w:space="0" w:color="auto"/>
        <w:left w:val="none" w:sz="0" w:space="0" w:color="auto"/>
        <w:bottom w:val="none" w:sz="0" w:space="0" w:color="auto"/>
        <w:right w:val="none" w:sz="0" w:space="0" w:color="auto"/>
      </w:divBdr>
    </w:div>
    <w:div w:id="836187954">
      <w:bodyDiv w:val="1"/>
      <w:marLeft w:val="0"/>
      <w:marRight w:val="0"/>
      <w:marTop w:val="0"/>
      <w:marBottom w:val="0"/>
      <w:divBdr>
        <w:top w:val="none" w:sz="0" w:space="0" w:color="auto"/>
        <w:left w:val="none" w:sz="0" w:space="0" w:color="auto"/>
        <w:bottom w:val="none" w:sz="0" w:space="0" w:color="auto"/>
        <w:right w:val="none" w:sz="0" w:space="0" w:color="auto"/>
      </w:divBdr>
      <w:divsChild>
        <w:div w:id="90976804">
          <w:marLeft w:val="1699"/>
          <w:marRight w:val="0"/>
          <w:marTop w:val="0"/>
          <w:marBottom w:val="60"/>
          <w:divBdr>
            <w:top w:val="none" w:sz="0" w:space="0" w:color="auto"/>
            <w:left w:val="none" w:sz="0" w:space="0" w:color="auto"/>
            <w:bottom w:val="none" w:sz="0" w:space="0" w:color="auto"/>
            <w:right w:val="none" w:sz="0" w:space="0" w:color="auto"/>
          </w:divBdr>
        </w:div>
        <w:div w:id="209417843">
          <w:marLeft w:val="2722"/>
          <w:marRight w:val="0"/>
          <w:marTop w:val="0"/>
          <w:marBottom w:val="60"/>
          <w:divBdr>
            <w:top w:val="none" w:sz="0" w:space="0" w:color="auto"/>
            <w:left w:val="none" w:sz="0" w:space="0" w:color="auto"/>
            <w:bottom w:val="none" w:sz="0" w:space="0" w:color="auto"/>
            <w:right w:val="none" w:sz="0" w:space="0" w:color="auto"/>
          </w:divBdr>
        </w:div>
        <w:div w:id="337779817">
          <w:marLeft w:val="1699"/>
          <w:marRight w:val="0"/>
          <w:marTop w:val="0"/>
          <w:marBottom w:val="60"/>
          <w:divBdr>
            <w:top w:val="none" w:sz="0" w:space="0" w:color="auto"/>
            <w:left w:val="none" w:sz="0" w:space="0" w:color="auto"/>
            <w:bottom w:val="none" w:sz="0" w:space="0" w:color="auto"/>
            <w:right w:val="none" w:sz="0" w:space="0" w:color="auto"/>
          </w:divBdr>
        </w:div>
        <w:div w:id="499084814">
          <w:marLeft w:val="1699"/>
          <w:marRight w:val="0"/>
          <w:marTop w:val="0"/>
          <w:marBottom w:val="60"/>
          <w:divBdr>
            <w:top w:val="none" w:sz="0" w:space="0" w:color="auto"/>
            <w:left w:val="none" w:sz="0" w:space="0" w:color="auto"/>
            <w:bottom w:val="none" w:sz="0" w:space="0" w:color="auto"/>
            <w:right w:val="none" w:sz="0" w:space="0" w:color="auto"/>
          </w:divBdr>
        </w:div>
        <w:div w:id="848060796">
          <w:marLeft w:val="562"/>
          <w:marRight w:val="0"/>
          <w:marTop w:val="0"/>
          <w:marBottom w:val="60"/>
          <w:divBdr>
            <w:top w:val="none" w:sz="0" w:space="0" w:color="auto"/>
            <w:left w:val="none" w:sz="0" w:space="0" w:color="auto"/>
            <w:bottom w:val="none" w:sz="0" w:space="0" w:color="auto"/>
            <w:right w:val="none" w:sz="0" w:space="0" w:color="auto"/>
          </w:divBdr>
        </w:div>
        <w:div w:id="875773003">
          <w:marLeft w:val="1699"/>
          <w:marRight w:val="0"/>
          <w:marTop w:val="0"/>
          <w:marBottom w:val="60"/>
          <w:divBdr>
            <w:top w:val="none" w:sz="0" w:space="0" w:color="auto"/>
            <w:left w:val="none" w:sz="0" w:space="0" w:color="auto"/>
            <w:bottom w:val="none" w:sz="0" w:space="0" w:color="auto"/>
            <w:right w:val="none" w:sz="0" w:space="0" w:color="auto"/>
          </w:divBdr>
        </w:div>
        <w:div w:id="875850436">
          <w:marLeft w:val="1699"/>
          <w:marRight w:val="0"/>
          <w:marTop w:val="0"/>
          <w:marBottom w:val="60"/>
          <w:divBdr>
            <w:top w:val="none" w:sz="0" w:space="0" w:color="auto"/>
            <w:left w:val="none" w:sz="0" w:space="0" w:color="auto"/>
            <w:bottom w:val="none" w:sz="0" w:space="0" w:color="auto"/>
            <w:right w:val="none" w:sz="0" w:space="0" w:color="auto"/>
          </w:divBdr>
        </w:div>
        <w:div w:id="960067483">
          <w:marLeft w:val="1699"/>
          <w:marRight w:val="0"/>
          <w:marTop w:val="0"/>
          <w:marBottom w:val="60"/>
          <w:divBdr>
            <w:top w:val="none" w:sz="0" w:space="0" w:color="auto"/>
            <w:left w:val="none" w:sz="0" w:space="0" w:color="auto"/>
            <w:bottom w:val="none" w:sz="0" w:space="0" w:color="auto"/>
            <w:right w:val="none" w:sz="0" w:space="0" w:color="auto"/>
          </w:divBdr>
        </w:div>
        <w:div w:id="1101415409">
          <w:marLeft w:val="1699"/>
          <w:marRight w:val="0"/>
          <w:marTop w:val="0"/>
          <w:marBottom w:val="60"/>
          <w:divBdr>
            <w:top w:val="none" w:sz="0" w:space="0" w:color="auto"/>
            <w:left w:val="none" w:sz="0" w:space="0" w:color="auto"/>
            <w:bottom w:val="none" w:sz="0" w:space="0" w:color="auto"/>
            <w:right w:val="none" w:sz="0" w:space="0" w:color="auto"/>
          </w:divBdr>
        </w:div>
        <w:div w:id="1993676406">
          <w:marLeft w:val="2722"/>
          <w:marRight w:val="0"/>
          <w:marTop w:val="0"/>
          <w:marBottom w:val="60"/>
          <w:divBdr>
            <w:top w:val="none" w:sz="0" w:space="0" w:color="auto"/>
            <w:left w:val="none" w:sz="0" w:space="0" w:color="auto"/>
            <w:bottom w:val="none" w:sz="0" w:space="0" w:color="auto"/>
            <w:right w:val="none" w:sz="0" w:space="0" w:color="auto"/>
          </w:divBdr>
        </w:div>
        <w:div w:id="2040466794">
          <w:marLeft w:val="2722"/>
          <w:marRight w:val="0"/>
          <w:marTop w:val="0"/>
          <w:marBottom w:val="60"/>
          <w:divBdr>
            <w:top w:val="none" w:sz="0" w:space="0" w:color="auto"/>
            <w:left w:val="none" w:sz="0" w:space="0" w:color="auto"/>
            <w:bottom w:val="none" w:sz="0" w:space="0" w:color="auto"/>
            <w:right w:val="none" w:sz="0" w:space="0" w:color="auto"/>
          </w:divBdr>
        </w:div>
      </w:divsChild>
    </w:div>
    <w:div w:id="920455268">
      <w:bodyDiv w:val="1"/>
      <w:marLeft w:val="0"/>
      <w:marRight w:val="0"/>
      <w:marTop w:val="0"/>
      <w:marBottom w:val="0"/>
      <w:divBdr>
        <w:top w:val="none" w:sz="0" w:space="0" w:color="auto"/>
        <w:left w:val="none" w:sz="0" w:space="0" w:color="auto"/>
        <w:bottom w:val="none" w:sz="0" w:space="0" w:color="auto"/>
        <w:right w:val="none" w:sz="0" w:space="0" w:color="auto"/>
      </w:divBdr>
    </w:div>
    <w:div w:id="923996636">
      <w:bodyDiv w:val="1"/>
      <w:marLeft w:val="0"/>
      <w:marRight w:val="0"/>
      <w:marTop w:val="0"/>
      <w:marBottom w:val="0"/>
      <w:divBdr>
        <w:top w:val="none" w:sz="0" w:space="0" w:color="auto"/>
        <w:left w:val="none" w:sz="0" w:space="0" w:color="auto"/>
        <w:bottom w:val="none" w:sz="0" w:space="0" w:color="auto"/>
        <w:right w:val="none" w:sz="0" w:space="0" w:color="auto"/>
      </w:divBdr>
    </w:div>
    <w:div w:id="1050155281">
      <w:bodyDiv w:val="1"/>
      <w:marLeft w:val="0"/>
      <w:marRight w:val="0"/>
      <w:marTop w:val="0"/>
      <w:marBottom w:val="0"/>
      <w:divBdr>
        <w:top w:val="none" w:sz="0" w:space="0" w:color="auto"/>
        <w:left w:val="none" w:sz="0" w:space="0" w:color="auto"/>
        <w:bottom w:val="none" w:sz="0" w:space="0" w:color="auto"/>
        <w:right w:val="none" w:sz="0" w:space="0" w:color="auto"/>
      </w:divBdr>
    </w:div>
    <w:div w:id="1089423084">
      <w:bodyDiv w:val="1"/>
      <w:marLeft w:val="0"/>
      <w:marRight w:val="0"/>
      <w:marTop w:val="0"/>
      <w:marBottom w:val="0"/>
      <w:divBdr>
        <w:top w:val="none" w:sz="0" w:space="0" w:color="auto"/>
        <w:left w:val="none" w:sz="0" w:space="0" w:color="auto"/>
        <w:bottom w:val="none" w:sz="0" w:space="0" w:color="auto"/>
        <w:right w:val="none" w:sz="0" w:space="0" w:color="auto"/>
      </w:divBdr>
      <w:divsChild>
        <w:div w:id="382216221">
          <w:marLeft w:val="562"/>
          <w:marRight w:val="0"/>
          <w:marTop w:val="0"/>
          <w:marBottom w:val="0"/>
          <w:divBdr>
            <w:top w:val="none" w:sz="0" w:space="0" w:color="auto"/>
            <w:left w:val="none" w:sz="0" w:space="0" w:color="auto"/>
            <w:bottom w:val="none" w:sz="0" w:space="0" w:color="auto"/>
            <w:right w:val="none" w:sz="0" w:space="0" w:color="auto"/>
          </w:divBdr>
        </w:div>
        <w:div w:id="1302688625">
          <w:marLeft w:val="562"/>
          <w:marRight w:val="0"/>
          <w:marTop w:val="0"/>
          <w:marBottom w:val="120"/>
          <w:divBdr>
            <w:top w:val="none" w:sz="0" w:space="0" w:color="auto"/>
            <w:left w:val="none" w:sz="0" w:space="0" w:color="auto"/>
            <w:bottom w:val="none" w:sz="0" w:space="0" w:color="auto"/>
            <w:right w:val="none" w:sz="0" w:space="0" w:color="auto"/>
          </w:divBdr>
        </w:div>
        <w:div w:id="1510949561">
          <w:marLeft w:val="562"/>
          <w:marRight w:val="0"/>
          <w:marTop w:val="0"/>
          <w:marBottom w:val="120"/>
          <w:divBdr>
            <w:top w:val="none" w:sz="0" w:space="0" w:color="auto"/>
            <w:left w:val="none" w:sz="0" w:space="0" w:color="auto"/>
            <w:bottom w:val="none" w:sz="0" w:space="0" w:color="auto"/>
            <w:right w:val="none" w:sz="0" w:space="0" w:color="auto"/>
          </w:divBdr>
        </w:div>
        <w:div w:id="1676300609">
          <w:marLeft w:val="562"/>
          <w:marRight w:val="0"/>
          <w:marTop w:val="0"/>
          <w:marBottom w:val="0"/>
          <w:divBdr>
            <w:top w:val="none" w:sz="0" w:space="0" w:color="auto"/>
            <w:left w:val="none" w:sz="0" w:space="0" w:color="auto"/>
            <w:bottom w:val="none" w:sz="0" w:space="0" w:color="auto"/>
            <w:right w:val="none" w:sz="0" w:space="0" w:color="auto"/>
          </w:divBdr>
        </w:div>
        <w:div w:id="1879321270">
          <w:marLeft w:val="562"/>
          <w:marRight w:val="0"/>
          <w:marTop w:val="0"/>
          <w:marBottom w:val="0"/>
          <w:divBdr>
            <w:top w:val="none" w:sz="0" w:space="0" w:color="auto"/>
            <w:left w:val="none" w:sz="0" w:space="0" w:color="auto"/>
            <w:bottom w:val="none" w:sz="0" w:space="0" w:color="auto"/>
            <w:right w:val="none" w:sz="0" w:space="0" w:color="auto"/>
          </w:divBdr>
        </w:div>
        <w:div w:id="2126657276">
          <w:marLeft w:val="562"/>
          <w:marRight w:val="0"/>
          <w:marTop w:val="0"/>
          <w:marBottom w:val="0"/>
          <w:divBdr>
            <w:top w:val="none" w:sz="0" w:space="0" w:color="auto"/>
            <w:left w:val="none" w:sz="0" w:space="0" w:color="auto"/>
            <w:bottom w:val="none" w:sz="0" w:space="0" w:color="auto"/>
            <w:right w:val="none" w:sz="0" w:space="0" w:color="auto"/>
          </w:divBdr>
        </w:div>
      </w:divsChild>
    </w:div>
    <w:div w:id="1143347891">
      <w:bodyDiv w:val="1"/>
      <w:marLeft w:val="0"/>
      <w:marRight w:val="0"/>
      <w:marTop w:val="0"/>
      <w:marBottom w:val="0"/>
      <w:divBdr>
        <w:top w:val="none" w:sz="0" w:space="0" w:color="auto"/>
        <w:left w:val="none" w:sz="0" w:space="0" w:color="auto"/>
        <w:bottom w:val="none" w:sz="0" w:space="0" w:color="auto"/>
        <w:right w:val="none" w:sz="0" w:space="0" w:color="auto"/>
      </w:divBdr>
      <w:divsChild>
        <w:div w:id="98107742">
          <w:marLeft w:val="562"/>
          <w:marRight w:val="0"/>
          <w:marTop w:val="96"/>
          <w:marBottom w:val="360"/>
          <w:divBdr>
            <w:top w:val="none" w:sz="0" w:space="0" w:color="auto"/>
            <w:left w:val="none" w:sz="0" w:space="0" w:color="auto"/>
            <w:bottom w:val="none" w:sz="0" w:space="0" w:color="auto"/>
            <w:right w:val="none" w:sz="0" w:space="0" w:color="auto"/>
          </w:divBdr>
        </w:div>
        <w:div w:id="359554486">
          <w:marLeft w:val="562"/>
          <w:marRight w:val="0"/>
          <w:marTop w:val="96"/>
          <w:marBottom w:val="360"/>
          <w:divBdr>
            <w:top w:val="none" w:sz="0" w:space="0" w:color="auto"/>
            <w:left w:val="none" w:sz="0" w:space="0" w:color="auto"/>
            <w:bottom w:val="none" w:sz="0" w:space="0" w:color="auto"/>
            <w:right w:val="none" w:sz="0" w:space="0" w:color="auto"/>
          </w:divBdr>
        </w:div>
        <w:div w:id="1676306237">
          <w:marLeft w:val="562"/>
          <w:marRight w:val="0"/>
          <w:marTop w:val="96"/>
          <w:marBottom w:val="360"/>
          <w:divBdr>
            <w:top w:val="none" w:sz="0" w:space="0" w:color="auto"/>
            <w:left w:val="none" w:sz="0" w:space="0" w:color="auto"/>
            <w:bottom w:val="none" w:sz="0" w:space="0" w:color="auto"/>
            <w:right w:val="none" w:sz="0" w:space="0" w:color="auto"/>
          </w:divBdr>
        </w:div>
        <w:div w:id="1904020358">
          <w:marLeft w:val="562"/>
          <w:marRight w:val="0"/>
          <w:marTop w:val="96"/>
          <w:marBottom w:val="360"/>
          <w:divBdr>
            <w:top w:val="none" w:sz="0" w:space="0" w:color="auto"/>
            <w:left w:val="none" w:sz="0" w:space="0" w:color="auto"/>
            <w:bottom w:val="none" w:sz="0" w:space="0" w:color="auto"/>
            <w:right w:val="none" w:sz="0" w:space="0" w:color="auto"/>
          </w:divBdr>
        </w:div>
      </w:divsChild>
    </w:div>
    <w:div w:id="1214660370">
      <w:bodyDiv w:val="1"/>
      <w:marLeft w:val="0"/>
      <w:marRight w:val="0"/>
      <w:marTop w:val="0"/>
      <w:marBottom w:val="0"/>
      <w:divBdr>
        <w:top w:val="none" w:sz="0" w:space="0" w:color="auto"/>
        <w:left w:val="none" w:sz="0" w:space="0" w:color="auto"/>
        <w:bottom w:val="none" w:sz="0" w:space="0" w:color="auto"/>
        <w:right w:val="none" w:sz="0" w:space="0" w:color="auto"/>
      </w:divBdr>
      <w:divsChild>
        <w:div w:id="2115587479">
          <w:marLeft w:val="0"/>
          <w:marRight w:val="0"/>
          <w:marTop w:val="0"/>
          <w:marBottom w:val="0"/>
          <w:divBdr>
            <w:top w:val="none" w:sz="0" w:space="0" w:color="auto"/>
            <w:left w:val="single" w:sz="24" w:space="0" w:color="FFFFFF"/>
            <w:bottom w:val="none" w:sz="0" w:space="0" w:color="auto"/>
            <w:right w:val="single" w:sz="24" w:space="0" w:color="FFFFFF"/>
          </w:divBdr>
          <w:divsChild>
            <w:div w:id="350844496">
              <w:marLeft w:val="0"/>
              <w:marRight w:val="0"/>
              <w:marTop w:val="0"/>
              <w:marBottom w:val="0"/>
              <w:divBdr>
                <w:top w:val="none" w:sz="0" w:space="0" w:color="auto"/>
                <w:left w:val="none" w:sz="0" w:space="0" w:color="auto"/>
                <w:bottom w:val="none" w:sz="0" w:space="0" w:color="auto"/>
                <w:right w:val="none" w:sz="0" w:space="0" w:color="auto"/>
              </w:divBdr>
              <w:divsChild>
                <w:div w:id="1164778265">
                  <w:marLeft w:val="0"/>
                  <w:marRight w:val="0"/>
                  <w:marTop w:val="0"/>
                  <w:marBottom w:val="0"/>
                  <w:divBdr>
                    <w:top w:val="none" w:sz="0" w:space="0" w:color="auto"/>
                    <w:left w:val="none" w:sz="0" w:space="0" w:color="auto"/>
                    <w:bottom w:val="none" w:sz="0" w:space="0" w:color="auto"/>
                    <w:right w:val="none" w:sz="0" w:space="0" w:color="auto"/>
                  </w:divBdr>
                  <w:divsChild>
                    <w:div w:id="14581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7721">
      <w:bodyDiv w:val="1"/>
      <w:marLeft w:val="0"/>
      <w:marRight w:val="0"/>
      <w:marTop w:val="0"/>
      <w:marBottom w:val="0"/>
      <w:divBdr>
        <w:top w:val="none" w:sz="0" w:space="0" w:color="auto"/>
        <w:left w:val="none" w:sz="0" w:space="0" w:color="auto"/>
        <w:bottom w:val="none" w:sz="0" w:space="0" w:color="auto"/>
        <w:right w:val="none" w:sz="0" w:space="0" w:color="auto"/>
      </w:divBdr>
      <w:divsChild>
        <w:div w:id="31612164">
          <w:marLeft w:val="2261"/>
          <w:marRight w:val="0"/>
          <w:marTop w:val="0"/>
          <w:marBottom w:val="120"/>
          <w:divBdr>
            <w:top w:val="none" w:sz="0" w:space="0" w:color="auto"/>
            <w:left w:val="none" w:sz="0" w:space="0" w:color="auto"/>
            <w:bottom w:val="none" w:sz="0" w:space="0" w:color="auto"/>
            <w:right w:val="none" w:sz="0" w:space="0" w:color="auto"/>
          </w:divBdr>
        </w:div>
        <w:div w:id="61946796">
          <w:marLeft w:val="2261"/>
          <w:marRight w:val="0"/>
          <w:marTop w:val="0"/>
          <w:marBottom w:val="120"/>
          <w:divBdr>
            <w:top w:val="none" w:sz="0" w:space="0" w:color="auto"/>
            <w:left w:val="none" w:sz="0" w:space="0" w:color="auto"/>
            <w:bottom w:val="none" w:sz="0" w:space="0" w:color="auto"/>
            <w:right w:val="none" w:sz="0" w:space="0" w:color="auto"/>
          </w:divBdr>
        </w:div>
        <w:div w:id="510606023">
          <w:marLeft w:val="2261"/>
          <w:marRight w:val="0"/>
          <w:marTop w:val="0"/>
          <w:marBottom w:val="120"/>
          <w:divBdr>
            <w:top w:val="none" w:sz="0" w:space="0" w:color="auto"/>
            <w:left w:val="none" w:sz="0" w:space="0" w:color="auto"/>
            <w:bottom w:val="none" w:sz="0" w:space="0" w:color="auto"/>
            <w:right w:val="none" w:sz="0" w:space="0" w:color="auto"/>
          </w:divBdr>
        </w:div>
        <w:div w:id="546533241">
          <w:marLeft w:val="2261"/>
          <w:marRight w:val="0"/>
          <w:marTop w:val="0"/>
          <w:marBottom w:val="120"/>
          <w:divBdr>
            <w:top w:val="none" w:sz="0" w:space="0" w:color="auto"/>
            <w:left w:val="none" w:sz="0" w:space="0" w:color="auto"/>
            <w:bottom w:val="none" w:sz="0" w:space="0" w:color="auto"/>
            <w:right w:val="none" w:sz="0" w:space="0" w:color="auto"/>
          </w:divBdr>
        </w:div>
        <w:div w:id="601961455">
          <w:marLeft w:val="1195"/>
          <w:marRight w:val="0"/>
          <w:marTop w:val="0"/>
          <w:marBottom w:val="120"/>
          <w:divBdr>
            <w:top w:val="none" w:sz="0" w:space="0" w:color="auto"/>
            <w:left w:val="none" w:sz="0" w:space="0" w:color="auto"/>
            <w:bottom w:val="none" w:sz="0" w:space="0" w:color="auto"/>
            <w:right w:val="none" w:sz="0" w:space="0" w:color="auto"/>
          </w:divBdr>
        </w:div>
        <w:div w:id="807288348">
          <w:marLeft w:val="2261"/>
          <w:marRight w:val="0"/>
          <w:marTop w:val="0"/>
          <w:marBottom w:val="120"/>
          <w:divBdr>
            <w:top w:val="none" w:sz="0" w:space="0" w:color="auto"/>
            <w:left w:val="none" w:sz="0" w:space="0" w:color="auto"/>
            <w:bottom w:val="none" w:sz="0" w:space="0" w:color="auto"/>
            <w:right w:val="none" w:sz="0" w:space="0" w:color="auto"/>
          </w:divBdr>
        </w:div>
        <w:div w:id="863326715">
          <w:marLeft w:val="2261"/>
          <w:marRight w:val="0"/>
          <w:marTop w:val="0"/>
          <w:marBottom w:val="120"/>
          <w:divBdr>
            <w:top w:val="none" w:sz="0" w:space="0" w:color="auto"/>
            <w:left w:val="none" w:sz="0" w:space="0" w:color="auto"/>
            <w:bottom w:val="none" w:sz="0" w:space="0" w:color="auto"/>
            <w:right w:val="none" w:sz="0" w:space="0" w:color="auto"/>
          </w:divBdr>
        </w:div>
        <w:div w:id="972826549">
          <w:marLeft w:val="1166"/>
          <w:marRight w:val="0"/>
          <w:marTop w:val="0"/>
          <w:marBottom w:val="120"/>
          <w:divBdr>
            <w:top w:val="none" w:sz="0" w:space="0" w:color="auto"/>
            <w:left w:val="none" w:sz="0" w:space="0" w:color="auto"/>
            <w:bottom w:val="none" w:sz="0" w:space="0" w:color="auto"/>
            <w:right w:val="none" w:sz="0" w:space="0" w:color="auto"/>
          </w:divBdr>
        </w:div>
        <w:div w:id="1168248050">
          <w:marLeft w:val="2261"/>
          <w:marRight w:val="0"/>
          <w:marTop w:val="0"/>
          <w:marBottom w:val="120"/>
          <w:divBdr>
            <w:top w:val="none" w:sz="0" w:space="0" w:color="auto"/>
            <w:left w:val="none" w:sz="0" w:space="0" w:color="auto"/>
            <w:bottom w:val="none" w:sz="0" w:space="0" w:color="auto"/>
            <w:right w:val="none" w:sz="0" w:space="0" w:color="auto"/>
          </w:divBdr>
        </w:div>
        <w:div w:id="1244800753">
          <w:marLeft w:val="2261"/>
          <w:marRight w:val="0"/>
          <w:marTop w:val="0"/>
          <w:marBottom w:val="120"/>
          <w:divBdr>
            <w:top w:val="none" w:sz="0" w:space="0" w:color="auto"/>
            <w:left w:val="none" w:sz="0" w:space="0" w:color="auto"/>
            <w:bottom w:val="none" w:sz="0" w:space="0" w:color="auto"/>
            <w:right w:val="none" w:sz="0" w:space="0" w:color="auto"/>
          </w:divBdr>
        </w:div>
        <w:div w:id="1767847728">
          <w:marLeft w:val="1195"/>
          <w:marRight w:val="0"/>
          <w:marTop w:val="0"/>
          <w:marBottom w:val="120"/>
          <w:divBdr>
            <w:top w:val="none" w:sz="0" w:space="0" w:color="auto"/>
            <w:left w:val="none" w:sz="0" w:space="0" w:color="auto"/>
            <w:bottom w:val="none" w:sz="0" w:space="0" w:color="auto"/>
            <w:right w:val="none" w:sz="0" w:space="0" w:color="auto"/>
          </w:divBdr>
        </w:div>
      </w:divsChild>
    </w:div>
    <w:div w:id="1508867195">
      <w:bodyDiv w:val="1"/>
      <w:marLeft w:val="0"/>
      <w:marRight w:val="0"/>
      <w:marTop w:val="0"/>
      <w:marBottom w:val="0"/>
      <w:divBdr>
        <w:top w:val="none" w:sz="0" w:space="0" w:color="auto"/>
        <w:left w:val="none" w:sz="0" w:space="0" w:color="auto"/>
        <w:bottom w:val="none" w:sz="0" w:space="0" w:color="auto"/>
        <w:right w:val="none" w:sz="0" w:space="0" w:color="auto"/>
      </w:divBdr>
    </w:div>
    <w:div w:id="1523326377">
      <w:bodyDiv w:val="1"/>
      <w:marLeft w:val="0"/>
      <w:marRight w:val="0"/>
      <w:marTop w:val="0"/>
      <w:marBottom w:val="0"/>
      <w:divBdr>
        <w:top w:val="none" w:sz="0" w:space="0" w:color="auto"/>
        <w:left w:val="none" w:sz="0" w:space="0" w:color="auto"/>
        <w:bottom w:val="none" w:sz="0" w:space="0" w:color="auto"/>
        <w:right w:val="none" w:sz="0" w:space="0" w:color="auto"/>
      </w:divBdr>
      <w:divsChild>
        <w:div w:id="128935599">
          <w:marLeft w:val="1080"/>
          <w:marRight w:val="0"/>
          <w:marTop w:val="77"/>
          <w:marBottom w:val="120"/>
          <w:divBdr>
            <w:top w:val="none" w:sz="0" w:space="0" w:color="auto"/>
            <w:left w:val="none" w:sz="0" w:space="0" w:color="auto"/>
            <w:bottom w:val="none" w:sz="0" w:space="0" w:color="auto"/>
            <w:right w:val="none" w:sz="0" w:space="0" w:color="auto"/>
          </w:divBdr>
        </w:div>
        <w:div w:id="1216967177">
          <w:marLeft w:val="965"/>
          <w:marRight w:val="0"/>
          <w:marTop w:val="77"/>
          <w:marBottom w:val="120"/>
          <w:divBdr>
            <w:top w:val="none" w:sz="0" w:space="0" w:color="auto"/>
            <w:left w:val="none" w:sz="0" w:space="0" w:color="auto"/>
            <w:bottom w:val="none" w:sz="0" w:space="0" w:color="auto"/>
            <w:right w:val="none" w:sz="0" w:space="0" w:color="auto"/>
          </w:divBdr>
        </w:div>
        <w:div w:id="1229535951">
          <w:marLeft w:val="562"/>
          <w:marRight w:val="0"/>
          <w:marTop w:val="77"/>
          <w:marBottom w:val="120"/>
          <w:divBdr>
            <w:top w:val="none" w:sz="0" w:space="0" w:color="auto"/>
            <w:left w:val="none" w:sz="0" w:space="0" w:color="auto"/>
            <w:bottom w:val="none" w:sz="0" w:space="0" w:color="auto"/>
            <w:right w:val="none" w:sz="0" w:space="0" w:color="auto"/>
          </w:divBdr>
        </w:div>
        <w:div w:id="1519543239">
          <w:marLeft w:val="562"/>
          <w:marRight w:val="0"/>
          <w:marTop w:val="77"/>
          <w:marBottom w:val="120"/>
          <w:divBdr>
            <w:top w:val="none" w:sz="0" w:space="0" w:color="auto"/>
            <w:left w:val="none" w:sz="0" w:space="0" w:color="auto"/>
            <w:bottom w:val="none" w:sz="0" w:space="0" w:color="auto"/>
            <w:right w:val="none" w:sz="0" w:space="0" w:color="auto"/>
          </w:divBdr>
        </w:div>
      </w:divsChild>
    </w:div>
    <w:div w:id="1725637011">
      <w:bodyDiv w:val="1"/>
      <w:marLeft w:val="0"/>
      <w:marRight w:val="0"/>
      <w:marTop w:val="0"/>
      <w:marBottom w:val="0"/>
      <w:divBdr>
        <w:top w:val="none" w:sz="0" w:space="0" w:color="auto"/>
        <w:left w:val="none" w:sz="0" w:space="0" w:color="auto"/>
        <w:bottom w:val="none" w:sz="0" w:space="0" w:color="auto"/>
        <w:right w:val="none" w:sz="0" w:space="0" w:color="auto"/>
      </w:divBdr>
    </w:div>
    <w:div w:id="1789005425">
      <w:bodyDiv w:val="1"/>
      <w:marLeft w:val="0"/>
      <w:marRight w:val="0"/>
      <w:marTop w:val="0"/>
      <w:marBottom w:val="0"/>
      <w:divBdr>
        <w:top w:val="none" w:sz="0" w:space="0" w:color="auto"/>
        <w:left w:val="none" w:sz="0" w:space="0" w:color="auto"/>
        <w:bottom w:val="none" w:sz="0" w:space="0" w:color="auto"/>
        <w:right w:val="none" w:sz="0" w:space="0" w:color="auto"/>
      </w:divBdr>
    </w:div>
    <w:div w:id="1999571660">
      <w:bodyDiv w:val="1"/>
      <w:marLeft w:val="0"/>
      <w:marRight w:val="0"/>
      <w:marTop w:val="0"/>
      <w:marBottom w:val="0"/>
      <w:divBdr>
        <w:top w:val="none" w:sz="0" w:space="0" w:color="auto"/>
        <w:left w:val="none" w:sz="0" w:space="0" w:color="auto"/>
        <w:bottom w:val="none" w:sz="0" w:space="0" w:color="auto"/>
        <w:right w:val="none" w:sz="0" w:space="0" w:color="auto"/>
      </w:divBdr>
      <w:divsChild>
        <w:div w:id="81685245">
          <w:marLeft w:val="562"/>
          <w:marRight w:val="0"/>
          <w:marTop w:val="91"/>
          <w:marBottom w:val="0"/>
          <w:divBdr>
            <w:top w:val="none" w:sz="0" w:space="0" w:color="auto"/>
            <w:left w:val="none" w:sz="0" w:space="0" w:color="auto"/>
            <w:bottom w:val="none" w:sz="0" w:space="0" w:color="auto"/>
            <w:right w:val="none" w:sz="0" w:space="0" w:color="auto"/>
          </w:divBdr>
        </w:div>
        <w:div w:id="231744886">
          <w:marLeft w:val="2822"/>
          <w:marRight w:val="0"/>
          <w:marTop w:val="91"/>
          <w:marBottom w:val="0"/>
          <w:divBdr>
            <w:top w:val="none" w:sz="0" w:space="0" w:color="auto"/>
            <w:left w:val="none" w:sz="0" w:space="0" w:color="auto"/>
            <w:bottom w:val="none" w:sz="0" w:space="0" w:color="auto"/>
            <w:right w:val="none" w:sz="0" w:space="0" w:color="auto"/>
          </w:divBdr>
        </w:div>
        <w:div w:id="485827489">
          <w:marLeft w:val="2822"/>
          <w:marRight w:val="0"/>
          <w:marTop w:val="91"/>
          <w:marBottom w:val="0"/>
          <w:divBdr>
            <w:top w:val="none" w:sz="0" w:space="0" w:color="auto"/>
            <w:left w:val="none" w:sz="0" w:space="0" w:color="auto"/>
            <w:bottom w:val="none" w:sz="0" w:space="0" w:color="auto"/>
            <w:right w:val="none" w:sz="0" w:space="0" w:color="auto"/>
          </w:divBdr>
        </w:div>
        <w:div w:id="678041625">
          <w:marLeft w:val="562"/>
          <w:marRight w:val="0"/>
          <w:marTop w:val="91"/>
          <w:marBottom w:val="0"/>
          <w:divBdr>
            <w:top w:val="none" w:sz="0" w:space="0" w:color="auto"/>
            <w:left w:val="none" w:sz="0" w:space="0" w:color="auto"/>
            <w:bottom w:val="none" w:sz="0" w:space="0" w:color="auto"/>
            <w:right w:val="none" w:sz="0" w:space="0" w:color="auto"/>
          </w:divBdr>
        </w:div>
        <w:div w:id="831799393">
          <w:marLeft w:val="562"/>
          <w:marRight w:val="0"/>
          <w:marTop w:val="91"/>
          <w:marBottom w:val="0"/>
          <w:divBdr>
            <w:top w:val="none" w:sz="0" w:space="0" w:color="auto"/>
            <w:left w:val="none" w:sz="0" w:space="0" w:color="auto"/>
            <w:bottom w:val="none" w:sz="0" w:space="0" w:color="auto"/>
            <w:right w:val="none" w:sz="0" w:space="0" w:color="auto"/>
          </w:divBdr>
        </w:div>
        <w:div w:id="1064176988">
          <w:marLeft w:val="562"/>
          <w:marRight w:val="0"/>
          <w:marTop w:val="91"/>
          <w:marBottom w:val="0"/>
          <w:divBdr>
            <w:top w:val="none" w:sz="0" w:space="0" w:color="auto"/>
            <w:left w:val="none" w:sz="0" w:space="0" w:color="auto"/>
            <w:bottom w:val="none" w:sz="0" w:space="0" w:color="auto"/>
            <w:right w:val="none" w:sz="0" w:space="0" w:color="auto"/>
          </w:divBdr>
        </w:div>
        <w:div w:id="1241330548">
          <w:marLeft w:val="2822"/>
          <w:marRight w:val="0"/>
          <w:marTop w:val="91"/>
          <w:marBottom w:val="0"/>
          <w:divBdr>
            <w:top w:val="none" w:sz="0" w:space="0" w:color="auto"/>
            <w:left w:val="none" w:sz="0" w:space="0" w:color="auto"/>
            <w:bottom w:val="none" w:sz="0" w:space="0" w:color="auto"/>
            <w:right w:val="none" w:sz="0" w:space="0" w:color="auto"/>
          </w:divBdr>
        </w:div>
        <w:div w:id="2034570952">
          <w:marLeft w:val="562"/>
          <w:marRight w:val="0"/>
          <w:marTop w:val="91"/>
          <w:marBottom w:val="0"/>
          <w:divBdr>
            <w:top w:val="none" w:sz="0" w:space="0" w:color="auto"/>
            <w:left w:val="none" w:sz="0" w:space="0" w:color="auto"/>
            <w:bottom w:val="none" w:sz="0" w:space="0" w:color="auto"/>
            <w:right w:val="none" w:sz="0" w:space="0" w:color="auto"/>
          </w:divBdr>
        </w:div>
      </w:divsChild>
    </w:div>
    <w:div w:id="2132818399">
      <w:bodyDiv w:val="1"/>
      <w:marLeft w:val="0"/>
      <w:marRight w:val="0"/>
      <w:marTop w:val="0"/>
      <w:marBottom w:val="0"/>
      <w:divBdr>
        <w:top w:val="none" w:sz="0" w:space="0" w:color="auto"/>
        <w:left w:val="none" w:sz="0" w:space="0" w:color="auto"/>
        <w:bottom w:val="none" w:sz="0" w:space="0" w:color="auto"/>
        <w:right w:val="none" w:sz="0" w:space="0" w:color="auto"/>
      </w:divBdr>
      <w:divsChild>
        <w:div w:id="569736426">
          <w:marLeft w:val="1987"/>
          <w:marRight w:val="0"/>
          <w:marTop w:val="228"/>
          <w:marBottom w:val="0"/>
          <w:divBdr>
            <w:top w:val="none" w:sz="0" w:space="0" w:color="auto"/>
            <w:left w:val="none" w:sz="0" w:space="0" w:color="auto"/>
            <w:bottom w:val="none" w:sz="0" w:space="0" w:color="auto"/>
            <w:right w:val="none" w:sz="0" w:space="0" w:color="auto"/>
          </w:divBdr>
        </w:div>
        <w:div w:id="583880020">
          <w:marLeft w:val="1987"/>
          <w:marRight w:val="0"/>
          <w:marTop w:val="228"/>
          <w:marBottom w:val="0"/>
          <w:divBdr>
            <w:top w:val="none" w:sz="0" w:space="0" w:color="auto"/>
            <w:left w:val="none" w:sz="0" w:space="0" w:color="auto"/>
            <w:bottom w:val="none" w:sz="0" w:space="0" w:color="auto"/>
            <w:right w:val="none" w:sz="0" w:space="0" w:color="auto"/>
          </w:divBdr>
        </w:div>
        <w:div w:id="1471560481">
          <w:marLeft w:val="1987"/>
          <w:marRight w:val="0"/>
          <w:marTop w:val="228"/>
          <w:marBottom w:val="0"/>
          <w:divBdr>
            <w:top w:val="none" w:sz="0" w:space="0" w:color="auto"/>
            <w:left w:val="none" w:sz="0" w:space="0" w:color="auto"/>
            <w:bottom w:val="none" w:sz="0" w:space="0" w:color="auto"/>
            <w:right w:val="none" w:sz="0" w:space="0" w:color="auto"/>
          </w:divBdr>
        </w:div>
        <w:div w:id="1779831768">
          <w:marLeft w:val="1987"/>
          <w:marRight w:val="0"/>
          <w:marTop w:val="228"/>
          <w:marBottom w:val="0"/>
          <w:divBdr>
            <w:top w:val="none" w:sz="0" w:space="0" w:color="auto"/>
            <w:left w:val="none" w:sz="0" w:space="0" w:color="auto"/>
            <w:bottom w:val="none" w:sz="0" w:space="0" w:color="auto"/>
            <w:right w:val="none" w:sz="0" w:space="0" w:color="auto"/>
          </w:divBdr>
        </w:div>
        <w:div w:id="2120250191">
          <w:marLeft w:val="1987"/>
          <w:marRight w:val="0"/>
          <w:marTop w:val="22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chart" Target="charts/chart7.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fontTable" Target="fontTable.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chart" Target="charts/chart6.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5.xm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header" Target="header6.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theme" Target="theme/theme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http://www.czso.cz/csu/redakce.nsf/i/ukazatele_vyzkumu_a_vyvoje_podle_kraju_cr/$File/5_tabulky_kraje.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www.czso.cz/csu/redakce.nsf/i/3_it_v_podnicich_eu_islandu_a_norska_za_leden_2010/$File/3_it_podniky_eu_2010.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www.czso.cz/csu/redakce.nsf/i/3_it_v_podnicich_eu_islandu_a_norska_za_leden_2010/$File/3_it_podniky_eu_2010.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tacnik\AppData\Local\Microsoft\Windows\Temporary%20Internet%20Files\Content.IE5\O5MQEJSO\nrg_ind_332a.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pvhome\home$\ptacnik\Dokumenty\analytick&#233;%20podklady%20OPPIK\KVET%20-%20graf.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7.xml.rels><?xml version="1.0" encoding="UTF-8" standalone="yes"?>
<Relationships xmlns="http://schemas.openxmlformats.org/package/2006/relationships"><Relationship Id="rId2" Type="http://schemas.openxmlformats.org/officeDocument/2006/relationships/package" Target="../embeddings/List_aplikace_Microsoft_Office_Excel2.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barChart>
        <c:barDir val="col"/>
        <c:grouping val="stacked"/>
        <c:ser>
          <c:idx val="0"/>
          <c:order val="0"/>
          <c:tx>
            <c:strRef>
              <c:f>'[5_tabulky_kraje.xls]List1'!$B$1</c:f>
              <c:strCache>
                <c:ptCount val="1"/>
                <c:pt idx="0">
                  <c:v>Podnikatelský</c:v>
                </c:pt>
              </c:strCache>
            </c:strRef>
          </c:tx>
          <c:cat>
            <c:strRef>
              <c:f>'[5_tabulky_kraje.xls]List1'!$A$2:$A$15</c:f>
              <c:strCache>
                <c:ptCount val="14"/>
                <c:pt idx="0">
                  <c:v>Praha </c:v>
                </c:pt>
                <c:pt idx="1">
                  <c:v>Středočeský </c:v>
                </c:pt>
                <c:pt idx="2">
                  <c:v>Jihočeský</c:v>
                </c:pt>
                <c:pt idx="3">
                  <c:v>Plzeňský </c:v>
                </c:pt>
                <c:pt idx="4">
                  <c:v>Karlovarský </c:v>
                </c:pt>
                <c:pt idx="5">
                  <c:v>Ústecký </c:v>
                </c:pt>
                <c:pt idx="6">
                  <c:v>Liberecký </c:v>
                </c:pt>
                <c:pt idx="7">
                  <c:v>Královéhradecký</c:v>
                </c:pt>
                <c:pt idx="8">
                  <c:v>Pardubický</c:v>
                </c:pt>
                <c:pt idx="9">
                  <c:v>Vysočina</c:v>
                </c:pt>
                <c:pt idx="10">
                  <c:v>Jihomoravský</c:v>
                </c:pt>
                <c:pt idx="11">
                  <c:v>Olomoucký</c:v>
                </c:pt>
                <c:pt idx="12">
                  <c:v>Zlínský</c:v>
                </c:pt>
                <c:pt idx="13">
                  <c:v>Moravskoslezský</c:v>
                </c:pt>
              </c:strCache>
            </c:strRef>
          </c:cat>
          <c:val>
            <c:numRef>
              <c:f>'[5_tabulky_kraje.xls]List1'!$B$2:$B$15</c:f>
              <c:numCache>
                <c:formatCode>#,##0" "</c:formatCode>
                <c:ptCount val="14"/>
                <c:pt idx="0">
                  <c:v>8502.1853700000011</c:v>
                </c:pt>
                <c:pt idx="1">
                  <c:v>13012.289290000002</c:v>
                </c:pt>
                <c:pt idx="2">
                  <c:v>1250.3144799999998</c:v>
                </c:pt>
                <c:pt idx="3">
                  <c:v>2378.4059500000012</c:v>
                </c:pt>
                <c:pt idx="4">
                  <c:v>123.09599999999999</c:v>
                </c:pt>
                <c:pt idx="5">
                  <c:v>629.3580300000001</c:v>
                </c:pt>
                <c:pt idx="6">
                  <c:v>1154.7190700000001</c:v>
                </c:pt>
                <c:pt idx="7">
                  <c:v>1204.8006800000003</c:v>
                </c:pt>
                <c:pt idx="8">
                  <c:v>2205.9223000000006</c:v>
                </c:pt>
                <c:pt idx="9">
                  <c:v>765.47376000000054</c:v>
                </c:pt>
                <c:pt idx="10">
                  <c:v>5428.521050000003</c:v>
                </c:pt>
                <c:pt idx="11">
                  <c:v>1061.1950099999997</c:v>
                </c:pt>
                <c:pt idx="12">
                  <c:v>1916.8738599999999</c:v>
                </c:pt>
                <c:pt idx="13">
                  <c:v>3025.3387300000022</c:v>
                </c:pt>
              </c:numCache>
            </c:numRef>
          </c:val>
        </c:ser>
        <c:ser>
          <c:idx val="1"/>
          <c:order val="1"/>
          <c:tx>
            <c:strRef>
              <c:f>'[5_tabulky_kraje.xls]List1'!$C$1</c:f>
              <c:strCache>
                <c:ptCount val="1"/>
                <c:pt idx="0">
                  <c:v>Vládní</c:v>
                </c:pt>
              </c:strCache>
            </c:strRef>
          </c:tx>
          <c:cat>
            <c:strRef>
              <c:f>'[5_tabulky_kraje.xls]List1'!$A$2:$A$15</c:f>
              <c:strCache>
                <c:ptCount val="14"/>
                <c:pt idx="0">
                  <c:v>Praha </c:v>
                </c:pt>
                <c:pt idx="1">
                  <c:v>Středočeský </c:v>
                </c:pt>
                <c:pt idx="2">
                  <c:v>Jihočeský</c:v>
                </c:pt>
                <c:pt idx="3">
                  <c:v>Plzeňský </c:v>
                </c:pt>
                <c:pt idx="4">
                  <c:v>Karlovarský </c:v>
                </c:pt>
                <c:pt idx="5">
                  <c:v>Ústecký </c:v>
                </c:pt>
                <c:pt idx="6">
                  <c:v>Liberecký </c:v>
                </c:pt>
                <c:pt idx="7">
                  <c:v>Královéhradecký</c:v>
                </c:pt>
                <c:pt idx="8">
                  <c:v>Pardubický</c:v>
                </c:pt>
                <c:pt idx="9">
                  <c:v>Vysočina</c:v>
                </c:pt>
                <c:pt idx="10">
                  <c:v>Jihomoravský</c:v>
                </c:pt>
                <c:pt idx="11">
                  <c:v>Olomoucký</c:v>
                </c:pt>
                <c:pt idx="12">
                  <c:v>Zlínský</c:v>
                </c:pt>
                <c:pt idx="13">
                  <c:v>Moravskoslezský</c:v>
                </c:pt>
              </c:strCache>
            </c:strRef>
          </c:cat>
          <c:val>
            <c:numRef>
              <c:f>'[5_tabulky_kraje.xls]List1'!$C$2:$C$15</c:f>
              <c:numCache>
                <c:formatCode>#,##0" "</c:formatCode>
                <c:ptCount val="14"/>
                <c:pt idx="0">
                  <c:v>9180.4970000000012</c:v>
                </c:pt>
                <c:pt idx="1">
                  <c:v>1053.6579999999999</c:v>
                </c:pt>
                <c:pt idx="2">
                  <c:v>465.06256999999994</c:v>
                </c:pt>
                <c:pt idx="3">
                  <c:v>66.207000000000022</c:v>
                </c:pt>
                <c:pt idx="4">
                  <c:v>0.89500000000000068</c:v>
                </c:pt>
                <c:pt idx="5">
                  <c:v>12.857000000000006</c:v>
                </c:pt>
                <c:pt idx="6">
                  <c:v>40.16546000000001</c:v>
                </c:pt>
                <c:pt idx="7">
                  <c:v>25.527000000000001</c:v>
                </c:pt>
                <c:pt idx="8">
                  <c:v>50.553999999999995</c:v>
                </c:pt>
                <c:pt idx="9">
                  <c:v>12.38500000000001</c:v>
                </c:pt>
                <c:pt idx="10">
                  <c:v>1323.4090000000001</c:v>
                </c:pt>
                <c:pt idx="11">
                  <c:v>11.936</c:v>
                </c:pt>
                <c:pt idx="12">
                  <c:v>4.2219999999999995</c:v>
                </c:pt>
                <c:pt idx="13">
                  <c:v>155.40800000000004</c:v>
                </c:pt>
              </c:numCache>
            </c:numRef>
          </c:val>
        </c:ser>
        <c:ser>
          <c:idx val="2"/>
          <c:order val="2"/>
          <c:tx>
            <c:strRef>
              <c:f>'[5_tabulky_kraje.xls]List1'!$D$1</c:f>
              <c:strCache>
                <c:ptCount val="1"/>
                <c:pt idx="0">
                  <c:v>Vysokoškolský</c:v>
                </c:pt>
              </c:strCache>
            </c:strRef>
          </c:tx>
          <c:cat>
            <c:strRef>
              <c:f>'[5_tabulky_kraje.xls]List1'!$A$2:$A$15</c:f>
              <c:strCache>
                <c:ptCount val="14"/>
                <c:pt idx="0">
                  <c:v>Praha </c:v>
                </c:pt>
                <c:pt idx="1">
                  <c:v>Středočeský </c:v>
                </c:pt>
                <c:pt idx="2">
                  <c:v>Jihočeský</c:v>
                </c:pt>
                <c:pt idx="3">
                  <c:v>Plzeňský </c:v>
                </c:pt>
                <c:pt idx="4">
                  <c:v>Karlovarský </c:v>
                </c:pt>
                <c:pt idx="5">
                  <c:v>Ústecký </c:v>
                </c:pt>
                <c:pt idx="6">
                  <c:v>Liberecký </c:v>
                </c:pt>
                <c:pt idx="7">
                  <c:v>Královéhradecký</c:v>
                </c:pt>
                <c:pt idx="8">
                  <c:v>Pardubický</c:v>
                </c:pt>
                <c:pt idx="9">
                  <c:v>Vysočina</c:v>
                </c:pt>
                <c:pt idx="10">
                  <c:v>Jihomoravský</c:v>
                </c:pt>
                <c:pt idx="11">
                  <c:v>Olomoucký</c:v>
                </c:pt>
                <c:pt idx="12">
                  <c:v>Zlínský</c:v>
                </c:pt>
                <c:pt idx="13">
                  <c:v>Moravskoslezský</c:v>
                </c:pt>
              </c:strCache>
            </c:strRef>
          </c:cat>
          <c:val>
            <c:numRef>
              <c:f>'[5_tabulky_kraje.xls]List1'!$D$2:$D$15</c:f>
              <c:numCache>
                <c:formatCode>#,##0" "</c:formatCode>
                <c:ptCount val="14"/>
                <c:pt idx="0">
                  <c:v>5333.9540000000006</c:v>
                </c:pt>
                <c:pt idx="1">
                  <c:v>11.798</c:v>
                </c:pt>
                <c:pt idx="2">
                  <c:v>434.64100000000002</c:v>
                </c:pt>
                <c:pt idx="3">
                  <c:v>685.6</c:v>
                </c:pt>
                <c:pt idx="4">
                  <c:v>0</c:v>
                </c:pt>
                <c:pt idx="5">
                  <c:v>142.20099999999999</c:v>
                </c:pt>
                <c:pt idx="6">
                  <c:v>662.38499999999999</c:v>
                </c:pt>
                <c:pt idx="7">
                  <c:v>412.17999999999995</c:v>
                </c:pt>
                <c:pt idx="8">
                  <c:v>304.339</c:v>
                </c:pt>
                <c:pt idx="9">
                  <c:v>2.3579999999999997</c:v>
                </c:pt>
                <c:pt idx="10">
                  <c:v>4366.1660000000047</c:v>
                </c:pt>
                <c:pt idx="11">
                  <c:v>1040.867</c:v>
                </c:pt>
                <c:pt idx="12">
                  <c:v>187.59</c:v>
                </c:pt>
                <c:pt idx="13">
                  <c:v>1704.3219999999999</c:v>
                </c:pt>
              </c:numCache>
            </c:numRef>
          </c:val>
        </c:ser>
        <c:ser>
          <c:idx val="3"/>
          <c:order val="3"/>
          <c:tx>
            <c:strRef>
              <c:f>'[5_tabulky_kraje.xls]List1'!$E$1</c:f>
              <c:strCache>
                <c:ptCount val="1"/>
                <c:pt idx="0">
                  <c:v>Soukromý neziskový</c:v>
                </c:pt>
              </c:strCache>
            </c:strRef>
          </c:tx>
          <c:cat>
            <c:strRef>
              <c:f>'[5_tabulky_kraje.xls]List1'!$A$2:$A$15</c:f>
              <c:strCache>
                <c:ptCount val="14"/>
                <c:pt idx="0">
                  <c:v>Praha </c:v>
                </c:pt>
                <c:pt idx="1">
                  <c:v>Středočeský </c:v>
                </c:pt>
                <c:pt idx="2">
                  <c:v>Jihočeský</c:v>
                </c:pt>
                <c:pt idx="3">
                  <c:v>Plzeňský </c:v>
                </c:pt>
                <c:pt idx="4">
                  <c:v>Karlovarský </c:v>
                </c:pt>
                <c:pt idx="5">
                  <c:v>Ústecký </c:v>
                </c:pt>
                <c:pt idx="6">
                  <c:v>Liberecký </c:v>
                </c:pt>
                <c:pt idx="7">
                  <c:v>Královéhradecký</c:v>
                </c:pt>
                <c:pt idx="8">
                  <c:v>Pardubický</c:v>
                </c:pt>
                <c:pt idx="9">
                  <c:v>Vysočina</c:v>
                </c:pt>
                <c:pt idx="10">
                  <c:v>Jihomoravský</c:v>
                </c:pt>
                <c:pt idx="11">
                  <c:v>Olomoucký</c:v>
                </c:pt>
                <c:pt idx="12">
                  <c:v>Zlínský</c:v>
                </c:pt>
                <c:pt idx="13">
                  <c:v>Moravskoslezský</c:v>
                </c:pt>
              </c:strCache>
            </c:strRef>
          </c:cat>
          <c:val>
            <c:numRef>
              <c:f>'[5_tabulky_kraje.xls]List1'!$E$2:$E$15</c:f>
              <c:numCache>
                <c:formatCode>#,##0" "</c:formatCode>
                <c:ptCount val="14"/>
                <c:pt idx="0">
                  <c:v>163.03273000000004</c:v>
                </c:pt>
                <c:pt idx="1">
                  <c:v>4.0660000000000007</c:v>
                </c:pt>
                <c:pt idx="2">
                  <c:v>18.488999999999972</c:v>
                </c:pt>
                <c:pt idx="3">
                  <c:v>0.24200000000000016</c:v>
                </c:pt>
                <c:pt idx="4">
                  <c:v>0</c:v>
                </c:pt>
                <c:pt idx="5">
                  <c:v>0</c:v>
                </c:pt>
                <c:pt idx="6">
                  <c:v>3.8939999999999997</c:v>
                </c:pt>
                <c:pt idx="7">
                  <c:v>32.083999999999996</c:v>
                </c:pt>
                <c:pt idx="8">
                  <c:v>3.27</c:v>
                </c:pt>
                <c:pt idx="9">
                  <c:v>0</c:v>
                </c:pt>
                <c:pt idx="10">
                  <c:v>52.396620000000006</c:v>
                </c:pt>
                <c:pt idx="11">
                  <c:v>12.253</c:v>
                </c:pt>
                <c:pt idx="12">
                  <c:v>0</c:v>
                </c:pt>
                <c:pt idx="13">
                  <c:v>55.565000000000012</c:v>
                </c:pt>
              </c:numCache>
            </c:numRef>
          </c:val>
        </c:ser>
        <c:overlap val="100"/>
        <c:axId val="110472192"/>
        <c:axId val="110482176"/>
      </c:barChart>
      <c:catAx>
        <c:axId val="110472192"/>
        <c:scaling>
          <c:orientation val="minMax"/>
        </c:scaling>
        <c:axPos val="b"/>
        <c:tickLblPos val="nextTo"/>
        <c:crossAx val="110482176"/>
        <c:crosses val="autoZero"/>
        <c:auto val="1"/>
        <c:lblAlgn val="ctr"/>
        <c:lblOffset val="100"/>
      </c:catAx>
      <c:valAx>
        <c:axId val="110482176"/>
        <c:scaling>
          <c:orientation val="minMax"/>
        </c:scaling>
        <c:axPos val="l"/>
        <c:majorGridlines/>
        <c:numFmt formatCode="#,##0&quot; &quot;" sourceLinked="1"/>
        <c:tickLblPos val="nextTo"/>
        <c:crossAx val="110472192"/>
        <c:crosses val="autoZero"/>
        <c:crossBetween val="between"/>
      </c:valAx>
      <c:spPr>
        <a:ln>
          <a:solidFill>
            <a:schemeClr val="bg1">
              <a:lumMod val="65000"/>
            </a:schemeClr>
          </a:solidFill>
        </a:ln>
      </c:spPr>
    </c:plotArea>
    <c:legend>
      <c:legendPos val="b"/>
    </c:legend>
    <c:plotVisOnly val="1"/>
    <c:dispBlanksAs val="gap"/>
  </c:chart>
  <c:spPr>
    <a:ln>
      <a:solidFill>
        <a:sysClr val="window" lastClr="FFFFFF">
          <a:lumMod val="65000"/>
        </a:sysClr>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barChart>
        <c:barDir val="col"/>
        <c:grouping val="clustered"/>
        <c:ser>
          <c:idx val="0"/>
          <c:order val="0"/>
          <c:spPr>
            <a:gradFill>
              <a:gsLst>
                <a:gs pos="0">
                  <a:schemeClr val="accent5">
                    <a:shade val="51000"/>
                    <a:satMod val="130000"/>
                  </a:schemeClr>
                </a:gs>
                <a:gs pos="79000">
                  <a:schemeClr val="accent5">
                    <a:lumMod val="60000"/>
                    <a:lumOff val="40000"/>
                  </a:schemeClr>
                </a:gs>
                <a:gs pos="100000">
                  <a:schemeClr val="accent5">
                    <a:lumMod val="40000"/>
                    <a:lumOff val="60000"/>
                  </a:schemeClr>
                </a:gs>
              </a:gsLst>
              <a:lin ang="16200000" scaled="0"/>
            </a:gradFill>
            <a:ln>
              <a:solidFill>
                <a:schemeClr val="accent5">
                  <a:lumMod val="75000"/>
                </a:schemeClr>
              </a:solidFill>
            </a:ln>
          </c:spPr>
          <c:dPt>
            <c:idx val="1"/>
            <c:spPr>
              <a:gradFill>
                <a:gsLst>
                  <a:gs pos="0">
                    <a:schemeClr val="accent5">
                      <a:shade val="51000"/>
                      <a:satMod val="130000"/>
                    </a:schemeClr>
                  </a:gs>
                  <a:gs pos="79000">
                    <a:schemeClr val="accent5">
                      <a:lumMod val="60000"/>
                      <a:lumOff val="40000"/>
                    </a:schemeClr>
                  </a:gs>
                  <a:gs pos="100000">
                    <a:schemeClr val="accent5">
                      <a:lumMod val="40000"/>
                      <a:lumOff val="60000"/>
                    </a:schemeClr>
                  </a:gs>
                </a:gsLst>
                <a:lin ang="16200000" scaled="0"/>
              </a:gradFill>
              <a:ln>
                <a:solidFill>
                  <a:srgbClr val="FF0000"/>
                </a:solidFill>
              </a:ln>
            </c:spPr>
          </c:dPt>
          <c:dPt>
            <c:idx val="16"/>
            <c:spPr>
              <a:solidFill>
                <a:schemeClr val="accent5">
                  <a:lumMod val="75000"/>
                </a:schemeClr>
              </a:solidFill>
              <a:ln>
                <a:solidFill>
                  <a:schemeClr val="accent5">
                    <a:lumMod val="75000"/>
                  </a:schemeClr>
                </a:solidFill>
              </a:ln>
            </c:spPr>
          </c:dPt>
          <c:cat>
            <c:strRef>
              <c:f>'[3_it_podniky_eu_2010.xls]List1'!$A$1:$A$28</c:f>
              <c:strCache>
                <c:ptCount val="28"/>
                <c:pt idx="0">
                  <c:v>Kypr</c:v>
                </c:pt>
                <c:pt idx="1">
                  <c:v>Česko</c:v>
                </c:pt>
                <c:pt idx="2">
                  <c:v>Velká Británie</c:v>
                </c:pt>
                <c:pt idx="3">
                  <c:v>Řecko</c:v>
                </c:pt>
                <c:pt idx="4">
                  <c:v>Rumunsko</c:v>
                </c:pt>
                <c:pt idx="5">
                  <c:v>Irsko</c:v>
                </c:pt>
                <c:pt idx="6">
                  <c:v>Bulharsko</c:v>
                </c:pt>
                <c:pt idx="7">
                  <c:v>Rakousko</c:v>
                </c:pt>
                <c:pt idx="8">
                  <c:v>Estonsko</c:v>
                </c:pt>
                <c:pt idx="9">
                  <c:v>Švédsko</c:v>
                </c:pt>
                <c:pt idx="10">
                  <c:v>Španělsko</c:v>
                </c:pt>
                <c:pt idx="11">
                  <c:v>Portugalsko</c:v>
                </c:pt>
                <c:pt idx="12">
                  <c:v>Finsko</c:v>
                </c:pt>
                <c:pt idx="13">
                  <c:v>Polsko</c:v>
                </c:pt>
                <c:pt idx="14">
                  <c:v>Malta</c:v>
                </c:pt>
                <c:pt idx="15">
                  <c:v>Dánsko</c:v>
                </c:pt>
                <c:pt idx="16">
                  <c:v>EU27</c:v>
                </c:pt>
                <c:pt idx="17">
                  <c:v>Maďarsko</c:v>
                </c:pt>
                <c:pt idx="18">
                  <c:v>Slovensko</c:v>
                </c:pt>
                <c:pt idx="19">
                  <c:v>Lotyšsko</c:v>
                </c:pt>
                <c:pt idx="20">
                  <c:v>Belgie</c:v>
                </c:pt>
                <c:pt idx="21">
                  <c:v>Francie</c:v>
                </c:pt>
                <c:pt idx="22">
                  <c:v>Lucembursko</c:v>
                </c:pt>
                <c:pt idx="23">
                  <c:v>Itálie</c:v>
                </c:pt>
                <c:pt idx="24">
                  <c:v>Litva</c:v>
                </c:pt>
                <c:pt idx="25">
                  <c:v>Německo</c:v>
                </c:pt>
                <c:pt idx="26">
                  <c:v>Slovinsko</c:v>
                </c:pt>
                <c:pt idx="27">
                  <c:v>Nizozemsko</c:v>
                </c:pt>
              </c:strCache>
            </c:strRef>
          </c:cat>
          <c:val>
            <c:numRef>
              <c:f>'[3_it_podniky_eu_2010.xls]List1'!$B$1:$B$28</c:f>
              <c:numCache>
                <c:formatCode>General</c:formatCode>
                <c:ptCount val="28"/>
                <c:pt idx="0">
                  <c:v>13.882343685405912</c:v>
                </c:pt>
                <c:pt idx="1">
                  <c:v>22.813193917571599</c:v>
                </c:pt>
                <c:pt idx="2">
                  <c:v>23.260393995512889</c:v>
                </c:pt>
                <c:pt idx="3">
                  <c:v>25.402905624033</c:v>
                </c:pt>
                <c:pt idx="4">
                  <c:v>33.813754336839743</c:v>
                </c:pt>
                <c:pt idx="5">
                  <c:v>34.225614695190401</c:v>
                </c:pt>
                <c:pt idx="6">
                  <c:v>38.120563432622504</c:v>
                </c:pt>
                <c:pt idx="7">
                  <c:v>38.913471694881395</c:v>
                </c:pt>
                <c:pt idx="8">
                  <c:v>42.198152029583476</c:v>
                </c:pt>
                <c:pt idx="9">
                  <c:v>42.267727707341095</c:v>
                </c:pt>
                <c:pt idx="10">
                  <c:v>44.202466292103843</c:v>
                </c:pt>
                <c:pt idx="11">
                  <c:v>46.463831736068599</c:v>
                </c:pt>
                <c:pt idx="12">
                  <c:v>49.146300990181068</c:v>
                </c:pt>
                <c:pt idx="13">
                  <c:v>49.418590769083799</c:v>
                </c:pt>
                <c:pt idx="14">
                  <c:v>49.524440328073503</c:v>
                </c:pt>
                <c:pt idx="15">
                  <c:v>49.6077877207249</c:v>
                </c:pt>
                <c:pt idx="16">
                  <c:v>50.749524273727296</c:v>
                </c:pt>
                <c:pt idx="17">
                  <c:v>50.794039355965111</c:v>
                </c:pt>
                <c:pt idx="18">
                  <c:v>54.090544103602994</c:v>
                </c:pt>
                <c:pt idx="19">
                  <c:v>54.697313746889996</c:v>
                </c:pt>
                <c:pt idx="20">
                  <c:v>57.48</c:v>
                </c:pt>
                <c:pt idx="21">
                  <c:v>58.531485686309196</c:v>
                </c:pt>
                <c:pt idx="22">
                  <c:v>61.723838355070249</c:v>
                </c:pt>
                <c:pt idx="23">
                  <c:v>63.17549727160705</c:v>
                </c:pt>
                <c:pt idx="24">
                  <c:v>63.256282966180599</c:v>
                </c:pt>
                <c:pt idx="25">
                  <c:v>64.964413017732326</c:v>
                </c:pt>
                <c:pt idx="26">
                  <c:v>67.466630713226408</c:v>
                </c:pt>
                <c:pt idx="27">
                  <c:v>71.749357895992503</c:v>
                </c:pt>
              </c:numCache>
            </c:numRef>
          </c:val>
        </c:ser>
        <c:axId val="111056384"/>
        <c:axId val="111057920"/>
      </c:barChart>
      <c:catAx>
        <c:axId val="111056384"/>
        <c:scaling>
          <c:orientation val="minMax"/>
        </c:scaling>
        <c:axPos val="b"/>
        <c:tickLblPos val="nextTo"/>
        <c:crossAx val="111057920"/>
        <c:crosses val="autoZero"/>
        <c:auto val="1"/>
        <c:lblAlgn val="ctr"/>
        <c:lblOffset val="100"/>
      </c:catAx>
      <c:valAx>
        <c:axId val="111057920"/>
        <c:scaling>
          <c:orientation val="minMax"/>
        </c:scaling>
        <c:axPos val="l"/>
        <c:majorGridlines/>
        <c:numFmt formatCode="General" sourceLinked="1"/>
        <c:tickLblPos val="nextTo"/>
        <c:crossAx val="111056384"/>
        <c:crosses val="autoZero"/>
        <c:crossBetween val="between"/>
      </c:valAx>
    </c:plotArea>
    <c:plotVisOnly val="1"/>
    <c:dispBlanksAs val="gap"/>
  </c:chart>
  <c:spPr>
    <a:ln>
      <a:solidFill>
        <a:sysClr val="window" lastClr="FFFFFF">
          <a:lumMod val="65000"/>
        </a:sysClr>
      </a:solid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barChart>
        <c:barDir val="col"/>
        <c:grouping val="clustered"/>
        <c:ser>
          <c:idx val="0"/>
          <c:order val="0"/>
          <c:spPr>
            <a:gradFill>
              <a:gsLst>
                <a:gs pos="0">
                  <a:schemeClr val="accent4">
                    <a:lumMod val="75000"/>
                  </a:schemeClr>
                </a:gs>
                <a:gs pos="80000">
                  <a:schemeClr val="accent4">
                    <a:lumMod val="60000"/>
                    <a:lumOff val="40000"/>
                  </a:schemeClr>
                </a:gs>
                <a:gs pos="100000">
                  <a:schemeClr val="accent4">
                    <a:lumMod val="60000"/>
                    <a:lumOff val="40000"/>
                  </a:schemeClr>
                </a:gs>
              </a:gsLst>
              <a:lin ang="16200000" scaled="0"/>
            </a:gradFill>
            <a:ln>
              <a:solidFill>
                <a:schemeClr val="accent4">
                  <a:lumMod val="75000"/>
                </a:schemeClr>
              </a:solidFill>
            </a:ln>
          </c:spPr>
          <c:dPt>
            <c:idx val="7"/>
            <c:spPr>
              <a:gradFill>
                <a:gsLst>
                  <a:gs pos="0">
                    <a:schemeClr val="accent4">
                      <a:lumMod val="75000"/>
                    </a:schemeClr>
                  </a:gs>
                  <a:gs pos="80000">
                    <a:schemeClr val="accent4">
                      <a:lumMod val="60000"/>
                      <a:lumOff val="40000"/>
                    </a:schemeClr>
                  </a:gs>
                  <a:gs pos="100000">
                    <a:schemeClr val="accent4">
                      <a:lumMod val="60000"/>
                      <a:lumOff val="40000"/>
                    </a:schemeClr>
                  </a:gs>
                </a:gsLst>
                <a:lin ang="16200000" scaled="0"/>
              </a:gradFill>
              <a:ln>
                <a:solidFill>
                  <a:srgbClr val="FF0000"/>
                </a:solidFill>
              </a:ln>
            </c:spPr>
          </c:dPt>
          <c:dPt>
            <c:idx val="14"/>
            <c:spPr>
              <a:solidFill>
                <a:schemeClr val="accent4">
                  <a:lumMod val="75000"/>
                </a:schemeClr>
              </a:solidFill>
              <a:ln>
                <a:solidFill>
                  <a:schemeClr val="accent4">
                    <a:lumMod val="75000"/>
                  </a:schemeClr>
                </a:solidFill>
              </a:ln>
            </c:spPr>
          </c:dPt>
          <c:cat>
            <c:strRef>
              <c:f>'[3_it_podniky_eu_2010.xls]List1'!$A$2:$A$29</c:f>
              <c:strCache>
                <c:ptCount val="28"/>
                <c:pt idx="0">
                  <c:v>Rumunsko</c:v>
                </c:pt>
                <c:pt idx="1">
                  <c:v>Bulharsko</c:v>
                </c:pt>
                <c:pt idx="2">
                  <c:v>Maďarsko</c:v>
                </c:pt>
                <c:pt idx="3">
                  <c:v>Litva</c:v>
                </c:pt>
                <c:pt idx="4">
                  <c:v>Irsko</c:v>
                </c:pt>
                <c:pt idx="5">
                  <c:v>Portugalsko</c:v>
                </c:pt>
                <c:pt idx="6">
                  <c:v>Estonsko</c:v>
                </c:pt>
                <c:pt idx="7">
                  <c:v>Česko</c:v>
                </c:pt>
                <c:pt idx="8">
                  <c:v>Lotyšsko</c:v>
                </c:pt>
                <c:pt idx="9">
                  <c:v>Slovensko</c:v>
                </c:pt>
                <c:pt idx="10">
                  <c:v>Polsko</c:v>
                </c:pt>
                <c:pt idx="11">
                  <c:v>Řecko</c:v>
                </c:pt>
                <c:pt idx="12">
                  <c:v>Spojené království</c:v>
                </c:pt>
                <c:pt idx="13">
                  <c:v>Itálie</c:v>
                </c:pt>
                <c:pt idx="14">
                  <c:v>EU27</c:v>
                </c:pt>
                <c:pt idx="15">
                  <c:v>Francie</c:v>
                </c:pt>
                <c:pt idx="16">
                  <c:v>Kypr</c:v>
                </c:pt>
                <c:pt idx="17">
                  <c:v>Slovinsko</c:v>
                </c:pt>
                <c:pt idx="18">
                  <c:v>Nizozemsko</c:v>
                </c:pt>
                <c:pt idx="19">
                  <c:v>Rakousko</c:v>
                </c:pt>
                <c:pt idx="20">
                  <c:v>Švédsko</c:v>
                </c:pt>
                <c:pt idx="21">
                  <c:v>Belgie</c:v>
                </c:pt>
                <c:pt idx="22">
                  <c:v>Malta</c:v>
                </c:pt>
                <c:pt idx="23">
                  <c:v>Španělsko</c:v>
                </c:pt>
                <c:pt idx="24">
                  <c:v>Finsko</c:v>
                </c:pt>
                <c:pt idx="25">
                  <c:v>Německo</c:v>
                </c:pt>
                <c:pt idx="26">
                  <c:v>Dánsko</c:v>
                </c:pt>
                <c:pt idx="27">
                  <c:v>Lucembursko</c:v>
                </c:pt>
              </c:strCache>
            </c:strRef>
          </c:cat>
          <c:val>
            <c:numRef>
              <c:f>'[3_it_podniky_eu_2010.xls]List1'!$B$2:$B$29</c:f>
              <c:numCache>
                <c:formatCode>0.0</c:formatCode>
                <c:ptCount val="28"/>
                <c:pt idx="0">
                  <c:v>53.282230023382304</c:v>
                </c:pt>
                <c:pt idx="1">
                  <c:v>53.888220150627625</c:v>
                </c:pt>
                <c:pt idx="2">
                  <c:v>55.44660633034335</c:v>
                </c:pt>
                <c:pt idx="3">
                  <c:v>62.123797704002506</c:v>
                </c:pt>
                <c:pt idx="4">
                  <c:v>62.26081152857406</c:v>
                </c:pt>
                <c:pt idx="5">
                  <c:v>62.614903493606114</c:v>
                </c:pt>
                <c:pt idx="6">
                  <c:v>64.130175081381381</c:v>
                </c:pt>
                <c:pt idx="7">
                  <c:v>64.873202030785649</c:v>
                </c:pt>
                <c:pt idx="8">
                  <c:v>65.663572873914347</c:v>
                </c:pt>
                <c:pt idx="9">
                  <c:v>67.558025700064448</c:v>
                </c:pt>
                <c:pt idx="10">
                  <c:v>71.530049425753901</c:v>
                </c:pt>
                <c:pt idx="11">
                  <c:v>73.315865463050002</c:v>
                </c:pt>
                <c:pt idx="12">
                  <c:v>74.182719475418708</c:v>
                </c:pt>
                <c:pt idx="13">
                  <c:v>74.866288437842698</c:v>
                </c:pt>
                <c:pt idx="14">
                  <c:v>76.415766750287702</c:v>
                </c:pt>
                <c:pt idx="15">
                  <c:v>76.979560494803394</c:v>
                </c:pt>
                <c:pt idx="16">
                  <c:v>79.758454469247241</c:v>
                </c:pt>
                <c:pt idx="17">
                  <c:v>82.054739112848736</c:v>
                </c:pt>
                <c:pt idx="18">
                  <c:v>82.5658490254024</c:v>
                </c:pt>
                <c:pt idx="19">
                  <c:v>82.671500756515869</c:v>
                </c:pt>
                <c:pt idx="20">
                  <c:v>82.710792802610499</c:v>
                </c:pt>
                <c:pt idx="21">
                  <c:v>83.005571594684184</c:v>
                </c:pt>
                <c:pt idx="22">
                  <c:v>84.096070094573889</c:v>
                </c:pt>
                <c:pt idx="23">
                  <c:v>84.637455111453534</c:v>
                </c:pt>
                <c:pt idx="24">
                  <c:v>84.850694250264283</c:v>
                </c:pt>
                <c:pt idx="25">
                  <c:v>85.424658804343395</c:v>
                </c:pt>
                <c:pt idx="26">
                  <c:v>85.48454396491654</c:v>
                </c:pt>
                <c:pt idx="27">
                  <c:v>98.008086485979803</c:v>
                </c:pt>
              </c:numCache>
            </c:numRef>
          </c:val>
        </c:ser>
        <c:axId val="111086208"/>
        <c:axId val="111108480"/>
      </c:barChart>
      <c:catAx>
        <c:axId val="111086208"/>
        <c:scaling>
          <c:orientation val="minMax"/>
        </c:scaling>
        <c:axPos val="b"/>
        <c:tickLblPos val="nextTo"/>
        <c:crossAx val="111108480"/>
        <c:crosses val="autoZero"/>
        <c:auto val="1"/>
        <c:lblAlgn val="ctr"/>
        <c:lblOffset val="100"/>
      </c:catAx>
      <c:valAx>
        <c:axId val="111108480"/>
        <c:scaling>
          <c:orientation val="minMax"/>
          <c:max val="100"/>
        </c:scaling>
        <c:axPos val="l"/>
        <c:majorGridlines/>
        <c:numFmt formatCode="0" sourceLinked="0"/>
        <c:tickLblPos val="nextTo"/>
        <c:crossAx val="111086208"/>
        <c:crosses val="autoZero"/>
        <c:crossBetween val="between"/>
        <c:majorUnit val="20"/>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barChart>
        <c:barDir val="col"/>
        <c:grouping val="clustered"/>
        <c:ser>
          <c:idx val="0"/>
          <c:order val="0"/>
          <c:spPr>
            <a:gradFill flip="none" rotWithShape="1">
              <a:gsLst>
                <a:gs pos="0">
                  <a:schemeClr val="accent3">
                    <a:lumMod val="50000"/>
                  </a:schemeClr>
                </a:gs>
                <a:gs pos="50000">
                  <a:schemeClr val="accent3">
                    <a:lumMod val="75000"/>
                  </a:schemeClr>
                </a:gs>
                <a:gs pos="100000">
                  <a:schemeClr val="accent3">
                    <a:lumMod val="40000"/>
                    <a:lumOff val="60000"/>
                  </a:schemeClr>
                </a:gs>
              </a:gsLst>
              <a:path path="circle">
                <a:fillToRect l="100000" t="100000"/>
              </a:path>
              <a:tileRect r="-100000" b="-100000"/>
            </a:gradFill>
            <a:ln>
              <a:solidFill>
                <a:schemeClr val="accent3">
                  <a:lumMod val="50000"/>
                </a:schemeClr>
              </a:solidFill>
              <a:prstDash val="solid"/>
            </a:ln>
          </c:spPr>
          <c:dPt>
            <c:idx val="3"/>
            <c:spPr>
              <a:gradFill flip="none" rotWithShape="1">
                <a:gsLst>
                  <a:gs pos="0">
                    <a:schemeClr val="accent3">
                      <a:lumMod val="50000"/>
                    </a:schemeClr>
                  </a:gs>
                  <a:gs pos="50000">
                    <a:schemeClr val="accent3">
                      <a:lumMod val="75000"/>
                    </a:schemeClr>
                  </a:gs>
                  <a:gs pos="100000">
                    <a:schemeClr val="accent3">
                      <a:lumMod val="40000"/>
                      <a:lumOff val="60000"/>
                    </a:schemeClr>
                  </a:gs>
                </a:gsLst>
                <a:path path="circle">
                  <a:fillToRect l="100000" t="100000"/>
                </a:path>
                <a:tileRect r="-100000" b="-100000"/>
              </a:gradFill>
              <a:ln>
                <a:solidFill>
                  <a:srgbClr val="FF0000"/>
                </a:solidFill>
                <a:prstDash val="solid"/>
              </a:ln>
            </c:spPr>
          </c:dPt>
          <c:dPt>
            <c:idx val="17"/>
            <c:spPr>
              <a:solidFill>
                <a:schemeClr val="accent3">
                  <a:lumMod val="50000"/>
                </a:schemeClr>
              </a:solidFill>
              <a:ln>
                <a:solidFill>
                  <a:schemeClr val="accent3">
                    <a:lumMod val="50000"/>
                  </a:schemeClr>
                </a:solidFill>
                <a:prstDash val="solid"/>
              </a:ln>
            </c:spPr>
          </c:dPt>
          <c:cat>
            <c:strRef>
              <c:f>Data!$A$6:$A$33</c:f>
              <c:strCache>
                <c:ptCount val="28"/>
                <c:pt idx="0">
                  <c:v>Bulharsko</c:v>
                </c:pt>
                <c:pt idx="1">
                  <c:v>Estonsko</c:v>
                </c:pt>
                <c:pt idx="2">
                  <c:v>Rumunsko</c:v>
                </c:pt>
                <c:pt idx="3">
                  <c:v>Česko</c:v>
                </c:pt>
                <c:pt idx="4">
                  <c:v>Slovensko</c:v>
                </c:pt>
                <c:pt idx="5">
                  <c:v>Lotyšsko</c:v>
                </c:pt>
                <c:pt idx="6">
                  <c:v>Polsko</c:v>
                </c:pt>
                <c:pt idx="7">
                  <c:v>Litva</c:v>
                </c:pt>
                <c:pt idx="8">
                  <c:v>Maďarsko</c:v>
                </c:pt>
                <c:pt idx="9">
                  <c:v>Slovinsko</c:v>
                </c:pt>
                <c:pt idx="10">
                  <c:v>Finsko</c:v>
                </c:pt>
                <c:pt idx="11">
                  <c:v>Belgie</c:v>
                </c:pt>
                <c:pt idx="12">
                  <c:v>Kypr</c:v>
                </c:pt>
                <c:pt idx="13">
                  <c:v>Malta</c:v>
                </c:pt>
                <c:pt idx="14">
                  <c:v>Švédsko</c:v>
                </c:pt>
                <c:pt idx="15">
                  <c:v>Nizozemí</c:v>
                </c:pt>
                <c:pt idx="16">
                  <c:v>Portugalsko</c:v>
                </c:pt>
                <c:pt idx="17">
                  <c:v>EU-27</c:v>
                </c:pt>
                <c:pt idx="18">
                  <c:v>Francie</c:v>
                </c:pt>
                <c:pt idx="19">
                  <c:v>Řecko</c:v>
                </c:pt>
                <c:pt idx="20">
                  <c:v>Německo</c:v>
                </c:pt>
                <c:pt idx="21">
                  <c:v>Lucembursko</c:v>
                </c:pt>
                <c:pt idx="22">
                  <c:v>Španělsko</c:v>
                </c:pt>
                <c:pt idx="23">
                  <c:v>Rakousko</c:v>
                </c:pt>
                <c:pt idx="24">
                  <c:v>Itálie</c:v>
                </c:pt>
                <c:pt idx="25">
                  <c:v>Velká Británie</c:v>
                </c:pt>
                <c:pt idx="26">
                  <c:v>Dánsko</c:v>
                </c:pt>
                <c:pt idx="27">
                  <c:v>Irsko</c:v>
                </c:pt>
              </c:strCache>
            </c:strRef>
          </c:cat>
          <c:val>
            <c:numRef>
              <c:f>Data!$B$6:$B$33</c:f>
              <c:numCache>
                <c:formatCode>#,##0.0000</c:formatCode>
                <c:ptCount val="28"/>
                <c:pt idx="0">
                  <c:v>671.101</c:v>
                </c:pt>
                <c:pt idx="1">
                  <c:v>545.87099999999998</c:v>
                </c:pt>
                <c:pt idx="2">
                  <c:v>395.54300000000001</c:v>
                </c:pt>
                <c:pt idx="3">
                  <c:v>374.58699999999953</c:v>
                </c:pt>
                <c:pt idx="4">
                  <c:v>371.34100000000001</c:v>
                </c:pt>
                <c:pt idx="5">
                  <c:v>363.33699999999953</c:v>
                </c:pt>
                <c:pt idx="6">
                  <c:v>330.54700000000008</c:v>
                </c:pt>
                <c:pt idx="7">
                  <c:v>311.05500000000001</c:v>
                </c:pt>
                <c:pt idx="8">
                  <c:v>295.49400000000003</c:v>
                </c:pt>
                <c:pt idx="9">
                  <c:v>231.35100000000017</c:v>
                </c:pt>
                <c:pt idx="10">
                  <c:v>225.333</c:v>
                </c:pt>
                <c:pt idx="11">
                  <c:v>190.82600000000016</c:v>
                </c:pt>
                <c:pt idx="12">
                  <c:v>177.55800000000016</c:v>
                </c:pt>
                <c:pt idx="13">
                  <c:v>169.202</c:v>
                </c:pt>
                <c:pt idx="14">
                  <c:v>159.41800000000001</c:v>
                </c:pt>
                <c:pt idx="15">
                  <c:v>157.78800000000001</c:v>
                </c:pt>
                <c:pt idx="16">
                  <c:v>154.547</c:v>
                </c:pt>
                <c:pt idx="17">
                  <c:v>152.08000000000001</c:v>
                </c:pt>
                <c:pt idx="18">
                  <c:v>151.60399999999998</c:v>
                </c:pt>
                <c:pt idx="19">
                  <c:v>147.459</c:v>
                </c:pt>
                <c:pt idx="20">
                  <c:v>141.88600000000017</c:v>
                </c:pt>
                <c:pt idx="21">
                  <c:v>140.25299999999999</c:v>
                </c:pt>
                <c:pt idx="22">
                  <c:v>137.024</c:v>
                </c:pt>
                <c:pt idx="23">
                  <c:v>131.82000000000016</c:v>
                </c:pt>
                <c:pt idx="24">
                  <c:v>123.645</c:v>
                </c:pt>
                <c:pt idx="25">
                  <c:v>111.86499999999999</c:v>
                </c:pt>
                <c:pt idx="26">
                  <c:v>93.735000000000014</c:v>
                </c:pt>
                <c:pt idx="27">
                  <c:v>92.815000000000012</c:v>
                </c:pt>
              </c:numCache>
            </c:numRef>
          </c:val>
        </c:ser>
        <c:axId val="111443968"/>
        <c:axId val="111445504"/>
      </c:barChart>
      <c:catAx>
        <c:axId val="111443968"/>
        <c:scaling>
          <c:orientation val="minMax"/>
        </c:scaling>
        <c:axPos val="b"/>
        <c:tickLblPos val="nextTo"/>
        <c:crossAx val="111445504"/>
        <c:crosses val="autoZero"/>
        <c:auto val="1"/>
        <c:lblAlgn val="ctr"/>
        <c:lblOffset val="100"/>
      </c:catAx>
      <c:valAx>
        <c:axId val="111445504"/>
        <c:scaling>
          <c:orientation val="minMax"/>
        </c:scaling>
        <c:axPos val="l"/>
        <c:majorGridlines/>
        <c:title>
          <c:tx>
            <c:rich>
              <a:bodyPr rot="-5400000" vert="horz"/>
              <a:lstStyle/>
              <a:p>
                <a:pPr>
                  <a:defRPr/>
                </a:pPr>
                <a:r>
                  <a:rPr lang="cs-CZ"/>
                  <a:t>Kilogram ropného ekvivalentu na 1000 EUR</a:t>
                </a:r>
              </a:p>
            </c:rich>
          </c:tx>
        </c:title>
        <c:numFmt formatCode="#,##0" sourceLinked="0"/>
        <c:tickLblPos val="nextTo"/>
        <c:crossAx val="111443968"/>
        <c:crosses val="autoZero"/>
        <c:crossBetween val="between"/>
      </c:valAx>
    </c:plotArea>
    <c:plotVisOnly val="1"/>
    <c:dispBlanksAs val="gap"/>
  </c:chart>
  <c:spPr>
    <a:ln>
      <a:solidFill>
        <a:sysClr val="window" lastClr="FFFFFF">
          <a:lumMod val="65000"/>
        </a:sysClr>
      </a:solid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barChart>
        <c:barDir val="col"/>
        <c:grouping val="clustered"/>
        <c:ser>
          <c:idx val="0"/>
          <c:order val="0"/>
          <c:spPr>
            <a:gradFill>
              <a:gsLst>
                <a:gs pos="0">
                  <a:schemeClr val="accent6">
                    <a:lumMod val="40000"/>
                    <a:lumOff val="60000"/>
                  </a:schemeClr>
                </a:gs>
                <a:gs pos="67000">
                  <a:srgbClr val="FF7A00"/>
                </a:gs>
                <a:gs pos="100000">
                  <a:schemeClr val="accent6">
                    <a:lumMod val="50000"/>
                  </a:schemeClr>
                </a:gs>
              </a:gsLst>
              <a:lin ang="5400000" scaled="0"/>
            </a:gradFill>
            <a:ln>
              <a:solidFill>
                <a:schemeClr val="accent6">
                  <a:lumMod val="75000"/>
                </a:schemeClr>
              </a:solidFill>
            </a:ln>
          </c:spPr>
          <c:dPt>
            <c:idx val="13"/>
            <c:spPr>
              <a:solidFill>
                <a:schemeClr val="accent6">
                  <a:lumMod val="75000"/>
                </a:schemeClr>
              </a:solidFill>
              <a:ln>
                <a:solidFill>
                  <a:schemeClr val="accent6">
                    <a:lumMod val="75000"/>
                  </a:schemeClr>
                </a:solidFill>
              </a:ln>
            </c:spPr>
          </c:dPt>
          <c:dPt>
            <c:idx val="17"/>
            <c:spPr>
              <a:gradFill>
                <a:gsLst>
                  <a:gs pos="0">
                    <a:schemeClr val="accent6">
                      <a:lumMod val="40000"/>
                      <a:lumOff val="60000"/>
                    </a:schemeClr>
                  </a:gs>
                  <a:gs pos="67000">
                    <a:srgbClr val="FF7A00"/>
                  </a:gs>
                  <a:gs pos="100000">
                    <a:schemeClr val="accent6">
                      <a:lumMod val="50000"/>
                    </a:schemeClr>
                  </a:gs>
                </a:gsLst>
                <a:lin ang="5400000" scaled="0"/>
              </a:gradFill>
              <a:ln>
                <a:solidFill>
                  <a:srgbClr val="FF0000"/>
                </a:solidFill>
              </a:ln>
            </c:spPr>
          </c:dPt>
          <c:cat>
            <c:strRef>
              <c:f>Sheet0!$A$5:$A$32</c:f>
              <c:strCache>
                <c:ptCount val="28"/>
                <c:pt idx="0">
                  <c:v>Malta</c:v>
                </c:pt>
                <c:pt idx="1">
                  <c:v>Kypr</c:v>
                </c:pt>
                <c:pt idx="2">
                  <c:v>Francie</c:v>
                </c:pt>
                <c:pt idx="3">
                  <c:v>Řecko</c:v>
                </c:pt>
                <c:pt idx="4">
                  <c:v>Velká Británie</c:v>
                </c:pt>
                <c:pt idx="5">
                  <c:v>Irsko</c:v>
                </c:pt>
                <c:pt idx="6">
                  <c:v>Slovinsko</c:v>
                </c:pt>
                <c:pt idx="7">
                  <c:v>Španělsko</c:v>
                </c:pt>
                <c:pt idx="8">
                  <c:v>Bulharsko</c:v>
                </c:pt>
                <c:pt idx="9">
                  <c:v>Lucembursko</c:v>
                </c:pt>
                <c:pt idx="10">
                  <c:v>Estonsko</c:v>
                </c:pt>
                <c:pt idx="11">
                  <c:v>Rumunsko</c:v>
                </c:pt>
                <c:pt idx="12">
                  <c:v>Itálie</c:v>
                </c:pt>
                <c:pt idx="13">
                  <c:v>EU-27</c:v>
                </c:pt>
                <c:pt idx="14">
                  <c:v>Portugalsko</c:v>
                </c:pt>
                <c:pt idx="15">
                  <c:v>Švédsko</c:v>
                </c:pt>
                <c:pt idx="16">
                  <c:v>Německo</c:v>
                </c:pt>
                <c:pt idx="17">
                  <c:v>Česko</c:v>
                </c:pt>
                <c:pt idx="18">
                  <c:v>Rakousko</c:v>
                </c:pt>
                <c:pt idx="19">
                  <c:v>Slovensko</c:v>
                </c:pt>
                <c:pt idx="20">
                  <c:v>Belgie</c:v>
                </c:pt>
                <c:pt idx="21">
                  <c:v>Polsko</c:v>
                </c:pt>
                <c:pt idx="22">
                  <c:v>Maďarsko</c:v>
                </c:pt>
                <c:pt idx="23">
                  <c:v>Nizozemí</c:v>
                </c:pt>
                <c:pt idx="24">
                  <c:v>Litva</c:v>
                </c:pt>
                <c:pt idx="25">
                  <c:v>Finsko</c:v>
                </c:pt>
                <c:pt idx="26">
                  <c:v>Lotyšsko</c:v>
                </c:pt>
                <c:pt idx="27">
                  <c:v>Dánsko</c:v>
                </c:pt>
              </c:strCache>
            </c:strRef>
          </c:cat>
          <c:val>
            <c:numRef>
              <c:f>Sheet0!$B$5:$B$32</c:f>
              <c:numCache>
                <c:formatCode>General</c:formatCode>
                <c:ptCount val="28"/>
                <c:pt idx="0">
                  <c:v>0</c:v>
                </c:pt>
                <c:pt idx="1">
                  <c:v>1</c:v>
                </c:pt>
                <c:pt idx="2">
                  <c:v>2.8</c:v>
                </c:pt>
                <c:pt idx="3">
                  <c:v>4.3</c:v>
                </c:pt>
                <c:pt idx="4">
                  <c:v>6.2</c:v>
                </c:pt>
                <c:pt idx="5">
                  <c:v>6.7</c:v>
                </c:pt>
                <c:pt idx="6">
                  <c:v>6.9</c:v>
                </c:pt>
                <c:pt idx="7">
                  <c:v>7.4</c:v>
                </c:pt>
                <c:pt idx="8">
                  <c:v>8</c:v>
                </c:pt>
                <c:pt idx="9">
                  <c:v>9.6</c:v>
                </c:pt>
                <c:pt idx="10">
                  <c:v>10.3</c:v>
                </c:pt>
                <c:pt idx="11">
                  <c:v>10.8</c:v>
                </c:pt>
                <c:pt idx="12">
                  <c:v>11.5</c:v>
                </c:pt>
                <c:pt idx="13">
                  <c:v>11.7</c:v>
                </c:pt>
                <c:pt idx="14">
                  <c:v>11.8</c:v>
                </c:pt>
                <c:pt idx="15">
                  <c:v>12.5</c:v>
                </c:pt>
                <c:pt idx="16">
                  <c:v>13.2</c:v>
                </c:pt>
                <c:pt idx="17">
                  <c:v>14.2</c:v>
                </c:pt>
                <c:pt idx="18">
                  <c:v>15.4</c:v>
                </c:pt>
                <c:pt idx="19">
                  <c:v>15.9</c:v>
                </c:pt>
                <c:pt idx="20">
                  <c:v>16</c:v>
                </c:pt>
                <c:pt idx="21">
                  <c:v>17.600000000000001</c:v>
                </c:pt>
                <c:pt idx="22">
                  <c:v>19.600000000000001</c:v>
                </c:pt>
                <c:pt idx="23">
                  <c:v>33.200000000000003</c:v>
                </c:pt>
                <c:pt idx="24">
                  <c:v>34.6</c:v>
                </c:pt>
                <c:pt idx="25">
                  <c:v>36.200000000000003</c:v>
                </c:pt>
                <c:pt idx="26">
                  <c:v>45</c:v>
                </c:pt>
                <c:pt idx="27">
                  <c:v>49.2</c:v>
                </c:pt>
              </c:numCache>
            </c:numRef>
          </c:val>
        </c:ser>
        <c:axId val="111679360"/>
        <c:axId val="111680896"/>
      </c:barChart>
      <c:catAx>
        <c:axId val="111679360"/>
        <c:scaling>
          <c:orientation val="minMax"/>
        </c:scaling>
        <c:axPos val="b"/>
        <c:tickLblPos val="nextTo"/>
        <c:crossAx val="111680896"/>
        <c:crosses val="autoZero"/>
        <c:auto val="1"/>
        <c:lblAlgn val="ctr"/>
        <c:lblOffset val="100"/>
      </c:catAx>
      <c:valAx>
        <c:axId val="111680896"/>
        <c:scaling>
          <c:orientation val="minMax"/>
        </c:scaling>
        <c:axPos val="l"/>
        <c:majorGridlines/>
        <c:title>
          <c:tx>
            <c:rich>
              <a:bodyPr rot="-5400000" vert="horz"/>
              <a:lstStyle/>
              <a:p>
                <a:pPr>
                  <a:defRPr/>
                </a:pPr>
                <a:r>
                  <a:rPr lang="cs-CZ"/>
                  <a:t>% z hrubé výroby elektřiny </a:t>
                </a:r>
              </a:p>
            </c:rich>
          </c:tx>
        </c:title>
        <c:numFmt formatCode="General" sourceLinked="1"/>
        <c:tickLblPos val="nextTo"/>
        <c:crossAx val="111679360"/>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percentStacked"/>
        <c:ser>
          <c:idx val="1"/>
          <c:order val="0"/>
          <c:tx>
            <c:strRef>
              <c:f>List2!$A$3:$C$3</c:f>
              <c:strCache>
                <c:ptCount val="1"/>
                <c:pt idx="0">
                  <c:v>Zemědělství, lesnictví a rybářství</c:v>
                </c:pt>
              </c:strCache>
            </c:strRef>
          </c:tx>
          <c:cat>
            <c:multiLvlStrRef>
              <c:f>List2!$D$1:$AE$2</c:f>
              <c:multiLvlStrCache>
                <c:ptCount val="28"/>
                <c:lvl>
                  <c:pt idx="0">
                    <c:v>2007</c:v>
                  </c:pt>
                  <c:pt idx="1">
                    <c:v>2011</c:v>
                  </c:pt>
                  <c:pt idx="2">
                    <c:v>2007</c:v>
                  </c:pt>
                  <c:pt idx="3">
                    <c:v>2011</c:v>
                  </c:pt>
                  <c:pt idx="4">
                    <c:v>2007</c:v>
                  </c:pt>
                  <c:pt idx="5">
                    <c:v>2011</c:v>
                  </c:pt>
                  <c:pt idx="6">
                    <c:v>2007</c:v>
                  </c:pt>
                  <c:pt idx="7">
                    <c:v>2011</c:v>
                  </c:pt>
                  <c:pt idx="8">
                    <c:v>2007</c:v>
                  </c:pt>
                  <c:pt idx="9">
                    <c:v>2011</c:v>
                  </c:pt>
                  <c:pt idx="10">
                    <c:v>2007</c:v>
                  </c:pt>
                  <c:pt idx="11">
                    <c:v>2011</c:v>
                  </c:pt>
                  <c:pt idx="12">
                    <c:v>2007</c:v>
                  </c:pt>
                  <c:pt idx="13">
                    <c:v>2011</c:v>
                  </c:pt>
                  <c:pt idx="14">
                    <c:v>2007</c:v>
                  </c:pt>
                  <c:pt idx="15">
                    <c:v>2011</c:v>
                  </c:pt>
                  <c:pt idx="16">
                    <c:v>2007</c:v>
                  </c:pt>
                  <c:pt idx="17">
                    <c:v>2011</c:v>
                  </c:pt>
                  <c:pt idx="18">
                    <c:v>2007</c:v>
                  </c:pt>
                  <c:pt idx="19">
                    <c:v>2011</c:v>
                  </c:pt>
                  <c:pt idx="20">
                    <c:v>2007</c:v>
                  </c:pt>
                  <c:pt idx="21">
                    <c:v>2011</c:v>
                  </c:pt>
                  <c:pt idx="22">
                    <c:v>2007</c:v>
                  </c:pt>
                  <c:pt idx="23">
                    <c:v>2011</c:v>
                  </c:pt>
                  <c:pt idx="24">
                    <c:v>2007</c:v>
                  </c:pt>
                  <c:pt idx="25">
                    <c:v>2011</c:v>
                  </c:pt>
                  <c:pt idx="26">
                    <c:v>2007</c:v>
                  </c:pt>
                  <c:pt idx="27">
                    <c:v>2011</c:v>
                  </c:pt>
                </c:lvl>
                <c:lvl>
                  <c:pt idx="0">
                    <c:v>PHA</c:v>
                  </c:pt>
                  <c:pt idx="2">
                    <c:v>STČ</c:v>
                  </c:pt>
                  <c:pt idx="4">
                    <c:v>JHČ</c:v>
                  </c:pt>
                  <c:pt idx="6">
                    <c:v>PLK</c:v>
                  </c:pt>
                  <c:pt idx="8">
                    <c:v>KVK</c:v>
                  </c:pt>
                  <c:pt idx="10">
                    <c:v>ÚLK</c:v>
                  </c:pt>
                  <c:pt idx="12">
                    <c:v>LBK</c:v>
                  </c:pt>
                  <c:pt idx="14">
                    <c:v>HKK</c:v>
                  </c:pt>
                  <c:pt idx="16">
                    <c:v>PAK</c:v>
                  </c:pt>
                  <c:pt idx="18">
                    <c:v>VYS</c:v>
                  </c:pt>
                  <c:pt idx="20">
                    <c:v>JHM</c:v>
                  </c:pt>
                  <c:pt idx="22">
                    <c:v>OKL</c:v>
                  </c:pt>
                  <c:pt idx="24">
                    <c:v>ZLK</c:v>
                  </c:pt>
                  <c:pt idx="26">
                    <c:v>MSK</c:v>
                  </c:pt>
                </c:lvl>
              </c:multiLvlStrCache>
            </c:multiLvlStrRef>
          </c:cat>
          <c:val>
            <c:numRef>
              <c:f>List2!$D$3:$AE$3</c:f>
              <c:numCache>
                <c:formatCode>General</c:formatCode>
                <c:ptCount val="28"/>
                <c:pt idx="0">
                  <c:v>2616</c:v>
                </c:pt>
                <c:pt idx="1">
                  <c:v>2718</c:v>
                </c:pt>
                <c:pt idx="2">
                  <c:v>9962</c:v>
                </c:pt>
                <c:pt idx="3">
                  <c:v>12049</c:v>
                </c:pt>
                <c:pt idx="4">
                  <c:v>8767</c:v>
                </c:pt>
                <c:pt idx="5">
                  <c:v>7586</c:v>
                </c:pt>
                <c:pt idx="6">
                  <c:v>6713</c:v>
                </c:pt>
                <c:pt idx="7">
                  <c:v>5928</c:v>
                </c:pt>
                <c:pt idx="8">
                  <c:v>2037</c:v>
                </c:pt>
                <c:pt idx="9">
                  <c:v>2087</c:v>
                </c:pt>
                <c:pt idx="10">
                  <c:v>2974</c:v>
                </c:pt>
                <c:pt idx="11">
                  <c:v>3604</c:v>
                </c:pt>
                <c:pt idx="12">
                  <c:v>1590</c:v>
                </c:pt>
                <c:pt idx="13">
                  <c:v>1890</c:v>
                </c:pt>
                <c:pt idx="14">
                  <c:v>6150</c:v>
                </c:pt>
                <c:pt idx="15">
                  <c:v>5396</c:v>
                </c:pt>
                <c:pt idx="16">
                  <c:v>5381</c:v>
                </c:pt>
                <c:pt idx="17">
                  <c:v>4729</c:v>
                </c:pt>
                <c:pt idx="18">
                  <c:v>8884</c:v>
                </c:pt>
                <c:pt idx="19">
                  <c:v>7437</c:v>
                </c:pt>
                <c:pt idx="20">
                  <c:v>9019</c:v>
                </c:pt>
                <c:pt idx="21">
                  <c:v>8139</c:v>
                </c:pt>
                <c:pt idx="22">
                  <c:v>6082</c:v>
                </c:pt>
                <c:pt idx="23">
                  <c:v>5005</c:v>
                </c:pt>
                <c:pt idx="24">
                  <c:v>3806</c:v>
                </c:pt>
                <c:pt idx="25">
                  <c:v>3518</c:v>
                </c:pt>
                <c:pt idx="26">
                  <c:v>5088</c:v>
                </c:pt>
                <c:pt idx="27">
                  <c:v>4532</c:v>
                </c:pt>
              </c:numCache>
            </c:numRef>
          </c:val>
        </c:ser>
        <c:ser>
          <c:idx val="2"/>
          <c:order val="1"/>
          <c:tx>
            <c:strRef>
              <c:f>List2!$A$4:$C$4</c:f>
              <c:strCache>
                <c:ptCount val="1"/>
                <c:pt idx="0">
                  <c:v>Průmysl, těžba a dobývání</c:v>
                </c:pt>
              </c:strCache>
            </c:strRef>
          </c:tx>
          <c:cat>
            <c:multiLvlStrRef>
              <c:f>List2!$D$1:$AE$2</c:f>
              <c:multiLvlStrCache>
                <c:ptCount val="28"/>
                <c:lvl>
                  <c:pt idx="0">
                    <c:v>2007</c:v>
                  </c:pt>
                  <c:pt idx="1">
                    <c:v>2011</c:v>
                  </c:pt>
                  <c:pt idx="2">
                    <c:v>2007</c:v>
                  </c:pt>
                  <c:pt idx="3">
                    <c:v>2011</c:v>
                  </c:pt>
                  <c:pt idx="4">
                    <c:v>2007</c:v>
                  </c:pt>
                  <c:pt idx="5">
                    <c:v>2011</c:v>
                  </c:pt>
                  <c:pt idx="6">
                    <c:v>2007</c:v>
                  </c:pt>
                  <c:pt idx="7">
                    <c:v>2011</c:v>
                  </c:pt>
                  <c:pt idx="8">
                    <c:v>2007</c:v>
                  </c:pt>
                  <c:pt idx="9">
                    <c:v>2011</c:v>
                  </c:pt>
                  <c:pt idx="10">
                    <c:v>2007</c:v>
                  </c:pt>
                  <c:pt idx="11">
                    <c:v>2011</c:v>
                  </c:pt>
                  <c:pt idx="12">
                    <c:v>2007</c:v>
                  </c:pt>
                  <c:pt idx="13">
                    <c:v>2011</c:v>
                  </c:pt>
                  <c:pt idx="14">
                    <c:v>2007</c:v>
                  </c:pt>
                  <c:pt idx="15">
                    <c:v>2011</c:v>
                  </c:pt>
                  <c:pt idx="16">
                    <c:v>2007</c:v>
                  </c:pt>
                  <c:pt idx="17">
                    <c:v>2011</c:v>
                  </c:pt>
                  <c:pt idx="18">
                    <c:v>2007</c:v>
                  </c:pt>
                  <c:pt idx="19">
                    <c:v>2011</c:v>
                  </c:pt>
                  <c:pt idx="20">
                    <c:v>2007</c:v>
                  </c:pt>
                  <c:pt idx="21">
                    <c:v>2011</c:v>
                  </c:pt>
                  <c:pt idx="22">
                    <c:v>2007</c:v>
                  </c:pt>
                  <c:pt idx="23">
                    <c:v>2011</c:v>
                  </c:pt>
                  <c:pt idx="24">
                    <c:v>2007</c:v>
                  </c:pt>
                  <c:pt idx="25">
                    <c:v>2011</c:v>
                  </c:pt>
                  <c:pt idx="26">
                    <c:v>2007</c:v>
                  </c:pt>
                  <c:pt idx="27">
                    <c:v>2011</c:v>
                  </c:pt>
                </c:lvl>
                <c:lvl>
                  <c:pt idx="0">
                    <c:v>PHA</c:v>
                  </c:pt>
                  <c:pt idx="2">
                    <c:v>STČ</c:v>
                  </c:pt>
                  <c:pt idx="4">
                    <c:v>JHČ</c:v>
                  </c:pt>
                  <c:pt idx="6">
                    <c:v>PLK</c:v>
                  </c:pt>
                  <c:pt idx="8">
                    <c:v>KVK</c:v>
                  </c:pt>
                  <c:pt idx="10">
                    <c:v>ÚLK</c:v>
                  </c:pt>
                  <c:pt idx="12">
                    <c:v>LBK</c:v>
                  </c:pt>
                  <c:pt idx="14">
                    <c:v>HKK</c:v>
                  </c:pt>
                  <c:pt idx="16">
                    <c:v>PAK</c:v>
                  </c:pt>
                  <c:pt idx="18">
                    <c:v>VYS</c:v>
                  </c:pt>
                  <c:pt idx="20">
                    <c:v>JHM</c:v>
                  </c:pt>
                  <c:pt idx="22">
                    <c:v>OKL</c:v>
                  </c:pt>
                  <c:pt idx="24">
                    <c:v>ZLK</c:v>
                  </c:pt>
                  <c:pt idx="26">
                    <c:v>MSK</c:v>
                  </c:pt>
                </c:lvl>
              </c:multiLvlStrCache>
            </c:multiLvlStrRef>
          </c:cat>
          <c:val>
            <c:numRef>
              <c:f>List2!$D$4:$AE$4</c:f>
              <c:numCache>
                <c:formatCode>General</c:formatCode>
                <c:ptCount val="28"/>
                <c:pt idx="0">
                  <c:v>101001</c:v>
                </c:pt>
                <c:pt idx="1">
                  <c:v>91665</c:v>
                </c:pt>
                <c:pt idx="2">
                  <c:v>141676</c:v>
                </c:pt>
                <c:pt idx="3">
                  <c:v>148232</c:v>
                </c:pt>
                <c:pt idx="4">
                  <c:v>62745</c:v>
                </c:pt>
                <c:pt idx="5">
                  <c:v>57645</c:v>
                </c:pt>
                <c:pt idx="6">
                  <c:v>59007</c:v>
                </c:pt>
                <c:pt idx="7">
                  <c:v>59720</c:v>
                </c:pt>
                <c:pt idx="8">
                  <c:v>25735</c:v>
                </c:pt>
                <c:pt idx="9">
                  <c:v>21987</c:v>
                </c:pt>
                <c:pt idx="10">
                  <c:v>89684</c:v>
                </c:pt>
                <c:pt idx="11">
                  <c:v>87977</c:v>
                </c:pt>
                <c:pt idx="12">
                  <c:v>44949</c:v>
                </c:pt>
                <c:pt idx="13">
                  <c:v>41336</c:v>
                </c:pt>
                <c:pt idx="14">
                  <c:v>57874</c:v>
                </c:pt>
                <c:pt idx="15">
                  <c:v>58597</c:v>
                </c:pt>
                <c:pt idx="16">
                  <c:v>49712</c:v>
                </c:pt>
                <c:pt idx="17">
                  <c:v>51001</c:v>
                </c:pt>
                <c:pt idx="18">
                  <c:v>62896</c:v>
                </c:pt>
                <c:pt idx="19">
                  <c:v>55970</c:v>
                </c:pt>
                <c:pt idx="20">
                  <c:v>91974</c:v>
                </c:pt>
                <c:pt idx="21">
                  <c:v>99145</c:v>
                </c:pt>
                <c:pt idx="22">
                  <c:v>49999</c:v>
                </c:pt>
                <c:pt idx="23">
                  <c:v>53586</c:v>
                </c:pt>
                <c:pt idx="24">
                  <c:v>63937</c:v>
                </c:pt>
                <c:pt idx="25">
                  <c:v>72469</c:v>
                </c:pt>
                <c:pt idx="26">
                  <c:v>146221</c:v>
                </c:pt>
                <c:pt idx="27">
                  <c:v>146835</c:v>
                </c:pt>
              </c:numCache>
            </c:numRef>
          </c:val>
        </c:ser>
        <c:ser>
          <c:idx val="3"/>
          <c:order val="2"/>
          <c:tx>
            <c:strRef>
              <c:f>List2!$A$5:$C$5</c:f>
              <c:strCache>
                <c:ptCount val="1"/>
                <c:pt idx="0">
                  <c:v>Stavebnictví</c:v>
                </c:pt>
              </c:strCache>
            </c:strRef>
          </c:tx>
          <c:cat>
            <c:multiLvlStrRef>
              <c:f>List2!$D$1:$AE$2</c:f>
              <c:multiLvlStrCache>
                <c:ptCount val="28"/>
                <c:lvl>
                  <c:pt idx="0">
                    <c:v>2007</c:v>
                  </c:pt>
                  <c:pt idx="1">
                    <c:v>2011</c:v>
                  </c:pt>
                  <c:pt idx="2">
                    <c:v>2007</c:v>
                  </c:pt>
                  <c:pt idx="3">
                    <c:v>2011</c:v>
                  </c:pt>
                  <c:pt idx="4">
                    <c:v>2007</c:v>
                  </c:pt>
                  <c:pt idx="5">
                    <c:v>2011</c:v>
                  </c:pt>
                  <c:pt idx="6">
                    <c:v>2007</c:v>
                  </c:pt>
                  <c:pt idx="7">
                    <c:v>2011</c:v>
                  </c:pt>
                  <c:pt idx="8">
                    <c:v>2007</c:v>
                  </c:pt>
                  <c:pt idx="9">
                    <c:v>2011</c:v>
                  </c:pt>
                  <c:pt idx="10">
                    <c:v>2007</c:v>
                  </c:pt>
                  <c:pt idx="11">
                    <c:v>2011</c:v>
                  </c:pt>
                  <c:pt idx="12">
                    <c:v>2007</c:v>
                  </c:pt>
                  <c:pt idx="13">
                    <c:v>2011</c:v>
                  </c:pt>
                  <c:pt idx="14">
                    <c:v>2007</c:v>
                  </c:pt>
                  <c:pt idx="15">
                    <c:v>2011</c:v>
                  </c:pt>
                  <c:pt idx="16">
                    <c:v>2007</c:v>
                  </c:pt>
                  <c:pt idx="17">
                    <c:v>2011</c:v>
                  </c:pt>
                  <c:pt idx="18">
                    <c:v>2007</c:v>
                  </c:pt>
                  <c:pt idx="19">
                    <c:v>2011</c:v>
                  </c:pt>
                  <c:pt idx="20">
                    <c:v>2007</c:v>
                  </c:pt>
                  <c:pt idx="21">
                    <c:v>2011</c:v>
                  </c:pt>
                  <c:pt idx="22">
                    <c:v>2007</c:v>
                  </c:pt>
                  <c:pt idx="23">
                    <c:v>2011</c:v>
                  </c:pt>
                  <c:pt idx="24">
                    <c:v>2007</c:v>
                  </c:pt>
                  <c:pt idx="25">
                    <c:v>2011</c:v>
                  </c:pt>
                  <c:pt idx="26">
                    <c:v>2007</c:v>
                  </c:pt>
                  <c:pt idx="27">
                    <c:v>2011</c:v>
                  </c:pt>
                </c:lvl>
                <c:lvl>
                  <c:pt idx="0">
                    <c:v>PHA</c:v>
                  </c:pt>
                  <c:pt idx="2">
                    <c:v>STČ</c:v>
                  </c:pt>
                  <c:pt idx="4">
                    <c:v>JHČ</c:v>
                  </c:pt>
                  <c:pt idx="6">
                    <c:v>PLK</c:v>
                  </c:pt>
                  <c:pt idx="8">
                    <c:v>KVK</c:v>
                  </c:pt>
                  <c:pt idx="10">
                    <c:v>ÚLK</c:v>
                  </c:pt>
                  <c:pt idx="12">
                    <c:v>LBK</c:v>
                  </c:pt>
                  <c:pt idx="14">
                    <c:v>HKK</c:v>
                  </c:pt>
                  <c:pt idx="16">
                    <c:v>PAK</c:v>
                  </c:pt>
                  <c:pt idx="18">
                    <c:v>VYS</c:v>
                  </c:pt>
                  <c:pt idx="20">
                    <c:v>JHM</c:v>
                  </c:pt>
                  <c:pt idx="22">
                    <c:v>OKL</c:v>
                  </c:pt>
                  <c:pt idx="24">
                    <c:v>ZLK</c:v>
                  </c:pt>
                  <c:pt idx="26">
                    <c:v>MSK</c:v>
                  </c:pt>
                </c:lvl>
              </c:multiLvlStrCache>
            </c:multiLvlStrRef>
          </c:cat>
          <c:val>
            <c:numRef>
              <c:f>List2!$D$5:$AE$5</c:f>
              <c:numCache>
                <c:formatCode>General</c:formatCode>
                <c:ptCount val="28"/>
                <c:pt idx="0">
                  <c:v>46992</c:v>
                </c:pt>
                <c:pt idx="1">
                  <c:v>48684</c:v>
                </c:pt>
                <c:pt idx="2">
                  <c:v>20281</c:v>
                </c:pt>
                <c:pt idx="3">
                  <c:v>21918</c:v>
                </c:pt>
                <c:pt idx="4">
                  <c:v>12026</c:v>
                </c:pt>
                <c:pt idx="5">
                  <c:v>14909</c:v>
                </c:pt>
                <c:pt idx="6">
                  <c:v>11569</c:v>
                </c:pt>
                <c:pt idx="7">
                  <c:v>10913</c:v>
                </c:pt>
                <c:pt idx="8">
                  <c:v>4636</c:v>
                </c:pt>
                <c:pt idx="9">
                  <c:v>4553</c:v>
                </c:pt>
                <c:pt idx="10">
                  <c:v>17816</c:v>
                </c:pt>
                <c:pt idx="11">
                  <c:v>17466</c:v>
                </c:pt>
                <c:pt idx="12">
                  <c:v>7932</c:v>
                </c:pt>
                <c:pt idx="13">
                  <c:v>7616</c:v>
                </c:pt>
                <c:pt idx="14">
                  <c:v>10145</c:v>
                </c:pt>
                <c:pt idx="15">
                  <c:v>10018</c:v>
                </c:pt>
                <c:pt idx="16">
                  <c:v>10178</c:v>
                </c:pt>
                <c:pt idx="17">
                  <c:v>9950</c:v>
                </c:pt>
                <c:pt idx="18">
                  <c:v>9317</c:v>
                </c:pt>
                <c:pt idx="19">
                  <c:v>10048</c:v>
                </c:pt>
                <c:pt idx="20">
                  <c:v>27266</c:v>
                </c:pt>
                <c:pt idx="21">
                  <c:v>30232</c:v>
                </c:pt>
                <c:pt idx="22">
                  <c:v>11746</c:v>
                </c:pt>
                <c:pt idx="23">
                  <c:v>11655</c:v>
                </c:pt>
                <c:pt idx="24">
                  <c:v>12262</c:v>
                </c:pt>
                <c:pt idx="25">
                  <c:v>13160</c:v>
                </c:pt>
                <c:pt idx="26">
                  <c:v>22709</c:v>
                </c:pt>
                <c:pt idx="27">
                  <c:v>23314</c:v>
                </c:pt>
              </c:numCache>
            </c:numRef>
          </c:val>
        </c:ser>
        <c:ser>
          <c:idx val="4"/>
          <c:order val="3"/>
          <c:tx>
            <c:strRef>
              <c:f>List2!$A$6:$C$6</c:f>
              <c:strCache>
                <c:ptCount val="1"/>
                <c:pt idx="0">
                  <c:v>Služby</c:v>
                </c:pt>
              </c:strCache>
            </c:strRef>
          </c:tx>
          <c:cat>
            <c:multiLvlStrRef>
              <c:f>List2!$D$1:$AE$2</c:f>
              <c:multiLvlStrCache>
                <c:ptCount val="28"/>
                <c:lvl>
                  <c:pt idx="0">
                    <c:v>2007</c:v>
                  </c:pt>
                  <c:pt idx="1">
                    <c:v>2011</c:v>
                  </c:pt>
                  <c:pt idx="2">
                    <c:v>2007</c:v>
                  </c:pt>
                  <c:pt idx="3">
                    <c:v>2011</c:v>
                  </c:pt>
                  <c:pt idx="4">
                    <c:v>2007</c:v>
                  </c:pt>
                  <c:pt idx="5">
                    <c:v>2011</c:v>
                  </c:pt>
                  <c:pt idx="6">
                    <c:v>2007</c:v>
                  </c:pt>
                  <c:pt idx="7">
                    <c:v>2011</c:v>
                  </c:pt>
                  <c:pt idx="8">
                    <c:v>2007</c:v>
                  </c:pt>
                  <c:pt idx="9">
                    <c:v>2011</c:v>
                  </c:pt>
                  <c:pt idx="10">
                    <c:v>2007</c:v>
                  </c:pt>
                  <c:pt idx="11">
                    <c:v>2011</c:v>
                  </c:pt>
                  <c:pt idx="12">
                    <c:v>2007</c:v>
                  </c:pt>
                  <c:pt idx="13">
                    <c:v>2011</c:v>
                  </c:pt>
                  <c:pt idx="14">
                    <c:v>2007</c:v>
                  </c:pt>
                  <c:pt idx="15">
                    <c:v>2011</c:v>
                  </c:pt>
                  <c:pt idx="16">
                    <c:v>2007</c:v>
                  </c:pt>
                  <c:pt idx="17">
                    <c:v>2011</c:v>
                  </c:pt>
                  <c:pt idx="18">
                    <c:v>2007</c:v>
                  </c:pt>
                  <c:pt idx="19">
                    <c:v>2011</c:v>
                  </c:pt>
                  <c:pt idx="20">
                    <c:v>2007</c:v>
                  </c:pt>
                  <c:pt idx="21">
                    <c:v>2011</c:v>
                  </c:pt>
                  <c:pt idx="22">
                    <c:v>2007</c:v>
                  </c:pt>
                  <c:pt idx="23">
                    <c:v>2011</c:v>
                  </c:pt>
                  <c:pt idx="24">
                    <c:v>2007</c:v>
                  </c:pt>
                  <c:pt idx="25">
                    <c:v>2011</c:v>
                  </c:pt>
                  <c:pt idx="26">
                    <c:v>2007</c:v>
                  </c:pt>
                  <c:pt idx="27">
                    <c:v>2011</c:v>
                  </c:pt>
                </c:lvl>
                <c:lvl>
                  <c:pt idx="0">
                    <c:v>PHA</c:v>
                  </c:pt>
                  <c:pt idx="2">
                    <c:v>STČ</c:v>
                  </c:pt>
                  <c:pt idx="4">
                    <c:v>JHČ</c:v>
                  </c:pt>
                  <c:pt idx="6">
                    <c:v>PLK</c:v>
                  </c:pt>
                  <c:pt idx="8">
                    <c:v>KVK</c:v>
                  </c:pt>
                  <c:pt idx="10">
                    <c:v>ÚLK</c:v>
                  </c:pt>
                  <c:pt idx="12">
                    <c:v>LBK</c:v>
                  </c:pt>
                  <c:pt idx="14">
                    <c:v>HKK</c:v>
                  </c:pt>
                  <c:pt idx="16">
                    <c:v>PAK</c:v>
                  </c:pt>
                  <c:pt idx="18">
                    <c:v>VYS</c:v>
                  </c:pt>
                  <c:pt idx="20">
                    <c:v>JHM</c:v>
                  </c:pt>
                  <c:pt idx="22">
                    <c:v>OKL</c:v>
                  </c:pt>
                  <c:pt idx="24">
                    <c:v>ZLK</c:v>
                  </c:pt>
                  <c:pt idx="26">
                    <c:v>MSK</c:v>
                  </c:pt>
                </c:lvl>
              </c:multiLvlStrCache>
            </c:multiLvlStrRef>
          </c:cat>
          <c:val>
            <c:numRef>
              <c:f>List2!$D$6:$AE$6</c:f>
              <c:numCache>
                <c:formatCode>General</c:formatCode>
                <c:ptCount val="28"/>
                <c:pt idx="0">
                  <c:v>669498</c:v>
                </c:pt>
                <c:pt idx="1">
                  <c:v>734036</c:v>
                </c:pt>
                <c:pt idx="2">
                  <c:v>182278</c:v>
                </c:pt>
                <c:pt idx="3">
                  <c:v>188294</c:v>
                </c:pt>
                <c:pt idx="4">
                  <c:v>91366</c:v>
                </c:pt>
                <c:pt idx="5">
                  <c:v>96975</c:v>
                </c:pt>
                <c:pt idx="6">
                  <c:v>87958</c:v>
                </c:pt>
                <c:pt idx="7">
                  <c:v>91241</c:v>
                </c:pt>
                <c:pt idx="8">
                  <c:v>40087</c:v>
                </c:pt>
                <c:pt idx="9">
                  <c:v>42279</c:v>
                </c:pt>
                <c:pt idx="10">
                  <c:v>102358</c:v>
                </c:pt>
                <c:pt idx="11">
                  <c:v>109527</c:v>
                </c:pt>
                <c:pt idx="12">
                  <c:v>52421</c:v>
                </c:pt>
                <c:pt idx="13">
                  <c:v>59354</c:v>
                </c:pt>
                <c:pt idx="14">
                  <c:v>75753</c:v>
                </c:pt>
                <c:pt idx="15">
                  <c:v>83456</c:v>
                </c:pt>
                <c:pt idx="16">
                  <c:v>71313</c:v>
                </c:pt>
                <c:pt idx="17">
                  <c:v>72429</c:v>
                </c:pt>
                <c:pt idx="18">
                  <c:v>56629</c:v>
                </c:pt>
                <c:pt idx="19">
                  <c:v>65128</c:v>
                </c:pt>
                <c:pt idx="20">
                  <c:v>204906</c:v>
                </c:pt>
                <c:pt idx="21">
                  <c:v>219495</c:v>
                </c:pt>
                <c:pt idx="22">
                  <c:v>83808</c:v>
                </c:pt>
                <c:pt idx="23">
                  <c:v>90930</c:v>
                </c:pt>
                <c:pt idx="24">
                  <c:v>73560</c:v>
                </c:pt>
                <c:pt idx="25">
                  <c:v>75272</c:v>
                </c:pt>
                <c:pt idx="26">
                  <c:v>161056</c:v>
                </c:pt>
                <c:pt idx="27">
                  <c:v>178799</c:v>
                </c:pt>
              </c:numCache>
            </c:numRef>
          </c:val>
        </c:ser>
        <c:overlap val="100"/>
        <c:axId val="111743360"/>
        <c:axId val="111744896"/>
      </c:barChart>
      <c:catAx>
        <c:axId val="111743360"/>
        <c:scaling>
          <c:orientation val="minMax"/>
        </c:scaling>
        <c:axPos val="b"/>
        <c:tickLblPos val="nextTo"/>
        <c:crossAx val="111744896"/>
        <c:crosses val="autoZero"/>
        <c:auto val="1"/>
        <c:lblAlgn val="ctr"/>
        <c:lblOffset val="100"/>
      </c:catAx>
      <c:valAx>
        <c:axId val="111744896"/>
        <c:scaling>
          <c:orientation val="minMax"/>
        </c:scaling>
        <c:axPos val="l"/>
        <c:majorGridlines/>
        <c:numFmt formatCode="0%" sourceLinked="1"/>
        <c:tickLblPos val="nextTo"/>
        <c:crossAx val="111743360"/>
        <c:crosses val="autoZero"/>
        <c:crossBetween val="between"/>
      </c:valAx>
    </c:plotArea>
    <c:legend>
      <c:legendPos val="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manualLayout>
          <c:layoutTarget val="inner"/>
          <c:xMode val="edge"/>
          <c:yMode val="edge"/>
          <c:x val="4.9235993208828571E-2"/>
          <c:y val="4.1509433962264149E-2"/>
          <c:w val="0.93378607809847292"/>
          <c:h val="0.62264150943396301"/>
        </c:manualLayout>
      </c:layout>
      <c:barChart>
        <c:barDir val="col"/>
        <c:grouping val="clustered"/>
        <c:ser>
          <c:idx val="1"/>
          <c:order val="0"/>
          <c:tx>
            <c:strRef>
              <c:f>Sheet1!$A$2</c:f>
              <c:strCache>
                <c:ptCount val="1"/>
                <c:pt idx="0">
                  <c:v>podíl na zaměstnanosti</c:v>
                </c:pt>
              </c:strCache>
            </c:strRef>
          </c:tx>
          <c:spPr>
            <a:solidFill>
              <a:srgbClr val="993366"/>
            </a:solidFill>
            <a:ln w="25391">
              <a:noFill/>
            </a:ln>
          </c:spPr>
          <c:cat>
            <c:strRef>
              <c:f>Sheet1!$B$1:$J$1</c:f>
              <c:strCache>
                <c:ptCount val="9"/>
                <c:pt idx="0">
                  <c:v>průmysl  </c:v>
                </c:pt>
                <c:pt idx="1">
                  <c:v>stavebnictví    </c:v>
                </c:pt>
                <c:pt idx="2">
                  <c:v>obchod</c:v>
                </c:pt>
                <c:pt idx="3">
                  <c:v>pohostinství</c:v>
                </c:pt>
                <c:pt idx="4">
                  <c:v>doprava</c:v>
                </c:pt>
                <c:pt idx="5">
                  <c:v>peněžnictví</c:v>
                </c:pt>
                <c:pt idx="6">
                  <c:v>služby</c:v>
                </c:pt>
                <c:pt idx="7">
                  <c:v>komunikace</c:v>
                </c:pt>
                <c:pt idx="8">
                  <c:v>zemědělství</c:v>
                </c:pt>
              </c:strCache>
            </c:strRef>
          </c:cat>
          <c:val>
            <c:numRef>
              <c:f>Sheet1!$B$2:$J$2</c:f>
              <c:numCache>
                <c:formatCode>General</c:formatCode>
                <c:ptCount val="9"/>
                <c:pt idx="0">
                  <c:v>52.230000000000011</c:v>
                </c:pt>
                <c:pt idx="1">
                  <c:v>82.58</c:v>
                </c:pt>
                <c:pt idx="2">
                  <c:v>72.53</c:v>
                </c:pt>
                <c:pt idx="3">
                  <c:v>87.29</c:v>
                </c:pt>
                <c:pt idx="4">
                  <c:v>41.220000000000013</c:v>
                </c:pt>
                <c:pt idx="5">
                  <c:v>22.86</c:v>
                </c:pt>
                <c:pt idx="6">
                  <c:v>70.440000000000026</c:v>
                </c:pt>
                <c:pt idx="7">
                  <c:v>57.78</c:v>
                </c:pt>
                <c:pt idx="8">
                  <c:v>89.66</c:v>
                </c:pt>
              </c:numCache>
            </c:numRef>
          </c:val>
        </c:ser>
        <c:ser>
          <c:idx val="2"/>
          <c:order val="1"/>
          <c:tx>
            <c:strRef>
              <c:f>Sheet1!$A$3</c:f>
              <c:strCache>
                <c:ptCount val="1"/>
                <c:pt idx="0">
                  <c:v>podíl na UPH</c:v>
                </c:pt>
              </c:strCache>
            </c:strRef>
          </c:tx>
          <c:spPr>
            <a:solidFill>
              <a:srgbClr val="99CCFF"/>
            </a:solidFill>
            <a:ln w="25391">
              <a:noFill/>
            </a:ln>
          </c:spPr>
          <c:cat>
            <c:strRef>
              <c:f>Sheet1!$B$1:$J$1</c:f>
              <c:strCache>
                <c:ptCount val="9"/>
                <c:pt idx="0">
                  <c:v>průmysl  </c:v>
                </c:pt>
                <c:pt idx="1">
                  <c:v>stavebnictví    </c:v>
                </c:pt>
                <c:pt idx="2">
                  <c:v>obchod</c:v>
                </c:pt>
                <c:pt idx="3">
                  <c:v>pohostinství</c:v>
                </c:pt>
                <c:pt idx="4">
                  <c:v>doprava</c:v>
                </c:pt>
                <c:pt idx="5">
                  <c:v>peněžnictví</c:v>
                </c:pt>
                <c:pt idx="6">
                  <c:v>služby</c:v>
                </c:pt>
                <c:pt idx="7">
                  <c:v>komunikace</c:v>
                </c:pt>
                <c:pt idx="8">
                  <c:v>zemědělství</c:v>
                </c:pt>
              </c:strCache>
            </c:strRef>
          </c:cat>
          <c:val>
            <c:numRef>
              <c:f>Sheet1!$B$3:$J$3</c:f>
              <c:numCache>
                <c:formatCode>General</c:formatCode>
                <c:ptCount val="9"/>
                <c:pt idx="0">
                  <c:v>42.120000000000012</c:v>
                </c:pt>
                <c:pt idx="1">
                  <c:v>77.97</c:v>
                </c:pt>
                <c:pt idx="2">
                  <c:v>75.38</c:v>
                </c:pt>
                <c:pt idx="3">
                  <c:v>86.490000000000023</c:v>
                </c:pt>
                <c:pt idx="4">
                  <c:v>53.55</c:v>
                </c:pt>
                <c:pt idx="5">
                  <c:v>23.14</c:v>
                </c:pt>
                <c:pt idx="6">
                  <c:v>83.04</c:v>
                </c:pt>
                <c:pt idx="7">
                  <c:v>36.85</c:v>
                </c:pt>
                <c:pt idx="8">
                  <c:v>81.34</c:v>
                </c:pt>
              </c:numCache>
            </c:numRef>
          </c:val>
        </c:ser>
        <c:axId val="111811584"/>
        <c:axId val="111842048"/>
      </c:barChart>
      <c:catAx>
        <c:axId val="111811584"/>
        <c:scaling>
          <c:orientation val="minMax"/>
        </c:scaling>
        <c:axPos val="b"/>
        <c:numFmt formatCode="General" sourceLinked="1"/>
        <c:tickLblPos val="nextTo"/>
        <c:spPr>
          <a:ln w="3174">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cs-CZ"/>
          </a:p>
        </c:txPr>
        <c:crossAx val="111842048"/>
        <c:crosses val="autoZero"/>
        <c:lblAlgn val="ctr"/>
        <c:lblOffset val="100"/>
        <c:tickLblSkip val="1"/>
        <c:tickMarkSkip val="1"/>
      </c:catAx>
      <c:valAx>
        <c:axId val="111842048"/>
        <c:scaling>
          <c:orientation val="minMax"/>
        </c:scaling>
        <c:axPos val="l"/>
        <c:majorGridlines>
          <c:spPr>
            <a:ln w="12696">
              <a:solidFill>
                <a:srgbClr val="C0C0C0"/>
              </a:solidFill>
              <a:prstDash val="sysDash"/>
            </a:ln>
          </c:spPr>
        </c:majorGridlines>
        <c:numFmt formatCode="0" sourceLinked="0"/>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111811584"/>
        <c:crosses val="autoZero"/>
        <c:crossBetween val="between"/>
        <c:majorUnit val="20"/>
      </c:valAx>
      <c:spPr>
        <a:solidFill>
          <a:srgbClr val="FFFFFF"/>
        </a:solidFill>
        <a:ln w="12696">
          <a:solidFill>
            <a:srgbClr val="808080"/>
          </a:solidFill>
          <a:prstDash val="solid"/>
        </a:ln>
      </c:spPr>
    </c:plotArea>
    <c:legend>
      <c:legendPos val="b"/>
      <c:layout>
        <c:manualLayout>
          <c:xMode val="edge"/>
          <c:yMode val="edge"/>
          <c:x val="0.21731749632990813"/>
          <c:y val="0.92075471698113265"/>
          <c:w val="0.55178273054851268"/>
          <c:h val="6.4150943396226429E-2"/>
        </c:manualLayout>
      </c:layout>
      <c:spPr>
        <a:solidFill>
          <a:srgbClr val="FFFFFF"/>
        </a:solidFill>
        <a:ln w="25391">
          <a:noFill/>
        </a:ln>
      </c:spPr>
      <c:txPr>
        <a:bodyPr/>
        <a:lstStyle/>
        <a:p>
          <a:pPr>
            <a:defRPr sz="735" b="0" i="0" u="none" strike="noStrike" baseline="0">
              <a:solidFill>
                <a:srgbClr val="000000"/>
              </a:solidFill>
              <a:latin typeface="Arial"/>
              <a:ea typeface="Arial"/>
              <a:cs typeface="Arial"/>
            </a:defRPr>
          </a:pPr>
          <a:endParaRPr lang="cs-CZ"/>
        </a:p>
      </c:txPr>
    </c:legend>
    <c:plotVisOnly val="1"/>
    <c:dispBlanksAs val="gap"/>
  </c:chart>
  <c:spPr>
    <a:noFill/>
    <a:ln>
      <a:solidFill>
        <a:sysClr val="windowText" lastClr="000000"/>
      </a:solidFill>
    </a:ln>
  </c:spPr>
  <c:txPr>
    <a:bodyPr/>
    <a:lstStyle/>
    <a:p>
      <a:pPr>
        <a:defRPr sz="1000" b="0" i="0" u="none" strike="noStrike" baseline="0">
          <a:solidFill>
            <a:srgbClr val="000000"/>
          </a:solidFill>
          <a:latin typeface="Arial"/>
          <a:ea typeface="Arial"/>
          <a:cs typeface="Arial"/>
        </a:defRPr>
      </a:pPr>
      <a:endParaRPr lang="cs-CZ"/>
    </a:p>
  </c:txPr>
  <c:externalData r:id="rId2"/>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C6A9-390F-4552-8085-A20B05CE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153</Pages>
  <Words>41986</Words>
  <Characters>247719</Characters>
  <Application>Microsoft Office Word</Application>
  <DocSecurity>0</DocSecurity>
  <Lines>2064</Lines>
  <Paragraphs>578</Paragraphs>
  <ScaleCrop>false</ScaleCrop>
  <HeadingPairs>
    <vt:vector size="2" baseType="variant">
      <vt:variant>
        <vt:lpstr>Název</vt:lpstr>
      </vt:variant>
      <vt:variant>
        <vt:i4>1</vt:i4>
      </vt:variant>
    </vt:vector>
  </HeadingPairs>
  <TitlesOfParts>
    <vt:vector size="1" baseType="lpstr">
      <vt:lpstr>MINISTERSTVO PRŮMYSLU A OBCHODU</vt:lpstr>
    </vt:vector>
  </TitlesOfParts>
  <Company>Ministerstvo průmyslu a obchodu</Company>
  <LinksUpToDate>false</LinksUpToDate>
  <CharactersWithSpaces>289127</CharactersWithSpaces>
  <SharedDoc>false</SharedDoc>
  <HLinks>
    <vt:vector size="126" baseType="variant">
      <vt:variant>
        <vt:i4>1245232</vt:i4>
      </vt:variant>
      <vt:variant>
        <vt:i4>110</vt:i4>
      </vt:variant>
      <vt:variant>
        <vt:i4>0</vt:i4>
      </vt:variant>
      <vt:variant>
        <vt:i4>5</vt:i4>
      </vt:variant>
      <vt:variant>
        <vt:lpwstr/>
      </vt:variant>
      <vt:variant>
        <vt:lpwstr>_Toc351127070</vt:lpwstr>
      </vt:variant>
      <vt:variant>
        <vt:i4>1179696</vt:i4>
      </vt:variant>
      <vt:variant>
        <vt:i4>104</vt:i4>
      </vt:variant>
      <vt:variant>
        <vt:i4>0</vt:i4>
      </vt:variant>
      <vt:variant>
        <vt:i4>5</vt:i4>
      </vt:variant>
      <vt:variant>
        <vt:lpwstr/>
      </vt:variant>
      <vt:variant>
        <vt:lpwstr>_Toc351127069</vt:lpwstr>
      </vt:variant>
      <vt:variant>
        <vt:i4>1179696</vt:i4>
      </vt:variant>
      <vt:variant>
        <vt:i4>98</vt:i4>
      </vt:variant>
      <vt:variant>
        <vt:i4>0</vt:i4>
      </vt:variant>
      <vt:variant>
        <vt:i4>5</vt:i4>
      </vt:variant>
      <vt:variant>
        <vt:lpwstr/>
      </vt:variant>
      <vt:variant>
        <vt:lpwstr>_Toc351127068</vt:lpwstr>
      </vt:variant>
      <vt:variant>
        <vt:i4>1179696</vt:i4>
      </vt:variant>
      <vt:variant>
        <vt:i4>92</vt:i4>
      </vt:variant>
      <vt:variant>
        <vt:i4>0</vt:i4>
      </vt:variant>
      <vt:variant>
        <vt:i4>5</vt:i4>
      </vt:variant>
      <vt:variant>
        <vt:lpwstr/>
      </vt:variant>
      <vt:variant>
        <vt:lpwstr>_Toc351127067</vt:lpwstr>
      </vt:variant>
      <vt:variant>
        <vt:i4>1179696</vt:i4>
      </vt:variant>
      <vt:variant>
        <vt:i4>86</vt:i4>
      </vt:variant>
      <vt:variant>
        <vt:i4>0</vt:i4>
      </vt:variant>
      <vt:variant>
        <vt:i4>5</vt:i4>
      </vt:variant>
      <vt:variant>
        <vt:lpwstr/>
      </vt:variant>
      <vt:variant>
        <vt:lpwstr>_Toc351127066</vt:lpwstr>
      </vt:variant>
      <vt:variant>
        <vt:i4>1179696</vt:i4>
      </vt:variant>
      <vt:variant>
        <vt:i4>80</vt:i4>
      </vt:variant>
      <vt:variant>
        <vt:i4>0</vt:i4>
      </vt:variant>
      <vt:variant>
        <vt:i4>5</vt:i4>
      </vt:variant>
      <vt:variant>
        <vt:lpwstr/>
      </vt:variant>
      <vt:variant>
        <vt:lpwstr>_Toc351127065</vt:lpwstr>
      </vt:variant>
      <vt:variant>
        <vt:i4>1179696</vt:i4>
      </vt:variant>
      <vt:variant>
        <vt:i4>74</vt:i4>
      </vt:variant>
      <vt:variant>
        <vt:i4>0</vt:i4>
      </vt:variant>
      <vt:variant>
        <vt:i4>5</vt:i4>
      </vt:variant>
      <vt:variant>
        <vt:lpwstr/>
      </vt:variant>
      <vt:variant>
        <vt:lpwstr>_Toc351127064</vt:lpwstr>
      </vt:variant>
      <vt:variant>
        <vt:i4>1179696</vt:i4>
      </vt:variant>
      <vt:variant>
        <vt:i4>68</vt:i4>
      </vt:variant>
      <vt:variant>
        <vt:i4>0</vt:i4>
      </vt:variant>
      <vt:variant>
        <vt:i4>5</vt:i4>
      </vt:variant>
      <vt:variant>
        <vt:lpwstr/>
      </vt:variant>
      <vt:variant>
        <vt:lpwstr>_Toc351127063</vt:lpwstr>
      </vt:variant>
      <vt:variant>
        <vt:i4>1179696</vt:i4>
      </vt:variant>
      <vt:variant>
        <vt:i4>62</vt:i4>
      </vt:variant>
      <vt:variant>
        <vt:i4>0</vt:i4>
      </vt:variant>
      <vt:variant>
        <vt:i4>5</vt:i4>
      </vt:variant>
      <vt:variant>
        <vt:lpwstr/>
      </vt:variant>
      <vt:variant>
        <vt:lpwstr>_Toc351127062</vt:lpwstr>
      </vt:variant>
      <vt:variant>
        <vt:i4>1179696</vt:i4>
      </vt:variant>
      <vt:variant>
        <vt:i4>56</vt:i4>
      </vt:variant>
      <vt:variant>
        <vt:i4>0</vt:i4>
      </vt:variant>
      <vt:variant>
        <vt:i4>5</vt:i4>
      </vt:variant>
      <vt:variant>
        <vt:lpwstr/>
      </vt:variant>
      <vt:variant>
        <vt:lpwstr>_Toc351127061</vt:lpwstr>
      </vt:variant>
      <vt:variant>
        <vt:i4>1179696</vt:i4>
      </vt:variant>
      <vt:variant>
        <vt:i4>50</vt:i4>
      </vt:variant>
      <vt:variant>
        <vt:i4>0</vt:i4>
      </vt:variant>
      <vt:variant>
        <vt:i4>5</vt:i4>
      </vt:variant>
      <vt:variant>
        <vt:lpwstr/>
      </vt:variant>
      <vt:variant>
        <vt:lpwstr>_Toc351127060</vt:lpwstr>
      </vt:variant>
      <vt:variant>
        <vt:i4>1114160</vt:i4>
      </vt:variant>
      <vt:variant>
        <vt:i4>44</vt:i4>
      </vt:variant>
      <vt:variant>
        <vt:i4>0</vt:i4>
      </vt:variant>
      <vt:variant>
        <vt:i4>5</vt:i4>
      </vt:variant>
      <vt:variant>
        <vt:lpwstr/>
      </vt:variant>
      <vt:variant>
        <vt:lpwstr>_Toc351127059</vt:lpwstr>
      </vt:variant>
      <vt:variant>
        <vt:i4>1114160</vt:i4>
      </vt:variant>
      <vt:variant>
        <vt:i4>38</vt:i4>
      </vt:variant>
      <vt:variant>
        <vt:i4>0</vt:i4>
      </vt:variant>
      <vt:variant>
        <vt:i4>5</vt:i4>
      </vt:variant>
      <vt:variant>
        <vt:lpwstr/>
      </vt:variant>
      <vt:variant>
        <vt:lpwstr>_Toc351127058</vt:lpwstr>
      </vt:variant>
      <vt:variant>
        <vt:i4>1114160</vt:i4>
      </vt:variant>
      <vt:variant>
        <vt:i4>32</vt:i4>
      </vt:variant>
      <vt:variant>
        <vt:i4>0</vt:i4>
      </vt:variant>
      <vt:variant>
        <vt:i4>5</vt:i4>
      </vt:variant>
      <vt:variant>
        <vt:lpwstr/>
      </vt:variant>
      <vt:variant>
        <vt:lpwstr>_Toc351127057</vt:lpwstr>
      </vt:variant>
      <vt:variant>
        <vt:i4>1114160</vt:i4>
      </vt:variant>
      <vt:variant>
        <vt:i4>26</vt:i4>
      </vt:variant>
      <vt:variant>
        <vt:i4>0</vt:i4>
      </vt:variant>
      <vt:variant>
        <vt:i4>5</vt:i4>
      </vt:variant>
      <vt:variant>
        <vt:lpwstr/>
      </vt:variant>
      <vt:variant>
        <vt:lpwstr>_Toc351127056</vt:lpwstr>
      </vt:variant>
      <vt:variant>
        <vt:i4>1114160</vt:i4>
      </vt:variant>
      <vt:variant>
        <vt:i4>20</vt:i4>
      </vt:variant>
      <vt:variant>
        <vt:i4>0</vt:i4>
      </vt:variant>
      <vt:variant>
        <vt:i4>5</vt:i4>
      </vt:variant>
      <vt:variant>
        <vt:lpwstr/>
      </vt:variant>
      <vt:variant>
        <vt:lpwstr>_Toc351127055</vt:lpwstr>
      </vt:variant>
      <vt:variant>
        <vt:i4>1114160</vt:i4>
      </vt:variant>
      <vt:variant>
        <vt:i4>14</vt:i4>
      </vt:variant>
      <vt:variant>
        <vt:i4>0</vt:i4>
      </vt:variant>
      <vt:variant>
        <vt:i4>5</vt:i4>
      </vt:variant>
      <vt:variant>
        <vt:lpwstr/>
      </vt:variant>
      <vt:variant>
        <vt:lpwstr>_Toc351127054</vt:lpwstr>
      </vt:variant>
      <vt:variant>
        <vt:i4>1114160</vt:i4>
      </vt:variant>
      <vt:variant>
        <vt:i4>8</vt:i4>
      </vt:variant>
      <vt:variant>
        <vt:i4>0</vt:i4>
      </vt:variant>
      <vt:variant>
        <vt:i4>5</vt:i4>
      </vt:variant>
      <vt:variant>
        <vt:lpwstr/>
      </vt:variant>
      <vt:variant>
        <vt:lpwstr>_Toc351127053</vt:lpwstr>
      </vt:variant>
      <vt:variant>
        <vt:i4>1114160</vt:i4>
      </vt:variant>
      <vt:variant>
        <vt:i4>2</vt:i4>
      </vt:variant>
      <vt:variant>
        <vt:i4>0</vt:i4>
      </vt:variant>
      <vt:variant>
        <vt:i4>5</vt:i4>
      </vt:variant>
      <vt:variant>
        <vt:lpwstr/>
      </vt:variant>
      <vt:variant>
        <vt:lpwstr>_Toc351127052</vt:lpwstr>
      </vt:variant>
      <vt:variant>
        <vt:i4>6291511</vt:i4>
      </vt:variant>
      <vt:variant>
        <vt:i4>3</vt:i4>
      </vt:variant>
      <vt:variant>
        <vt:i4>0</vt:i4>
      </vt:variant>
      <vt:variant>
        <vt:i4>5</vt:i4>
      </vt:variant>
      <vt:variant>
        <vt:lpwstr>http://www.google.cz/url?sa=t&amp;rct=j&amp;q=&amp;esrc=s&amp;frm=1&amp;source=web&amp;cd=4&amp;ved=0CEoQFjAD&amp;url=http%3A%2F%2Fec.europa.eu%2Finformation_society%2Fnewsroom%2Fcf%2Fdae%2Fdocument.cfm%3Fdoc_id%3D1700&amp;ei=-AM6UayyL4ectAb_2YDYBg&amp;usg=AFQjCNFYAKiNQ5aoxyF_gpwd2RaMPbYwkQ&amp;sig2=H3XlgkdpoNn3eGPbygNPuw</vt:lpwstr>
      </vt:variant>
      <vt:variant>
        <vt:lpwstr/>
      </vt:variant>
      <vt:variant>
        <vt:i4>4915287</vt:i4>
      </vt:variant>
      <vt:variant>
        <vt:i4>0</vt:i4>
      </vt:variant>
      <vt:variant>
        <vt:i4>0</vt:i4>
      </vt:variant>
      <vt:variant>
        <vt:i4>5</vt:i4>
      </vt:variant>
      <vt:variant>
        <vt:lpwstr>http://europa.eu/rapid/pressReleasesAction.do?reference=IP/11/1159&amp;format=HTML&amp;aged=1&amp;language=CS&amp;guiLanguage=en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PRŮMYSLU A OBCHODU</dc:title>
  <dc:creator>MPO</dc:creator>
  <cp:lastModifiedBy>nozver</cp:lastModifiedBy>
  <cp:revision>9</cp:revision>
  <cp:lastPrinted>2013-04-10T09:29:00Z</cp:lastPrinted>
  <dcterms:created xsi:type="dcterms:W3CDTF">2013-04-10T09:30:00Z</dcterms:created>
  <dcterms:modified xsi:type="dcterms:W3CDTF">2013-05-07T08:04:00Z</dcterms:modified>
</cp:coreProperties>
</file>